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0B" w:rsidRPr="006301B8" w:rsidRDefault="00EC4F0B" w:rsidP="00EC4F0B">
      <w:pPr>
        <w:rPr>
          <w:sz w:val="24"/>
          <w:lang w:val="ka-GE"/>
        </w:rPr>
      </w:pPr>
      <w:r>
        <w:rPr>
          <w:sz w:val="24"/>
          <w:lang w:val="ka-GE"/>
        </w:rPr>
        <w:t xml:space="preserve">15, 16, 19 </w:t>
      </w:r>
      <w:r w:rsidRPr="006301B8">
        <w:rPr>
          <w:sz w:val="24"/>
          <w:lang w:val="ka-GE"/>
        </w:rPr>
        <w:t>მარტი</w:t>
      </w:r>
    </w:p>
    <w:p w:rsidR="00EC4F0B" w:rsidRDefault="00EC4F0B" w:rsidP="00EC4F0B">
      <w:pPr>
        <w:rPr>
          <w:lang w:val="ka-GE"/>
        </w:rPr>
      </w:pPr>
      <w:r>
        <w:rPr>
          <w:lang w:val="ka-GE"/>
        </w:rPr>
        <w:t>თბილისში მიმდინარე გამოკითხვის ფარგლებში პენსიონერებისთვის განკუთვნილი კითხვარებიდან  შეივსო-</w:t>
      </w:r>
      <w:r w:rsidRPr="003711B5">
        <w:rPr>
          <w:sz w:val="24"/>
          <w:lang w:val="ka-GE"/>
        </w:rPr>
        <w:t>404 კითხვარი.</w:t>
      </w:r>
    </w:p>
    <w:p w:rsidR="00EC4F0B" w:rsidRDefault="00EC4F0B" w:rsidP="00EC4F0B">
      <w:pPr>
        <w:rPr>
          <w:lang w:val="ka-GE"/>
        </w:rPr>
      </w:pPr>
    </w:p>
    <w:p w:rsidR="00EC4F0B" w:rsidRDefault="00EC4F0B" w:rsidP="00EC4F0B">
      <w:pPr>
        <w:rPr>
          <w:lang w:val="ka-GE"/>
        </w:rPr>
      </w:pPr>
      <w:r>
        <w:rPr>
          <w:lang w:val="ka-GE"/>
        </w:rPr>
        <w:t>კითხვაზე: თვეში საშუალოდ რა თანხა ეხარჯებათ მედიკამენტების შესაძენად, პასუხები განაწილდა შემდეგი სახით:</w:t>
      </w:r>
    </w:p>
    <w:p w:rsidR="00EC4F0B" w:rsidRPr="009155B0" w:rsidRDefault="00EC4F0B" w:rsidP="00EC4F0B">
      <w:pPr>
        <w:rPr>
          <w:lang w:val="ka-GE"/>
        </w:rPr>
      </w:pPr>
    </w:p>
    <w:p w:rsidR="00EC4F0B" w:rsidRPr="009155B0" w:rsidRDefault="00EC4F0B" w:rsidP="00EC4F0B">
      <w:pPr>
        <w:jc w:val="right"/>
        <w:rPr>
          <w:lang w:val="ka-GE"/>
        </w:rPr>
      </w:pPr>
      <w:r>
        <w:rPr>
          <w:lang w:val="ka-GE"/>
        </w:rPr>
        <w:t xml:space="preserve">     საპენსიო ასაკის მოსახლეობის მიერ ყოველთვიურად მოხმარებადი მედიკამენტების საშუალო თვიური ხარჯის სტატისტიკა                                                         </w:t>
      </w:r>
    </w:p>
    <w:p w:rsidR="00EC4F0B" w:rsidRDefault="00EC4F0B" w:rsidP="00EC4F0B">
      <w:r>
        <w:rPr>
          <w:noProof/>
        </w:rPr>
        <w:drawing>
          <wp:inline distT="0" distB="0" distL="0" distR="0" wp14:anchorId="337E1DE5" wp14:editId="084DB575">
            <wp:extent cx="6391275" cy="5133975"/>
            <wp:effectExtent l="0" t="0" r="9525" b="952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C4F0B" w:rsidRDefault="00EC4F0B" w:rsidP="00EC4F0B">
      <w:pPr>
        <w:rPr>
          <w:lang w:val="ka-GE"/>
        </w:rPr>
      </w:pPr>
    </w:p>
    <w:p w:rsidR="006D4166" w:rsidRDefault="006D4166">
      <w:pPr>
        <w:rPr>
          <w:lang w:val="ka-GE"/>
        </w:rPr>
      </w:pPr>
    </w:p>
    <w:p w:rsidR="00EC4F0B" w:rsidRDefault="00EC4F0B">
      <w:pPr>
        <w:rPr>
          <w:lang w:val="ka-GE"/>
        </w:rPr>
      </w:pPr>
    </w:p>
    <w:p w:rsidR="00EC4F0B" w:rsidRPr="00A02D16" w:rsidRDefault="00EC4F0B" w:rsidP="00EC4F0B">
      <w:pPr>
        <w:rPr>
          <w:sz w:val="24"/>
          <w:lang w:val="ka-GE"/>
        </w:rPr>
      </w:pPr>
      <w:r w:rsidRPr="00887B88">
        <w:rPr>
          <w:sz w:val="24"/>
          <w:lang w:val="ka-GE"/>
        </w:rPr>
        <w:t xml:space="preserve">კითხვაზე: რა  მედიკამენტებს ღებულობთ ყოველდღიურად, გამოკითხულთა მიერ დაფიქსირდა </w:t>
      </w:r>
      <w:r>
        <w:rPr>
          <w:sz w:val="24"/>
          <w:lang w:val="ka-GE"/>
        </w:rPr>
        <w:t>274</w:t>
      </w:r>
      <w:r w:rsidRPr="00887B88">
        <w:rPr>
          <w:sz w:val="24"/>
          <w:lang w:val="ka-GE"/>
        </w:rPr>
        <w:t xml:space="preserve"> დასახელების მედიკამენტი. მათ</w:t>
      </w:r>
      <w:r>
        <w:rPr>
          <w:sz w:val="24"/>
          <w:lang w:val="ka-GE"/>
        </w:rPr>
        <w:t>ი</w:t>
      </w:r>
      <w:r w:rsidRPr="00887B88">
        <w:rPr>
          <w:sz w:val="24"/>
          <w:lang w:val="ka-GE"/>
        </w:rPr>
        <w:t xml:space="preserve"> განაწილება ასეთია:</w:t>
      </w:r>
    </w:p>
    <w:p w:rsidR="00EC4F0B" w:rsidRDefault="00EC4F0B">
      <w:pPr>
        <w:rPr>
          <w:lang w:val="ka-GE"/>
        </w:rPr>
      </w:pPr>
    </w:p>
    <w:p w:rsidR="00EC4F0B" w:rsidRDefault="003D2877">
      <w:pPr>
        <w:rPr>
          <w:lang w:val="ka-GE"/>
        </w:rPr>
      </w:pPr>
      <w:r>
        <w:rPr>
          <w:noProof/>
        </w:rPr>
        <w:drawing>
          <wp:inline distT="0" distB="0" distL="0" distR="0" wp14:anchorId="7C536C47" wp14:editId="276DDB47">
            <wp:extent cx="7629525" cy="611505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C4F0B" w:rsidRDefault="00EC4F0B">
      <w:pPr>
        <w:rPr>
          <w:lang w:val="ka-GE"/>
        </w:rPr>
      </w:pPr>
    </w:p>
    <w:p w:rsidR="00EC4F0B" w:rsidRDefault="00EC4F0B">
      <w:pPr>
        <w:rPr>
          <w:lang w:val="ka-GE"/>
        </w:rPr>
      </w:pPr>
    </w:p>
    <w:p w:rsidR="00314458" w:rsidRDefault="00314458">
      <w:pPr>
        <w:rPr>
          <w:sz w:val="28"/>
          <w:szCs w:val="28"/>
          <w:lang w:val="ka-GE"/>
        </w:rPr>
      </w:pPr>
    </w:p>
    <w:p w:rsidR="00314458" w:rsidRPr="00314458" w:rsidRDefault="003D2877">
      <w:pPr>
        <w:rPr>
          <w:sz w:val="28"/>
          <w:szCs w:val="28"/>
          <w:lang w:val="ka-GE"/>
        </w:rPr>
      </w:pPr>
      <w:r w:rsidRPr="00314458">
        <w:rPr>
          <w:sz w:val="28"/>
          <w:szCs w:val="28"/>
          <w:lang w:val="ka-GE"/>
        </w:rPr>
        <w:lastRenderedPageBreak/>
        <w:t>გულ-სისხლძარღვთა სისტემის და წნევის მარეგულირებელი საშუალებები</w:t>
      </w:r>
    </w:p>
    <w:p w:rsidR="00314458" w:rsidRPr="001F4D12" w:rsidRDefault="00314458">
      <w:pPr>
        <w:rPr>
          <w:lang w:val="ka-GE"/>
        </w:rPr>
      </w:pPr>
      <w:r w:rsidRPr="00314458">
        <w:rPr>
          <w:noProof/>
          <w:color w:val="C00000"/>
        </w:rPr>
        <w:drawing>
          <wp:inline distT="0" distB="0" distL="0" distR="0" wp14:anchorId="716DBEF9" wp14:editId="1A445217">
            <wp:extent cx="5791200" cy="3629025"/>
            <wp:effectExtent l="0" t="0" r="19050" b="952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F4D12" w:rsidRDefault="001F4D12" w:rsidP="001F4D12">
      <w:pPr>
        <w:jc w:val="center"/>
        <w:rPr>
          <w:sz w:val="26"/>
          <w:szCs w:val="26"/>
          <w:lang w:val="ka-GE"/>
        </w:rPr>
      </w:pPr>
    </w:p>
    <w:p w:rsidR="00314458" w:rsidRPr="001F4D12" w:rsidRDefault="00314458" w:rsidP="001F4D12">
      <w:pPr>
        <w:jc w:val="center"/>
        <w:rPr>
          <w:sz w:val="26"/>
          <w:szCs w:val="26"/>
          <w:lang w:val="ka-GE"/>
        </w:rPr>
      </w:pPr>
      <w:r w:rsidRPr="001F4D12">
        <w:rPr>
          <w:sz w:val="26"/>
          <w:szCs w:val="26"/>
          <w:lang w:val="ka-GE"/>
        </w:rPr>
        <w:t>ცენტრალური ნერვული სისტემის დაავადებების სამკურნალო საშუალებები</w:t>
      </w:r>
    </w:p>
    <w:p w:rsidR="00314458" w:rsidRPr="001F4D12" w:rsidRDefault="00314458">
      <w:pPr>
        <w:rPr>
          <w:lang w:val="ka-GE"/>
        </w:rPr>
      </w:pPr>
      <w:r>
        <w:rPr>
          <w:noProof/>
        </w:rPr>
        <w:drawing>
          <wp:inline distT="0" distB="0" distL="0" distR="0">
            <wp:extent cx="5857875" cy="3419475"/>
            <wp:effectExtent l="0" t="0" r="9525" b="952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53E98" w:rsidRPr="006B5F77" w:rsidRDefault="00314458">
      <w:pPr>
        <w:rPr>
          <w:sz w:val="26"/>
          <w:szCs w:val="26"/>
          <w:lang w:val="ka-GE"/>
        </w:rPr>
      </w:pPr>
      <w:r w:rsidRPr="006B5F77">
        <w:rPr>
          <w:sz w:val="26"/>
          <w:szCs w:val="26"/>
          <w:lang w:val="ka-GE"/>
        </w:rPr>
        <w:lastRenderedPageBreak/>
        <w:t>საყრდენ-მამოძრავებელი;  ანთების საწინააღმდეგო;  ანალგეზიური</w:t>
      </w:r>
    </w:p>
    <w:p w:rsidR="001F4D12" w:rsidRPr="001F4D12" w:rsidRDefault="00314458" w:rsidP="001F4D12">
      <w:pPr>
        <w:rPr>
          <w:sz w:val="28"/>
          <w:lang w:val="ka-GE"/>
        </w:rPr>
      </w:pPr>
      <w:r>
        <w:rPr>
          <w:noProof/>
          <w:sz w:val="28"/>
        </w:rPr>
        <w:drawing>
          <wp:inline distT="0" distB="0" distL="0" distR="0">
            <wp:extent cx="6048375" cy="3724275"/>
            <wp:effectExtent l="0" t="0" r="9525" b="952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B5F77" w:rsidRDefault="006B5F77" w:rsidP="00D53E98">
      <w:pPr>
        <w:jc w:val="center"/>
        <w:rPr>
          <w:sz w:val="26"/>
          <w:szCs w:val="26"/>
          <w:lang w:val="ka-GE"/>
        </w:rPr>
      </w:pPr>
    </w:p>
    <w:p w:rsidR="00D53E98" w:rsidRPr="006B5F77" w:rsidRDefault="00D53E98" w:rsidP="006B5F77">
      <w:pPr>
        <w:jc w:val="center"/>
        <w:rPr>
          <w:sz w:val="26"/>
          <w:szCs w:val="26"/>
          <w:lang w:val="ka-GE"/>
        </w:rPr>
      </w:pPr>
      <w:r w:rsidRPr="001F4D12">
        <w:rPr>
          <w:sz w:val="26"/>
          <w:szCs w:val="26"/>
          <w:lang w:val="ka-GE"/>
        </w:rPr>
        <w:t>ბიოლოგიური დანამატები; ვიტამინები; ანტიჰისტამინური; ნივთიერებათა ცვლის;   და სხვა საშუალებები</w:t>
      </w:r>
    </w:p>
    <w:p w:rsidR="00D53E98" w:rsidRPr="006B5F77" w:rsidRDefault="00D53E98" w:rsidP="00D53E98">
      <w:pPr>
        <w:rPr>
          <w:sz w:val="28"/>
          <w:lang w:val="ka-GE"/>
        </w:rPr>
      </w:pPr>
      <w:r>
        <w:rPr>
          <w:noProof/>
          <w:sz w:val="28"/>
        </w:rPr>
        <w:drawing>
          <wp:inline distT="0" distB="0" distL="0" distR="0" wp14:anchorId="75011A9D" wp14:editId="4666E887">
            <wp:extent cx="5791200" cy="3133725"/>
            <wp:effectExtent l="0" t="0" r="19050" b="9525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53E98" w:rsidRPr="006B5F77" w:rsidRDefault="00D53E98" w:rsidP="00D53E98">
      <w:pPr>
        <w:rPr>
          <w:lang w:val="ka-GE"/>
        </w:rPr>
      </w:pPr>
      <w:r w:rsidRPr="006B5F77">
        <w:rPr>
          <w:sz w:val="24"/>
          <w:lang w:val="ka-GE"/>
        </w:rPr>
        <w:lastRenderedPageBreak/>
        <w:t>საჭმლის მომნელებელი სისტემის დაავადებების სამკურნალო საშუალებები</w:t>
      </w:r>
    </w:p>
    <w:p w:rsidR="001F4D12" w:rsidRDefault="00D53E98" w:rsidP="001F4D12">
      <w:pPr>
        <w:rPr>
          <w:sz w:val="28"/>
          <w:lang w:val="ka-GE"/>
        </w:rPr>
      </w:pPr>
      <w:r>
        <w:rPr>
          <w:noProof/>
          <w:sz w:val="28"/>
        </w:rPr>
        <w:drawing>
          <wp:inline distT="0" distB="0" distL="0" distR="0" wp14:anchorId="29C4B936" wp14:editId="7B021478">
            <wp:extent cx="5572125" cy="3305175"/>
            <wp:effectExtent l="0" t="0" r="9525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F4D12" w:rsidRDefault="001F4D12" w:rsidP="001F4D12">
      <w:pPr>
        <w:rPr>
          <w:sz w:val="28"/>
          <w:lang w:val="ka-GE"/>
        </w:rPr>
      </w:pPr>
    </w:p>
    <w:p w:rsidR="001F4D12" w:rsidRDefault="001F4D12">
      <w:pPr>
        <w:rPr>
          <w:sz w:val="24"/>
          <w:lang w:val="ka-GE"/>
        </w:rPr>
      </w:pPr>
      <w:r w:rsidRPr="00D53E98">
        <w:rPr>
          <w:sz w:val="28"/>
          <w:lang w:val="ka-GE"/>
        </w:rPr>
        <w:t>ენდოკრინული სისტემის დაავადებების სამკურანლო საშუალებები</w:t>
      </w:r>
      <w:r w:rsidR="00D53E98">
        <w:rPr>
          <w:noProof/>
          <w:sz w:val="28"/>
        </w:rPr>
        <w:drawing>
          <wp:inline distT="0" distB="0" distL="0" distR="0" wp14:anchorId="7986256C" wp14:editId="2A568BFC">
            <wp:extent cx="6019800" cy="4010025"/>
            <wp:effectExtent l="0" t="0" r="19050" b="952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53E98" w:rsidRPr="001F4D12" w:rsidRDefault="001F4D12">
      <w:pPr>
        <w:rPr>
          <w:sz w:val="24"/>
          <w:lang w:val="ka-GE"/>
        </w:rPr>
      </w:pPr>
      <w:r>
        <w:rPr>
          <w:sz w:val="28"/>
          <w:lang w:val="ka-GE"/>
        </w:rPr>
        <w:lastRenderedPageBreak/>
        <w:t xml:space="preserve">    ოფთალმოლოგიური  დაავადებების სამკურნალო საშუალებები</w:t>
      </w:r>
    </w:p>
    <w:p w:rsidR="001F4D12" w:rsidRDefault="001F4D12">
      <w:pPr>
        <w:rPr>
          <w:sz w:val="28"/>
          <w:lang w:val="ka-GE"/>
        </w:rPr>
      </w:pPr>
      <w:r>
        <w:rPr>
          <w:noProof/>
          <w:sz w:val="28"/>
        </w:rPr>
        <w:drawing>
          <wp:inline distT="0" distB="0" distL="0" distR="0">
            <wp:extent cx="5581650" cy="34671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F4D12" w:rsidRDefault="001F4D12" w:rsidP="001F4D12">
      <w:pPr>
        <w:rPr>
          <w:sz w:val="28"/>
          <w:lang w:val="ka-GE"/>
        </w:rPr>
      </w:pPr>
      <w:r>
        <w:rPr>
          <w:sz w:val="28"/>
          <w:lang w:val="ka-GE"/>
        </w:rPr>
        <w:t xml:space="preserve"> </w:t>
      </w:r>
    </w:p>
    <w:p w:rsidR="001F4D12" w:rsidRDefault="001F4D12">
      <w:pPr>
        <w:rPr>
          <w:sz w:val="28"/>
          <w:lang w:val="ka-GE"/>
        </w:rPr>
      </w:pPr>
    </w:p>
    <w:p w:rsidR="001F4D12" w:rsidRPr="00314458" w:rsidRDefault="001F4D12">
      <w:pPr>
        <w:rPr>
          <w:sz w:val="28"/>
          <w:lang w:val="ka-GE"/>
        </w:rPr>
      </w:pPr>
      <w:bookmarkStart w:id="0" w:name="_GoBack"/>
      <w:bookmarkEnd w:id="0"/>
    </w:p>
    <w:sectPr w:rsidR="001F4D12" w:rsidRPr="0031445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1766"/>
    <w:multiLevelType w:val="hybridMultilevel"/>
    <w:tmpl w:val="17EAA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82E"/>
    <w:rsid w:val="00042D40"/>
    <w:rsid w:val="001F4D12"/>
    <w:rsid w:val="00314458"/>
    <w:rsid w:val="003D2877"/>
    <w:rsid w:val="00486490"/>
    <w:rsid w:val="006B3AA9"/>
    <w:rsid w:val="006B5F77"/>
    <w:rsid w:val="006D4166"/>
    <w:rsid w:val="009C682E"/>
    <w:rsid w:val="00D53E98"/>
    <w:rsid w:val="00EC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2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F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2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029125643944284E-2"/>
          <c:y val="3.092009602695767E-2"/>
          <c:w val="0.93408873816257321"/>
          <c:h val="0.785701527568794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პასუხების რაოდენობა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Sheet1!$A$2:$A$15</c:f>
              <c:strCache>
                <c:ptCount val="14"/>
                <c:pt idx="0">
                  <c:v>10-20 ლარი</c:v>
                </c:pt>
                <c:pt idx="1">
                  <c:v>20-30ლარი</c:v>
                </c:pt>
                <c:pt idx="2">
                  <c:v>30-40ლარი</c:v>
                </c:pt>
                <c:pt idx="3">
                  <c:v>40-50ლარი</c:v>
                </c:pt>
                <c:pt idx="4">
                  <c:v>50-60ლარი</c:v>
                </c:pt>
                <c:pt idx="5">
                  <c:v>60-80ლარი</c:v>
                </c:pt>
                <c:pt idx="6">
                  <c:v>80-100ლარი</c:v>
                </c:pt>
                <c:pt idx="7">
                  <c:v>100-150ლარი</c:v>
                </c:pt>
                <c:pt idx="8">
                  <c:v>150-200ლარი</c:v>
                </c:pt>
                <c:pt idx="9">
                  <c:v>200-250ლარი</c:v>
                </c:pt>
                <c:pt idx="10">
                  <c:v>250-350ლარი</c:v>
                </c:pt>
                <c:pt idx="11">
                  <c:v>350-450 ლარი3</c:v>
                </c:pt>
                <c:pt idx="12">
                  <c:v>500-600ლარი</c:v>
                </c:pt>
                <c:pt idx="13">
                  <c:v>არ ეხარჯება</c:v>
                </c:pt>
              </c:strCache>
            </c:strRef>
          </c:cat>
          <c:val>
            <c:numRef>
              <c:f>Sheet1!$B$2:$B$15</c:f>
              <c:numCache>
                <c:formatCode>General</c:formatCode>
                <c:ptCount val="14"/>
                <c:pt idx="0">
                  <c:v>46</c:v>
                </c:pt>
                <c:pt idx="1">
                  <c:v>34</c:v>
                </c:pt>
                <c:pt idx="2">
                  <c:v>26</c:v>
                </c:pt>
                <c:pt idx="3">
                  <c:v>41</c:v>
                </c:pt>
                <c:pt idx="4">
                  <c:v>22</c:v>
                </c:pt>
                <c:pt idx="5">
                  <c:v>36</c:v>
                </c:pt>
                <c:pt idx="6">
                  <c:v>58</c:v>
                </c:pt>
                <c:pt idx="7">
                  <c:v>55</c:v>
                </c:pt>
                <c:pt idx="8">
                  <c:v>29</c:v>
                </c:pt>
                <c:pt idx="9">
                  <c:v>13</c:v>
                </c:pt>
                <c:pt idx="10">
                  <c:v>17</c:v>
                </c:pt>
                <c:pt idx="11">
                  <c:v>3</c:v>
                </c:pt>
                <c:pt idx="12">
                  <c:v>4</c:v>
                </c:pt>
                <c:pt idx="1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0894592"/>
        <c:axId val="140896128"/>
      </c:barChart>
      <c:catAx>
        <c:axId val="140894592"/>
        <c:scaling>
          <c:orientation val="minMax"/>
        </c:scaling>
        <c:delete val="0"/>
        <c:axPos val="b"/>
        <c:majorTickMark val="out"/>
        <c:minorTickMark val="none"/>
        <c:tickLblPos val="nextTo"/>
        <c:crossAx val="140896128"/>
        <c:crosses val="autoZero"/>
        <c:auto val="1"/>
        <c:lblAlgn val="ctr"/>
        <c:lblOffset val="100"/>
        <c:noMultiLvlLbl val="0"/>
      </c:catAx>
      <c:valAx>
        <c:axId val="1408961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0894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2354569910970868E-2"/>
          <c:y val="4.9603682717230438E-2"/>
          <c:w val="0.73443929995641932"/>
          <c:h val="0.9163331452727288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dPt>
            <c:idx val="0"/>
            <c:bubble3D val="0"/>
            <c:spPr>
              <a:solidFill>
                <a:srgbClr val="C00000">
                  <a:alpha val="72157"/>
                </a:srgbClr>
              </a:solidFill>
              <a:ln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accent1"/>
                </a:solidFill>
              </a:ln>
            </c:spPr>
          </c:dPt>
          <c:dPt>
            <c:idx val="2"/>
            <c:bubble3D val="0"/>
            <c:spPr>
              <a:solidFill>
                <a:srgbClr val="33CC33">
                  <a:alpha val="89020"/>
                </a:srgbClr>
              </a:solidFill>
              <a:ln>
                <a:solidFill>
                  <a:schemeClr val="accent1"/>
                </a:solidFill>
              </a:ln>
            </c:spPr>
          </c:dPt>
          <c:dPt>
            <c:idx val="3"/>
            <c:bubble3D val="0"/>
            <c:spPr>
              <a:solidFill>
                <a:srgbClr val="745A94">
                  <a:alpha val="78824"/>
                </a:srgbClr>
              </a:solidFill>
              <a:ln>
                <a:solidFill>
                  <a:schemeClr val="accent1"/>
                </a:solidFill>
              </a:ln>
            </c:spPr>
          </c:dPt>
          <c:dPt>
            <c:idx val="4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chemeClr val="accent1"/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accent1"/>
                </a:solidFill>
              </a:ln>
            </c:spPr>
          </c:dPt>
          <c:dPt>
            <c:idx val="6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accent1">
                    <a:lumMod val="40000"/>
                    <a:lumOff val="60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0.2475952044455981"/>
                  <c:y val="3.6012334706174445E-2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გულ-სისხლძარღვთა; ჰიპერტენზიის</a:t>
                    </a:r>
                  </a:p>
                  <a:p>
                    <a:r>
                      <a:rPr lang="en-US"/>
                      <a:t>117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8056825293842015E-2"/>
                  <c:y val="-0.12344657852347896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ცენტრალური ნერვული სისტემის</a:t>
                    </a:r>
                  </a:p>
                  <a:p>
                    <a:r>
                      <a:rPr lang="en-US"/>
                      <a:t>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5069377145164548"/>
                  <c:y val="-0.13772261144522288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საყრდენ-მამოძრავებელი; ანთების; ანალგეზიური</a:t>
                    </a:r>
                  </a:p>
                  <a:p>
                    <a:r>
                      <a:rPr lang="en-US"/>
                      <a:t>34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ka-GE"/>
                      <a:t>ვიტამინები;</a:t>
                    </a:r>
                    <a:r>
                      <a:rPr lang="ka-GE" baseline="0"/>
                      <a:t> ბიოლოგ.დანამატები; ანტიჰისტამინური და სხვა</a:t>
                    </a:r>
                  </a:p>
                  <a:p>
                    <a:r>
                      <a:rPr lang="en-US"/>
                      <a:t>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ka-GE"/>
                      <a:t>საჭმლის მომნელებელი სისტემის</a:t>
                    </a:r>
                  </a:p>
                  <a:p>
                    <a:r>
                      <a:rPr lang="en-US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1261933082334745"/>
                  <c:y val="0.1129941449626489"/>
                </c:manualLayout>
              </c:layout>
              <c:tx>
                <c:rich>
                  <a:bodyPr/>
                  <a:lstStyle/>
                  <a:p>
                    <a:pPr>
                      <a:defRPr sz="1050"/>
                    </a:pPr>
                    <a:r>
                      <a:rPr lang="ka-GE" sz="1100"/>
                      <a:t>ენდოკრინული</a:t>
                    </a:r>
                  </a:p>
                  <a:p>
                    <a:pPr>
                      <a:defRPr sz="1050"/>
                    </a:pPr>
                    <a:r>
                      <a:rPr lang="ka-GE" sz="1100" baseline="0"/>
                      <a:t> </a:t>
                    </a:r>
                    <a:r>
                      <a:rPr lang="en-US" sz="1100"/>
                      <a:t>16</a:t>
                    </a: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2678279447278825E-2"/>
                  <c:y val="5.1970139246612862E-4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ოფთალმოლოგ.</a:t>
                    </a:r>
                    <a:r>
                      <a:rPr lang="ka-GE" baseline="0"/>
                      <a:t> </a:t>
                    </a:r>
                    <a:r>
                      <a:rPr lang="ka-GE"/>
                      <a:t> </a:t>
                    </a:r>
                  </a:p>
                  <a:p>
                    <a:r>
                      <a:rPr lang="ka-GE"/>
                      <a:t>დაავადებების</a:t>
                    </a:r>
                  </a:p>
                  <a:p>
                    <a:r>
                      <a:rPr lang="en-US"/>
                      <a:t>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723953981407755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ka-GE"/>
                      <a:t>სასუნთქი  სისტემის</a:t>
                    </a:r>
                  </a:p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ka-GE"/>
                      <a:t>სხვა </a:t>
                    </a:r>
                  </a:p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Sheet1!$A$2:$A$10</c:f>
              <c:strCache>
                <c:ptCount val="9"/>
                <c:pt idx="0">
                  <c:v>გულ-სისხლძარღვთა; ანტიჰიპერტენზიული</c:v>
                </c:pt>
                <c:pt idx="1">
                  <c:v>ცენტრალური ნერვული სისტემის</c:v>
                </c:pt>
                <c:pt idx="2">
                  <c:v>საყრდენ-მამოძრავებელი; ანთების; ანალგეზიური</c:v>
                </c:pt>
                <c:pt idx="3">
                  <c:v>ვიტამინები; ბილოგ.დანამატები; ანტიჰისტამინური და სხვ.</c:v>
                </c:pt>
                <c:pt idx="4">
                  <c:v>საჭმლის მომნელებელი სისტემის</c:v>
                </c:pt>
                <c:pt idx="5">
                  <c:v>ენდოკრინული სისტემის</c:v>
                </c:pt>
                <c:pt idx="6">
                  <c:v>თვალის დაავადებების</c:v>
                </c:pt>
                <c:pt idx="7">
                  <c:v>სასუნთქი სისტემის</c:v>
                </c:pt>
                <c:pt idx="8">
                  <c:v>სხვა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117</c:v>
                </c:pt>
                <c:pt idx="1">
                  <c:v>36</c:v>
                </c:pt>
                <c:pt idx="2">
                  <c:v>34</c:v>
                </c:pt>
                <c:pt idx="3">
                  <c:v>28</c:v>
                </c:pt>
                <c:pt idx="4">
                  <c:v>20</c:v>
                </c:pt>
                <c:pt idx="5">
                  <c:v>16</c:v>
                </c:pt>
                <c:pt idx="6">
                  <c:v>12</c:v>
                </c:pt>
                <c:pt idx="7">
                  <c:v>5</c:v>
                </c:pt>
                <c:pt idx="8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cat>
            <c:strRef>
              <c:f>Sheet1!$A$2:$A$10</c:f>
              <c:strCache>
                <c:ptCount val="9"/>
                <c:pt idx="0">
                  <c:v>გულ-სისხლძარღვთა; ანტიჰიპერტენზიული</c:v>
                </c:pt>
                <c:pt idx="1">
                  <c:v>ცენტრალური ნერვული სისტემის</c:v>
                </c:pt>
                <c:pt idx="2">
                  <c:v>საყრდენ-მამოძრავებელი; ანთების; ანალგეზიური</c:v>
                </c:pt>
                <c:pt idx="3">
                  <c:v>ვიტამინები; ბილოგ.დანამატები; ანტიჰისტამინური და სხვ.</c:v>
                </c:pt>
                <c:pt idx="4">
                  <c:v>საჭმლის მომნელებელი სისტემის</c:v>
                </c:pt>
                <c:pt idx="5">
                  <c:v>ენდოკრინული სისტემის</c:v>
                </c:pt>
                <c:pt idx="6">
                  <c:v>თვალის დაავადებების</c:v>
                </c:pt>
                <c:pt idx="7">
                  <c:v>სასუნთქი სისტემის</c:v>
                </c:pt>
                <c:pt idx="8">
                  <c:v>სხვა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C00000">
                <a:alpha val="83137"/>
              </a:srgbClr>
            </a:solidFill>
          </c:spPr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კარდიომაგნილი</c:v>
                </c:pt>
                <c:pt idx="1">
                  <c:v>კაპტოპრილი</c:v>
                </c:pt>
                <c:pt idx="2">
                  <c:v>ენაპი H</c:v>
                </c:pt>
                <c:pt idx="3">
                  <c:v>კონკორი</c:v>
                </c:pt>
                <c:pt idx="4">
                  <c:v>დეტრალექსი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74</c:v>
                </c:pt>
                <c:pt idx="1">
                  <c:v>47</c:v>
                </c:pt>
                <c:pt idx="2">
                  <c:v>29</c:v>
                </c:pt>
                <c:pt idx="3">
                  <c:v>21</c:v>
                </c:pt>
                <c:pt idx="4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086080"/>
        <c:axId val="140944512"/>
      </c:barChart>
      <c:catAx>
        <c:axId val="1410860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140944512"/>
        <c:crosses val="autoZero"/>
        <c:auto val="1"/>
        <c:lblAlgn val="ctr"/>
        <c:lblOffset val="100"/>
        <c:noMultiLvlLbl val="0"/>
      </c:catAx>
      <c:valAx>
        <c:axId val="140944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108608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კორსიზი</c:v>
                </c:pt>
                <c:pt idx="1">
                  <c:v>კატაბალახა</c:v>
                </c:pt>
                <c:pt idx="2">
                  <c:v>ფინლეპსინი</c:v>
                </c:pt>
                <c:pt idx="3">
                  <c:v>ბეტასერკი</c:v>
                </c:pt>
                <c:pt idx="4">
                  <c:v>დეპაკინი-ხრონო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</c:v>
                </c:pt>
                <c:pt idx="1">
                  <c:v>8</c:v>
                </c:pt>
                <c:pt idx="2">
                  <c:v>5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107968"/>
        <c:axId val="141109504"/>
      </c:barChart>
      <c:catAx>
        <c:axId val="1411079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141109504"/>
        <c:crosses val="autoZero"/>
        <c:auto val="1"/>
        <c:lblAlgn val="ctr"/>
        <c:lblOffset val="100"/>
        <c:noMultiLvlLbl val="0"/>
      </c:catAx>
      <c:valAx>
        <c:axId val="1411095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11079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Sheet1!$A$2:$A$6</c:f>
              <c:strCache>
                <c:ptCount val="5"/>
                <c:pt idx="0">
                  <c:v>ნო-შპა</c:v>
                </c:pt>
                <c:pt idx="1">
                  <c:v>ციტრამონი</c:v>
                </c:pt>
                <c:pt idx="2">
                  <c:v>იბუპროფენი</c:v>
                </c:pt>
                <c:pt idx="3">
                  <c:v>ართრა</c:v>
                </c:pt>
                <c:pt idx="4">
                  <c:v>დიკლოფენაკი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21</c:v>
                </c:pt>
                <c:pt idx="1">
                  <c:v>8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605056"/>
        <c:axId val="141062144"/>
      </c:barChart>
      <c:catAx>
        <c:axId val="1346050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141062144"/>
        <c:crosses val="autoZero"/>
        <c:auto val="1"/>
        <c:lblAlgn val="ctr"/>
        <c:lblOffset val="100"/>
        <c:noMultiLvlLbl val="0"/>
      </c:catAx>
      <c:valAx>
        <c:axId val="1410621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346050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745A94">
                <a:alpha val="81176"/>
              </a:srgbClr>
            </a:solidFill>
          </c:spPr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კალცი D3</c:v>
                </c:pt>
                <c:pt idx="1">
                  <c:v>ატორისი</c:v>
                </c:pt>
                <c:pt idx="2">
                  <c:v>ომეგა-3</c:v>
                </c:pt>
                <c:pt idx="3">
                  <c:v>ზეტორი</c:v>
                </c:pt>
                <c:pt idx="4">
                  <c:v>ათეროქსი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106560"/>
        <c:axId val="141190272"/>
      </c:barChart>
      <c:catAx>
        <c:axId val="1411065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141190272"/>
        <c:crosses val="autoZero"/>
        <c:auto val="1"/>
        <c:lblAlgn val="ctr"/>
        <c:lblOffset val="100"/>
        <c:noMultiLvlLbl val="0"/>
      </c:catAx>
      <c:valAx>
        <c:axId val="1411902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110656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ომეპრაზოლი</c:v>
                </c:pt>
                <c:pt idx="1">
                  <c:v>ესენციალ ფორტე</c:v>
                </c:pt>
                <c:pt idx="2">
                  <c:v>ფერმენტალი</c:v>
                </c:pt>
                <c:pt idx="3">
                  <c:v>მეზიმ-ფორტზე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202176"/>
        <c:axId val="141203712"/>
      </c:barChart>
      <c:catAx>
        <c:axId val="1412021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141203712"/>
        <c:crosses val="autoZero"/>
        <c:auto val="1"/>
        <c:lblAlgn val="ctr"/>
        <c:lblOffset val="100"/>
        <c:noMultiLvlLbl val="0"/>
      </c:catAx>
      <c:valAx>
        <c:axId val="1412037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1202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1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4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Sheet1!$A$2:$A$6</c:f>
              <c:strCache>
                <c:ptCount val="5"/>
                <c:pt idx="0">
                  <c:v>სიოფორი</c:v>
                </c:pt>
                <c:pt idx="1">
                  <c:v>დიაბეტონი</c:v>
                </c:pt>
                <c:pt idx="2">
                  <c:v>ეუთიროქსი</c:v>
                </c:pt>
                <c:pt idx="3">
                  <c:v>თიოგამა</c:v>
                </c:pt>
                <c:pt idx="4">
                  <c:v>L-თიროქსინი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22</c:v>
                </c:pt>
                <c:pt idx="1">
                  <c:v>17</c:v>
                </c:pt>
                <c:pt idx="2">
                  <c:v>15</c:v>
                </c:pt>
                <c:pt idx="3">
                  <c:v>8</c:v>
                </c:pt>
                <c:pt idx="4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328384"/>
        <c:axId val="141329920"/>
      </c:barChart>
      <c:catAx>
        <c:axId val="1413283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141329920"/>
        <c:crosses val="autoZero"/>
        <c:auto val="1"/>
        <c:lblAlgn val="ctr"/>
        <c:lblOffset val="100"/>
        <c:noMultiLvlLbl val="0"/>
      </c:catAx>
      <c:valAx>
        <c:axId val="14132992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132838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1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Sheet1!$A$2:$A$5</c:f>
              <c:strCache>
                <c:ptCount val="4"/>
                <c:pt idx="0">
                  <c:v>ხატახრომი</c:v>
                </c:pt>
                <c:pt idx="1">
                  <c:v>აზარგა</c:v>
                </c:pt>
                <c:pt idx="2">
                  <c:v>ოფთაგელი</c:v>
                </c:pt>
                <c:pt idx="3">
                  <c:v>ოფთაქვიქსი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354112"/>
        <c:axId val="141355648"/>
      </c:barChart>
      <c:catAx>
        <c:axId val="1413541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en-US"/>
          </a:p>
        </c:txPr>
        <c:crossAx val="141355648"/>
        <c:crosses val="autoZero"/>
        <c:auto val="1"/>
        <c:lblAlgn val="ctr"/>
        <c:lblOffset val="100"/>
        <c:noMultiLvlLbl val="0"/>
      </c:catAx>
      <c:valAx>
        <c:axId val="14135564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4135411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Tea Bakradze</cp:lastModifiedBy>
  <cp:revision>5</cp:revision>
  <dcterms:created xsi:type="dcterms:W3CDTF">2018-03-20T10:20:00Z</dcterms:created>
  <dcterms:modified xsi:type="dcterms:W3CDTF">2018-03-20T10:24:00Z</dcterms:modified>
</cp:coreProperties>
</file>