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EB97E" w14:textId="77777777" w:rsidR="001F29BC" w:rsidRPr="00F10E5E" w:rsidRDefault="001F29BC" w:rsidP="00573E2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06DEF21D" w14:textId="77777777" w:rsidR="001F29BC" w:rsidRPr="00F10E5E" w:rsidRDefault="001F29BC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31FB061F" w14:textId="77777777" w:rsidR="00C13556" w:rsidRPr="00F10E5E" w:rsidRDefault="00C13556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  <w:r w:rsidRPr="00F10E5E"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  <w:t xml:space="preserve">ნარკოტიკების </w:t>
      </w:r>
      <w:r w:rsidR="005A5C51" w:rsidRPr="00F10E5E"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  <w:t>ზღვ</w:t>
      </w:r>
      <w:r w:rsidR="005B3ECE" w:rsidRPr="00F10E5E"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  <w:t>რ</w:t>
      </w:r>
      <w:r w:rsidR="005A5C51" w:rsidRPr="00F10E5E"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  <w:t>ული ოდენობები პირადი ფლობისთვის</w:t>
      </w:r>
      <w:r w:rsidRPr="00F10E5E"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  <w:t xml:space="preserve"> სხვადასხვა ქვეყნის მიხედვით</w:t>
      </w:r>
    </w:p>
    <w:p w14:paraId="0626A6F6" w14:textId="77777777" w:rsidR="0087330D" w:rsidRPr="00F10E5E" w:rsidRDefault="002716D1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0"/>
          <w:szCs w:val="20"/>
          <w:bdr w:val="none" w:sz="0" w:space="0" w:color="auto" w:frame="1"/>
          <w:lang w:val="ka-GE"/>
        </w:rPr>
      </w:pPr>
      <w:hyperlink r:id="rId5" w:history="1">
        <w:r w:rsidR="0087330D" w:rsidRPr="00F10E5E">
          <w:rPr>
            <w:rStyle w:val="Hyperlink"/>
            <w:rFonts w:ascii="Sylfaen" w:hAnsi="Sylfaen" w:cs="Tahoma"/>
            <w:color w:val="0D0D0D" w:themeColor="text1" w:themeTint="F2"/>
            <w:sz w:val="20"/>
            <w:szCs w:val="20"/>
            <w:bdr w:val="none" w:sz="0" w:space="0" w:color="auto" w:frame="1"/>
            <w:lang w:val="ka-GE"/>
          </w:rPr>
          <w:t>http://www.emcdda.europa.eu/html.cfm/index99321EN.html</w:t>
        </w:r>
      </w:hyperlink>
      <w:r w:rsidR="0087330D" w:rsidRPr="00F10E5E">
        <w:rPr>
          <w:rStyle w:val="Strong"/>
          <w:rFonts w:ascii="Sylfaen" w:hAnsi="Sylfaen" w:cs="Tahoma"/>
          <w:color w:val="0D0D0D" w:themeColor="text1" w:themeTint="F2"/>
          <w:sz w:val="20"/>
          <w:szCs w:val="20"/>
          <w:bdr w:val="none" w:sz="0" w:space="0" w:color="auto" w:frame="1"/>
          <w:lang w:val="ka-GE"/>
        </w:rPr>
        <w:t xml:space="preserve">  (ძირითადი წყარო)</w:t>
      </w:r>
    </w:p>
    <w:p w14:paraId="13DFDABA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0"/>
          <w:szCs w:val="20"/>
          <w:bdr w:val="none" w:sz="0" w:space="0" w:color="auto" w:frame="1"/>
          <w:lang w:val="ka-GE"/>
        </w:rPr>
      </w:pPr>
    </w:p>
    <w:p w14:paraId="0DD6BD42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0"/>
          <w:szCs w:val="20"/>
          <w:bdr w:val="none" w:sz="0" w:space="0" w:color="auto" w:frame="1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97"/>
        <w:gridCol w:w="1680"/>
        <w:gridCol w:w="1443"/>
        <w:gridCol w:w="1158"/>
        <w:gridCol w:w="851"/>
        <w:gridCol w:w="797"/>
        <w:gridCol w:w="2145"/>
      </w:tblGrid>
      <w:tr w:rsidR="00341AB4" w:rsidRPr="00F10E5E" w14:paraId="48F9060A" w14:textId="77777777" w:rsidTr="001A6D85">
        <w:tc>
          <w:tcPr>
            <w:tcW w:w="1497" w:type="dxa"/>
          </w:tcPr>
          <w:p w14:paraId="02273C7C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  <w:t>ქვეყანა</w:t>
            </w:r>
          </w:p>
        </w:tc>
        <w:tc>
          <w:tcPr>
            <w:tcW w:w="1680" w:type="dxa"/>
          </w:tcPr>
          <w:p w14:paraId="36481AAB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  <w:t>განსაზღვრის პრინციპი</w:t>
            </w:r>
          </w:p>
        </w:tc>
        <w:tc>
          <w:tcPr>
            <w:tcW w:w="1443" w:type="dxa"/>
          </w:tcPr>
          <w:p w14:paraId="0733DFC1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  <w:t>ჰეროინი</w:t>
            </w:r>
          </w:p>
        </w:tc>
        <w:tc>
          <w:tcPr>
            <w:tcW w:w="1158" w:type="dxa"/>
          </w:tcPr>
          <w:p w14:paraId="6C1B9A1F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  <w:t>ექსტაზი</w:t>
            </w:r>
          </w:p>
        </w:tc>
        <w:tc>
          <w:tcPr>
            <w:tcW w:w="851" w:type="dxa"/>
          </w:tcPr>
          <w:p w14:paraId="79F47B23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  <w:t>მეტამფეტამინი</w:t>
            </w:r>
          </w:p>
        </w:tc>
        <w:tc>
          <w:tcPr>
            <w:tcW w:w="797" w:type="dxa"/>
          </w:tcPr>
          <w:p w14:paraId="3324F2DD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  <w:t>ლსდ</w:t>
            </w:r>
          </w:p>
        </w:tc>
        <w:tc>
          <w:tcPr>
            <w:tcW w:w="2145" w:type="dxa"/>
          </w:tcPr>
          <w:p w14:paraId="2B85D995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color w:val="0D0D0D" w:themeColor="text1" w:themeTint="F2"/>
                <w:sz w:val="20"/>
                <w:szCs w:val="20"/>
                <w:bdr w:val="none" w:sz="0" w:space="0" w:color="auto" w:frame="1"/>
                <w:lang w:val="ka-GE"/>
              </w:rPr>
              <w:t>შენიშვნა</w:t>
            </w:r>
          </w:p>
        </w:tc>
      </w:tr>
      <w:tr w:rsidR="00341AB4" w:rsidRPr="00F10E5E" w14:paraId="39B9BF7B" w14:textId="77777777" w:rsidTr="001A6D85">
        <w:tc>
          <w:tcPr>
            <w:tcW w:w="1497" w:type="dxa"/>
          </w:tcPr>
          <w:p w14:paraId="14699077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პორტუგალია</w:t>
            </w:r>
          </w:p>
        </w:tc>
        <w:tc>
          <w:tcPr>
            <w:tcW w:w="1680" w:type="dxa"/>
          </w:tcPr>
          <w:p w14:paraId="30D7EF1C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10 დღის საშუალო დოზა</w:t>
            </w:r>
          </w:p>
        </w:tc>
        <w:tc>
          <w:tcPr>
            <w:tcW w:w="1443" w:type="dxa"/>
          </w:tcPr>
          <w:p w14:paraId="66FCE2C1" w14:textId="77777777" w:rsidR="00341AB4" w:rsidRPr="00F10E5E" w:rsidRDefault="00341AB4" w:rsidP="005A5C51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 xml:space="preserve">1გ </w:t>
            </w:r>
          </w:p>
        </w:tc>
        <w:tc>
          <w:tcPr>
            <w:tcW w:w="1158" w:type="dxa"/>
          </w:tcPr>
          <w:p w14:paraId="0E94014C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1გ</w:t>
            </w:r>
          </w:p>
        </w:tc>
        <w:tc>
          <w:tcPr>
            <w:tcW w:w="851" w:type="dxa"/>
          </w:tcPr>
          <w:p w14:paraId="5F028BC3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797" w:type="dxa"/>
          </w:tcPr>
          <w:p w14:paraId="7FB898CB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2145" w:type="dxa"/>
          </w:tcPr>
          <w:p w14:paraId="67CAA598" w14:textId="77777777" w:rsidR="00C86C16" w:rsidRPr="00F10E5E" w:rsidRDefault="00960EC5" w:rsidP="00960EC5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D0D0D" w:themeColor="text1" w:themeTint="F2"/>
                <w:sz w:val="18"/>
                <w:szCs w:val="18"/>
                <w:lang w:val="ka-GE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lang w:val="ka-GE"/>
              </w:rPr>
              <w:t xml:space="preserve">დღიური დოზები განსაზღვრულია შემდეგნაირად: </w:t>
            </w:r>
          </w:p>
          <w:p w14:paraId="643FB02D" w14:textId="77777777" w:rsidR="00C86C16" w:rsidRPr="00F10E5E" w:rsidRDefault="00960EC5" w:rsidP="00960EC5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D0D0D" w:themeColor="text1" w:themeTint="F2"/>
                <w:sz w:val="18"/>
                <w:szCs w:val="18"/>
                <w:lang w:val="ka-GE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lang w:val="ka-GE"/>
              </w:rPr>
              <w:t>Heroin 0.1g;</w:t>
            </w:r>
          </w:p>
          <w:p w14:paraId="7A56A721" w14:textId="77777777" w:rsidR="00960EC5" w:rsidRPr="00F10E5E" w:rsidRDefault="00960EC5" w:rsidP="00960EC5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D0D0D" w:themeColor="text1" w:themeTint="F2"/>
                <w:sz w:val="18"/>
                <w:szCs w:val="18"/>
                <w:lang w:val="ka-GE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lang w:val="ka-GE"/>
              </w:rPr>
              <w:t>Cocaine 0.2g;</w:t>
            </w:r>
          </w:p>
          <w:p w14:paraId="695695B2" w14:textId="77777777" w:rsidR="00341AB4" w:rsidRPr="00F10E5E" w:rsidRDefault="00960EC5" w:rsidP="00960EC5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en-US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lang w:val="en-US"/>
              </w:rPr>
              <w:t>Marijuana 2.5g; Hashish 0.5g; Delta-9-THC 0.05g; Amphetamines 0.1g.</w:t>
            </w:r>
          </w:p>
        </w:tc>
      </w:tr>
      <w:tr w:rsidR="00341AB4" w:rsidRPr="00F10E5E" w14:paraId="301A33DC" w14:textId="77777777" w:rsidTr="001A6D85">
        <w:tc>
          <w:tcPr>
            <w:tcW w:w="1497" w:type="dxa"/>
          </w:tcPr>
          <w:p w14:paraId="25F3A827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ესპანეთი</w:t>
            </w:r>
          </w:p>
        </w:tc>
        <w:tc>
          <w:tcPr>
            <w:tcW w:w="1680" w:type="dxa"/>
          </w:tcPr>
          <w:p w14:paraId="0F86AB2D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5 დღის დოზა</w:t>
            </w:r>
          </w:p>
        </w:tc>
        <w:tc>
          <w:tcPr>
            <w:tcW w:w="1443" w:type="dxa"/>
          </w:tcPr>
          <w:p w14:paraId="3C618A01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3გ</w:t>
            </w:r>
          </w:p>
        </w:tc>
        <w:tc>
          <w:tcPr>
            <w:tcW w:w="1158" w:type="dxa"/>
          </w:tcPr>
          <w:p w14:paraId="04F82C19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2.4გ</w:t>
            </w:r>
          </w:p>
        </w:tc>
        <w:tc>
          <w:tcPr>
            <w:tcW w:w="851" w:type="dxa"/>
          </w:tcPr>
          <w:p w14:paraId="3FC0657E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797" w:type="dxa"/>
          </w:tcPr>
          <w:p w14:paraId="53026545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2145" w:type="dxa"/>
          </w:tcPr>
          <w:p w14:paraId="1DF3E162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</w:tr>
      <w:tr w:rsidR="00341AB4" w:rsidRPr="00F10E5E" w14:paraId="568E9687" w14:textId="77777777" w:rsidTr="001A6D85">
        <w:tc>
          <w:tcPr>
            <w:tcW w:w="1497" w:type="dxa"/>
          </w:tcPr>
          <w:p w14:paraId="78444ECB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ავსტრია</w:t>
            </w:r>
          </w:p>
        </w:tc>
        <w:tc>
          <w:tcPr>
            <w:tcW w:w="1680" w:type="dxa"/>
          </w:tcPr>
          <w:p w14:paraId="6F8FB3B6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მინიმალური ზღვარი, როცა დანაშაული მიიჩნევა სერიოზულად</w:t>
            </w:r>
          </w:p>
        </w:tc>
        <w:tc>
          <w:tcPr>
            <w:tcW w:w="1443" w:type="dxa"/>
          </w:tcPr>
          <w:p w14:paraId="76EE3198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3გ</w:t>
            </w:r>
          </w:p>
        </w:tc>
        <w:tc>
          <w:tcPr>
            <w:tcW w:w="1158" w:type="dxa"/>
          </w:tcPr>
          <w:p w14:paraId="2AF18463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30გ</w:t>
            </w:r>
          </w:p>
        </w:tc>
        <w:tc>
          <w:tcPr>
            <w:tcW w:w="851" w:type="dxa"/>
          </w:tcPr>
          <w:p w14:paraId="0E70A0A9" w14:textId="77777777" w:rsidR="00341AB4" w:rsidRPr="00F10E5E" w:rsidRDefault="00341AB4" w:rsidP="00560390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797" w:type="dxa"/>
          </w:tcPr>
          <w:p w14:paraId="11D02CF1" w14:textId="77777777" w:rsidR="00341AB4" w:rsidRPr="00F10E5E" w:rsidRDefault="00341AB4" w:rsidP="00560390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2145" w:type="dxa"/>
          </w:tcPr>
          <w:p w14:paraId="7A58E034" w14:textId="77777777" w:rsidR="00341AB4" w:rsidRPr="00F10E5E" w:rsidRDefault="00341AB4" w:rsidP="00560390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D0D0D" w:themeColor="text1" w:themeTint="F2"/>
                <w:sz w:val="18"/>
                <w:szCs w:val="18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 xml:space="preserve">ეს ოდენობები მიიჩნევა დიდ ოდენობად. მცირე ოდენობები განისაზღვრება ინდივიდუალურად, მოსამართლის და ბრამლდებლის მიერ. ადრე კანონში მითითებული იყო შემდეგი მცირე ოდენობები: </w:t>
            </w: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lang w:val="ka-GE"/>
              </w:rPr>
              <w:t>heroin</w:t>
            </w:r>
          </w:p>
          <w:p w14:paraId="3E9E361C" w14:textId="77777777" w:rsidR="00341AB4" w:rsidRPr="00F10E5E" w:rsidRDefault="00341AB4" w:rsidP="00560390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lang w:val="ka-GE"/>
              </w:rPr>
              <w:t>0.5g; methadone 1.0g; LSD 0.001g; cocaine 1.5g; amphetamines 1.0g; THC (cannabis) 2.0g.</w:t>
            </w:r>
          </w:p>
        </w:tc>
      </w:tr>
      <w:tr w:rsidR="00341AB4" w:rsidRPr="00F10E5E" w14:paraId="3D7714F1" w14:textId="77777777" w:rsidTr="001A6D85">
        <w:tc>
          <w:tcPr>
            <w:tcW w:w="1497" w:type="dxa"/>
          </w:tcPr>
          <w:p w14:paraId="3731A863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ჩეხეთის რესპუბლიკა</w:t>
            </w:r>
          </w:p>
        </w:tc>
        <w:tc>
          <w:tcPr>
            <w:tcW w:w="1680" w:type="dxa"/>
          </w:tcPr>
          <w:p w14:paraId="0715B4A9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 xml:space="preserve">არ არის მითითებული </w:t>
            </w:r>
            <w:r w:rsidR="005E5AA8"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მცირე ოდენობის პრინციპი</w:t>
            </w:r>
          </w:p>
        </w:tc>
        <w:tc>
          <w:tcPr>
            <w:tcW w:w="1443" w:type="dxa"/>
          </w:tcPr>
          <w:p w14:paraId="66C070F0" w14:textId="77777777" w:rsidR="00341AB4" w:rsidRPr="00F10E5E" w:rsidRDefault="00341AB4" w:rsidP="000925AE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 xml:space="preserve">1,5 g (TW) ან &gt;, თუ AP &lt; 0,2g ან 0,22g hydrochloride </w:t>
            </w:r>
          </w:p>
        </w:tc>
        <w:tc>
          <w:tcPr>
            <w:tcW w:w="1158" w:type="dxa"/>
          </w:tcPr>
          <w:p w14:paraId="7FB99434" w14:textId="77777777" w:rsidR="00341AB4" w:rsidRPr="00F10E5E" w:rsidRDefault="00341AB4" w:rsidP="007A3E48">
            <w:pPr>
              <w:pStyle w:val="NormalWeb"/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 xml:space="preserve">4 აბი, ან 0,4გ </w:t>
            </w:r>
            <w:r w:rsidR="001A6D85"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(</w:t>
            </w:r>
            <w:r w:rsidR="001A6D85" w:rsidRPr="00F10E5E">
              <w:rPr>
                <w:rFonts w:ascii="Sylfaen" w:hAnsi="Sylfaen"/>
                <w:color w:val="0D0D0D" w:themeColor="text1" w:themeTint="F2"/>
                <w:sz w:val="18"/>
                <w:szCs w:val="18"/>
                <w:lang w:val="ka-GE"/>
              </w:rPr>
              <w:t xml:space="preserve">TW) </w:t>
            </w:r>
            <w:r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ფხვნილი</w:t>
            </w:r>
            <w:r w:rsidR="001A6D85"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/</w:t>
            </w:r>
            <w:r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 xml:space="preserve"> კრისტალი</w:t>
            </w:r>
            <w:r w:rsidR="005E5AA8"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 xml:space="preserve"> </w:t>
            </w:r>
            <w:r w:rsidRPr="00F10E5E">
              <w:rPr>
                <w:rFonts w:ascii="Sylfaen" w:hAnsi="Sylfaen"/>
                <w:color w:val="0D0D0D" w:themeColor="text1" w:themeTint="F2"/>
                <w:sz w:val="18"/>
                <w:szCs w:val="18"/>
                <w:lang w:val="ka-GE"/>
              </w:rPr>
              <w:t xml:space="preserve">ან </w:t>
            </w:r>
            <w:r w:rsidR="005E5AA8" w:rsidRPr="00F10E5E">
              <w:rPr>
                <w:rFonts w:ascii="Sylfaen" w:hAnsi="Sylfaen"/>
                <w:color w:val="0D0D0D" w:themeColor="text1" w:themeTint="F2"/>
                <w:sz w:val="18"/>
                <w:szCs w:val="18"/>
                <w:lang w:val="ka-GE"/>
              </w:rPr>
              <w:t>&gt;</w:t>
            </w:r>
            <w:r w:rsidRPr="00F10E5E">
              <w:rPr>
                <w:rFonts w:ascii="Sylfaen" w:hAnsi="Sylfaen"/>
                <w:color w:val="0D0D0D" w:themeColor="text1" w:themeTint="F2"/>
                <w:sz w:val="18"/>
                <w:szCs w:val="18"/>
                <w:lang w:val="ka-GE"/>
              </w:rPr>
              <w:t xml:space="preserve">, თუ </w:t>
            </w:r>
            <w:r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 xml:space="preserve"> </w:t>
            </w: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>AP &lt; 0,34g (MDMA</w:t>
            </w:r>
            <w:r w:rsidR="005E5AA8"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>/MDEA)</w:t>
            </w:r>
            <w:r w:rsidR="001A6D85"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>;</w:t>
            </w: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 xml:space="preserve"> 0,33g </w:t>
            </w:r>
            <w:r w:rsidR="001A6D85"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>M</w:t>
            </w: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 xml:space="preserve">DA </w:t>
            </w:r>
            <w:r w:rsidR="005E5AA8"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>ან</w:t>
            </w: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 xml:space="preserve"> 0,40 g hydrochloride </w:t>
            </w:r>
          </w:p>
          <w:p w14:paraId="0D779A1C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851" w:type="dxa"/>
          </w:tcPr>
          <w:p w14:paraId="405FEA88" w14:textId="77777777" w:rsidR="00341AB4" w:rsidRPr="00F10E5E" w:rsidRDefault="00341AB4" w:rsidP="000925AE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1.5გ</w:t>
            </w:r>
          </w:p>
        </w:tc>
        <w:tc>
          <w:tcPr>
            <w:tcW w:w="797" w:type="dxa"/>
          </w:tcPr>
          <w:p w14:paraId="3AB52C63" w14:textId="77777777" w:rsidR="00341AB4" w:rsidRPr="00F10E5E" w:rsidRDefault="00341AB4" w:rsidP="000925AE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5 ქაღალდის აბი, აბი, კაფსულა ან კრისტალი</w:t>
            </w:r>
          </w:p>
        </w:tc>
        <w:tc>
          <w:tcPr>
            <w:tcW w:w="2145" w:type="dxa"/>
          </w:tcPr>
          <w:p w14:paraId="5374A8A8" w14:textId="77777777" w:rsidR="00341AB4" w:rsidRPr="00F10E5E" w:rsidRDefault="00341AB4" w:rsidP="00F0624A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</w:tr>
      <w:tr w:rsidR="00341AB4" w:rsidRPr="00F10E5E" w14:paraId="6AE6AE81" w14:textId="77777777" w:rsidTr="001A6D85">
        <w:tc>
          <w:tcPr>
            <w:tcW w:w="1497" w:type="dxa"/>
          </w:tcPr>
          <w:p w14:paraId="1C6B2836" w14:textId="77777777" w:rsidR="00341AB4" w:rsidRPr="00F10E5E" w:rsidRDefault="005E5AA8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გერმანია</w:t>
            </w:r>
          </w:p>
        </w:tc>
        <w:tc>
          <w:tcPr>
            <w:tcW w:w="1680" w:type="dxa"/>
          </w:tcPr>
          <w:p w14:paraId="55F25E1B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1443" w:type="dxa"/>
          </w:tcPr>
          <w:p w14:paraId="4E111E61" w14:textId="77777777" w:rsidR="00341AB4" w:rsidRPr="00F10E5E" w:rsidRDefault="005E5AA8" w:rsidP="005E5AA8">
            <w:pPr>
              <w:pStyle w:val="NormalWeb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1 გ (2 მიწა); დანარჩენებზე - იურიდიული პრაქტიკა</w:t>
            </w:r>
            <w:r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1158" w:type="dxa"/>
          </w:tcPr>
          <w:p w14:paraId="01C750A6" w14:textId="77777777" w:rsidR="005E5AA8" w:rsidRPr="00F10E5E" w:rsidRDefault="005E5AA8" w:rsidP="005E5AA8">
            <w:pPr>
              <w:autoSpaceDE w:val="0"/>
              <w:autoSpaceDN w:val="0"/>
              <w:adjustRightInd w:val="0"/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</w:rPr>
            </w:pPr>
            <w:r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 xml:space="preserve">1 მიწაზე 3გ, დანარჩენებზე - იურიდიული პრაქტიკა </w:t>
            </w:r>
          </w:p>
          <w:p w14:paraId="566DA8E0" w14:textId="77777777" w:rsidR="00341AB4" w:rsidRPr="00F10E5E" w:rsidRDefault="00341AB4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851" w:type="dxa"/>
          </w:tcPr>
          <w:p w14:paraId="47F47889" w14:textId="77777777" w:rsidR="00341AB4" w:rsidRPr="00F10E5E" w:rsidRDefault="00341AB4" w:rsidP="005E5AA8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797" w:type="dxa"/>
          </w:tcPr>
          <w:p w14:paraId="08C1047A" w14:textId="77777777" w:rsidR="00341AB4" w:rsidRPr="00F10E5E" w:rsidRDefault="00341AB4" w:rsidP="00560390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2145" w:type="dxa"/>
          </w:tcPr>
          <w:p w14:paraId="6FD57497" w14:textId="77777777" w:rsidR="00341AB4" w:rsidRPr="00F10E5E" w:rsidRDefault="00341AB4" w:rsidP="00560390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</w:tr>
      <w:tr w:rsidR="003A1713" w:rsidRPr="00F10E5E" w14:paraId="1EA52396" w14:textId="77777777" w:rsidTr="001A6D85">
        <w:tc>
          <w:tcPr>
            <w:tcW w:w="1497" w:type="dxa"/>
          </w:tcPr>
          <w:p w14:paraId="2EC16933" w14:textId="77777777" w:rsidR="003A1713" w:rsidRPr="00F10E5E" w:rsidRDefault="003A1713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lastRenderedPageBreak/>
              <w:t>ესტონეთი</w:t>
            </w:r>
          </w:p>
        </w:tc>
        <w:tc>
          <w:tcPr>
            <w:tcW w:w="1680" w:type="dxa"/>
          </w:tcPr>
          <w:p w14:paraId="4CED9761" w14:textId="77777777" w:rsidR="003A1713" w:rsidRPr="00F10E5E" w:rsidRDefault="003A1713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საშუალო მომხმარებლის 10 დოზა</w:t>
            </w:r>
          </w:p>
        </w:tc>
        <w:tc>
          <w:tcPr>
            <w:tcW w:w="1443" w:type="dxa"/>
          </w:tcPr>
          <w:p w14:paraId="51D53383" w14:textId="77777777" w:rsidR="003A1713" w:rsidRPr="00F10E5E" w:rsidRDefault="003A1713" w:rsidP="005E5AA8">
            <w:pPr>
              <w:pStyle w:val="NormalWeb"/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-</w:t>
            </w:r>
          </w:p>
        </w:tc>
        <w:tc>
          <w:tcPr>
            <w:tcW w:w="1158" w:type="dxa"/>
          </w:tcPr>
          <w:p w14:paraId="7B26092B" w14:textId="77777777" w:rsidR="003A1713" w:rsidRPr="00F10E5E" w:rsidRDefault="003A1713" w:rsidP="005E5AA8">
            <w:pPr>
              <w:autoSpaceDE w:val="0"/>
              <w:autoSpaceDN w:val="0"/>
              <w:adjustRightInd w:val="0"/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-</w:t>
            </w:r>
          </w:p>
        </w:tc>
        <w:tc>
          <w:tcPr>
            <w:tcW w:w="851" w:type="dxa"/>
          </w:tcPr>
          <w:p w14:paraId="7D3ABBFD" w14:textId="77777777" w:rsidR="003A1713" w:rsidRPr="00F10E5E" w:rsidRDefault="003A1713" w:rsidP="005E5AA8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-</w:t>
            </w:r>
          </w:p>
        </w:tc>
        <w:tc>
          <w:tcPr>
            <w:tcW w:w="797" w:type="dxa"/>
          </w:tcPr>
          <w:p w14:paraId="514AE566" w14:textId="77777777" w:rsidR="003A1713" w:rsidRPr="00F10E5E" w:rsidRDefault="003A1713" w:rsidP="00560390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-</w:t>
            </w:r>
          </w:p>
        </w:tc>
        <w:tc>
          <w:tcPr>
            <w:tcW w:w="2145" w:type="dxa"/>
          </w:tcPr>
          <w:p w14:paraId="414F6A13" w14:textId="77777777" w:rsidR="003A1713" w:rsidRPr="00F10E5E" w:rsidRDefault="003A1713" w:rsidP="00560390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დაფუძნებულია სამართალდამცავების პრაქტიკაზე, ექსპერტთა შეხედულებაზე</w:t>
            </w:r>
          </w:p>
        </w:tc>
      </w:tr>
      <w:tr w:rsidR="003A1713" w:rsidRPr="00F10E5E" w14:paraId="1A44BA83" w14:textId="77777777" w:rsidTr="001A6D85">
        <w:tc>
          <w:tcPr>
            <w:tcW w:w="1497" w:type="dxa"/>
          </w:tcPr>
          <w:p w14:paraId="4052EC50" w14:textId="77777777" w:rsidR="003A1713" w:rsidRPr="00F10E5E" w:rsidRDefault="003A1713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იტალია</w:t>
            </w:r>
          </w:p>
        </w:tc>
        <w:tc>
          <w:tcPr>
            <w:tcW w:w="1680" w:type="dxa"/>
          </w:tcPr>
          <w:p w14:paraId="48408317" w14:textId="77777777" w:rsidR="003A1713" w:rsidRPr="00F10E5E" w:rsidRDefault="00191E4B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„მაქსიმალური დასაშვები დოზა“</w:t>
            </w:r>
          </w:p>
        </w:tc>
        <w:tc>
          <w:tcPr>
            <w:tcW w:w="1443" w:type="dxa"/>
          </w:tcPr>
          <w:p w14:paraId="6DF1F4E0" w14:textId="77777777" w:rsidR="003A1713" w:rsidRPr="00F10E5E" w:rsidRDefault="003A1713" w:rsidP="005E5AA8">
            <w:pPr>
              <w:pStyle w:val="NormalWeb"/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0.25გ</w:t>
            </w:r>
          </w:p>
        </w:tc>
        <w:tc>
          <w:tcPr>
            <w:tcW w:w="1158" w:type="dxa"/>
          </w:tcPr>
          <w:p w14:paraId="764C2850" w14:textId="77777777" w:rsidR="003A1713" w:rsidRPr="00F10E5E" w:rsidRDefault="003A1713" w:rsidP="005E5AA8">
            <w:pPr>
              <w:autoSpaceDE w:val="0"/>
              <w:autoSpaceDN w:val="0"/>
              <w:adjustRightInd w:val="0"/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0.75გ</w:t>
            </w:r>
          </w:p>
        </w:tc>
        <w:tc>
          <w:tcPr>
            <w:tcW w:w="851" w:type="dxa"/>
          </w:tcPr>
          <w:p w14:paraId="62B3777A" w14:textId="77777777" w:rsidR="003A1713" w:rsidRPr="00F10E5E" w:rsidRDefault="003A1713" w:rsidP="005E5AA8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797" w:type="dxa"/>
          </w:tcPr>
          <w:p w14:paraId="19FB6B40" w14:textId="77777777" w:rsidR="003A1713" w:rsidRPr="00F10E5E" w:rsidRDefault="003A1713" w:rsidP="00560390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2145" w:type="dxa"/>
          </w:tcPr>
          <w:p w14:paraId="5D4E2740" w14:textId="77777777" w:rsidR="003A1713" w:rsidRPr="00F10E5E" w:rsidRDefault="00191E4B" w:rsidP="00191E4B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 xml:space="preserve">იგულისხმება ყველაზე მაღალი დოზა, რასაც იღებს 24 სთ-ის განმავლობაში მომხმარებელი. ეს განსხვავდება საშუალო დღიური დოზისგან, რომელიც ადრე იყო მიღებული და შემდეგნაირად განისაზღვრებოდა: </w:t>
            </w:r>
            <w:r w:rsidRPr="00F10E5E">
              <w:rPr>
                <w:rFonts w:ascii="Sylfaen" w:hAnsi="Sylfaen" w:cs="MinionPro-Regular"/>
                <w:color w:val="0D0D0D" w:themeColor="text1" w:themeTint="F2"/>
                <w:sz w:val="18"/>
                <w:szCs w:val="18"/>
                <w:lang w:val="ka-GE"/>
              </w:rPr>
              <w:t>100 mg for heroin, 150 mg for cocaine, and 500 mg for cannabis (AP).</w:t>
            </w:r>
          </w:p>
        </w:tc>
      </w:tr>
      <w:tr w:rsidR="00191E4B" w:rsidRPr="00F10E5E" w14:paraId="0737C8D0" w14:textId="77777777" w:rsidTr="001A6D85">
        <w:tc>
          <w:tcPr>
            <w:tcW w:w="1497" w:type="dxa"/>
          </w:tcPr>
          <w:p w14:paraId="59B3FB85" w14:textId="77777777" w:rsidR="00191E4B" w:rsidRPr="00F10E5E" w:rsidRDefault="006B2D77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proofErr w:type="spellStart"/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en-US"/>
              </w:rPr>
              <w:t>სლოვაკია</w:t>
            </w:r>
            <w:proofErr w:type="spellEnd"/>
          </w:p>
        </w:tc>
        <w:tc>
          <w:tcPr>
            <w:tcW w:w="1680" w:type="dxa"/>
          </w:tcPr>
          <w:p w14:paraId="68C5058A" w14:textId="77777777" w:rsidR="00191E4B" w:rsidRPr="00F10E5E" w:rsidRDefault="006B2D77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3-10 დოზა</w:t>
            </w:r>
          </w:p>
        </w:tc>
        <w:tc>
          <w:tcPr>
            <w:tcW w:w="1443" w:type="dxa"/>
          </w:tcPr>
          <w:p w14:paraId="6972725F" w14:textId="77777777" w:rsidR="00191E4B" w:rsidRPr="00F10E5E" w:rsidRDefault="00191E4B" w:rsidP="005E5AA8">
            <w:pPr>
              <w:pStyle w:val="NormalWeb"/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en-US"/>
              </w:rPr>
            </w:pPr>
          </w:p>
        </w:tc>
        <w:tc>
          <w:tcPr>
            <w:tcW w:w="1158" w:type="dxa"/>
          </w:tcPr>
          <w:p w14:paraId="669A8E49" w14:textId="77777777" w:rsidR="00191E4B" w:rsidRPr="00F10E5E" w:rsidRDefault="00191E4B" w:rsidP="005E5AA8">
            <w:pPr>
              <w:autoSpaceDE w:val="0"/>
              <w:autoSpaceDN w:val="0"/>
              <w:adjustRightInd w:val="0"/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en-US"/>
              </w:rPr>
            </w:pPr>
          </w:p>
        </w:tc>
        <w:tc>
          <w:tcPr>
            <w:tcW w:w="851" w:type="dxa"/>
          </w:tcPr>
          <w:p w14:paraId="52517650" w14:textId="77777777" w:rsidR="00191E4B" w:rsidRPr="00F10E5E" w:rsidRDefault="00191E4B" w:rsidP="005E5AA8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797" w:type="dxa"/>
          </w:tcPr>
          <w:p w14:paraId="1A34B534" w14:textId="77777777" w:rsidR="00191E4B" w:rsidRPr="00F10E5E" w:rsidRDefault="00191E4B" w:rsidP="00560390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2145" w:type="dxa"/>
          </w:tcPr>
          <w:p w14:paraId="73185312" w14:textId="77777777" w:rsidR="00191E4B" w:rsidRPr="00F10E5E" w:rsidRDefault="00191E4B" w:rsidP="00191E4B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</w:tr>
      <w:tr w:rsidR="00465118" w:rsidRPr="00F10E5E" w14:paraId="3980B7A5" w14:textId="77777777" w:rsidTr="001A6D85">
        <w:tc>
          <w:tcPr>
            <w:tcW w:w="1497" w:type="dxa"/>
          </w:tcPr>
          <w:p w14:paraId="021F7D01" w14:textId="77777777" w:rsidR="00465118" w:rsidRPr="00F10E5E" w:rsidRDefault="00F10E5E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ჰოლანდია</w:t>
            </w:r>
          </w:p>
        </w:tc>
        <w:tc>
          <w:tcPr>
            <w:tcW w:w="1680" w:type="dxa"/>
          </w:tcPr>
          <w:p w14:paraId="0D0B2DA3" w14:textId="77777777" w:rsidR="00465118" w:rsidRPr="00F10E5E" w:rsidRDefault="00465118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1443" w:type="dxa"/>
          </w:tcPr>
          <w:p w14:paraId="00E28862" w14:textId="77777777" w:rsidR="00465118" w:rsidRPr="00F10E5E" w:rsidRDefault="00465118" w:rsidP="00F03730">
            <w:pPr>
              <w:pStyle w:val="NormalWeb"/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en-US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One tablet/ ampoule/ ball or 0.5g</w:t>
            </w:r>
          </w:p>
        </w:tc>
        <w:tc>
          <w:tcPr>
            <w:tcW w:w="1158" w:type="dxa"/>
          </w:tcPr>
          <w:p w14:paraId="0D96CA9F" w14:textId="77777777" w:rsidR="00465118" w:rsidRPr="00F10E5E" w:rsidRDefault="00465118" w:rsidP="00F03730">
            <w:pPr>
              <w:autoSpaceDE w:val="0"/>
              <w:autoSpaceDN w:val="0"/>
              <w:adjustRightInd w:val="0"/>
              <w:rPr>
                <w:rFonts w:ascii="Sylfaen" w:hAnsi="Sylfaen" w:cs="Tahoma"/>
                <w:bCs/>
                <w:color w:val="0D0D0D" w:themeColor="text1" w:themeTint="F2"/>
                <w:sz w:val="18"/>
                <w:szCs w:val="18"/>
                <w:bdr w:val="none" w:sz="0" w:space="0" w:color="auto" w:frame="1"/>
                <w:lang w:val="en-US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en-US"/>
              </w:rPr>
              <w:t>One tablet/ ampoule/ ball or 0.5g</w:t>
            </w:r>
          </w:p>
        </w:tc>
        <w:tc>
          <w:tcPr>
            <w:tcW w:w="851" w:type="dxa"/>
          </w:tcPr>
          <w:p w14:paraId="6CE7F4BA" w14:textId="77777777" w:rsidR="00465118" w:rsidRPr="00F10E5E" w:rsidRDefault="00465118" w:rsidP="005E5AA8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797" w:type="dxa"/>
          </w:tcPr>
          <w:p w14:paraId="19A4867E" w14:textId="77777777" w:rsidR="00465118" w:rsidRPr="00F10E5E" w:rsidRDefault="00465118" w:rsidP="00560390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2145" w:type="dxa"/>
          </w:tcPr>
          <w:p w14:paraId="57C8480B" w14:textId="77777777" w:rsidR="00465118" w:rsidRPr="00F10E5E" w:rsidRDefault="00465118" w:rsidP="00191E4B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</w:tr>
      <w:tr w:rsidR="00465118" w:rsidRPr="00F10E5E" w14:paraId="7D88496C" w14:textId="77777777" w:rsidTr="001A6D85">
        <w:tc>
          <w:tcPr>
            <w:tcW w:w="1497" w:type="dxa"/>
          </w:tcPr>
          <w:p w14:paraId="1A121321" w14:textId="77777777" w:rsidR="00465118" w:rsidRPr="00F10E5E" w:rsidRDefault="00465118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ნორვეგია</w:t>
            </w:r>
          </w:p>
        </w:tc>
        <w:tc>
          <w:tcPr>
            <w:tcW w:w="1680" w:type="dxa"/>
          </w:tcPr>
          <w:p w14:paraId="427498D4" w14:textId="77777777" w:rsidR="00465118" w:rsidRPr="00F10E5E" w:rsidRDefault="00465118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1-2 მომხმარებლის დოზა</w:t>
            </w:r>
          </w:p>
        </w:tc>
        <w:tc>
          <w:tcPr>
            <w:tcW w:w="1443" w:type="dxa"/>
          </w:tcPr>
          <w:p w14:paraId="0E17CD91" w14:textId="77777777" w:rsidR="00465118" w:rsidRPr="00F10E5E" w:rsidRDefault="00465118" w:rsidP="00F03730">
            <w:pPr>
              <w:pStyle w:val="NormalWeb"/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>0.5გ</w:t>
            </w:r>
          </w:p>
        </w:tc>
        <w:tc>
          <w:tcPr>
            <w:tcW w:w="1158" w:type="dxa"/>
          </w:tcPr>
          <w:p w14:paraId="4235F144" w14:textId="77777777" w:rsidR="00465118" w:rsidRPr="00F10E5E" w:rsidRDefault="00465118" w:rsidP="00F03730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>5 აბი</w:t>
            </w:r>
          </w:p>
        </w:tc>
        <w:tc>
          <w:tcPr>
            <w:tcW w:w="851" w:type="dxa"/>
          </w:tcPr>
          <w:p w14:paraId="2A75A362" w14:textId="77777777" w:rsidR="00465118" w:rsidRPr="00F10E5E" w:rsidRDefault="00465118" w:rsidP="005E5AA8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797" w:type="dxa"/>
          </w:tcPr>
          <w:p w14:paraId="7E09ACBB" w14:textId="77777777" w:rsidR="00465118" w:rsidRPr="00F10E5E" w:rsidRDefault="00465118" w:rsidP="00560390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2145" w:type="dxa"/>
          </w:tcPr>
          <w:p w14:paraId="543482BC" w14:textId="77777777" w:rsidR="00465118" w:rsidRPr="00F10E5E" w:rsidRDefault="00465118" w:rsidP="00191E4B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</w:tr>
      <w:tr w:rsidR="00465118" w:rsidRPr="00F10E5E" w14:paraId="72338BF3" w14:textId="77777777" w:rsidTr="001A6D85">
        <w:tc>
          <w:tcPr>
            <w:tcW w:w="1497" w:type="dxa"/>
          </w:tcPr>
          <w:p w14:paraId="7075C059" w14:textId="77777777" w:rsidR="00465118" w:rsidRPr="00F10E5E" w:rsidRDefault="00465118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რუსეთი</w:t>
            </w:r>
          </w:p>
        </w:tc>
        <w:tc>
          <w:tcPr>
            <w:tcW w:w="1680" w:type="dxa"/>
          </w:tcPr>
          <w:p w14:paraId="706109F2" w14:textId="77777777" w:rsidR="00465118" w:rsidRPr="00F10E5E" w:rsidRDefault="00465118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1443" w:type="dxa"/>
          </w:tcPr>
          <w:p w14:paraId="55C76D3E" w14:textId="77777777" w:rsidR="00465118" w:rsidRPr="00F10E5E" w:rsidRDefault="00465118" w:rsidP="00F03730">
            <w:pPr>
              <w:pStyle w:val="NormalWeb"/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>0.5გ</w:t>
            </w:r>
          </w:p>
        </w:tc>
        <w:tc>
          <w:tcPr>
            <w:tcW w:w="1158" w:type="dxa"/>
          </w:tcPr>
          <w:p w14:paraId="5EB6C5C1" w14:textId="77777777" w:rsidR="00465118" w:rsidRPr="00F10E5E" w:rsidRDefault="00465118" w:rsidP="00F03730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</w:pPr>
          </w:p>
        </w:tc>
        <w:tc>
          <w:tcPr>
            <w:tcW w:w="851" w:type="dxa"/>
          </w:tcPr>
          <w:p w14:paraId="24CD5BF9" w14:textId="77777777" w:rsidR="00465118" w:rsidRPr="00F10E5E" w:rsidRDefault="00465118" w:rsidP="005E5AA8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797" w:type="dxa"/>
          </w:tcPr>
          <w:p w14:paraId="754E37A5" w14:textId="77777777" w:rsidR="00465118" w:rsidRPr="00F10E5E" w:rsidRDefault="00465118" w:rsidP="00560390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  <w:tc>
          <w:tcPr>
            <w:tcW w:w="2145" w:type="dxa"/>
          </w:tcPr>
          <w:p w14:paraId="54B9AD20" w14:textId="77777777" w:rsidR="00465118" w:rsidRPr="00F10E5E" w:rsidRDefault="00465118" w:rsidP="00191E4B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ჰეროინის სისუფთავე რუსეთში დაბალია, რაც ნიშნავს, რომ მომხმარებელს დღეში სჭირდება დაახლოვებით 1.87გ</w:t>
            </w:r>
          </w:p>
        </w:tc>
      </w:tr>
      <w:tr w:rsidR="00B16ABD" w:rsidRPr="00F10E5E" w14:paraId="2E483064" w14:textId="77777777" w:rsidTr="001A6D85">
        <w:tc>
          <w:tcPr>
            <w:tcW w:w="1497" w:type="dxa"/>
          </w:tcPr>
          <w:p w14:paraId="3E8CD5A0" w14:textId="77777777" w:rsidR="00B16ABD" w:rsidRPr="00F10E5E" w:rsidRDefault="00B16ABD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ფინეთი</w:t>
            </w:r>
          </w:p>
        </w:tc>
        <w:tc>
          <w:tcPr>
            <w:tcW w:w="1680" w:type="dxa"/>
          </w:tcPr>
          <w:p w14:paraId="3BEC27C7" w14:textId="77777777" w:rsidR="00B16ABD" w:rsidRPr="00F10E5E" w:rsidRDefault="00B16ABD" w:rsidP="00DF397B">
            <w:pPr>
              <w:pStyle w:val="NormalWeb"/>
              <w:spacing w:before="0" w:beforeAutospacing="0" w:after="0" w:afterAutospacing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პრინციპი არ არის მოწოდებული</w:t>
            </w:r>
          </w:p>
        </w:tc>
        <w:tc>
          <w:tcPr>
            <w:tcW w:w="1443" w:type="dxa"/>
          </w:tcPr>
          <w:p w14:paraId="6DBED029" w14:textId="77777777" w:rsidR="00B16ABD" w:rsidRPr="00F10E5E" w:rsidRDefault="00B16ABD" w:rsidP="00F03730">
            <w:pPr>
              <w:pStyle w:val="NormalWeb"/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 xml:space="preserve">1გ </w:t>
            </w:r>
            <w:r w:rsidRPr="00F10E5E">
              <w:rPr>
                <w:rFonts w:ascii="Sylfaen" w:hAnsi="Sylfaen"/>
                <w:color w:val="0D0D0D" w:themeColor="text1" w:themeTint="F2"/>
                <w:sz w:val="20"/>
                <w:szCs w:val="20"/>
                <w:lang w:val="ka-GE"/>
              </w:rPr>
              <w:t>TW</w:t>
            </w:r>
          </w:p>
        </w:tc>
        <w:tc>
          <w:tcPr>
            <w:tcW w:w="1158" w:type="dxa"/>
          </w:tcPr>
          <w:p w14:paraId="4C44B10D" w14:textId="77777777" w:rsidR="00B16ABD" w:rsidRPr="00F10E5E" w:rsidRDefault="00B16ABD" w:rsidP="00F03730">
            <w:pPr>
              <w:autoSpaceDE w:val="0"/>
              <w:autoSpaceDN w:val="0"/>
              <w:adjustRightInd w:val="0"/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</w:pPr>
            <w:r w:rsidRPr="00F10E5E">
              <w:rPr>
                <w:rFonts w:ascii="Sylfaen" w:hAnsi="Sylfaen" w:cs="Arial"/>
                <w:color w:val="0D0D0D" w:themeColor="text1" w:themeTint="F2"/>
                <w:sz w:val="18"/>
                <w:szCs w:val="18"/>
                <w:shd w:val="clear" w:color="auto" w:fill="FFFFFF"/>
                <w:lang w:val="ka-GE"/>
              </w:rPr>
              <w:t>10აბი</w:t>
            </w:r>
          </w:p>
        </w:tc>
        <w:tc>
          <w:tcPr>
            <w:tcW w:w="851" w:type="dxa"/>
          </w:tcPr>
          <w:p w14:paraId="024918D1" w14:textId="77777777" w:rsidR="00B16ABD" w:rsidRPr="00F10E5E" w:rsidRDefault="00B16ABD" w:rsidP="005E5AA8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ამფეტამინი-3გ</w:t>
            </w:r>
          </w:p>
        </w:tc>
        <w:tc>
          <w:tcPr>
            <w:tcW w:w="797" w:type="dxa"/>
          </w:tcPr>
          <w:p w14:paraId="4949BC47" w14:textId="77777777" w:rsidR="00B16ABD" w:rsidRPr="00F10E5E" w:rsidRDefault="00B16ABD" w:rsidP="00560390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  <w:r w:rsidRPr="00F10E5E"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  <w:t>10 აბი</w:t>
            </w:r>
          </w:p>
        </w:tc>
        <w:tc>
          <w:tcPr>
            <w:tcW w:w="2145" w:type="dxa"/>
          </w:tcPr>
          <w:p w14:paraId="2CC8CC09" w14:textId="77777777" w:rsidR="00B16ABD" w:rsidRPr="00F10E5E" w:rsidRDefault="00B16ABD" w:rsidP="00191E4B">
            <w:pPr>
              <w:autoSpaceDE w:val="0"/>
              <w:autoSpaceDN w:val="0"/>
              <w:adjustRightInd w:val="0"/>
              <w:rPr>
                <w:rStyle w:val="Strong"/>
                <w:rFonts w:ascii="Sylfaen" w:hAnsi="Sylfaen" w:cs="Tahoma"/>
                <w:b w:val="0"/>
                <w:color w:val="0D0D0D" w:themeColor="text1" w:themeTint="F2"/>
                <w:sz w:val="18"/>
                <w:szCs w:val="18"/>
                <w:bdr w:val="none" w:sz="0" w:space="0" w:color="auto" w:frame="1"/>
                <w:lang w:val="ka-GE"/>
              </w:rPr>
            </w:pPr>
          </w:p>
        </w:tc>
      </w:tr>
    </w:tbl>
    <w:p w14:paraId="0A1C945A" w14:textId="77777777" w:rsidR="002716D1" w:rsidRDefault="002716D1" w:rsidP="00DF397B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</w:p>
    <w:p w14:paraId="0573F347" w14:textId="77777777" w:rsidR="002716D1" w:rsidRDefault="002716D1" w:rsidP="00DF397B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/>
          <w:color w:val="0D0D0D" w:themeColor="text1" w:themeTint="F2"/>
          <w:sz w:val="20"/>
          <w:szCs w:val="20"/>
          <w:lang w:val="ka-GE"/>
        </w:rPr>
      </w:pPr>
    </w:p>
    <w:p w14:paraId="22752BDF" w14:textId="77777777" w:rsidR="0044730C" w:rsidRPr="00F10E5E" w:rsidRDefault="0044730C" w:rsidP="00DF397B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Tahoma"/>
          <w:bCs/>
          <w:color w:val="0D0D0D" w:themeColor="text1" w:themeTint="F2"/>
          <w:sz w:val="20"/>
          <w:szCs w:val="20"/>
          <w:bdr w:val="none" w:sz="0" w:space="0" w:color="auto" w:frame="1"/>
          <w:lang w:val="ka-GE"/>
        </w:rPr>
      </w:pPr>
      <w:bookmarkStart w:id="0" w:name="_GoBack"/>
      <w:bookmarkEnd w:id="0"/>
      <w:r w:rsidRPr="00F10E5E">
        <w:rPr>
          <w:rFonts w:ascii="Sylfaen" w:hAnsi="Sylfaen"/>
          <w:color w:val="0D0D0D" w:themeColor="text1" w:themeTint="F2"/>
          <w:sz w:val="20"/>
          <w:szCs w:val="20"/>
          <w:lang w:val="ka-GE"/>
        </w:rPr>
        <w:t>Total Weight (TW)-</w:t>
      </w:r>
      <w:r w:rsidRPr="00F10E5E">
        <w:rPr>
          <w:rFonts w:ascii="Sylfaen" w:hAnsi="Sylfaen" w:cs="Tahoma"/>
          <w:bCs/>
          <w:color w:val="0D0D0D" w:themeColor="text1" w:themeTint="F2"/>
          <w:sz w:val="20"/>
          <w:szCs w:val="20"/>
          <w:bdr w:val="none" w:sz="0" w:space="0" w:color="auto" w:frame="1"/>
          <w:lang w:val="ka-GE"/>
        </w:rPr>
        <w:t xml:space="preserve"> </w:t>
      </w:r>
      <w:r w:rsidRPr="00F10E5E">
        <w:rPr>
          <w:rFonts w:ascii="Sylfaen" w:hAnsi="Sylfaen"/>
          <w:color w:val="0D0D0D" w:themeColor="text1" w:themeTint="F2"/>
          <w:sz w:val="20"/>
          <w:szCs w:val="20"/>
          <w:lang w:val="ka-GE"/>
        </w:rPr>
        <w:t>მთლიანი წონა;</w:t>
      </w:r>
    </w:p>
    <w:p w14:paraId="0420BEB1" w14:textId="77777777" w:rsidR="00D7574A" w:rsidRPr="00F10E5E" w:rsidRDefault="00D7574A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0"/>
          <w:szCs w:val="20"/>
          <w:bdr w:val="none" w:sz="0" w:space="0" w:color="auto" w:frame="1"/>
          <w:lang w:val="ka-GE"/>
        </w:rPr>
      </w:pPr>
      <w:r w:rsidRPr="00F10E5E">
        <w:rPr>
          <w:rFonts w:ascii="Sylfaen" w:hAnsi="Sylfaen" w:cs="Arial"/>
          <w:color w:val="0D0D0D" w:themeColor="text1" w:themeTint="F2"/>
          <w:sz w:val="20"/>
          <w:szCs w:val="20"/>
          <w:shd w:val="clear" w:color="auto" w:fill="FFFFFF"/>
          <w:lang w:val="ka-GE"/>
        </w:rPr>
        <w:t>Active Principle (AP)-  აქტიური შემადგენელი, სუფთა წონა</w:t>
      </w:r>
    </w:p>
    <w:p w14:paraId="77403402" w14:textId="77777777" w:rsidR="00D7574A" w:rsidRPr="00F10E5E" w:rsidRDefault="00D7574A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75183B44" w14:textId="77777777" w:rsidR="00984F1B" w:rsidRPr="00F10E5E" w:rsidRDefault="00984F1B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3DA69A5C" w14:textId="77777777" w:rsidR="00C86C16" w:rsidRPr="00F10E5E" w:rsidRDefault="00C86C16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3B7CA299" w14:textId="77777777" w:rsidR="00C86C16" w:rsidRPr="00F10E5E" w:rsidRDefault="00C86C16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3776A5FE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5DCAD604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49814200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7ECDDF13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3AF3DD61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3880A748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3A9E5537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6737F393" w14:textId="77777777" w:rsid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68882B03" w14:textId="77777777" w:rsidR="00D04911" w:rsidRPr="00F10E5E" w:rsidRDefault="00D04911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4AE6FF69" w14:textId="77777777" w:rsidR="00C86C16" w:rsidRPr="00F10E5E" w:rsidRDefault="00C86C16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1AE13983" w14:textId="77777777" w:rsidR="00984F1B" w:rsidRPr="00F10E5E" w:rsidRDefault="001D71C6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  <w:r w:rsidRPr="00F10E5E"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  <w:t>ცხრილი 2</w:t>
      </w:r>
    </w:p>
    <w:p w14:paraId="4D680C50" w14:textId="77777777" w:rsidR="00C86C16" w:rsidRPr="00F10E5E" w:rsidRDefault="00C86C16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2BAD3BF8" w14:textId="77777777" w:rsidR="00C86C16" w:rsidRPr="00F10E5E" w:rsidRDefault="00C86C16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tbl>
      <w:tblPr>
        <w:tblW w:w="10349" w:type="dxa"/>
        <w:tblInd w:w="-292" w:type="dxa"/>
        <w:tblBorders>
          <w:top w:val="single" w:sz="12" w:space="0" w:color="365F91" w:themeColor="accent1" w:themeShade="BF"/>
          <w:left w:val="single" w:sz="12" w:space="0" w:color="365F91" w:themeColor="accent1" w:themeShade="BF"/>
          <w:bottom w:val="single" w:sz="12" w:space="0" w:color="365F91" w:themeColor="accent1" w:themeShade="BF"/>
          <w:right w:val="single" w:sz="12" w:space="0" w:color="365F91" w:themeColor="accent1" w:themeShade="BF"/>
          <w:insideH w:val="single" w:sz="12" w:space="0" w:color="365F91" w:themeColor="accent1" w:themeShade="BF"/>
          <w:insideV w:val="single" w:sz="12" w:space="0" w:color="365F91" w:themeColor="accent1" w:themeShade="BF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6"/>
        <w:gridCol w:w="1552"/>
        <w:gridCol w:w="993"/>
        <w:gridCol w:w="2976"/>
        <w:gridCol w:w="4402"/>
      </w:tblGrid>
      <w:tr w:rsidR="00984F1B" w:rsidRPr="00F10E5E" w14:paraId="38280CFB" w14:textId="77777777" w:rsidTr="00935581">
        <w:tc>
          <w:tcPr>
            <w:tcW w:w="426" w:type="dxa"/>
            <w:shd w:val="clear" w:color="auto" w:fill="B8CCE4" w:themeFill="accent1" w:themeFillTint="66"/>
          </w:tcPr>
          <w:p w14:paraId="2FE269F1" w14:textId="77777777" w:rsidR="00984F1B" w:rsidRPr="00F10E5E" w:rsidRDefault="00984F1B" w:rsidP="00F10E5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2" w:type="dxa"/>
            <w:shd w:val="clear" w:color="auto" w:fill="B8CCE4" w:themeFill="accent1" w:themeFillTint="66"/>
          </w:tcPr>
          <w:p w14:paraId="1C071C05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b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b/>
                <w:bCs/>
                <w:color w:val="0D0D0D" w:themeColor="text1" w:themeTint="F2"/>
                <w:sz w:val="20"/>
                <w:szCs w:val="20"/>
              </w:rPr>
              <w:t>მცენარის, ნივთიერებისა და პრეპარატის დასახელება</w:t>
            </w:r>
          </w:p>
        </w:tc>
        <w:tc>
          <w:tcPr>
            <w:tcW w:w="993" w:type="dxa"/>
            <w:shd w:val="clear" w:color="auto" w:fill="B8CCE4" w:themeFill="accent1" w:themeFillTint="66"/>
          </w:tcPr>
          <w:p w14:paraId="57CA9AA5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b/>
                <w:color w:val="0D0D0D" w:themeColor="text1" w:themeTint="F2"/>
                <w:sz w:val="20"/>
                <w:szCs w:val="20"/>
                <w:lang w:val="ka-GE"/>
              </w:rPr>
            </w:pPr>
          </w:p>
        </w:tc>
        <w:tc>
          <w:tcPr>
            <w:tcW w:w="2976" w:type="dxa"/>
            <w:shd w:val="clear" w:color="auto" w:fill="B8CCE4" w:themeFill="accent1" w:themeFillTint="66"/>
          </w:tcPr>
          <w:p w14:paraId="129B99F0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b/>
                <w:color w:val="0D0D0D" w:themeColor="text1" w:themeTint="F2"/>
                <w:sz w:val="20"/>
                <w:szCs w:val="20"/>
                <w:lang w:val="ka-GE"/>
              </w:rPr>
            </w:pPr>
          </w:p>
          <w:p w14:paraId="766D5889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b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b/>
                <w:color w:val="0D0D0D" w:themeColor="text1" w:themeTint="F2"/>
                <w:sz w:val="20"/>
                <w:szCs w:val="20"/>
                <w:lang w:val="ka-GE"/>
              </w:rPr>
              <w:t>კლასიფიკაცია, თვისებები</w:t>
            </w:r>
          </w:p>
        </w:tc>
        <w:tc>
          <w:tcPr>
            <w:tcW w:w="4402" w:type="dxa"/>
            <w:shd w:val="clear" w:color="auto" w:fill="B8CCE4" w:themeFill="accent1" w:themeFillTint="66"/>
          </w:tcPr>
          <w:p w14:paraId="5BEA837E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b/>
                <w:color w:val="0D0D0D" w:themeColor="text1" w:themeTint="F2"/>
                <w:sz w:val="20"/>
                <w:szCs w:val="20"/>
                <w:lang w:val="ka-GE"/>
              </w:rPr>
            </w:pPr>
          </w:p>
          <w:p w14:paraId="4EC35F33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b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b/>
                <w:color w:val="0D0D0D" w:themeColor="text1" w:themeTint="F2"/>
                <w:sz w:val="20"/>
                <w:szCs w:val="20"/>
                <w:lang w:val="ka-GE"/>
              </w:rPr>
              <w:t>განმარტებები</w:t>
            </w:r>
          </w:p>
        </w:tc>
      </w:tr>
      <w:tr w:rsidR="00984F1B" w:rsidRPr="00F10E5E" w14:paraId="3FB623E9" w14:textId="77777777" w:rsidTr="00F03730">
        <w:tc>
          <w:tcPr>
            <w:tcW w:w="426" w:type="dxa"/>
          </w:tcPr>
          <w:p w14:paraId="7386D0C6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  <w:tc>
          <w:tcPr>
            <w:tcW w:w="1552" w:type="dxa"/>
          </w:tcPr>
          <w:p w14:paraId="160422BC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ამფეტამინი </w:t>
            </w:r>
          </w:p>
        </w:tc>
        <w:tc>
          <w:tcPr>
            <w:tcW w:w="993" w:type="dxa"/>
          </w:tcPr>
          <w:p w14:paraId="37B541DE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FACA4A2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ცნს სტიმულანტი; სამედიცინო</w:t>
            </w:r>
          </w:p>
          <w:p w14:paraId="5D34C386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დანიშნულებით ამფეტამინების</w:t>
            </w:r>
          </w:p>
          <w:p w14:paraId="4C3DE25E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შემცველი სამედიცინო</w:t>
            </w:r>
          </w:p>
          <w:p w14:paraId="7D21FF32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პრეპარატები</w:t>
            </w:r>
          </w:p>
          <w:p w14:paraId="1C481335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(ამფეტამინი/დექსტროამფეტამი</w:t>
            </w:r>
          </w:p>
          <w:p w14:paraId="14159D6A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ნი) გამოიყენება</w:t>
            </w:r>
          </w:p>
          <w:p w14:paraId="1C44B816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ნარკოლეფსიისა და</w:t>
            </w:r>
          </w:p>
          <w:p w14:paraId="1356EFE6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ყურადღების დეფიციტის და</w:t>
            </w:r>
          </w:p>
          <w:p w14:paraId="093DFE1C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ჰიპერაქტივობის სინდრომის</w:t>
            </w:r>
          </w:p>
          <w:p w14:paraId="2A4A2A73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 xml:space="preserve">(ADHD)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სამკურნალოდ.</w:t>
            </w:r>
          </w:p>
          <w:p w14:paraId="7A4B530B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არასამედიცინო მიზნით</w:t>
            </w:r>
          </w:p>
          <w:p w14:paraId="36BDC1F6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გამოყენებისას,</w:t>
            </w:r>
          </w:p>
          <w:p w14:paraId="28C6C2AD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განსაკუთრებით, ინექციური</w:t>
            </w:r>
          </w:p>
          <w:p w14:paraId="6C272530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მოხმარების დროს, აქვს</w:t>
            </w:r>
          </w:p>
          <w:p w14:paraId="34CA8113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მიჩვევის მაღალი პოტენციალი -</w:t>
            </w:r>
          </w:p>
          <w:p w14:paraId="57C67943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ისეთივე, როგორიც ჰეროინს და</w:t>
            </w:r>
          </w:p>
          <w:p w14:paraId="7426E47D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კოკაინს. ტოლერანტობა</w:t>
            </w:r>
          </w:p>
          <w:p w14:paraId="131897DC" w14:textId="77777777" w:rsidR="00984F1B" w:rsidRPr="00F10E5E" w:rsidRDefault="00984F1B" w:rsidP="00984F1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სწრაფად იზრდება.</w:t>
            </w:r>
          </w:p>
        </w:tc>
        <w:tc>
          <w:tcPr>
            <w:tcW w:w="4402" w:type="dxa"/>
          </w:tcPr>
          <w:p w14:paraId="31867D8F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საშუალო თერაპიული დღიური დოზა არის 20</w:t>
            </w:r>
          </w:p>
          <w:p w14:paraId="0F8B97FE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მგ; ამფეტამინების მაქსიმალური სადღეღამისო</w:t>
            </w:r>
          </w:p>
          <w:p w14:paraId="795291DC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თერაპიული დოზა ნარკოლეფსიის</w:t>
            </w:r>
          </w:p>
          <w:p w14:paraId="6FB293AA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სამკურნალოდ არის 40-60 მგ (დღეში 2-3</w:t>
            </w:r>
          </w:p>
          <w:p w14:paraId="30D7CC95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მიღებაზე), მაგრამ, ჩვეულებრივ, იწყებენ 10 მგ-</w:t>
            </w:r>
          </w:p>
          <w:p w14:paraId="61D0324A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ით დღეში, ყოველ კვირაში ამატებენ 10 მგ-ს და</w:t>
            </w:r>
          </w:p>
          <w:p w14:paraId="0B2629A3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ნელ-ნელა ადიან 60 მგ-მდე.</w:t>
            </w:r>
          </w:p>
          <w:p w14:paraId="52180324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დამოკიდებულების ჩამოყალიბების</w:t>
            </w:r>
          </w:p>
          <w:p w14:paraId="7E3D6D5E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შემთხვევაში, ამფეტამინის ერთჯერადი</w:t>
            </w:r>
          </w:p>
          <w:p w14:paraId="1599A191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საშუალო დოზა ინექციური მიღებისას 40-60 მგ,</w:t>
            </w:r>
          </w:p>
          <w:p w14:paraId="41D7F93D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მოქმედების ხანგრძლივობა არის 8-12 სთ.</w:t>
            </w:r>
          </w:p>
          <w:p w14:paraId="15817088" w14:textId="77777777" w:rsidR="003C2071" w:rsidRPr="00F10E5E" w:rsidRDefault="00984F1B" w:rsidP="003C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დღეში 2-ჯერ შეიძლება მოხმარება, </w:t>
            </w:r>
          </w:p>
          <w:p w14:paraId="21C6BCF1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  <w:p w14:paraId="604B317B" w14:textId="77777777" w:rsidR="00984F1B" w:rsidRPr="00F10E5E" w:rsidRDefault="00984F1B" w:rsidP="00984F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</w:tr>
      <w:tr w:rsidR="003C2071" w:rsidRPr="00F10E5E" w14:paraId="2B78CC18" w14:textId="77777777" w:rsidTr="00F03730">
        <w:trPr>
          <w:gridAfter w:val="4"/>
          <w:wAfter w:w="9923" w:type="dxa"/>
        </w:trPr>
        <w:tc>
          <w:tcPr>
            <w:tcW w:w="426" w:type="dxa"/>
          </w:tcPr>
          <w:p w14:paraId="498C6E85" w14:textId="77777777" w:rsidR="003C2071" w:rsidRPr="00F10E5E" w:rsidRDefault="003C2071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</w:tr>
      <w:tr w:rsidR="00984F1B" w:rsidRPr="00F10E5E" w14:paraId="32E9C263" w14:textId="77777777" w:rsidTr="00F03730">
        <w:tc>
          <w:tcPr>
            <w:tcW w:w="426" w:type="dxa"/>
          </w:tcPr>
          <w:p w14:paraId="543A7E26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  <w:tc>
          <w:tcPr>
            <w:tcW w:w="1552" w:type="dxa"/>
          </w:tcPr>
          <w:p w14:paraId="630651F1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დეზომორფინი </w:t>
            </w:r>
          </w:p>
        </w:tc>
        <w:tc>
          <w:tcPr>
            <w:tcW w:w="993" w:type="dxa"/>
          </w:tcPr>
          <w:p w14:paraId="0482781A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  <w:tc>
          <w:tcPr>
            <w:tcW w:w="2976" w:type="dxa"/>
          </w:tcPr>
          <w:p w14:paraId="1C461FFD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ნარკოტიკული ანალგეზიური საშუალება; </w:t>
            </w:r>
          </w:p>
          <w:p w14:paraId="4945FCA2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ხანმოკლე დროის განმავლობაში, დეზორმორფინი, პერმონიდის </w:t>
            </w:r>
            <w:r w:rsidRPr="00F10E5E">
              <w:rPr>
                <w:rFonts w:ascii="Sylfaen" w:hAnsi="Sylfaen" w:cs="Tahoma"/>
                <w:color w:val="0D0D0D" w:themeColor="text1" w:themeTint="F2"/>
                <w:sz w:val="20"/>
                <w:szCs w:val="20"/>
              </w:rPr>
              <w:t>(Permonid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, </w:t>
            </w:r>
            <w:r w:rsidRPr="00F10E5E">
              <w:rPr>
                <w:rFonts w:ascii="Sylfaen" w:hAnsi="Sylfaen" w:cs="Tahoma"/>
                <w:color w:val="0D0D0D" w:themeColor="text1" w:themeTint="F2"/>
                <w:sz w:val="20"/>
                <w:szCs w:val="20"/>
              </w:rPr>
              <w:t>Roche)</w:t>
            </w:r>
            <w:r w:rsidRPr="00F10E5E">
              <w:rPr>
                <w:rFonts w:ascii="Sylfaen" w:hAnsi="Sylfaen" w:cs="Tahoma"/>
                <w:color w:val="0D0D0D" w:themeColor="text1" w:themeTint="F2"/>
                <w:sz w:val="20"/>
                <w:szCs w:val="20"/>
                <w:lang w:val="ka-GE"/>
              </w:rPr>
              <w:t xml:space="preserve">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სახელწოდებით, უცხოეთში გამოიყენებოდა სამედიცინო დანიშნულებით.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 მორფინთან შედარებით, დეზომორფინი 9-ჯერ უფრო ძლიერია და 5-ჯერ უფრო ტოქსიკურია. ახასიათებს მიჩვევის მაღალი პოტენციალი და სწრაფად მზარდი ტოლერანტობა.</w:t>
            </w:r>
          </w:p>
        </w:tc>
        <w:tc>
          <w:tcPr>
            <w:tcW w:w="4402" w:type="dxa"/>
          </w:tcPr>
          <w:p w14:paraId="1CF9B6E2" w14:textId="77777777" w:rsidR="00984F1B" w:rsidRPr="00F10E5E" w:rsidRDefault="00984F1B" w:rsidP="003C207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1 მგ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დეზომორფინი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ეკვივალენტურია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 100 მგ კოდეინისა. საქართველოში კოდეინის შემცველი პრეპრატების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უმრავლესობაში ერთ აბში შედის 10 მგ კოდეინი; შესაბამისად, ერთი ფირფიტა - 10 აბი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შეიცავს 100 მგ კოდეინს. 1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ფირფიტის ქიმიური დამუშავებით მიღებული ნარკოტიკი 2 ნარკომანის საშუალო დოზაა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ერთ მიღებაზე (ანუ, დეზომორფინის ერთჯერადი საშუალო დოზა გამოდის 0,5 მგ). დღეში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საშუალოდ იკეთებენ 3-4-ჯერ. </w:t>
            </w:r>
          </w:p>
        </w:tc>
      </w:tr>
      <w:tr w:rsidR="00984F1B" w:rsidRPr="00F10E5E" w14:paraId="75DA4599" w14:textId="77777777" w:rsidTr="00F03730">
        <w:tc>
          <w:tcPr>
            <w:tcW w:w="426" w:type="dxa"/>
          </w:tcPr>
          <w:p w14:paraId="4CD311FA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2" w:type="dxa"/>
          </w:tcPr>
          <w:p w14:paraId="58657EA2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ლიზერგინის მჟავა, მისი წარმოებულები და პრეპარატები, მათ შორის,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lastRenderedPageBreak/>
              <w:t>ლიზერგიდი</w:t>
            </w:r>
          </w:p>
        </w:tc>
        <w:tc>
          <w:tcPr>
            <w:tcW w:w="993" w:type="dxa"/>
          </w:tcPr>
          <w:p w14:paraId="48B7EC63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</w:p>
          <w:p w14:paraId="52F45C25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  <w:tc>
          <w:tcPr>
            <w:tcW w:w="2976" w:type="dxa"/>
          </w:tcPr>
          <w:p w14:paraId="037FCA8A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ჰალუცინოგენი;</w:t>
            </w:r>
          </w:p>
          <w:p w14:paraId="5889D477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ka-GE"/>
              </w:rPr>
              <w:t>LSD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-ს (ლიზერგინის მჟავას</w:t>
            </w:r>
          </w:p>
          <w:p w14:paraId="3AA8CC3F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დიეთილამიდი) ყველაზე</w:t>
            </w:r>
          </w:p>
          <w:p w14:paraId="78B05FC1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გავრცელებულ ფორმას</w:t>
            </w:r>
          </w:p>
          <w:p w14:paraId="21566B46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წარმოადგენს საშრობი</w:t>
            </w:r>
          </w:p>
          <w:p w14:paraId="0B5E0F29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ქაღალდი, გაყოფილი 4</w:t>
            </w:r>
          </w:p>
          <w:p w14:paraId="32784A3F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lastRenderedPageBreak/>
              <w:t>ნაწილად; თითოეულ</w:t>
            </w:r>
          </w:p>
          <w:p w14:paraId="4BC52F20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მეოთხედს უწოდებენ „ჩეკს“</w:t>
            </w:r>
          </w:p>
          <w:p w14:paraId="66ADA91A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ka-GE"/>
              </w:rPr>
              <w:t xml:space="preserve">(Tab)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და ეს 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ka-GE"/>
              </w:rPr>
              <w:t xml:space="preserve">1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ჩეკი შეიცავს 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ka-GE"/>
              </w:rPr>
              <w:t>30-100</w:t>
            </w:r>
          </w:p>
          <w:p w14:paraId="2F3D396A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-Italic"/>
                <w:i/>
                <w:iCs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მიკროგრამ 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ka-GE"/>
              </w:rPr>
              <w:t>LSD-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ს </w:t>
            </w:r>
            <w:r w:rsidRPr="00F10E5E">
              <w:rPr>
                <w:rFonts w:ascii="Sylfaen" w:hAnsi="Sylfaen" w:cs="Calibri-Italic"/>
                <w:i/>
                <w:iCs/>
                <w:color w:val="0D0D0D" w:themeColor="text1" w:themeTint="F2"/>
                <w:sz w:val="20"/>
                <w:szCs w:val="20"/>
                <w:lang w:val="ka-GE"/>
              </w:rPr>
              <w:t>(1 microgram</w:t>
            </w:r>
          </w:p>
          <w:p w14:paraId="5AD071B8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-Italic"/>
                <w:i/>
                <w:iCs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Calibri-Italic"/>
                <w:i/>
                <w:iCs/>
                <w:color w:val="0D0D0D" w:themeColor="text1" w:themeTint="F2"/>
                <w:sz w:val="20"/>
                <w:szCs w:val="20"/>
                <w:lang w:val="ka-GE"/>
              </w:rPr>
              <w:t>(mcg) = 0.001 milligrams; 1</w:t>
            </w:r>
          </w:p>
          <w:p w14:paraId="09A7945C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-Italic"/>
                <w:i/>
                <w:iCs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Calibri-Italic"/>
                <w:i/>
                <w:iCs/>
                <w:color w:val="0D0D0D" w:themeColor="text1" w:themeTint="F2"/>
                <w:sz w:val="20"/>
                <w:szCs w:val="20"/>
                <w:lang w:val="ka-GE"/>
              </w:rPr>
              <w:t>milligram = 1000 micrograms</w:t>
            </w:r>
          </w:p>
          <w:p w14:paraId="7CF35234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Calibri-Italic"/>
                <w:i/>
                <w:iCs/>
                <w:color w:val="0D0D0D" w:themeColor="text1" w:themeTint="F2"/>
                <w:sz w:val="20"/>
                <w:szCs w:val="20"/>
                <w:lang w:val="ka-GE"/>
              </w:rPr>
              <w:t xml:space="preserve">(mcg)).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ასეთი საშრობი</w:t>
            </w:r>
          </w:p>
          <w:p w14:paraId="1DA58B5B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ქაღალდები იჟღინთება 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ka-GE"/>
              </w:rPr>
              <w:t>LSD-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ს</w:t>
            </w:r>
          </w:p>
          <w:p w14:paraId="72DFDC46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ხსნარით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ka-GE"/>
              </w:rPr>
              <w:t xml:space="preserve">.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რდგან ხსნარის</w:t>
            </w:r>
          </w:p>
          <w:p w14:paraId="11126ECE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განზავების ხარისხი ყოველ</w:t>
            </w:r>
          </w:p>
          <w:p w14:paraId="0B31949A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კონკრეტულ შემთხვევაში</w:t>
            </w:r>
          </w:p>
          <w:p w14:paraId="081EA187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განსხვავებულია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ka-GE"/>
              </w:rPr>
              <w:t xml:space="preserve">,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ძალიან</w:t>
            </w:r>
          </w:p>
          <w:p w14:paraId="1A2779C2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ძნელია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ka-GE"/>
              </w:rPr>
              <w:t xml:space="preserve">,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განისაზღვროს 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ka-GE"/>
              </w:rPr>
              <w:t>LSD-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ს</w:t>
            </w:r>
          </w:p>
          <w:p w14:paraId="7776C66A" w14:textId="77777777" w:rsidR="00984F1B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შემცველობა თითოეულ ჩეკში.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 </w:t>
            </w:r>
            <w:r w:rsidR="00984F1B"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ტოლერანტობის მატება პრაქტიკულად არ ახასიათებს.</w:t>
            </w:r>
          </w:p>
        </w:tc>
        <w:tc>
          <w:tcPr>
            <w:tcW w:w="4402" w:type="dxa"/>
          </w:tcPr>
          <w:p w14:paraId="22A6C087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lastRenderedPageBreak/>
              <w:t>EMCDDA ცნობარის მიხედვით, საშუალო</w:t>
            </w:r>
          </w:p>
          <w:p w14:paraId="7234C3CC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ერთჯერადი დოზა არის 20-80 მკგ</w:t>
            </w:r>
            <w:r w:rsidRPr="00F10E5E">
              <w:rPr>
                <w:rFonts w:ascii="Sylfaen" w:hAnsi="Sylfaen" w:cs="Sylfaen"/>
                <w:color w:val="0D0D0D" w:themeColor="text1" w:themeTint="F2"/>
                <w:sz w:val="12"/>
                <w:szCs w:val="12"/>
              </w:rPr>
              <w:t>9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. საშუალო</w:t>
            </w:r>
          </w:p>
          <w:p w14:paraId="6D485142" w14:textId="77777777" w:rsidR="003C2071" w:rsidRPr="00F10E5E" w:rsidRDefault="00D676AF" w:rsidP="003C2071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სადღეღამისო დოზა არის 50-150 მკგ. </w:t>
            </w:r>
          </w:p>
          <w:p w14:paraId="0A623D67" w14:textId="77777777" w:rsidR="00984F1B" w:rsidRPr="00F10E5E" w:rsidRDefault="00984F1B" w:rsidP="00D676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</w:tr>
      <w:tr w:rsidR="00984F1B" w:rsidRPr="00F10E5E" w14:paraId="33221947" w14:textId="77777777" w:rsidTr="00F03730">
        <w:tc>
          <w:tcPr>
            <w:tcW w:w="426" w:type="dxa"/>
          </w:tcPr>
          <w:p w14:paraId="51ACECBA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2" w:type="dxa"/>
          </w:tcPr>
          <w:p w14:paraId="72027602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მდმა </w:t>
            </w:r>
          </w:p>
          <w:p w14:paraId="63760DC8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(3,4-მეთილენდიოქსიმეტ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-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ამფეტამინი) </w:t>
            </w:r>
          </w:p>
        </w:tc>
        <w:tc>
          <w:tcPr>
            <w:tcW w:w="993" w:type="dxa"/>
          </w:tcPr>
          <w:p w14:paraId="42FB9097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  <w:tc>
          <w:tcPr>
            <w:tcW w:w="2976" w:type="dxa"/>
          </w:tcPr>
          <w:p w14:paraId="47E6D004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ჰალუცინოგენი</w:t>
            </w:r>
          </w:p>
          <w:p w14:paraId="7CC6F726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ამფეტამინისმაგვარი</w:t>
            </w:r>
          </w:p>
          <w:p w14:paraId="78047ADE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ეფექტებით;</w:t>
            </w:r>
          </w:p>
          <w:p w14:paraId="5EEA7F79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MDMA არალეგალურ ბაზარზე</w:t>
            </w:r>
          </w:p>
          <w:p w14:paraId="6529234A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ხელმისაწვდომია აბების,</w:t>
            </w:r>
          </w:p>
          <w:p w14:paraId="763BC205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კაფსულების, იშვიათად,</w:t>
            </w:r>
          </w:p>
          <w:p w14:paraId="6D8F287C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ფხვნილის სახით.</w:t>
            </w:r>
          </w:p>
          <w:p w14:paraId="281101D4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ტაბლეტირებულ ფორმაში</w:t>
            </w:r>
          </w:p>
          <w:p w14:paraId="2F7FE155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(რომელსაც ხშირად „ექსტაზის“</w:t>
            </w:r>
          </w:p>
          <w:p w14:paraId="57F44003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უწოდებენ) MDMA</w:t>
            </w:r>
          </w:p>
          <w:p w14:paraId="50488D87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კომბინირებულია შემდეგ</w:t>
            </w:r>
          </w:p>
          <w:p w14:paraId="0A6A571A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ნივთიერებებთან: კოფეინი,</w:t>
            </w:r>
          </w:p>
          <w:p w14:paraId="2C9C38DE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MDA, MDE, მეთამფეტამინი,</w:t>
            </w:r>
          </w:p>
          <w:p w14:paraId="003E6DE0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ფსევდო/ეფედრინი, კეტამინი</w:t>
            </w:r>
          </w:p>
          <w:p w14:paraId="7609D9F4" w14:textId="77777777" w:rsidR="00984F1B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და სხვ.</w:t>
            </w:r>
          </w:p>
        </w:tc>
        <w:tc>
          <w:tcPr>
            <w:tcW w:w="4402" w:type="dxa"/>
          </w:tcPr>
          <w:p w14:paraId="72FB4C97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ერთ ულუფად ითვლება 40-200 მგ MDMA.</w:t>
            </w:r>
          </w:p>
          <w:p w14:paraId="2DB63B1C" w14:textId="77777777" w:rsidR="00AD0C1B" w:rsidRPr="00F10E5E" w:rsidRDefault="00AD0C1B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  <w:p w14:paraId="43067D8F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რაც შეეხება ექსტაზის ტაბლეტებში MDMA-ს</w:t>
            </w:r>
          </w:p>
          <w:p w14:paraId="6B0BAF5D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შემცველობას, ცნობილია რომ ბოლო წლებში</w:t>
            </w:r>
          </w:p>
          <w:p w14:paraId="3A536983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მწარმოებლებმა შეამცირეს MDMA-ს</w:t>
            </w:r>
          </w:p>
          <w:p w14:paraId="2D03A1A1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შემცველობა და დაამატეს სხვა ფსიქოაქტური</w:t>
            </w:r>
          </w:p>
          <w:p w14:paraId="7F5C6B8F" w14:textId="77777777" w:rsidR="00AD0C1B" w:rsidRPr="00F10E5E" w:rsidRDefault="00D676AF" w:rsidP="00AD0C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ნივთიერებები. </w:t>
            </w:r>
          </w:p>
          <w:p w14:paraId="1797577F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ევროკავშირის ქვეყნებში მცირე ოდენობად</w:t>
            </w:r>
          </w:p>
          <w:p w14:paraId="24045112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განსაზღვრული ოდენობა მერყეობს 0,2</w:t>
            </w:r>
          </w:p>
          <w:p w14:paraId="54A6E047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გრამიდან (ლიტვა) 30 გრამამდე (ავსტრია). 0.4</w:t>
            </w:r>
          </w:p>
          <w:p w14:paraId="20F6DB3D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გრამი აქვს დადგენილი ჩეხეთის რესპუბლიკას</w:t>
            </w:r>
          </w:p>
          <w:p w14:paraId="394565AA" w14:textId="77777777" w:rsidR="00D676AF" w:rsidRPr="00F10E5E" w:rsidRDefault="00D676AF" w:rsidP="00D676A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(ლიტვის შემდეგ ყველაზე დაბალი ოდენობა).</w:t>
            </w:r>
          </w:p>
          <w:p w14:paraId="3659EE92" w14:textId="77777777" w:rsidR="00984F1B" w:rsidRPr="00F10E5E" w:rsidRDefault="00984F1B" w:rsidP="00D676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</w:tr>
      <w:tr w:rsidR="00984F1B" w:rsidRPr="00F10E5E" w14:paraId="377FD28F" w14:textId="77777777" w:rsidTr="00F03730">
        <w:tc>
          <w:tcPr>
            <w:tcW w:w="426" w:type="dxa"/>
          </w:tcPr>
          <w:p w14:paraId="3E308226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2" w:type="dxa"/>
          </w:tcPr>
          <w:p w14:paraId="65FDBEF9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მეთადონი </w:t>
            </w:r>
          </w:p>
        </w:tc>
        <w:tc>
          <w:tcPr>
            <w:tcW w:w="993" w:type="dxa"/>
          </w:tcPr>
          <w:p w14:paraId="5294481F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  <w:tc>
          <w:tcPr>
            <w:tcW w:w="2976" w:type="dxa"/>
          </w:tcPr>
          <w:p w14:paraId="1D9FBC28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ნარკოტიკული ანალგეზიური</w:t>
            </w:r>
          </w:p>
          <w:p w14:paraId="14021DC8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საშუალება;</w:t>
            </w:r>
          </w:p>
          <w:p w14:paraId="303D2D91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ხანგრძლივი მოქმედების</w:t>
            </w:r>
          </w:p>
          <w:p w14:paraId="3609D816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სინთეზური ოპიოიდია,</w:t>
            </w:r>
          </w:p>
          <w:p w14:paraId="32B3979D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რომელიც სამედიცინო</w:t>
            </w:r>
          </w:p>
          <w:p w14:paraId="2ECC30C9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დანიშნულებით გამოიყენება</w:t>
            </w:r>
          </w:p>
          <w:p w14:paraId="6A78652F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ოპიოიდური ჩანაცვლებითი</w:t>
            </w:r>
          </w:p>
          <w:p w14:paraId="27CEB7EF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თერაპიის დროს.</w:t>
            </w:r>
          </w:p>
          <w:p w14:paraId="407308F7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ავადმოხმარების შემთხვევაში,</w:t>
            </w:r>
          </w:p>
          <w:p w14:paraId="182BCDF7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ახასიათებს მიჩვევის მაღალი</w:t>
            </w:r>
          </w:p>
          <w:p w14:paraId="63893539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პოტენციალი და სწრაფად</w:t>
            </w:r>
          </w:p>
          <w:p w14:paraId="21CBCA43" w14:textId="77777777" w:rsidR="00984F1B" w:rsidRPr="00F10E5E" w:rsidRDefault="00343C0C" w:rsidP="00343C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მზარდი ტოლერანტობა.</w:t>
            </w:r>
          </w:p>
        </w:tc>
        <w:tc>
          <w:tcPr>
            <w:tcW w:w="4402" w:type="dxa"/>
          </w:tcPr>
          <w:p w14:paraId="221B3E2A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ჩანაცვლებითი თერაპიის დროს</w:t>
            </w:r>
          </w:p>
          <w:p w14:paraId="0A2C9239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რეკომენდებული დოზებია: საწყისი დოზა - 20</w:t>
            </w:r>
          </w:p>
          <w:p w14:paraId="6AF25AB0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მგ; დოზის თანდათანობითი მატებით შემდგომ</w:t>
            </w:r>
          </w:p>
          <w:p w14:paraId="6E8E04CD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დღეებში. ჯანდაცვის მსოფლიო ორგანიზაციის</w:t>
            </w:r>
          </w:p>
          <w:p w14:paraId="595B17D8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მიერ მოწოდებული ოპტიმალური დოზა</w:t>
            </w:r>
          </w:p>
          <w:p w14:paraId="16AE9E8D" w14:textId="77777777" w:rsidR="00343C0C" w:rsidRPr="00F10E5E" w:rsidRDefault="00343C0C" w:rsidP="00343C0C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ჩანაცვლებითი მკურნალობის დროს არის 60-</w:t>
            </w:r>
          </w:p>
          <w:p w14:paraId="44053BF9" w14:textId="77777777" w:rsidR="00AD0C1B" w:rsidRPr="00F10E5E" w:rsidRDefault="00343C0C" w:rsidP="00AD0C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120 მგ </w:t>
            </w:r>
            <w:proofErr w:type="spellStart"/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დღეში</w:t>
            </w:r>
            <w:proofErr w:type="spellEnd"/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7DA9481" w14:textId="77777777" w:rsidR="00984F1B" w:rsidRPr="00F10E5E" w:rsidRDefault="00984F1B" w:rsidP="00343C0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</w:tr>
      <w:tr w:rsidR="00984F1B" w:rsidRPr="00F10E5E" w14:paraId="6DB4D036" w14:textId="77777777" w:rsidTr="00F03730">
        <w:tc>
          <w:tcPr>
            <w:tcW w:w="426" w:type="dxa"/>
          </w:tcPr>
          <w:p w14:paraId="3DBD8C8B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2" w:type="dxa"/>
          </w:tcPr>
          <w:p w14:paraId="2BC58D1C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მეთკათინონი (ეფედრონი) </w:t>
            </w:r>
          </w:p>
        </w:tc>
        <w:tc>
          <w:tcPr>
            <w:tcW w:w="993" w:type="dxa"/>
          </w:tcPr>
          <w:p w14:paraId="54C33221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  <w:tc>
          <w:tcPr>
            <w:tcW w:w="2976" w:type="dxa"/>
          </w:tcPr>
          <w:p w14:paraId="5F66F65A" w14:textId="77777777" w:rsidR="00984F1B" w:rsidRPr="00F10E5E" w:rsidRDefault="00984F1B" w:rsidP="00F03730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ცნს სტიმულანტი;</w:t>
            </w:r>
          </w:p>
          <w:p w14:paraId="0C05B6C9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ინექციური მოხმარების დროს, აქვს მიჩვევის მაღალი პოტენციალი - ისეთივე, როგორიც ჰეროინს და კოკაინს.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>ტოლერანტობა სწრაფად იზრდება.</w:t>
            </w:r>
          </w:p>
        </w:tc>
        <w:tc>
          <w:tcPr>
            <w:tcW w:w="4402" w:type="dxa"/>
          </w:tcPr>
          <w:p w14:paraId="5241F990" w14:textId="77777777" w:rsidR="007C2FDD" w:rsidRPr="00F10E5E" w:rsidRDefault="007C2FDD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აღმოჩნდა, რომ 1 ფლაკონი (დღეისათვის</w:t>
            </w:r>
          </w:p>
          <w:p w14:paraId="480FDA29" w14:textId="77777777" w:rsidR="007C2FDD" w:rsidRPr="00F10E5E" w:rsidRDefault="007C2FDD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საქართველოში ხელმისაწვდომია სიროფი)</w:t>
            </w:r>
          </w:p>
          <w:p w14:paraId="2331305C" w14:textId="77777777" w:rsidR="007C2FDD" w:rsidRPr="00F10E5E" w:rsidRDefault="007C2FDD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აქტიფედის ქიმიური დამუშავებით მიიღება</w:t>
            </w:r>
          </w:p>
          <w:p w14:paraId="31190E9E" w14:textId="77777777" w:rsidR="007C2FDD" w:rsidRPr="00F10E5E" w:rsidRDefault="007C2FDD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ვინტის ან ჯეფის 2-3 მომხმარებლის დოზა. ანუ,</w:t>
            </w:r>
          </w:p>
          <w:p w14:paraId="29528B08" w14:textId="77777777" w:rsidR="007C2FDD" w:rsidRPr="00F10E5E" w:rsidRDefault="007C2FDD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მომხმარებლის 1 დოზა შეადგენს 100 მგ-ს.</w:t>
            </w:r>
          </w:p>
          <w:p w14:paraId="5EAC7E42" w14:textId="77777777" w:rsidR="007C2FDD" w:rsidRPr="00F10E5E" w:rsidRDefault="007C2FDD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მეთკათინონის მოქმედების ხანგრძლივობა</w:t>
            </w:r>
          </w:p>
          <w:p w14:paraId="1A748757" w14:textId="77777777" w:rsidR="007C2FDD" w:rsidRPr="00F10E5E" w:rsidRDefault="007C2FDD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დაახლოებით 6 საათია, ამიტომ მოიხმარება</w:t>
            </w:r>
          </w:p>
          <w:p w14:paraId="0378D486" w14:textId="77777777" w:rsidR="00AD0C1B" w:rsidRPr="00F10E5E" w:rsidRDefault="007C2FDD" w:rsidP="00AD0C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დღეში 2-4-ჯერ, </w:t>
            </w:r>
          </w:p>
          <w:p w14:paraId="4D7DC9D5" w14:textId="77777777" w:rsidR="00984F1B" w:rsidRPr="00F10E5E" w:rsidRDefault="00984F1B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</w:tr>
      <w:tr w:rsidR="00984F1B" w:rsidRPr="00F10E5E" w14:paraId="60FD20AD" w14:textId="77777777" w:rsidTr="00F03730">
        <w:tc>
          <w:tcPr>
            <w:tcW w:w="426" w:type="dxa"/>
          </w:tcPr>
          <w:p w14:paraId="4CA48DAB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2" w:type="dxa"/>
          </w:tcPr>
          <w:p w14:paraId="5FDBC23E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მეტამფეტამინი </w:t>
            </w:r>
          </w:p>
        </w:tc>
        <w:tc>
          <w:tcPr>
            <w:tcW w:w="993" w:type="dxa"/>
          </w:tcPr>
          <w:p w14:paraId="0CB7BEA9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  <w:tc>
          <w:tcPr>
            <w:tcW w:w="2976" w:type="dxa"/>
          </w:tcPr>
          <w:p w14:paraId="001A0FB9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ცნს სტიმულანტი;</w:t>
            </w:r>
          </w:p>
          <w:p w14:paraId="02D9D3C6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ფარმაცევტული</w:t>
            </w:r>
          </w:p>
          <w:p w14:paraId="799E02CF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მეტამფეტამინი, რომელსაც</w:t>
            </w:r>
          </w:p>
          <w:p w14:paraId="3DDEAA09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იშვიათად, მაგრამ მაინც</w:t>
            </w:r>
          </w:p>
          <w:p w14:paraId="222DF603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ნიშნავენ უცხოეთში სიმსუქნის</w:t>
            </w:r>
          </w:p>
          <w:p w14:paraId="5843834A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(როგორც მადის</w:t>
            </w:r>
          </w:p>
          <w:p w14:paraId="3110A28C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დამთრგუნველი) და</w:t>
            </w:r>
          </w:p>
          <w:p w14:paraId="6638A794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ყურადღების დეფიციტის და</w:t>
            </w:r>
          </w:p>
          <w:p w14:paraId="2681C6FD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ჰიპერაქტივობის სინდრომის</w:t>
            </w:r>
          </w:p>
          <w:p w14:paraId="5BBB92CD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 xml:space="preserve">(ADHD)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დროს, გამოდის</w:t>
            </w:r>
          </w:p>
          <w:p w14:paraId="45FBB9D5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ტაბლეტების სახით, რომლებიც</w:t>
            </w:r>
          </w:p>
          <w:p w14:paraId="651507C7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შეიცავს 5მგ და 10 მგ</w:t>
            </w:r>
          </w:p>
          <w:p w14:paraId="72D8509B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მეტამფეტამინს. პრეპარატის</w:t>
            </w:r>
          </w:p>
          <w:p w14:paraId="6F99390D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საშუალო სადღეღამისო დოზა</w:t>
            </w:r>
          </w:p>
          <w:p w14:paraId="642E938B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არის 10-25 მგ დღეში 2</w:t>
            </w:r>
          </w:p>
          <w:p w14:paraId="69DF2405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მიღებაზე. მიჩვევისა და</w:t>
            </w:r>
          </w:p>
          <w:p w14:paraId="3075BC91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დამოკიდებულების</w:t>
            </w:r>
          </w:p>
          <w:p w14:paraId="2FCFDDF8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ჩამოყალიბების შემთხვევაში,</w:t>
            </w:r>
          </w:p>
          <w:p w14:paraId="54833E05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დღიური დოზები 2-3-ჯერ</w:t>
            </w:r>
          </w:p>
          <w:p w14:paraId="49EF383B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უფრო მაღალია თერაპიულ</w:t>
            </w:r>
          </w:p>
          <w:p w14:paraId="794D1748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დოზებზე. მეტამფეტამინზე</w:t>
            </w:r>
          </w:p>
          <w:p w14:paraId="1D831BEC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მძიმე ფორმის</w:t>
            </w:r>
          </w:p>
          <w:p w14:paraId="49D2DC77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დამოკიდებულების</w:t>
            </w:r>
          </w:p>
          <w:p w14:paraId="39608FC2" w14:textId="77777777" w:rsidR="004E03F7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შემთხვევაში, დღიური დოზა 1</w:t>
            </w:r>
          </w:p>
          <w:p w14:paraId="4877C6BD" w14:textId="77777777" w:rsidR="00984F1B" w:rsidRPr="00F10E5E" w:rsidRDefault="004E03F7" w:rsidP="004E03F7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გრამამდეც კი ადის.</w:t>
            </w:r>
          </w:p>
        </w:tc>
        <w:tc>
          <w:tcPr>
            <w:tcW w:w="4402" w:type="dxa"/>
          </w:tcPr>
          <w:p w14:paraId="24090456" w14:textId="37DFB0D4" w:rsidR="007C2FDD" w:rsidRPr="00F10E5E" w:rsidRDefault="007C2FDD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proofErr w:type="spellStart"/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არსებული</w:t>
            </w:r>
            <w:proofErr w:type="spellEnd"/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 წყაროები</w:t>
            </w:r>
          </w:p>
          <w:p w14:paraId="08F81DAE" w14:textId="77777777" w:rsidR="007C2FDD" w:rsidRPr="00F10E5E" w:rsidRDefault="007C2FDD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მეტყველებს, რომ ქუჩის მეტამფეტამინის</w:t>
            </w:r>
          </w:p>
          <w:p w14:paraId="319745CC" w14:textId="77777777" w:rsidR="007C2FDD" w:rsidRPr="00F10E5E" w:rsidRDefault="007C2FDD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ერთჯერადი დოზა რეგულარული</w:t>
            </w:r>
          </w:p>
          <w:p w14:paraId="135D75AF" w14:textId="77777777" w:rsidR="007C2FDD" w:rsidRPr="00F10E5E" w:rsidRDefault="007C2FDD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მომხმარებლისთვის შეადგენს 150 მგ-ს </w:t>
            </w:r>
            <w:r w:rsidRPr="00F10E5E">
              <w:rPr>
                <w:rFonts w:ascii="Sylfaen" w:hAnsi="Sylfaen" w:cs="Sylfaen"/>
                <w:color w:val="0D0D0D" w:themeColor="text1" w:themeTint="F2"/>
                <w:sz w:val="12"/>
                <w:szCs w:val="12"/>
              </w:rPr>
              <w:t>16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.</w:t>
            </w:r>
          </w:p>
          <w:p w14:paraId="0378747F" w14:textId="77777777" w:rsidR="007C2FDD" w:rsidRPr="00F10E5E" w:rsidRDefault="007C2FDD" w:rsidP="007C2FD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დღისმანძილზე შესაზლოა მოიხმარონ 2-ჯერ,</w:t>
            </w:r>
          </w:p>
          <w:p w14:paraId="3F19EF46" w14:textId="77777777" w:rsidR="00984F1B" w:rsidRPr="00F10E5E" w:rsidRDefault="00984F1B" w:rsidP="00AD0C1B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</w:p>
        </w:tc>
      </w:tr>
      <w:tr w:rsidR="00984F1B" w:rsidRPr="00F10E5E" w14:paraId="250374E0" w14:textId="77777777" w:rsidTr="00F03730">
        <w:trPr>
          <w:trHeight w:val="300"/>
        </w:trPr>
        <w:tc>
          <w:tcPr>
            <w:tcW w:w="426" w:type="dxa"/>
          </w:tcPr>
          <w:p w14:paraId="69DB7B4A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52" w:type="dxa"/>
          </w:tcPr>
          <w:p w14:paraId="2415BC0C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ჰეროინი </w:t>
            </w:r>
          </w:p>
        </w:tc>
        <w:tc>
          <w:tcPr>
            <w:tcW w:w="993" w:type="dxa"/>
          </w:tcPr>
          <w:p w14:paraId="70DBDCFE" w14:textId="77777777" w:rsidR="00984F1B" w:rsidRPr="00F10E5E" w:rsidRDefault="00984F1B" w:rsidP="00F0373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B9E4CD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ნარკოტიკული ანალგეზიური</w:t>
            </w:r>
          </w:p>
          <w:p w14:paraId="1F8B4EF0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საშუალება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>;</w:t>
            </w:r>
          </w:p>
          <w:p w14:paraId="3E600516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მიჩვევის ყველაზე მაღალი</w:t>
            </w:r>
          </w:p>
          <w:p w14:paraId="04AFE3CE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პოტენციალით და სწრაფად</w:t>
            </w:r>
          </w:p>
          <w:p w14:paraId="6AC2FBE6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მზარდი ტოლერანტობით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>.</w:t>
            </w:r>
          </w:p>
          <w:p w14:paraId="55468AE2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უკანასკნელ წლებში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>,</w:t>
            </w:r>
          </w:p>
          <w:p w14:paraId="0E4AE243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დასავლეთის ზოგიერთ</w:t>
            </w:r>
          </w:p>
          <w:p w14:paraId="69D6D5DD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ქვეყანაში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>, (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შევეიცარია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>,</w:t>
            </w:r>
          </w:p>
          <w:p w14:paraId="71D781F5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ნიდერლანდები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 xml:space="preserve">,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გერმანია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>,</w:t>
            </w:r>
          </w:p>
          <w:p w14:paraId="73A18BD0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კანადა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 xml:space="preserve">,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ესპანეთი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 xml:space="preserve">) 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დაიწყეს</w:t>
            </w:r>
          </w:p>
          <w:p w14:paraId="177D957D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წამალდამოკიდებულთა</w:t>
            </w:r>
          </w:p>
          <w:p w14:paraId="47DC97AE" w14:textId="77777777" w:rsidR="00984F1B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მკურნალობა ჰეროინით 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>(Heroinassisted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  <w:lang w:val="ka-GE"/>
              </w:rPr>
              <w:t xml:space="preserve"> 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>Treatment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, </w:t>
            </w:r>
            <w:r w:rsidRPr="00F10E5E">
              <w:rPr>
                <w:rFonts w:ascii="Sylfaen" w:hAnsi="Sylfaen" w:cs="Calibri"/>
                <w:color w:val="0D0D0D" w:themeColor="text1" w:themeTint="F2"/>
                <w:sz w:val="20"/>
                <w:szCs w:val="20"/>
              </w:rPr>
              <w:t>HAT)</w:t>
            </w:r>
          </w:p>
        </w:tc>
        <w:tc>
          <w:tcPr>
            <w:tcW w:w="4402" w:type="dxa"/>
          </w:tcPr>
          <w:p w14:paraId="74B3BBAF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ავადგამოყენების შემთხვევაში, ინექციური</w:t>
            </w:r>
          </w:p>
          <w:p w14:paraId="2E3421BC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ჰეროინის დღიური დოზა </w:t>
            </w:r>
            <w:proofErr w:type="spellStart"/>
            <w:r w:rsidR="00AD0C1B"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ვარ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ირებს</w:t>
            </w:r>
            <w:proofErr w:type="spellEnd"/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 50-1500</w:t>
            </w:r>
          </w:p>
          <w:p w14:paraId="20FEF833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მგ-ის ფარგლებში. მძიმე დამოკიდებულების</w:t>
            </w:r>
          </w:p>
          <w:p w14:paraId="70847A44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შემთხვევაში დღიური დოზა </w:t>
            </w:r>
            <w:proofErr w:type="spellStart"/>
            <w:r w:rsidR="00AD0C1B"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შესაძ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ლოა</w:t>
            </w:r>
            <w:proofErr w:type="spellEnd"/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 xml:space="preserve"> 3 გრ</w:t>
            </w:r>
          </w:p>
          <w:p w14:paraId="25537652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აღწევდეს. ევროპასა და ჩრდილოეთ ამერიკაში</w:t>
            </w:r>
          </w:p>
          <w:p w14:paraId="0DEEE5C2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ჰეროინის მხადრაჭერით მკურნალობაში</w:t>
            </w:r>
          </w:p>
          <w:p w14:paraId="20F0FF46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(ექიმის მიერ დანიშნული ჰეროინის ინექციური</w:t>
            </w:r>
          </w:p>
          <w:p w14:paraId="587DD1F5" w14:textId="77777777" w:rsidR="00D943BF" w:rsidRPr="00F10E5E" w:rsidRDefault="00D943BF" w:rsidP="00D943BF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მოხმარება) პაციენტების დღიური დოზა</w:t>
            </w:r>
          </w:p>
          <w:p w14:paraId="6DEC8050" w14:textId="77777777" w:rsidR="00984F1B" w:rsidRPr="00F10E5E" w:rsidRDefault="00D943BF" w:rsidP="00D943B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</w:pP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</w:rPr>
              <w:t>მერყეობს 275-1000</w:t>
            </w:r>
            <w:r w:rsidRPr="00F10E5E">
              <w:rPr>
                <w:rFonts w:ascii="Sylfaen" w:hAnsi="Sylfaen" w:cs="Sylfaen"/>
                <w:color w:val="0D0D0D" w:themeColor="text1" w:themeTint="F2"/>
                <w:sz w:val="20"/>
                <w:szCs w:val="20"/>
                <w:lang w:val="ka-GE"/>
              </w:rPr>
              <w:t xml:space="preserve"> მგ.</w:t>
            </w:r>
          </w:p>
        </w:tc>
      </w:tr>
    </w:tbl>
    <w:p w14:paraId="10A779F0" w14:textId="77777777" w:rsidR="00984F1B" w:rsidRPr="00F10E5E" w:rsidRDefault="00984F1B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03FDA763" w14:textId="77777777" w:rsidR="00306832" w:rsidRPr="00F10E5E" w:rsidRDefault="00306832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350B211C" w14:textId="77777777" w:rsidR="00AD0C1B" w:rsidRPr="00F10E5E" w:rsidRDefault="00AD0C1B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07020618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73B06ECD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5297B57E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211A88E7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1202CF80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10DF2337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5B56B3EB" w14:textId="77777777" w:rsidR="00F10E5E" w:rsidRPr="00F10E5E" w:rsidRDefault="00F10E5E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28412E64" w14:textId="77777777" w:rsidR="00AD0C1B" w:rsidRPr="00F10E5E" w:rsidRDefault="00AD0C1B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679D7B02" w14:textId="77777777" w:rsidR="00F10E5E" w:rsidRPr="00F10E5E" w:rsidRDefault="00C86C16" w:rsidP="00C86C1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D0D0D" w:themeColor="text1" w:themeTint="F2"/>
          <w:lang w:val="ka-GE" w:eastAsia="ru-RU"/>
        </w:rPr>
      </w:pPr>
      <w:r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 xml:space="preserve">ჰეროინის გაყიდვა ხდება ქუჩაში ე.წ. „ჩეკების“ სახით, რომელიც მერყეობს წონის მიხედვით და ჩვეულებრივ, არასრული გრამია; ან საზღვარგარეთ 1 დოზის, ე.წ. „bag“-ის სახით. დაფასოებულია დოზებად და რამოდენიმე დოზა ერთად </w:t>
      </w:r>
      <w:r w:rsidR="00F10E5E"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 xml:space="preserve">შეკვრაშიც შეიძლება იყიდებოდეს. </w:t>
      </w:r>
      <w:r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 xml:space="preserve"> </w:t>
      </w:r>
      <w:r w:rsidR="00F10E5E"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 xml:space="preserve">ევროპასა და ამერიკაში </w:t>
      </w:r>
      <w:r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>ქუჩის ჰეროინის სისუფთავე მაღალია-50-66%-მდე. ავღანეთის- 95%-მდეც რიგ შემთხვევებში. საქართველოში, სავ</w:t>
      </w:r>
      <w:r w:rsidR="00AD0C1B"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>არაუდოდ, დაბალი ხარისხისაა (15-40 %</w:t>
      </w:r>
      <w:r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>)</w:t>
      </w:r>
      <w:r w:rsidR="00AD0C1B"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 xml:space="preserve">. </w:t>
      </w:r>
    </w:p>
    <w:p w14:paraId="1F84DCE9" w14:textId="77777777" w:rsidR="00C86C16" w:rsidRPr="00F10E5E" w:rsidRDefault="00AD0C1B" w:rsidP="00C86C1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D0D0D" w:themeColor="text1" w:themeTint="F2"/>
          <w:lang w:val="ka-GE" w:eastAsia="ru-RU"/>
        </w:rPr>
      </w:pPr>
      <w:r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 xml:space="preserve">1 „ჩეკი“ </w:t>
      </w:r>
      <w:r w:rsidR="00C86C16"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 xml:space="preserve"> 2-3 კაცის დოზაა ერთჯერადად,</w:t>
      </w:r>
      <w:r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 xml:space="preserve"> </w:t>
      </w:r>
      <w:r w:rsidR="00C86C16"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 xml:space="preserve"> ანუ დღეში 1 „ჩეკი“ საშუალო მომხმარებელს სჭირდება.</w:t>
      </w:r>
    </w:p>
    <w:p w14:paraId="471BA0AC" w14:textId="77777777" w:rsidR="00C86C16" w:rsidRPr="00F10E5E" w:rsidRDefault="00C86C16" w:rsidP="00C86C16">
      <w:pPr>
        <w:shd w:val="clear" w:color="auto" w:fill="FFFFFF"/>
        <w:spacing w:after="0" w:line="240" w:lineRule="auto"/>
        <w:jc w:val="both"/>
        <w:rPr>
          <w:rFonts w:ascii="Sylfaen" w:eastAsia="Times New Roman" w:hAnsi="Sylfaen" w:cs="Helvetica"/>
          <w:color w:val="0D0D0D" w:themeColor="text1" w:themeTint="F2"/>
          <w:sz w:val="24"/>
          <w:szCs w:val="24"/>
          <w:lang w:val="ka-GE" w:eastAsia="ru-RU"/>
        </w:rPr>
      </w:pPr>
    </w:p>
    <w:p w14:paraId="09EFD203" w14:textId="77777777" w:rsidR="00C86C16" w:rsidRPr="00F10E5E" w:rsidRDefault="00C86C16" w:rsidP="00C86C16">
      <w:pPr>
        <w:jc w:val="both"/>
        <w:rPr>
          <w:rFonts w:ascii="Sylfaen" w:eastAsia="Times New Roman" w:hAnsi="Sylfaen" w:cs="Helvetica"/>
          <w:color w:val="0D0D0D" w:themeColor="text1" w:themeTint="F2"/>
          <w:lang w:val="ka-GE" w:eastAsia="ru-RU"/>
        </w:rPr>
      </w:pPr>
      <w:r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>ქუჩის მეთადონიც ასევე ფხვნილის სახით იყიდება დაფასოებული „ჩეკება</w:t>
      </w:r>
      <w:r w:rsidR="00F10E5E"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>დ“. იგივე პრინციპია დ</w:t>
      </w:r>
      <w:r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 xml:space="preserve"> რაც ჰეროინის შემთხვევაში, თუმცა მისი დღეში ერთხელ მოხმარება საკმარისია.</w:t>
      </w:r>
    </w:p>
    <w:p w14:paraId="5058634D" w14:textId="77777777" w:rsidR="00C86C16" w:rsidRPr="00F10E5E" w:rsidRDefault="00C86C16" w:rsidP="00C86C16">
      <w:pPr>
        <w:jc w:val="both"/>
        <w:rPr>
          <w:rFonts w:ascii="Sylfaen" w:eastAsia="Times New Roman" w:hAnsi="Sylfaen" w:cs="Helvetica"/>
          <w:color w:val="0D0D0D" w:themeColor="text1" w:themeTint="F2"/>
          <w:lang w:val="ka-GE" w:eastAsia="ru-RU"/>
        </w:rPr>
      </w:pPr>
      <w:r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>სტიმულანტების- „ვინტის“, „ჯეფის“ მოხმარება/ყიდვა ხდება გამზადებული სითხის სახით შპრიცებში.</w:t>
      </w:r>
    </w:p>
    <w:p w14:paraId="69E6733C" w14:textId="77777777" w:rsidR="00C86C16" w:rsidRPr="00F10E5E" w:rsidRDefault="00C86C16" w:rsidP="00C86C16">
      <w:pPr>
        <w:jc w:val="both"/>
        <w:rPr>
          <w:rFonts w:ascii="Sylfaen" w:eastAsia="Times New Roman" w:hAnsi="Sylfaen" w:cs="Helvetica"/>
          <w:color w:val="0D0D0D" w:themeColor="text1" w:themeTint="F2"/>
          <w:lang w:val="ka-GE" w:eastAsia="ru-RU"/>
        </w:rPr>
      </w:pPr>
      <w:r w:rsidRPr="00F10E5E">
        <w:rPr>
          <w:rFonts w:ascii="Sylfaen" w:eastAsia="Times New Roman" w:hAnsi="Sylfaen" w:cs="Helvetica"/>
          <w:color w:val="0D0D0D" w:themeColor="text1" w:themeTint="F2"/>
          <w:lang w:val="ka-GE" w:eastAsia="ru-RU"/>
        </w:rPr>
        <w:t>ლსდ -ს და მდმა-ს მოხმარებაზე მითითებულია ცხრილებში.</w:t>
      </w:r>
    </w:p>
    <w:p w14:paraId="48DFC513" w14:textId="77777777" w:rsidR="00C86C16" w:rsidRPr="00F10E5E" w:rsidRDefault="00C86C16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4B98428B" w14:textId="77777777" w:rsidR="00C86C16" w:rsidRPr="00F10E5E" w:rsidRDefault="00C86C16" w:rsidP="00DF397B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hAnsi="Sylfaen" w:cs="Tahoma"/>
          <w:color w:val="0D0D0D" w:themeColor="text1" w:themeTint="F2"/>
          <w:sz w:val="27"/>
          <w:szCs w:val="27"/>
          <w:bdr w:val="none" w:sz="0" w:space="0" w:color="auto" w:frame="1"/>
          <w:lang w:val="ka-GE"/>
        </w:rPr>
      </w:pPr>
    </w:p>
    <w:p w14:paraId="2B3DA3C4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</w:pPr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 xml:space="preserve">Genevieve Harris.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Conviction by Numbers - Threshold Quantities for Drug Policy.</w:t>
      </w:r>
      <w:proofErr w:type="gramEnd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 xml:space="preserve"> Transnational Institute (TNI Drugs &amp;</w:t>
      </w:r>
    </w:p>
    <w:p w14:paraId="76C064CD" w14:textId="77777777" w:rsidR="00306832" w:rsidRPr="00F10E5E" w:rsidRDefault="00306832" w:rsidP="0030683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Calibri"/>
          <w:color w:val="0D0D0D" w:themeColor="text1" w:themeTint="F2"/>
          <w:sz w:val="18"/>
          <w:szCs w:val="18"/>
          <w:lang w:val="ka-GE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 xml:space="preserve">Democracy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Programme</w:t>
      </w:r>
      <w:proofErr w:type="spellEnd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, the Netherlands).</w:t>
      </w:r>
      <w:proofErr w:type="gramEnd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 xml:space="preserve"> Series on Legislative Reform of Drug Policies Nr. 14; May 2011</w:t>
      </w:r>
    </w:p>
    <w:p w14:paraId="4DE7FB11" w14:textId="77777777" w:rsidR="00306832" w:rsidRPr="00F10E5E" w:rsidRDefault="00306832" w:rsidP="0030683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Calibri"/>
          <w:color w:val="0D0D0D" w:themeColor="text1" w:themeTint="F2"/>
          <w:sz w:val="18"/>
          <w:szCs w:val="18"/>
          <w:lang w:val="ka-GE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TNI-EMCDDA Expert Seminar on Threshold Quantities.</w:t>
      </w:r>
      <w:proofErr w:type="gramEnd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 xml:space="preserve"> Lisbon – 20 January 2011</w:t>
      </w:r>
    </w:p>
    <w:p w14:paraId="579798E9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</w:pPr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 xml:space="preserve">Genevieve Harris.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Conviction by Numbers - Threshold Quantities for Drug Policy.</w:t>
      </w:r>
      <w:proofErr w:type="gramEnd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 xml:space="preserve"> Transnational Institute (TNI Drugs &amp;</w:t>
      </w:r>
    </w:p>
    <w:p w14:paraId="6DD20566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 xml:space="preserve">Democracy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Programme</w:t>
      </w:r>
      <w:proofErr w:type="spellEnd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, the Netherlands).</w:t>
      </w:r>
      <w:proofErr w:type="gramEnd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 xml:space="preserve"> Series on Legislative Reform of Drug Policies Nr. 14; May 2011</w:t>
      </w:r>
    </w:p>
    <w:p w14:paraId="2D260355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</w:pPr>
      <w:proofErr w:type="spellStart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Grazia</w:t>
      </w:r>
      <w:proofErr w:type="spellEnd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 xml:space="preserve">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Zuffa</w:t>
      </w:r>
      <w:proofErr w:type="spellEnd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. How to determine personal use in drug legislation - The “threshold controversy” in the light of the Italian</w:t>
      </w:r>
    </w:p>
    <w:p w14:paraId="265A8F4D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experience</w:t>
      </w:r>
      <w:proofErr w:type="gramEnd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 xml:space="preserve">. Transnational Institute (TNI Drugs &amp; Democracy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Programme</w:t>
      </w:r>
      <w:proofErr w:type="spellEnd"/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, the Netherlands). Series on Legislative Reform of Drug</w:t>
      </w:r>
    </w:p>
    <w:p w14:paraId="7B383205" w14:textId="77777777" w:rsidR="00306832" w:rsidRPr="00F10E5E" w:rsidRDefault="00306832" w:rsidP="0030683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Calibri"/>
          <w:color w:val="0D0D0D" w:themeColor="text1" w:themeTint="F2"/>
          <w:sz w:val="18"/>
          <w:szCs w:val="18"/>
          <w:lang w:val="ka-GE"/>
        </w:rPr>
      </w:pPr>
      <w:r w:rsidRPr="00F10E5E">
        <w:rPr>
          <w:rFonts w:ascii="Sylfaen" w:hAnsi="Sylfaen" w:cs="Calibri"/>
          <w:color w:val="0D0D0D" w:themeColor="text1" w:themeTint="F2"/>
          <w:sz w:val="18"/>
          <w:szCs w:val="18"/>
          <w:lang w:val="en-US"/>
        </w:rPr>
        <w:t>Policies Nr. 15; August 2011</w:t>
      </w:r>
    </w:p>
    <w:p w14:paraId="35E3DABC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20"/>
          <w:szCs w:val="20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20"/>
          <w:szCs w:val="20"/>
          <w:lang w:val="en-US"/>
        </w:rPr>
        <w:t>Penalties for drug law offences in Europe at a glance.</w:t>
      </w:r>
      <w:proofErr w:type="gramEnd"/>
      <w:r w:rsidRPr="00F10E5E">
        <w:rPr>
          <w:rFonts w:ascii="Sylfaen" w:hAnsi="Sylfaen" w:cs="Calibri"/>
          <w:color w:val="0D0D0D" w:themeColor="text1" w:themeTint="F2"/>
          <w:sz w:val="20"/>
          <w:szCs w:val="20"/>
          <w:lang w:val="en-US"/>
        </w:rPr>
        <w:t xml:space="preserve"> EMCDDA.</w:t>
      </w:r>
    </w:p>
    <w:p w14:paraId="014B2DF3" w14:textId="77777777" w:rsidR="00306832" w:rsidRPr="00F10E5E" w:rsidRDefault="002716D1" w:rsidP="0030683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Calibri"/>
          <w:color w:val="0D0D0D" w:themeColor="text1" w:themeTint="F2"/>
          <w:sz w:val="20"/>
          <w:szCs w:val="20"/>
          <w:lang w:val="ka-GE"/>
        </w:rPr>
      </w:pPr>
      <w:hyperlink r:id="rId6" w:history="1">
        <w:r w:rsidR="00306832" w:rsidRPr="00F10E5E">
          <w:rPr>
            <w:rStyle w:val="Hyperlink"/>
            <w:rFonts w:ascii="Sylfaen" w:hAnsi="Sylfaen" w:cs="Calibri"/>
            <w:color w:val="0D0D0D" w:themeColor="text1" w:themeTint="F2"/>
            <w:sz w:val="20"/>
            <w:szCs w:val="20"/>
            <w:lang w:val="en-US"/>
          </w:rPr>
          <w:t>http://www.emcdda.europa.eu/topics/law/penalties-at-a-glance</w:t>
        </w:r>
      </w:hyperlink>
    </w:p>
    <w:p w14:paraId="3C2E79FA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EMCDDA (2017).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"Amphetamine drug profile." Retrieved November 26, 2017, from http://www.emcdda.europa.eu/publications/drugprofiles/</w:t>
      </w:r>
    </w:p>
    <w:p w14:paraId="5E0A3639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amphetamine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.</w:t>
      </w:r>
    </w:p>
    <w:p w14:paraId="48CF1C2C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American Society of Addiction Medicine (2015).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National Practice Guideline for the Use of Medications in the Treatment of Addiction</w:t>
      </w:r>
    </w:p>
    <w:p w14:paraId="4C789A4D" w14:textId="77777777" w:rsidR="00306832" w:rsidRPr="00F10E5E" w:rsidRDefault="00306832" w:rsidP="0030683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Calibri"/>
          <w:color w:val="0D0D0D" w:themeColor="text1" w:themeTint="F2"/>
          <w:sz w:val="16"/>
          <w:szCs w:val="16"/>
          <w:lang w:val="ka-GE"/>
        </w:rPr>
      </w:pPr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Involving Opioid Use. Washington, USA, ASAM.</w:t>
      </w:r>
    </w:p>
    <w:p w14:paraId="49C45F67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ka-GE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EMCDDA (2017).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"Cocaine and crack drug profile." Retrieved November 26, 2017, from </w:t>
      </w:r>
      <w:hyperlink r:id="rId7" w:history="1">
        <w:r w:rsidRPr="00F10E5E">
          <w:rPr>
            <w:rStyle w:val="Hyperlink"/>
            <w:rFonts w:ascii="Sylfaen" w:hAnsi="Sylfaen" w:cs="Calibri"/>
            <w:color w:val="0D0D0D" w:themeColor="text1" w:themeTint="F2"/>
            <w:sz w:val="16"/>
            <w:szCs w:val="16"/>
            <w:lang w:val="en-US"/>
          </w:rPr>
          <w:t>http://www.emcdda.europa.eu/publications/drugprofiles/cocaine</w:t>
        </w:r>
      </w:hyperlink>
    </w:p>
    <w:p w14:paraId="0D8CCDAF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EMCDDA (2017).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"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Lysergide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(LSD) drug profile." Retrieved November 26, 2017, from http://www.emcdda.europa.eu/publications/drugprofiles/</w:t>
      </w:r>
    </w:p>
    <w:p w14:paraId="6DBB6F30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spellStart"/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lsd</w:t>
      </w:r>
      <w:proofErr w:type="spellEnd"/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.</w:t>
      </w:r>
    </w:p>
    <w:p w14:paraId="4AA5829E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EMCDDA (2017).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"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Methylenedioxymethamphetamine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(MDMA or 'Ecstasy') drug profile." Retrieved November 27, 2017, from</w:t>
      </w:r>
    </w:p>
    <w:p w14:paraId="4A90BCBE" w14:textId="77777777" w:rsidR="00306832" w:rsidRPr="00F10E5E" w:rsidRDefault="002716D1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ka-GE"/>
        </w:rPr>
      </w:pPr>
      <w:hyperlink r:id="rId8" w:history="1">
        <w:r w:rsidR="00306832" w:rsidRPr="00F10E5E">
          <w:rPr>
            <w:rStyle w:val="Hyperlink"/>
            <w:rFonts w:ascii="Sylfaen" w:hAnsi="Sylfaen" w:cs="Calibri"/>
            <w:color w:val="0D0D0D" w:themeColor="text1" w:themeTint="F2"/>
            <w:sz w:val="16"/>
            <w:szCs w:val="16"/>
            <w:lang w:val="en-US"/>
          </w:rPr>
          <w:t>http://www.emcdda.europa.eu/publications/drug-profiles/mdma</w:t>
        </w:r>
      </w:hyperlink>
    </w:p>
    <w:p w14:paraId="2DA59A98" w14:textId="77777777" w:rsidR="00306832" w:rsidRPr="00F10E5E" w:rsidRDefault="00306832" w:rsidP="00306832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ka-GE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EROWID (2017).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"MDMA Dosage." Retrieved November 27, 2017, from </w:t>
      </w:r>
      <w:hyperlink r:id="rId9" w:history="1">
        <w:r w:rsidRPr="00F10E5E">
          <w:rPr>
            <w:rStyle w:val="Hyperlink"/>
            <w:rFonts w:ascii="Sylfaen" w:hAnsi="Sylfaen" w:cs="Calibri"/>
            <w:color w:val="0D0D0D" w:themeColor="text1" w:themeTint="F2"/>
            <w:sz w:val="16"/>
            <w:szCs w:val="16"/>
            <w:lang w:val="en-US"/>
          </w:rPr>
          <w:t>https://erowid.org/chemicals/mdma/mdma_dose.shtml</w:t>
        </w:r>
      </w:hyperlink>
    </w:p>
    <w:p w14:paraId="45287D54" w14:textId="77777777" w:rsidR="00057880" w:rsidRPr="00F10E5E" w:rsidRDefault="00057880" w:rsidP="00057880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EMCDDA (2017).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"Threshold quantities for drug offences." Retrieved November 27, 2017, from</w:t>
      </w:r>
    </w:p>
    <w:p w14:paraId="3D5CDDA0" w14:textId="77777777" w:rsidR="00057880" w:rsidRPr="00F10E5E" w:rsidRDefault="002716D1" w:rsidP="00057880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ka-GE"/>
        </w:rPr>
      </w:pPr>
      <w:hyperlink r:id="rId10" w:history="1">
        <w:r w:rsidR="00057880" w:rsidRPr="00F10E5E">
          <w:rPr>
            <w:rStyle w:val="Hyperlink"/>
            <w:rFonts w:ascii="Sylfaen" w:hAnsi="Sylfaen" w:cs="Calibri"/>
            <w:color w:val="0D0D0D" w:themeColor="text1" w:themeTint="F2"/>
            <w:sz w:val="16"/>
            <w:szCs w:val="16"/>
            <w:lang w:val="en-US"/>
          </w:rPr>
          <w:t>http://www.emcdda.europa.eu/html.cfm/index99321EN.html</w:t>
        </w:r>
      </w:hyperlink>
    </w:p>
    <w:p w14:paraId="2EAF225C" w14:textId="77777777" w:rsidR="00057880" w:rsidRPr="00F10E5E" w:rsidRDefault="00057880" w:rsidP="00057880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r w:rsidRPr="00F10E5E">
        <w:rPr>
          <w:rFonts w:ascii="Sylfaen" w:hAnsi="Sylfaen" w:cs="Calibri"/>
          <w:color w:val="0D0D0D" w:themeColor="text1" w:themeTint="F2"/>
          <w:sz w:val="13"/>
          <w:szCs w:val="13"/>
          <w:lang w:val="en-US"/>
        </w:rPr>
        <w:t xml:space="preserve">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World Health Organization (2009).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Guidelines for the Psychosocially Assisted Pharmacological Treatment of Opioid Dependence.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Geneva.</w:t>
      </w:r>
    </w:p>
    <w:p w14:paraId="0FC5F818" w14:textId="77777777" w:rsidR="00057880" w:rsidRPr="00F10E5E" w:rsidRDefault="00057880" w:rsidP="00057880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r w:rsidRPr="00F10E5E">
        <w:rPr>
          <w:rFonts w:ascii="Sylfaen" w:hAnsi="Sylfaen" w:cs="Calibri"/>
          <w:color w:val="0D0D0D" w:themeColor="text1" w:themeTint="F2"/>
          <w:sz w:val="14"/>
          <w:szCs w:val="14"/>
          <w:lang w:val="en-US"/>
        </w:rPr>
        <w:t xml:space="preserve">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Zingel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K.Y.,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Dovensky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, W., Crossman, A. and Allen, A., "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Ephedrone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: 2-Methylamino-1-Phenylpropane-1-One (Jeff)," Journal of Forensic</w:t>
      </w:r>
    </w:p>
    <w:p w14:paraId="38CB6DF0" w14:textId="77777777" w:rsidR="00306832" w:rsidRPr="00F10E5E" w:rsidRDefault="00057880" w:rsidP="00057880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ka-GE"/>
        </w:rPr>
      </w:pPr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Sciences, v. 36, No.3, May 1991, pp.915-920</w:t>
      </w:r>
    </w:p>
    <w:p w14:paraId="6F455305" w14:textId="77777777" w:rsidR="006A27FD" w:rsidRPr="00F10E5E" w:rsidRDefault="006A27FD" w:rsidP="006A27F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D0D0D" w:themeColor="text1" w:themeTint="F2"/>
          <w:sz w:val="16"/>
          <w:szCs w:val="16"/>
          <w:lang w:val="ka-GE"/>
        </w:rPr>
      </w:pPr>
      <w:proofErr w:type="gramStart"/>
      <w:r w:rsidRPr="00F10E5E">
        <w:rPr>
          <w:rFonts w:ascii="Sylfaen" w:hAnsi="Sylfaen" w:cs="Sylfaen"/>
          <w:color w:val="0D0D0D" w:themeColor="text1" w:themeTint="F2"/>
          <w:sz w:val="16"/>
          <w:szCs w:val="16"/>
          <w:lang w:val="en-US"/>
        </w:rPr>
        <w:t>EROWID (2017).</w:t>
      </w:r>
      <w:proofErr w:type="gramEnd"/>
      <w:r w:rsidRPr="00F10E5E">
        <w:rPr>
          <w:rFonts w:ascii="Sylfaen" w:hAnsi="Sylfaen" w:cs="Sylfaen"/>
          <w:color w:val="0D0D0D" w:themeColor="text1" w:themeTint="F2"/>
          <w:sz w:val="16"/>
          <w:szCs w:val="16"/>
          <w:lang w:val="en-US"/>
        </w:rPr>
        <w:t xml:space="preserve"> "Mescaline Dosage." Retrieved November 27, 2017, from </w:t>
      </w:r>
      <w:hyperlink r:id="rId11" w:history="1">
        <w:r w:rsidRPr="00F10E5E">
          <w:rPr>
            <w:rStyle w:val="Hyperlink"/>
            <w:rFonts w:ascii="Sylfaen" w:hAnsi="Sylfaen" w:cs="Sylfaen"/>
            <w:color w:val="0D0D0D" w:themeColor="text1" w:themeTint="F2"/>
            <w:sz w:val="16"/>
            <w:szCs w:val="16"/>
            <w:lang w:val="en-US"/>
          </w:rPr>
          <w:t>https://erowid.org/chemicals/mescaline/mescaline_dose.shtml</w:t>
        </w:r>
      </w:hyperlink>
    </w:p>
    <w:p w14:paraId="518EE7EB" w14:textId="77777777" w:rsidR="00057880" w:rsidRPr="00F10E5E" w:rsidRDefault="006A27FD" w:rsidP="006A27FD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ka-GE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EROWID (2017).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"Methamphetamine Dose." Retrieved November 30, 2017, from </w:t>
      </w:r>
      <w:hyperlink r:id="rId12" w:history="1">
        <w:r w:rsidRPr="00F10E5E">
          <w:rPr>
            <w:rStyle w:val="Hyperlink"/>
            <w:rFonts w:ascii="Sylfaen" w:hAnsi="Sylfaen" w:cs="Calibri"/>
            <w:color w:val="0D0D0D" w:themeColor="text1" w:themeTint="F2"/>
            <w:sz w:val="16"/>
            <w:szCs w:val="16"/>
            <w:lang w:val="en-US"/>
          </w:rPr>
          <w:t>https://erowid.org/chemicals/meth/meth_dose.shtml</w:t>
        </w:r>
      </w:hyperlink>
    </w:p>
    <w:p w14:paraId="7263FB02" w14:textId="77777777" w:rsidR="002B3AC3" w:rsidRPr="00F10E5E" w:rsidRDefault="002B3AC3" w:rsidP="002B3AC3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EMCDDA (2003).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The role of the quantity in the prosecution of drug offences.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European Legal Database on Drugs.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Lisbon, Portugal.</w:t>
      </w:r>
    </w:p>
    <w:p w14:paraId="00A1775D" w14:textId="77777777" w:rsidR="002B3AC3" w:rsidRPr="00F10E5E" w:rsidRDefault="002B3AC3" w:rsidP="002B3AC3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spellStart"/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AddictionResource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(2017).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"How to Make Heroin: The Story of How the Poppy Flower is Made Into a Poison." Retrieved November 27, 2017,</w:t>
      </w:r>
    </w:p>
    <w:p w14:paraId="4D6CD32C" w14:textId="77777777" w:rsidR="002B3AC3" w:rsidRPr="00F10E5E" w:rsidRDefault="002B3AC3" w:rsidP="002B3AC3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lastRenderedPageBreak/>
        <w:t>from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https://addictionresource.com/drugs/heroin/how-to-make-heroin/.</w:t>
      </w:r>
    </w:p>
    <w:p w14:paraId="62EE1527" w14:textId="77777777" w:rsidR="002B3AC3" w:rsidRPr="00F10E5E" w:rsidRDefault="002B3AC3" w:rsidP="002B3AC3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EMCDDA (2017).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"Hallucinogenic mushrooms drug profile." Retrieved November 27, 2017, from</w:t>
      </w:r>
    </w:p>
    <w:p w14:paraId="62AE5A20" w14:textId="77777777" w:rsidR="002B3AC3" w:rsidRPr="00F10E5E" w:rsidRDefault="002716D1" w:rsidP="002B3AC3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ka-GE"/>
        </w:rPr>
      </w:pPr>
      <w:hyperlink r:id="rId13" w:anchor="use" w:history="1">
        <w:r w:rsidR="002B3AC3" w:rsidRPr="00F10E5E">
          <w:rPr>
            <w:rStyle w:val="Hyperlink"/>
            <w:rFonts w:ascii="Sylfaen" w:hAnsi="Sylfaen" w:cs="Calibri"/>
            <w:color w:val="0D0D0D" w:themeColor="text1" w:themeTint="F2"/>
            <w:sz w:val="16"/>
            <w:szCs w:val="16"/>
            <w:lang w:val="en-US"/>
          </w:rPr>
          <w:t>http://www.emcdda.europa.eu/publications/drug-profiles/mushrooms#use</w:t>
        </w:r>
      </w:hyperlink>
    </w:p>
    <w:p w14:paraId="55C4591D" w14:textId="77777777" w:rsidR="002B3AC3" w:rsidRPr="00F10E5E" w:rsidRDefault="002B3AC3" w:rsidP="002B3AC3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EMCDDA (2017).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"Hallucinogenic mushrooms drug profile." Retrieved November 27, 2017, from</w:t>
      </w:r>
    </w:p>
    <w:p w14:paraId="689B7F0E" w14:textId="77777777" w:rsidR="002B3AC3" w:rsidRPr="00F10E5E" w:rsidRDefault="002716D1" w:rsidP="002B3AC3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ka-GE"/>
        </w:rPr>
      </w:pPr>
      <w:hyperlink r:id="rId14" w:anchor="use" w:history="1">
        <w:r w:rsidR="002B3AC3" w:rsidRPr="00F10E5E">
          <w:rPr>
            <w:rStyle w:val="Hyperlink"/>
            <w:rFonts w:ascii="Sylfaen" w:hAnsi="Sylfaen" w:cs="Calibri"/>
            <w:color w:val="0D0D0D" w:themeColor="text1" w:themeTint="F2"/>
            <w:sz w:val="16"/>
            <w:szCs w:val="16"/>
            <w:lang w:val="en-US"/>
          </w:rPr>
          <w:t>http://www.emcdda.europa.eu/publications/drug-profiles/mushrooms#use</w:t>
        </w:r>
      </w:hyperlink>
    </w:p>
    <w:p w14:paraId="30662DE7" w14:textId="77777777" w:rsidR="006A27FD" w:rsidRPr="00F10E5E" w:rsidRDefault="002716D1" w:rsidP="002B3AC3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ka-GE"/>
        </w:rPr>
      </w:pPr>
      <w:hyperlink r:id="rId15" w:anchor="Usual_Adult_Dose_for_Pain" w:history="1">
        <w:r w:rsidR="002B3AC3" w:rsidRPr="00F10E5E">
          <w:rPr>
            <w:rStyle w:val="Hyperlink"/>
            <w:rFonts w:ascii="Sylfaen" w:hAnsi="Sylfaen" w:cs="Calibri"/>
            <w:color w:val="0D0D0D" w:themeColor="text1" w:themeTint="F2"/>
            <w:sz w:val="16"/>
            <w:szCs w:val="16"/>
            <w:lang w:val="ka-GE"/>
          </w:rPr>
          <w:t>https://www.drugs.com/dosage/tramadol.html#Usual_Adult_Dose_for_Pain</w:t>
        </w:r>
      </w:hyperlink>
    </w:p>
    <w:p w14:paraId="5AFBCD62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r w:rsidRPr="00F10E5E">
        <w:rPr>
          <w:rFonts w:ascii="Sylfaen" w:hAnsi="Sylfaen" w:cs="Calibri"/>
          <w:color w:val="0D0D0D" w:themeColor="text1" w:themeTint="F2"/>
          <w:sz w:val="10"/>
          <w:szCs w:val="10"/>
          <w:lang w:val="en-US"/>
        </w:rPr>
        <w:t xml:space="preserve">22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Blanken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P.,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Hendriks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V. M., Van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Ree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, J. M., &amp; Van Den Brink, W. (2010). Outcome of long-term heroin-assisted treatment offered to chronic,</w:t>
      </w:r>
    </w:p>
    <w:p w14:paraId="090319F9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treatment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-resistant heroin addicts in the Netherlands. </w:t>
      </w:r>
      <w:proofErr w:type="gramStart"/>
      <w:r w:rsidRPr="00F10E5E">
        <w:rPr>
          <w:rFonts w:ascii="Sylfaen" w:hAnsi="Sylfaen" w:cs="Calibri-Italic"/>
          <w:i/>
          <w:iCs/>
          <w:color w:val="0D0D0D" w:themeColor="text1" w:themeTint="F2"/>
          <w:sz w:val="16"/>
          <w:szCs w:val="16"/>
          <w:lang w:val="en-US"/>
        </w:rPr>
        <w:t>Addiction, 105</w:t>
      </w:r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(2), 300-308.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doi:10.1111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/j.1360-0443.2009.02754.x</w:t>
      </w:r>
    </w:p>
    <w:p w14:paraId="5708121D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r w:rsidRPr="00F10E5E">
        <w:rPr>
          <w:rFonts w:ascii="Sylfaen" w:hAnsi="Sylfaen" w:cs="Calibri"/>
          <w:color w:val="0D0D0D" w:themeColor="text1" w:themeTint="F2"/>
          <w:sz w:val="10"/>
          <w:szCs w:val="10"/>
          <w:lang w:val="en-US"/>
        </w:rPr>
        <w:t xml:space="preserve">23 </w:t>
      </w:r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Byford, S., Barrett, B.,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Metrebian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N.,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Groshkova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T., Cary, M., Charles, V., . . .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Strang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, J. (2013). Cost-effectiveness of injectable opioid</w:t>
      </w:r>
    </w:p>
    <w:p w14:paraId="6BABC643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treatment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v. oral methadone for chronic heroin addiction. </w:t>
      </w:r>
      <w:proofErr w:type="gramStart"/>
      <w:r w:rsidRPr="00F10E5E">
        <w:rPr>
          <w:rFonts w:ascii="Sylfaen" w:hAnsi="Sylfaen" w:cs="Calibri-Italic"/>
          <w:i/>
          <w:iCs/>
          <w:color w:val="0D0D0D" w:themeColor="text1" w:themeTint="F2"/>
          <w:sz w:val="16"/>
          <w:szCs w:val="16"/>
          <w:lang w:val="en-US"/>
        </w:rPr>
        <w:t>The British Journal of Psychiatry, 203</w:t>
      </w:r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(5), 341-349.</w:t>
      </w:r>
      <w:proofErr w:type="gramEnd"/>
    </w:p>
    <w:p w14:paraId="37E1EF7A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doi:10.1192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/bjp.bp.112.111583</w:t>
      </w:r>
    </w:p>
    <w:p w14:paraId="71ACEDF7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r w:rsidRPr="00F10E5E">
        <w:rPr>
          <w:rFonts w:ascii="Sylfaen" w:hAnsi="Sylfaen" w:cs="Calibri"/>
          <w:color w:val="0D0D0D" w:themeColor="text1" w:themeTint="F2"/>
          <w:sz w:val="10"/>
          <w:szCs w:val="10"/>
          <w:lang w:val="en-US"/>
        </w:rPr>
        <w:t xml:space="preserve">24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Dijkgraaf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M. G. W., van der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Zanden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B. P., de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Borgie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C. A. J. M.,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Blanken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P., van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Ree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, J. M., &amp; van den Brink, W. (2005). Cost utility analysis of</w:t>
      </w:r>
    </w:p>
    <w:p w14:paraId="123203FC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co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-prescribed heroin compared with methadone maintenance treatment in heroin addicts in two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randomised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trials. </w:t>
      </w:r>
      <w:r w:rsidRPr="00F10E5E">
        <w:rPr>
          <w:rFonts w:ascii="Sylfaen" w:hAnsi="Sylfaen" w:cs="Calibri-Italic"/>
          <w:i/>
          <w:iCs/>
          <w:color w:val="0D0D0D" w:themeColor="text1" w:themeTint="F2"/>
          <w:sz w:val="16"/>
          <w:szCs w:val="16"/>
          <w:lang w:val="en-US"/>
        </w:rPr>
        <w:t>BMJ, 330</w:t>
      </w:r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(7503),</w:t>
      </w:r>
    </w:p>
    <w:p w14:paraId="23CF99B7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1297.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doi:10.1136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/bmj.330.7503.1297</w:t>
      </w:r>
    </w:p>
    <w:p w14:paraId="6E48B9AD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spellStart"/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Haasen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C.,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Verthein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U.,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Degkwitz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P., Berger, J.,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Krausz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M., &amp;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Naber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, D. (2007).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Heroin-assisted treatment for opioid dependence.</w:t>
      </w:r>
      <w:proofErr w:type="gramEnd"/>
    </w:p>
    <w:p w14:paraId="77080486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spellStart"/>
      <w:r w:rsidRPr="00F10E5E">
        <w:rPr>
          <w:rFonts w:ascii="Sylfaen" w:hAnsi="Sylfaen" w:cs="Calibri-Italic"/>
          <w:i/>
          <w:iCs/>
          <w:color w:val="0D0D0D" w:themeColor="text1" w:themeTint="F2"/>
          <w:sz w:val="16"/>
          <w:szCs w:val="16"/>
          <w:lang w:val="en-US"/>
        </w:rPr>
        <w:t>Randomised</w:t>
      </w:r>
      <w:proofErr w:type="spellEnd"/>
      <w:r w:rsidRPr="00F10E5E">
        <w:rPr>
          <w:rFonts w:ascii="Sylfaen" w:hAnsi="Sylfaen" w:cs="Calibri-Italic"/>
          <w:i/>
          <w:iCs/>
          <w:color w:val="0D0D0D" w:themeColor="text1" w:themeTint="F2"/>
          <w:sz w:val="16"/>
          <w:szCs w:val="16"/>
          <w:lang w:val="en-US"/>
        </w:rPr>
        <w:t xml:space="preserve"> controlled trial, 191</w:t>
      </w:r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(1),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55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-62.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doi:10.1192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/bjp.bp.106.026112</w:t>
      </w:r>
    </w:p>
    <w:p w14:paraId="09A2916D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0"/>
          <w:szCs w:val="10"/>
          <w:lang w:val="en-US"/>
        </w:rPr>
        <w:t xml:space="preserve">26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Lasnier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B.,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Brochu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, S., Boyd, N., &amp; Fischer, B. (2010).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A heroin prescription trial: Case studies from Montreal and Vancouver on crime and</w:t>
      </w:r>
    </w:p>
    <w:p w14:paraId="3CB1C91B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disorder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in the surrounding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neighbourhoods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. </w:t>
      </w:r>
      <w:proofErr w:type="gramStart"/>
      <w:r w:rsidRPr="00F10E5E">
        <w:rPr>
          <w:rFonts w:ascii="Sylfaen" w:hAnsi="Sylfaen" w:cs="Calibri-Italic"/>
          <w:i/>
          <w:iCs/>
          <w:color w:val="0D0D0D" w:themeColor="text1" w:themeTint="F2"/>
          <w:sz w:val="16"/>
          <w:szCs w:val="16"/>
          <w:lang w:val="en-US"/>
        </w:rPr>
        <w:t>International Journal of Drug Policy, 21</w:t>
      </w:r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(1), 28-35.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doi:10.1016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/j.drugpo.2009.04.003</w:t>
      </w:r>
    </w:p>
    <w:p w14:paraId="0B7CE7BB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March, J. C., Oviedo-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Joekes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E.,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Perea-Milla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, E., &amp; Carrasco, F. (2006).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Controlled trial of prescribed heroin in the treatment of opioid</w:t>
      </w:r>
    </w:p>
    <w:p w14:paraId="51D29905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addiction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. </w:t>
      </w:r>
      <w:proofErr w:type="gramStart"/>
      <w:r w:rsidRPr="00F10E5E">
        <w:rPr>
          <w:rFonts w:ascii="Sylfaen" w:hAnsi="Sylfaen" w:cs="Calibri-Italic"/>
          <w:i/>
          <w:iCs/>
          <w:color w:val="0D0D0D" w:themeColor="text1" w:themeTint="F2"/>
          <w:sz w:val="16"/>
          <w:szCs w:val="16"/>
          <w:lang w:val="en-US"/>
        </w:rPr>
        <w:t>Journal of substance abuse treatment, 31</w:t>
      </w:r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(2), 203-211.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doi:10.1016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/j.jsat.2006.04.007</w:t>
      </w:r>
    </w:p>
    <w:p w14:paraId="1745357A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r w:rsidRPr="00F10E5E">
        <w:rPr>
          <w:rFonts w:ascii="Sylfaen" w:hAnsi="Sylfaen" w:cs="Calibri"/>
          <w:color w:val="0D0D0D" w:themeColor="text1" w:themeTint="F2"/>
          <w:sz w:val="10"/>
          <w:szCs w:val="10"/>
          <w:lang w:val="en-US"/>
        </w:rPr>
        <w:t xml:space="preserve">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Oviedo-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Joekes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E.,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Brissette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S., Marsh, D. C.,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Lauzon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P.,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Guh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, D., Anis, A., &amp; Schechter, M. T. (2009).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Diacetylmorphine versus Methadone for</w:t>
      </w:r>
    </w:p>
    <w:p w14:paraId="552148EF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the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Treatment of Opioid Addiction. </w:t>
      </w:r>
      <w:r w:rsidRPr="00F10E5E">
        <w:rPr>
          <w:rFonts w:ascii="Sylfaen" w:hAnsi="Sylfaen" w:cs="Calibri-Italic"/>
          <w:i/>
          <w:iCs/>
          <w:color w:val="0D0D0D" w:themeColor="text1" w:themeTint="F2"/>
          <w:sz w:val="16"/>
          <w:szCs w:val="16"/>
          <w:lang w:val="en-US"/>
        </w:rPr>
        <w:t>New England Journal of Medicine, 361</w:t>
      </w:r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(8), 777-786. doi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:doi:10.1056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/NEJMoa0810635</w:t>
      </w:r>
    </w:p>
    <w:p w14:paraId="78F7DAD4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</w:pPr>
      <w:r w:rsidRPr="00F10E5E">
        <w:rPr>
          <w:rFonts w:ascii="Sylfaen" w:hAnsi="Sylfaen" w:cs="Calibri"/>
          <w:color w:val="0D0D0D" w:themeColor="text1" w:themeTint="F2"/>
          <w:sz w:val="10"/>
          <w:szCs w:val="10"/>
          <w:lang w:val="en-US"/>
        </w:rPr>
        <w:t xml:space="preserve"> </w:t>
      </w:r>
      <w:proofErr w:type="spellStart"/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Perneger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, T. V.,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Giner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, F., del Rio, M., &amp; Mino, A. (1998).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Randomised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trial of heroin maintenance </w:t>
      </w:r>
      <w:proofErr w:type="spell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programme</w:t>
      </w:r>
      <w:proofErr w:type="spell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for addicts who fail in</w:t>
      </w:r>
    </w:p>
    <w:p w14:paraId="5792E755" w14:textId="77777777" w:rsidR="00455F3F" w:rsidRPr="00F10E5E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D0D0D" w:themeColor="text1" w:themeTint="F2"/>
          <w:sz w:val="16"/>
          <w:szCs w:val="16"/>
          <w:lang w:val="ka-GE"/>
        </w:rPr>
      </w:pP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conventional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drug treatments. </w:t>
      </w:r>
      <w:proofErr w:type="gramStart"/>
      <w:r w:rsidRPr="00F10E5E">
        <w:rPr>
          <w:rFonts w:ascii="Sylfaen" w:hAnsi="Sylfaen" w:cs="Calibri-Italic"/>
          <w:i/>
          <w:iCs/>
          <w:color w:val="0D0D0D" w:themeColor="text1" w:themeTint="F2"/>
          <w:sz w:val="16"/>
          <w:szCs w:val="16"/>
          <w:lang w:val="en-US"/>
        </w:rPr>
        <w:t>BMJ, 317</w:t>
      </w:r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(7150), 13-18.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 xml:space="preserve"> </w:t>
      </w:r>
      <w:proofErr w:type="gramStart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doi:10.1136</w:t>
      </w:r>
      <w:proofErr w:type="gramEnd"/>
      <w:r w:rsidRPr="00F10E5E">
        <w:rPr>
          <w:rFonts w:ascii="Sylfaen" w:hAnsi="Sylfaen" w:cs="Calibri"/>
          <w:color w:val="0D0D0D" w:themeColor="text1" w:themeTint="F2"/>
          <w:sz w:val="16"/>
          <w:szCs w:val="16"/>
          <w:lang w:val="en-US"/>
        </w:rPr>
        <w:t>/bmj.317.7150.13</w:t>
      </w:r>
    </w:p>
    <w:p w14:paraId="39C18C82" w14:textId="77777777" w:rsidR="00455F3F" w:rsidRPr="00455F3F" w:rsidRDefault="00455F3F" w:rsidP="00455F3F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sz w:val="16"/>
          <w:szCs w:val="16"/>
          <w:lang w:val="ka-GE"/>
        </w:rPr>
      </w:pPr>
    </w:p>
    <w:p w14:paraId="51382EE4" w14:textId="77777777" w:rsidR="002B3AC3" w:rsidRPr="002B3AC3" w:rsidRDefault="002B3AC3" w:rsidP="002B3AC3">
      <w:pPr>
        <w:autoSpaceDE w:val="0"/>
        <w:autoSpaceDN w:val="0"/>
        <w:adjustRightInd w:val="0"/>
        <w:spacing w:after="0" w:line="240" w:lineRule="auto"/>
        <w:rPr>
          <w:rFonts w:ascii="Sylfaen" w:hAnsi="Sylfaen" w:cs="Calibri"/>
          <w:color w:val="0563C2"/>
          <w:sz w:val="20"/>
          <w:szCs w:val="20"/>
          <w:lang w:val="ka-GE"/>
        </w:rPr>
      </w:pPr>
    </w:p>
    <w:p w14:paraId="736BCE98" w14:textId="77777777" w:rsidR="00306832" w:rsidRDefault="00306832" w:rsidP="00306832">
      <w:pPr>
        <w:pStyle w:val="NormalWeb"/>
        <w:shd w:val="clear" w:color="auto" w:fill="FFFFFF"/>
        <w:spacing w:before="0" w:beforeAutospacing="0" w:after="0" w:afterAutospacing="0"/>
        <w:rPr>
          <w:rFonts w:ascii="Sylfaen" w:hAnsi="Sylfaen" w:cs="Calibri"/>
          <w:color w:val="0563C2"/>
          <w:sz w:val="20"/>
          <w:szCs w:val="20"/>
          <w:lang w:val="ka-GE"/>
        </w:rPr>
      </w:pPr>
    </w:p>
    <w:p w14:paraId="09E1A165" w14:textId="77777777" w:rsidR="00C86C16" w:rsidRDefault="00C86C16" w:rsidP="005709A4">
      <w:pPr>
        <w:pStyle w:val="NoSpacing"/>
        <w:spacing w:line="276" w:lineRule="auto"/>
        <w:ind w:firstLine="720"/>
        <w:jc w:val="both"/>
        <w:rPr>
          <w:rFonts w:ascii="Sylfaen" w:hAnsi="Sylfaen" w:cs="Sylfaen"/>
          <w:highlight w:val="yellow"/>
        </w:rPr>
      </w:pPr>
    </w:p>
    <w:p w14:paraId="2FF9630E" w14:textId="77777777" w:rsidR="00994D98" w:rsidRPr="005709A4" w:rsidRDefault="00994D98" w:rsidP="005709A4">
      <w:pPr>
        <w:pStyle w:val="NoSpacing"/>
        <w:spacing w:line="276" w:lineRule="auto"/>
        <w:ind w:firstLine="720"/>
        <w:jc w:val="both"/>
        <w:rPr>
          <w:rStyle w:val="Strong"/>
          <w:rFonts w:ascii="Sylfaen" w:hAnsi="Sylfaen" w:cs="Times New Roman"/>
          <w:b w:val="0"/>
          <w:bCs w:val="0"/>
          <w:lang w:val="ka-GE"/>
        </w:rPr>
      </w:pPr>
    </w:p>
    <w:sectPr w:rsidR="00994D98" w:rsidRPr="005709A4" w:rsidSect="0011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 Itali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2D92"/>
    <w:rsid w:val="00037059"/>
    <w:rsid w:val="00057880"/>
    <w:rsid w:val="000925AE"/>
    <w:rsid w:val="000D4860"/>
    <w:rsid w:val="000D746C"/>
    <w:rsid w:val="0011021D"/>
    <w:rsid w:val="00187C8F"/>
    <w:rsid w:val="00191E4B"/>
    <w:rsid w:val="001A6D85"/>
    <w:rsid w:val="001D71C6"/>
    <w:rsid w:val="001F29BC"/>
    <w:rsid w:val="002716D1"/>
    <w:rsid w:val="00272D92"/>
    <w:rsid w:val="002B3AC3"/>
    <w:rsid w:val="00306832"/>
    <w:rsid w:val="00341AB4"/>
    <w:rsid w:val="00343C0C"/>
    <w:rsid w:val="003A1713"/>
    <w:rsid w:val="003C2071"/>
    <w:rsid w:val="003E1EF9"/>
    <w:rsid w:val="0044730C"/>
    <w:rsid w:val="00447CFA"/>
    <w:rsid w:val="00455F3F"/>
    <w:rsid w:val="00465118"/>
    <w:rsid w:val="004E03F7"/>
    <w:rsid w:val="00560390"/>
    <w:rsid w:val="005709A4"/>
    <w:rsid w:val="00573E29"/>
    <w:rsid w:val="005A5C51"/>
    <w:rsid w:val="005B3ECE"/>
    <w:rsid w:val="005E5AA8"/>
    <w:rsid w:val="00602923"/>
    <w:rsid w:val="006A27FD"/>
    <w:rsid w:val="006B2D77"/>
    <w:rsid w:val="007A3E48"/>
    <w:rsid w:val="007C2FDD"/>
    <w:rsid w:val="0083198A"/>
    <w:rsid w:val="0087330D"/>
    <w:rsid w:val="008843E5"/>
    <w:rsid w:val="00935581"/>
    <w:rsid w:val="00945CD1"/>
    <w:rsid w:val="00960EC5"/>
    <w:rsid w:val="009839B7"/>
    <w:rsid w:val="00984F1B"/>
    <w:rsid w:val="00994D98"/>
    <w:rsid w:val="00A27528"/>
    <w:rsid w:val="00AA03BE"/>
    <w:rsid w:val="00AB5A65"/>
    <w:rsid w:val="00AD0C1B"/>
    <w:rsid w:val="00B16ABD"/>
    <w:rsid w:val="00B24209"/>
    <w:rsid w:val="00B3101B"/>
    <w:rsid w:val="00C07930"/>
    <w:rsid w:val="00C13556"/>
    <w:rsid w:val="00C86C16"/>
    <w:rsid w:val="00D04911"/>
    <w:rsid w:val="00D52F1E"/>
    <w:rsid w:val="00D676AF"/>
    <w:rsid w:val="00D7574A"/>
    <w:rsid w:val="00D918E4"/>
    <w:rsid w:val="00D943BF"/>
    <w:rsid w:val="00DC5882"/>
    <w:rsid w:val="00DF397B"/>
    <w:rsid w:val="00EC23AC"/>
    <w:rsid w:val="00ED71DA"/>
    <w:rsid w:val="00EE5B1A"/>
    <w:rsid w:val="00EF3B2C"/>
    <w:rsid w:val="00F03730"/>
    <w:rsid w:val="00F0624A"/>
    <w:rsid w:val="00F10E5E"/>
    <w:rsid w:val="00F27617"/>
    <w:rsid w:val="00F6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9624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3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DF397B"/>
    <w:rPr>
      <w:b/>
      <w:bCs/>
    </w:rPr>
  </w:style>
  <w:style w:type="table" w:styleId="TableGrid">
    <w:name w:val="Table Grid"/>
    <w:basedOn w:val="TableNormal"/>
    <w:uiPriority w:val="59"/>
    <w:rsid w:val="00C135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984F1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84F1B"/>
    <w:rPr>
      <w:rFonts w:ascii="Courier New" w:eastAsiaTheme="minorEastAsia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0683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839B7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049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6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rowid.org/chemicals/mescaline/mescaline_dose.shtml" TargetMode="External"/><Relationship Id="rId12" Type="http://schemas.openxmlformats.org/officeDocument/2006/relationships/hyperlink" Target="https://erowid.org/chemicals/meth/meth_dose.shtml" TargetMode="External"/><Relationship Id="rId13" Type="http://schemas.openxmlformats.org/officeDocument/2006/relationships/hyperlink" Target="http://www.emcdda.europa.eu/publications/drug-profiles/mushrooms" TargetMode="External"/><Relationship Id="rId14" Type="http://schemas.openxmlformats.org/officeDocument/2006/relationships/hyperlink" Target="http://www.emcdda.europa.eu/publications/drug-profiles/mushrooms" TargetMode="External"/><Relationship Id="rId15" Type="http://schemas.openxmlformats.org/officeDocument/2006/relationships/hyperlink" Target="https://www.drugs.com/dosage/tramadol.html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mcdda.europa.eu/html.cfm/index99321EN.html" TargetMode="External"/><Relationship Id="rId6" Type="http://schemas.openxmlformats.org/officeDocument/2006/relationships/hyperlink" Target="http://www.emcdda.europa.eu/topics/law/penalties-at-a-glance" TargetMode="External"/><Relationship Id="rId7" Type="http://schemas.openxmlformats.org/officeDocument/2006/relationships/hyperlink" Target="http://www.emcdda.europa.eu/publications/drugprofiles/cocaine" TargetMode="External"/><Relationship Id="rId8" Type="http://schemas.openxmlformats.org/officeDocument/2006/relationships/hyperlink" Target="http://www.emcdda.europa.eu/publications/drug-profiles/mdma" TargetMode="External"/><Relationship Id="rId9" Type="http://schemas.openxmlformats.org/officeDocument/2006/relationships/hyperlink" Target="https://erowid.org/chemicals/mdma/mdma_dose.shtml" TargetMode="External"/><Relationship Id="rId10" Type="http://schemas.openxmlformats.org/officeDocument/2006/relationships/hyperlink" Target="http://www.emcdda.europa.eu/html.cfm/index99321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7</Pages>
  <Words>2147</Words>
  <Characters>12239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Kulij Lasha Kiladze</cp:lastModifiedBy>
  <cp:revision>51</cp:revision>
  <dcterms:created xsi:type="dcterms:W3CDTF">2018-03-29T18:49:00Z</dcterms:created>
  <dcterms:modified xsi:type="dcterms:W3CDTF">2018-03-30T09:59:00Z</dcterms:modified>
</cp:coreProperties>
</file>