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D126F9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5C0D3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31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0</w:t>
            </w:r>
            <w:r w:rsidR="005C0D39">
              <w:rPr>
                <w:rFonts w:ascii="Arial" w:hAnsi="Arial" w:cs="Arial"/>
                <w:noProof/>
              </w:rPr>
              <w:t>8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3E03CE">
              <w:rPr>
                <w:rFonts w:ascii="Sylfaen" w:hAnsi="Sylfaen" w:cs="Arial"/>
                <w:noProof/>
                <w:lang w:val="ka-GE"/>
              </w:rPr>
              <w:t>29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0</w:t>
            </w:r>
            <w:r w:rsidR="005C0D39">
              <w:rPr>
                <w:rFonts w:ascii="Arial" w:hAnsi="Arial" w:cs="Arial"/>
                <w:noProof/>
              </w:rPr>
              <w:t>9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A66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</w:rPr>
              <w:t>Irina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+995 5 98 708807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Gkhatelishvili@moh.gov.ge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5" w:name="Text9"/>
          </w:p>
        </w:tc>
        <w:bookmarkEnd w:id="5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E33878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E33878">
              <w:rPr>
                <w:rFonts w:ascii="Arial" w:hAnsi="Arial" w:cs="Arial"/>
              </w:rPr>
              <w:t>29</w:t>
            </w:r>
            <w:r w:rsidR="00AE6B6D">
              <w:rPr>
                <w:rFonts w:ascii="Arial" w:hAnsi="Arial" w:cs="Arial"/>
              </w:rPr>
              <w:t>.09.2016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28.09.2016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D6B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6B39" w:rsidRPr="00ED6B39">
              <w:rPr>
                <w:rFonts w:ascii="Arial" w:hAnsi="Arial" w:cs="Arial"/>
                <w:sz w:val="20"/>
                <w:szCs w:val="20"/>
              </w:rPr>
              <w:t xml:space="preserve">2016-0235881 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28.09.2016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D6B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5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6B39" w:rsidRPr="00ED6B39">
              <w:rPr>
                <w:rFonts w:ascii="Arial" w:hAnsi="Arial" w:cs="Arial"/>
                <w:sz w:val="20"/>
                <w:szCs w:val="20"/>
              </w:rPr>
              <w:t>2016-0235883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28.09.2016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D6B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0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6B39" w:rsidRPr="00ED6B39">
              <w:rPr>
                <w:rFonts w:ascii="Arial" w:hAnsi="Arial" w:cs="Arial"/>
                <w:sz w:val="20"/>
                <w:szCs w:val="20"/>
              </w:rPr>
              <w:t>2016-0235884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28.09.2016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D6B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6B39" w:rsidRPr="00ED6B39">
              <w:rPr>
                <w:rFonts w:ascii="Arial" w:hAnsi="Arial" w:cs="Arial"/>
                <w:sz w:val="20"/>
                <w:szCs w:val="20"/>
              </w:rPr>
              <w:t>2016-0235885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Sof400mg/Led</w:t>
            </w:r>
            <w:r w:rsidR="003A4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 xml:space="preserve">AE </w:t>
            </w:r>
            <w:r w:rsidR="00860FBC">
              <w:rPr>
                <w:rFonts w:ascii="Arial" w:hAnsi="Arial" w:cs="Arial"/>
                <w:sz w:val="20"/>
                <w:szCs w:val="20"/>
              </w:rPr>
              <w:t>Weakness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05.09.2016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 w:rsidRPr="00860FBC">
              <w:rPr>
                <w:rFonts w:ascii="Arial" w:hAnsi="Arial" w:cs="Arial"/>
                <w:sz w:val="20"/>
                <w:szCs w:val="20"/>
              </w:rPr>
              <w:t xml:space="preserve"> 2016-0231717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4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5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9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0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1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4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5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6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0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1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2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5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6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7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8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9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0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1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2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3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4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5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6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Sylfaen" w:hAnsi="Sylfaen" w:cs="Arial"/>
                <w:sz w:val="20"/>
                <w:szCs w:val="20"/>
                <w:lang w:val="en-US"/>
              </w:rPr>
              <w:t>5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2016-0230708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noProof/>
                <w:sz w:val="20"/>
                <w:szCs w:val="20"/>
              </w:rPr>
              <w:t>2016-0230710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noProof/>
                <w:sz w:val="20"/>
                <w:szCs w:val="20"/>
              </w:rPr>
              <w:t>2016-0230713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7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8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9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0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1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2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3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4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5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6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8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9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0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1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2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3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4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5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6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7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8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9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0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1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2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3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4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5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6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7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8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9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0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1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2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3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4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5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6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7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8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9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0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1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2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3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4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5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6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7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8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9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0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1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2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3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4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5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6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7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8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9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0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1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2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3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4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5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6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7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8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39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0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1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2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3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4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5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6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7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8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49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0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1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8"/>
          <w:footerReference w:type="default" r:id="rId9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2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3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4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5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6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E338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57" w:name="_GoBack"/>
            <w:bookmarkEnd w:id="157"/>
            <w:r w:rsidR="00034B91">
              <w:rPr>
                <w:rFonts w:ascii="Sylfaen" w:hAnsi="Sylfaen" w:cs="Arial"/>
                <w:sz w:val="20"/>
                <w:szCs w:val="20"/>
                <w:lang w:val="en-US"/>
              </w:rPr>
              <w:t>5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0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6F9" w:rsidRDefault="00D126F9">
      <w:r>
        <w:separator/>
      </w:r>
    </w:p>
  </w:endnote>
  <w:endnote w:type="continuationSeparator" w:id="0">
    <w:p w:rsidR="00D126F9" w:rsidRDefault="00D1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E33878">
      <w:rPr>
        <w:rFonts w:ascii="Arial" w:hAnsi="Arial" w:cs="Arial"/>
        <w:noProof/>
        <w:sz w:val="18"/>
        <w:szCs w:val="18"/>
      </w:rPr>
      <w:t>3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E33878">
      <w:rPr>
        <w:rFonts w:ascii="Arial" w:hAnsi="Arial" w:cs="Arial"/>
        <w:noProof/>
        <w:sz w:val="18"/>
        <w:szCs w:val="18"/>
      </w:rPr>
      <w:t>3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6F9" w:rsidRDefault="00D126F9">
      <w:r>
        <w:separator/>
      </w:r>
    </w:p>
  </w:footnote>
  <w:footnote w:type="continuationSeparator" w:id="0">
    <w:p w:rsidR="00D126F9" w:rsidRDefault="00D12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B91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0B23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C3B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357"/>
    <w:rsid w:val="000B5824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3D62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34C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4B70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AF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17F37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430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03CE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5FF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70D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0D39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E7E49"/>
    <w:rsid w:val="005F347A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1F7B"/>
    <w:rsid w:val="00602491"/>
    <w:rsid w:val="00602ED4"/>
    <w:rsid w:val="0060366D"/>
    <w:rsid w:val="0060378E"/>
    <w:rsid w:val="00604446"/>
    <w:rsid w:val="00605CAE"/>
    <w:rsid w:val="00605DE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67F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57B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2FAF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00D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244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0FBC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153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37FB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6ABD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6A45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45C5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B6D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487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A4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6F9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437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603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3878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03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26B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39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979D6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BA8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3460202C-D934-4D23-A371-849A80DC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F355-0251-4CF2-A7BB-FFFA55CA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83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5863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28</cp:revision>
  <cp:lastPrinted>2016-01-22T10:11:00Z</cp:lastPrinted>
  <dcterms:created xsi:type="dcterms:W3CDTF">2016-04-12T16:10:00Z</dcterms:created>
  <dcterms:modified xsi:type="dcterms:W3CDTF">2016-09-29T06:03:00Z</dcterms:modified>
</cp:coreProperties>
</file>