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7CC" w:rsidRPr="0027760F" w:rsidRDefault="00576279" w:rsidP="0027760F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16F09" wp14:editId="4C5D819D">
                <wp:simplePos x="0" y="0"/>
                <wp:positionH relativeFrom="column">
                  <wp:posOffset>-85725</wp:posOffset>
                </wp:positionH>
                <wp:positionV relativeFrom="paragraph">
                  <wp:posOffset>419100</wp:posOffset>
                </wp:positionV>
                <wp:extent cx="6553200" cy="0"/>
                <wp:effectExtent l="1905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34925" cap="rnd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61B534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33pt" to="509.2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" strokecolor="black [3213]" strokeweight="2.75pt">
                <v:stroke linestyle="thinThin" endcap="round"/>
              </v:line>
            </w:pict>
          </mc:Fallback>
        </mc:AlternateContent>
      </w:r>
      <w:r w:rsidR="0027760F" w:rsidRPr="0027760F">
        <w:rPr>
          <w:rFonts w:ascii="Times New Roman" w:hAnsi="Times New Roman" w:cs="Times New Roman"/>
          <w:b/>
          <w:sz w:val="36"/>
          <w:szCs w:val="24"/>
        </w:rPr>
        <w:t>Capacity Assessment Report</w:t>
      </w:r>
    </w:p>
    <w:p w:rsidR="0027760F" w:rsidRPr="0027760F" w:rsidRDefault="0027760F" w:rsidP="002776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9800"/>
        <w:gridCol w:w="260"/>
      </w:tblGrid>
      <w:tr w:rsidR="0027760F" w:rsidRPr="0027760F" w:rsidTr="001722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BASIC INFORMATION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Name of Clinical Site</w:t>
            </w:r>
            <w:r w:rsidR="00BD675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0987">
              <w:rPr>
                <w:rFonts w:ascii="Times New Roman" w:hAnsi="Times New Roman" w:cs="Times New Roman"/>
                <w:sz w:val="24"/>
                <w:szCs w:val="24"/>
              </w:rPr>
              <w:t xml:space="preserve"> Clinic </w:t>
            </w:r>
            <w:bookmarkStart w:id="0" w:name="_GoBack"/>
            <w:bookmarkEnd w:id="0"/>
            <w:r w:rsidR="00140987">
              <w:rPr>
                <w:rFonts w:ascii="Times New Roman" w:hAnsi="Times New Roman" w:cs="Times New Roman"/>
                <w:sz w:val="24"/>
                <w:szCs w:val="24"/>
              </w:rPr>
              <w:t>Hepa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Visit: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82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>5 Feb 2015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172216" w:rsidRDefault="0027760F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Key Personnel during visit: 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>Aaron Harris – CDC Atlanta</w:t>
            </w:r>
          </w:p>
          <w:p w:rsidR="00172216" w:rsidRDefault="00172216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Maia Japaridze – CDC Tbilisi </w:t>
            </w:r>
          </w:p>
          <w:p w:rsidR="00172216" w:rsidRDefault="00172216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Keti Galdavadze – NCDC </w:t>
            </w:r>
          </w:p>
          <w:p w:rsidR="0027760F" w:rsidRDefault="00172216" w:rsidP="00172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Tengiz Tsertsvadze  - Director of clinic </w:t>
            </w:r>
          </w:p>
          <w:p w:rsidR="00576279" w:rsidRDefault="00172216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Lali Sharvadze – </w:t>
            </w:r>
            <w:r w:rsidR="00FA6822">
              <w:rPr>
                <w:rFonts w:ascii="Times New Roman" w:hAnsi="Times New Roman" w:cs="Times New Roman"/>
                <w:sz w:val="24"/>
                <w:szCs w:val="24"/>
              </w:rPr>
              <w:t xml:space="preserve">Head of department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6279" w:rsidRDefault="009352FB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Levan Mchedlishvili – Director of Hepa</w:t>
            </w:r>
          </w:p>
          <w:p w:rsidR="009352FB" w:rsidRDefault="009352FB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Akaki Abutidze </w:t>
            </w:r>
            <w:r w:rsidR="00660D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D87">
              <w:rPr>
                <w:rFonts w:ascii="Times New Roman" w:hAnsi="Times New Roman" w:cs="Times New Roman"/>
                <w:sz w:val="24"/>
                <w:szCs w:val="24"/>
              </w:rPr>
              <w:t xml:space="preserve">MD,  Epidemiologist, radiologist </w:t>
            </w:r>
          </w:p>
        </w:tc>
        <w:tc>
          <w:tcPr>
            <w:tcW w:w="260" w:type="dxa"/>
          </w:tcPr>
          <w:p w:rsidR="0027760F" w:rsidRPr="0027760F" w:rsidRDefault="00172216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27760F" w:rsidRPr="0027760F" w:rsidTr="00172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Number of physicians trained to care for patients with Hepatitis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7221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A68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595968">
              <w:rPr>
                <w:rFonts w:ascii="Times New Roman" w:hAnsi="Times New Roman" w:cs="Times New Roman"/>
                <w:sz w:val="24"/>
                <w:szCs w:val="24"/>
              </w:rPr>
              <w:t xml:space="preserve">HCV </w:t>
            </w: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patients </w:t>
            </w:r>
            <w:r w:rsidR="00595968">
              <w:rPr>
                <w:rFonts w:ascii="Times New Roman" w:hAnsi="Times New Roman" w:cs="Times New Roman"/>
                <w:sz w:val="24"/>
                <w:szCs w:val="24"/>
              </w:rPr>
              <w:t xml:space="preserve">seen since Jan 2014: </w:t>
            </w:r>
            <w:r w:rsidR="00FA6822">
              <w:rPr>
                <w:rFonts w:ascii="Times New Roman" w:hAnsi="Times New Roman" w:cs="Times New Roman"/>
                <w:sz w:val="24"/>
                <w:szCs w:val="24"/>
              </w:rPr>
              <w:t xml:space="preserve">       1256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1722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59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="00595968">
              <w:rPr>
                <w:rFonts w:ascii="Times New Roman" w:hAnsi="Times New Roman" w:cs="Times New Roman"/>
                <w:sz w:val="24"/>
                <w:szCs w:val="24"/>
              </w:rPr>
              <w:t xml:space="preserve">HCV </w:t>
            </w: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patients </w:t>
            </w:r>
            <w:r w:rsidR="00595968">
              <w:rPr>
                <w:rFonts w:ascii="Times New Roman" w:hAnsi="Times New Roman" w:cs="Times New Roman"/>
                <w:sz w:val="24"/>
                <w:szCs w:val="24"/>
              </w:rPr>
              <w:t xml:space="preserve">treated since Jan 2014: </w:t>
            </w:r>
            <w:r w:rsidR="00FA6822">
              <w:rPr>
                <w:rFonts w:ascii="Times New Roman" w:hAnsi="Times New Roman" w:cs="Times New Roman"/>
                <w:sz w:val="24"/>
                <w:szCs w:val="24"/>
              </w:rPr>
              <w:t xml:space="preserve">       324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60F" w:rsidRPr="0027760F" w:rsidRDefault="0027760F" w:rsidP="002776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9800"/>
        <w:gridCol w:w="260"/>
      </w:tblGrid>
      <w:tr w:rsidR="0027760F" w:rsidRPr="0027760F" w:rsidTr="005C1B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PROVIDER CAPACITY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5C1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576279" w:rsidRPr="0027760F" w:rsidRDefault="0027760F" w:rsidP="009D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Summary of Provider Capacity Tool: </w:t>
            </w:r>
            <w:r w:rsidR="004C4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The providers at the clinical site have experience in managing patients with HCV and demonstrated capacity to participate in a national HCV elimination program. </w:t>
            </w:r>
            <w:r w:rsidR="009D3AA3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4C416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providers participated in the assessment and all have infectious disease training; additionally 1 physician is trained in public health and one is trained in gastroenterology and critical care. The average score on the knowledge assessment was 93%; and gaps in knowledge were identified regarding toxicities of therapy and efficacy of HCV-specific therapy. </w:t>
            </w: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5C1B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5C1B3E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Strengths:</w:t>
            </w:r>
            <w:r w:rsidR="005C1B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AA3" w:rsidRDefault="009D3AA3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B3E" w:rsidRPr="004C4161" w:rsidRDefault="004C4161" w:rsidP="005C1B3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4161">
              <w:rPr>
                <w:rFonts w:ascii="Times New Roman" w:hAnsi="Times New Roman" w:cs="Times New Roman"/>
                <w:b w:val="0"/>
                <w:sz w:val="24"/>
                <w:szCs w:val="24"/>
              </w:rPr>
              <w:t>The clinic has adequate staffing capacity</w:t>
            </w:r>
          </w:p>
          <w:p w:rsidR="0027760F" w:rsidRPr="004C4161" w:rsidRDefault="004C4161" w:rsidP="005C1B3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4161">
              <w:rPr>
                <w:rFonts w:ascii="Times New Roman" w:hAnsi="Times New Roman" w:cs="Times New Roman"/>
                <w:b w:val="0"/>
                <w:sz w:val="24"/>
                <w:szCs w:val="24"/>
              </w:rPr>
              <w:t>Providers have sufficient training and experience managing HCV patients</w:t>
            </w:r>
          </w:p>
          <w:p w:rsidR="00576279" w:rsidRPr="004C4161" w:rsidRDefault="004C4161" w:rsidP="002776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4161">
              <w:rPr>
                <w:rFonts w:ascii="Times New Roman" w:hAnsi="Times New Roman" w:cs="Times New Roman"/>
                <w:b w:val="0"/>
                <w:sz w:val="24"/>
                <w:szCs w:val="24"/>
              </w:rPr>
              <w:t>Providers demonstrated outstanding knowledge of HCV and can serve as trainers for peripheral sites</w:t>
            </w:r>
          </w:p>
          <w:p w:rsidR="00576279" w:rsidRPr="0027760F" w:rsidRDefault="00576279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60F" w:rsidRPr="0027760F" w:rsidTr="005C1B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0" w:type="dxa"/>
          </w:tcPr>
          <w:p w:rsid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Recommendations for Improvement:</w:t>
            </w:r>
          </w:p>
          <w:p w:rsidR="009D3AA3" w:rsidRDefault="009D3AA3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279" w:rsidRPr="004C4161" w:rsidRDefault="004C4161" w:rsidP="004C416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C4161">
              <w:rPr>
                <w:rFonts w:ascii="Times New Roman" w:hAnsi="Times New Roman" w:cs="Times New Roman"/>
                <w:b w:val="0"/>
                <w:sz w:val="24"/>
                <w:szCs w:val="24"/>
              </w:rPr>
              <w:t>The clinic site could offer continuous on-site HCV training for providers as well as nurses and providers at peripheral sites</w:t>
            </w:r>
          </w:p>
          <w:p w:rsidR="004C4161" w:rsidRPr="0027760F" w:rsidRDefault="004C4161" w:rsidP="004C416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</w:tcPr>
          <w:p w:rsidR="0027760F" w:rsidRPr="0027760F" w:rsidRDefault="0027760F" w:rsidP="002776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4161" w:rsidRDefault="004C4161" w:rsidP="0027760F">
      <w:pPr>
        <w:rPr>
          <w:rFonts w:ascii="Times New Roman" w:hAnsi="Times New Roman" w:cs="Times New Roman"/>
          <w:sz w:val="24"/>
          <w:szCs w:val="24"/>
        </w:rPr>
      </w:pPr>
    </w:p>
    <w:p w:rsidR="004C4161" w:rsidRDefault="004C41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760F" w:rsidRPr="0027760F" w:rsidRDefault="0027760F" w:rsidP="002776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27760F" w:rsidRPr="0027760F" w:rsidTr="00277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8" w:type="dxa"/>
          </w:tcPr>
          <w:p w:rsidR="0027760F" w:rsidRPr="0027760F" w:rsidRDefault="0027760F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>FACILITY CAPACITY</w:t>
            </w:r>
          </w:p>
        </w:tc>
        <w:tc>
          <w:tcPr>
            <w:tcW w:w="5148" w:type="dxa"/>
          </w:tcPr>
          <w:p w:rsidR="0027760F" w:rsidRPr="0027760F" w:rsidRDefault="0027760F" w:rsidP="002776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161" w:rsidRPr="0027760F" w:rsidTr="00D251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:rsidR="004C4161" w:rsidRPr="0027760F" w:rsidRDefault="004C4161" w:rsidP="009D3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Clinical Site Stage: </w:t>
            </w:r>
            <w:r w:rsidR="009D3AA3">
              <w:rPr>
                <w:rFonts w:ascii="Times New Roman" w:hAnsi="Times New Roman" w:cs="Times New Roman"/>
                <w:b w:val="0"/>
                <w:sz w:val="24"/>
                <w:szCs w:val="24"/>
              </w:rPr>
              <w:t>Consolidation</w:t>
            </w:r>
            <w:r w:rsidRPr="009D3A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Site</w:t>
            </w:r>
            <w:r w:rsidR="009D3AA3" w:rsidRPr="009D3A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– </w:t>
            </w:r>
            <w:r w:rsidR="009D3AA3">
              <w:rPr>
                <w:rFonts w:ascii="Times New Roman" w:hAnsi="Times New Roman" w:cs="Times New Roman"/>
                <w:b w:val="0"/>
                <w:sz w:val="24"/>
                <w:szCs w:val="24"/>
              </w:rPr>
              <w:t>Slight improvements required for i</w:t>
            </w:r>
            <w:r w:rsidR="009D3AA3" w:rsidRPr="009D3AA3">
              <w:rPr>
                <w:rFonts w:ascii="Times New Roman" w:hAnsi="Times New Roman" w:cs="Times New Roman"/>
                <w:b w:val="0"/>
                <w:sz w:val="24"/>
                <w:szCs w:val="24"/>
              </w:rPr>
              <w:t>ntroduction</w:t>
            </w:r>
          </w:p>
        </w:tc>
      </w:tr>
      <w:tr w:rsidR="009A34D8" w:rsidRPr="0027760F" w:rsidTr="004C41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  <w:tcBorders>
              <w:top w:val="nil"/>
            </w:tcBorders>
          </w:tcPr>
          <w:p w:rsidR="009A34D8" w:rsidRDefault="009A34D8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Summary of Assessment: </w:t>
            </w:r>
            <w:r w:rsidR="007554D9" w:rsidRPr="007554D9">
              <w:rPr>
                <w:rFonts w:ascii="Times New Roman" w:hAnsi="Times New Roman" w:cs="Times New Roman"/>
                <w:b w:val="0"/>
                <w:sz w:val="24"/>
                <w:szCs w:val="24"/>
              </w:rPr>
              <w:t>The clinical site</w:t>
            </w:r>
            <w:r w:rsidR="004D64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has</w:t>
            </w:r>
            <w:r w:rsidR="007554D9" w:rsidRPr="007554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D64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the potential to serve a resource and training site for peripheral clinics in the region, it </w:t>
            </w:r>
            <w:r w:rsidR="007554D9" w:rsidRPr="007554D9">
              <w:rPr>
                <w:rFonts w:ascii="Times New Roman" w:hAnsi="Times New Roman" w:cs="Times New Roman"/>
                <w:b w:val="0"/>
                <w:sz w:val="24"/>
                <w:szCs w:val="24"/>
              </w:rPr>
              <w:t>is fully operational and successfully managed patients with HCV, but require</w:t>
            </w:r>
            <w:r w:rsidR="004D646A">
              <w:rPr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="007554D9" w:rsidRPr="007554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D646A">
              <w:rPr>
                <w:rFonts w:ascii="Times New Roman" w:hAnsi="Times New Roman" w:cs="Times New Roman"/>
                <w:b w:val="0"/>
                <w:sz w:val="24"/>
                <w:szCs w:val="24"/>
              </w:rPr>
              <w:t>some improvements</w:t>
            </w:r>
            <w:r w:rsidR="007554D9" w:rsidRPr="007554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in maintaining and expansion of efforts. They have clear capacity to identify, manage, and treat patients, and could serve as a training site for peripheral clinics. Areas of improvement include developing a comprehensive health information management system with the ability to monitor and evaluate adherence to national programs, and develop strategies for quality improvement. </w:t>
            </w:r>
            <w:r w:rsidR="007554D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Barriers to access of treatment included: financial, side effects, the site could develop strategies to overcome these challenges. </w:t>
            </w:r>
            <w:r w:rsidR="007554D9" w:rsidRPr="007554D9">
              <w:rPr>
                <w:rFonts w:ascii="Times New Roman" w:hAnsi="Times New Roman" w:cs="Times New Roman"/>
                <w:b w:val="0"/>
                <w:sz w:val="24"/>
                <w:szCs w:val="24"/>
              </w:rPr>
              <w:t>The site will be valuable towards contributing to the goals of the national HCV elimination project.</w:t>
            </w:r>
            <w:r w:rsidR="007554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4D8" w:rsidRPr="0027760F" w:rsidRDefault="009A34D8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D8" w:rsidRPr="0027760F" w:rsidTr="00E7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:rsidR="009A34D8" w:rsidRDefault="009A34D8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Strengths: </w:t>
            </w:r>
          </w:p>
          <w:p w:rsidR="009A34D8" w:rsidRPr="00DD175E" w:rsidRDefault="007554D9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Strong leadership that is actively involved in HCV care and treatment</w:t>
            </w:r>
          </w:p>
          <w:p w:rsidR="007554D9" w:rsidRPr="00DD175E" w:rsidRDefault="007554D9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Demonstrated training and experience in HCV care</w:t>
            </w:r>
          </w:p>
          <w:p w:rsidR="007554D9" w:rsidRPr="00DD175E" w:rsidRDefault="007554D9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Has adequate physical space and staffing capacity to participate in the program</w:t>
            </w:r>
          </w:p>
          <w:p w:rsidR="007554D9" w:rsidRPr="00DD175E" w:rsidRDefault="007554D9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The site has initiated community networking</w:t>
            </w:r>
          </w:p>
          <w:p w:rsidR="00DD175E" w:rsidRPr="00DD175E" w:rsidRDefault="00DD175E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The site has regular on-site trainings and encourages continued education and training of its staff</w:t>
            </w:r>
          </w:p>
          <w:p w:rsidR="00DD175E" w:rsidRPr="00DD175E" w:rsidRDefault="00DD175E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Laboratory capacity is sufficient for HCV care</w:t>
            </w:r>
          </w:p>
          <w:p w:rsidR="009A34D8" w:rsidRPr="0027760F" w:rsidRDefault="009A34D8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4D8" w:rsidRPr="0027760F" w:rsidTr="00244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6" w:type="dxa"/>
            <w:gridSpan w:val="2"/>
          </w:tcPr>
          <w:p w:rsidR="009A34D8" w:rsidRDefault="009A34D8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60F">
              <w:rPr>
                <w:rFonts w:ascii="Times New Roman" w:hAnsi="Times New Roman" w:cs="Times New Roman"/>
                <w:sz w:val="24"/>
                <w:szCs w:val="24"/>
              </w:rPr>
              <w:t xml:space="preserve">Recommendations for Improvement: </w:t>
            </w:r>
          </w:p>
          <w:p w:rsidR="009A34D8" w:rsidRPr="00DD175E" w:rsidRDefault="007554D9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Offer</w:t>
            </w:r>
            <w:r w:rsidR="009D3AA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comprehensive preventive services including</w:t>
            </w: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vaccinations, especially hepatitis A and B vaccines, to all HCV patients</w:t>
            </w:r>
          </w:p>
          <w:p w:rsidR="007554D9" w:rsidRPr="00DD175E" w:rsidRDefault="007554D9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The site could develop more community networking efforts including stakeholders in areas of community-activism, faith-based organizations, NGOs to improve community buy-in to the national program</w:t>
            </w:r>
          </w:p>
          <w:p w:rsidR="007554D9" w:rsidRPr="00DD175E" w:rsidRDefault="00DD175E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The site should develop a comprehensive electronic medical record so that monitoring and evaluation could be performed to determine adherence to national protocols and identify gaps that can improve the overall quality of care</w:t>
            </w:r>
          </w:p>
          <w:p w:rsidR="00DD175E" w:rsidRPr="00DD175E" w:rsidRDefault="00DD175E" w:rsidP="007554D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175E">
              <w:rPr>
                <w:rFonts w:ascii="Times New Roman" w:hAnsi="Times New Roman" w:cs="Times New Roman"/>
                <w:b w:val="0"/>
                <w:sz w:val="24"/>
                <w:szCs w:val="24"/>
              </w:rPr>
              <w:t>Hold on-site HCV-specific trainings for all providers including nurses and could serve to train providers at peripheral sites</w:t>
            </w:r>
          </w:p>
          <w:p w:rsidR="009A34D8" w:rsidRDefault="009A34D8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4D8" w:rsidRDefault="009A34D8" w:rsidP="009A3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 WHO Recommendations for high-quality prevention practices</w:t>
            </w:r>
          </w:p>
          <w:p w:rsidR="009A34D8" w:rsidRPr="007611DD" w:rsidRDefault="009A34D8" w:rsidP="009A34D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Harm reduction program (addiction counseling, safe needle practices, sexual health prevention)</w:t>
            </w:r>
          </w:p>
          <w:p w:rsidR="009A34D8" w:rsidRPr="007611DD" w:rsidRDefault="009A34D8" w:rsidP="009A34D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Routine hand hygiene (before and after each patient encounter)</w:t>
            </w:r>
          </w:p>
          <w:p w:rsidR="009A34D8" w:rsidRPr="007611DD" w:rsidRDefault="009A34D8" w:rsidP="009A34D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Safe handling and disposal of sharps and waste</w:t>
            </w:r>
          </w:p>
          <w:p w:rsidR="009A34D8" w:rsidRPr="007611DD" w:rsidRDefault="009A34D8" w:rsidP="009A34D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Safe cleaning of equipment routinely</w:t>
            </w:r>
          </w:p>
          <w:p w:rsidR="009A34D8" w:rsidRPr="002330BC" w:rsidRDefault="009A34D8" w:rsidP="009A34D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Testing of donated blood</w:t>
            </w:r>
          </w:p>
          <w:p w:rsidR="009A34D8" w:rsidRPr="009A34D8" w:rsidRDefault="009A34D8" w:rsidP="0027760F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34D8">
              <w:rPr>
                <w:rFonts w:ascii="Times New Roman" w:hAnsi="Times New Roman" w:cs="Times New Roman"/>
                <w:b w:val="0"/>
                <w:sz w:val="24"/>
                <w:szCs w:val="24"/>
              </w:rPr>
              <w:t>Training of health personnel in infection control</w:t>
            </w:r>
          </w:p>
          <w:p w:rsidR="009A34D8" w:rsidRPr="0027760F" w:rsidRDefault="009A34D8" w:rsidP="00277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760F" w:rsidRDefault="0027760F" w:rsidP="00576279"/>
    <w:sectPr w:rsidR="0027760F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EFB"/>
    <w:multiLevelType w:val="hybridMultilevel"/>
    <w:tmpl w:val="73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2531C"/>
    <w:multiLevelType w:val="hybridMultilevel"/>
    <w:tmpl w:val="601C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51F36"/>
    <w:multiLevelType w:val="hybridMultilevel"/>
    <w:tmpl w:val="830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A399B"/>
    <w:multiLevelType w:val="hybridMultilevel"/>
    <w:tmpl w:val="4AA89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0F"/>
    <w:rsid w:val="00140987"/>
    <w:rsid w:val="00172216"/>
    <w:rsid w:val="00231D50"/>
    <w:rsid w:val="0027760F"/>
    <w:rsid w:val="002D77F3"/>
    <w:rsid w:val="00386A04"/>
    <w:rsid w:val="004C4161"/>
    <w:rsid w:val="004D646A"/>
    <w:rsid w:val="00576279"/>
    <w:rsid w:val="00595968"/>
    <w:rsid w:val="005C1B3E"/>
    <w:rsid w:val="00660D87"/>
    <w:rsid w:val="007554D9"/>
    <w:rsid w:val="007F6B9F"/>
    <w:rsid w:val="009352FB"/>
    <w:rsid w:val="009A34D8"/>
    <w:rsid w:val="009D3AA3"/>
    <w:rsid w:val="00B55735"/>
    <w:rsid w:val="00BB3560"/>
    <w:rsid w:val="00BD6753"/>
    <w:rsid w:val="00DC57CC"/>
    <w:rsid w:val="00DD175E"/>
    <w:rsid w:val="00F43C1F"/>
    <w:rsid w:val="00FA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776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2776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C1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2776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2776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C1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Aaron M Harris</dc:creator>
  <cp:lastModifiedBy>Aaron M Harris</cp:lastModifiedBy>
  <cp:revision>14</cp:revision>
  <dcterms:created xsi:type="dcterms:W3CDTF">2015-02-13T06:50:00Z</dcterms:created>
  <dcterms:modified xsi:type="dcterms:W3CDTF">2015-02-20T06:15:00Z</dcterms:modified>
</cp:coreProperties>
</file>