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FE" w:rsidRPr="00AF3EFE" w:rsidRDefault="00AF3EFE" w:rsidP="00AF3EFE">
      <w:pPr>
        <w:pStyle w:val="ListParagraph"/>
        <w:numPr>
          <w:ilvl w:val="0"/>
          <w:numId w:val="1"/>
        </w:numPr>
        <w:tabs>
          <w:tab w:val="left" w:pos="360"/>
        </w:tabs>
        <w:ind w:left="360"/>
        <w:jc w:val="both"/>
        <w:rPr>
          <w:i/>
        </w:rPr>
      </w:pPr>
      <w:r w:rsidRPr="00AF3EFE">
        <w:rPr>
          <w:rFonts w:ascii="Sylfaen" w:hAnsi="Sylfaen"/>
          <w:i/>
          <w:lang w:val="ka-GE"/>
        </w:rPr>
        <w:t>სამედიცინო/საექსპერტო დაწესებულებათა ნუსხა, რომელთაც აქვთ მხოლოდ სისხლის აღების უფლება;</w:t>
      </w:r>
    </w:p>
    <w:p w:rsidR="00AF3EFE" w:rsidRDefault="00AF3EFE" w:rsidP="00AF3EFE">
      <w:pPr>
        <w:pStyle w:val="ListParagraph"/>
        <w:tabs>
          <w:tab w:val="left" w:pos="360"/>
        </w:tabs>
        <w:ind w:left="360"/>
        <w:jc w:val="both"/>
        <w:rPr>
          <w:rFonts w:ascii="Sylfaen" w:hAnsi="Sylfaen"/>
        </w:rPr>
      </w:pPr>
    </w:p>
    <w:p w:rsidR="00AF3EFE" w:rsidRDefault="00AF3EFE" w:rsidP="00AF3EFE">
      <w:pPr>
        <w:pStyle w:val="ListParagraph"/>
        <w:tabs>
          <w:tab w:val="left" w:pos="360"/>
        </w:tabs>
        <w:ind w:left="360"/>
        <w:jc w:val="both"/>
        <w:rPr>
          <w:rFonts w:ascii="Sylfaen" w:hAnsi="Sylfaen"/>
        </w:rPr>
      </w:pPr>
      <w:r>
        <w:rPr>
          <w:rFonts w:ascii="Sylfaen" w:hAnsi="Sylfaen"/>
          <w:lang w:val="ka-GE"/>
        </w:rPr>
        <w:t>სისხლის აღებ</w:t>
      </w:r>
      <w:r w:rsidR="00367D32">
        <w:rPr>
          <w:rFonts w:ascii="Sylfaen" w:hAnsi="Sylfaen"/>
          <w:lang w:val="ka-GE"/>
        </w:rPr>
        <w:t>ის უფლება აქვს</w:t>
      </w:r>
      <w:r>
        <w:rPr>
          <w:rFonts w:ascii="Sylfaen" w:hAnsi="Sylfaen"/>
          <w:lang w:val="ka-GE"/>
        </w:rPr>
        <w:t xml:space="preserve"> ყველა იმ სამედიცინო დაწესებულებას (საავადმყოფო, პოლიკლინიკა, ამბულატორია) სადაც ფუნქციონირებს ლაბორატორია და მუშაობენ ლაბორატორიულ მედიცინაში სერტიფიცირებული ექიმები.</w:t>
      </w:r>
    </w:p>
    <w:p w:rsidR="00AF3EFE" w:rsidRDefault="00AF3EFE" w:rsidP="00AF3EFE">
      <w:pPr>
        <w:pStyle w:val="ListParagraph"/>
        <w:tabs>
          <w:tab w:val="left" w:pos="360"/>
        </w:tabs>
        <w:ind w:left="360"/>
        <w:jc w:val="both"/>
        <w:rPr>
          <w:rFonts w:ascii="Sylfaen" w:hAnsi="Sylfaen"/>
        </w:rPr>
      </w:pPr>
    </w:p>
    <w:p w:rsidR="00AF3EFE" w:rsidRPr="006A7A38" w:rsidRDefault="00AF3EFE" w:rsidP="00AF3EFE">
      <w:pPr>
        <w:pStyle w:val="ListParagraph"/>
        <w:tabs>
          <w:tab w:val="left" w:pos="360"/>
        </w:tabs>
        <w:ind w:left="360"/>
        <w:jc w:val="both"/>
      </w:pPr>
    </w:p>
    <w:p w:rsidR="00A27568" w:rsidRPr="00AF3EFE" w:rsidRDefault="008C58DD" w:rsidP="006A7A38">
      <w:pPr>
        <w:pStyle w:val="ListParagraph"/>
        <w:numPr>
          <w:ilvl w:val="0"/>
          <w:numId w:val="1"/>
        </w:numPr>
        <w:tabs>
          <w:tab w:val="left" w:pos="360"/>
        </w:tabs>
        <w:ind w:left="360"/>
        <w:jc w:val="both"/>
        <w:rPr>
          <w:i/>
        </w:rPr>
      </w:pPr>
      <w:r w:rsidRPr="00AF3EFE">
        <w:rPr>
          <w:rFonts w:ascii="Sylfaen" w:hAnsi="Sylfaen"/>
          <w:i/>
          <w:lang w:val="ka-GE"/>
        </w:rPr>
        <w:t>სამედიცინო/საექსპერტო დაწესებულებათა ნუსხა, რომელთაც აქვთ კლინიკურ-ლაბორატორიული ან/და სისხლში ეთანოლის შემცველობის დადგენის უფლება;</w:t>
      </w:r>
    </w:p>
    <w:p w:rsidR="006A7A38" w:rsidRDefault="006A7A38" w:rsidP="006A7A38">
      <w:pPr>
        <w:pStyle w:val="ListParagraph"/>
        <w:tabs>
          <w:tab w:val="left" w:pos="360"/>
        </w:tabs>
        <w:ind w:left="360"/>
        <w:jc w:val="both"/>
        <w:rPr>
          <w:rFonts w:ascii="Sylfaen" w:hAnsi="Sylfaen"/>
          <w:lang w:val="ka-GE"/>
        </w:rPr>
      </w:pPr>
    </w:p>
    <w:p w:rsidR="006A7A38" w:rsidRDefault="00367D32" w:rsidP="006A7A38">
      <w:pPr>
        <w:pStyle w:val="ListParagraph"/>
        <w:tabs>
          <w:tab w:val="left" w:pos="360"/>
        </w:tabs>
        <w:ind w:left="360"/>
        <w:jc w:val="both"/>
        <w:rPr>
          <w:rFonts w:ascii="Sylfaen" w:hAnsi="Sylfaen"/>
          <w:lang w:val="ka-GE"/>
        </w:rPr>
      </w:pPr>
      <w:r>
        <w:rPr>
          <w:rFonts w:ascii="Sylfaen" w:hAnsi="Sylfaen"/>
          <w:lang w:val="ka-GE"/>
        </w:rPr>
        <w:t>სისხლში ეთანოლის შემცველობის დადგენა შეუძლია ყველა იმ სამედიცინო დაწესებულებას, სადაც ფუნქციონირებს სისხლში ეთანოლის შემცველობის დადგენისათვის საჭირო ტექნიკური აღჭურვილობა</w:t>
      </w:r>
      <w:r w:rsidR="00331FBA">
        <w:rPr>
          <w:rFonts w:ascii="Sylfaen" w:hAnsi="Sylfaen"/>
          <w:lang w:val="ka-GE"/>
        </w:rPr>
        <w:t xml:space="preserve"> (ქრომატოგრაფი)</w:t>
      </w:r>
      <w:r>
        <w:rPr>
          <w:rFonts w:ascii="Sylfaen" w:hAnsi="Sylfaen"/>
          <w:lang w:val="ka-GE"/>
        </w:rPr>
        <w:t xml:space="preserve"> და მუშაობენ ლაბორატორიულ მედიცინაში სერტიფიცირებული ექიმები</w:t>
      </w:r>
      <w:r w:rsidR="00FF5F60">
        <w:rPr>
          <w:rFonts w:ascii="Sylfaen" w:hAnsi="Sylfaen"/>
          <w:lang w:val="ka-GE"/>
        </w:rPr>
        <w:t xml:space="preserve"> ან </w:t>
      </w:r>
      <w:r w:rsidR="00640437">
        <w:rPr>
          <w:rFonts w:ascii="Sylfaen" w:hAnsi="Sylfaen"/>
          <w:lang w:val="ka-GE"/>
        </w:rPr>
        <w:t>ექიმი-ტოქსიკოლოგები.</w:t>
      </w:r>
    </w:p>
    <w:p w:rsidR="00F81DB4" w:rsidRDefault="00F81DB4" w:rsidP="006A7A38">
      <w:pPr>
        <w:pStyle w:val="ListParagraph"/>
        <w:tabs>
          <w:tab w:val="left" w:pos="360"/>
        </w:tabs>
        <w:ind w:left="360"/>
        <w:jc w:val="both"/>
        <w:rPr>
          <w:rFonts w:ascii="Sylfaen" w:hAnsi="Sylfaen"/>
          <w:lang w:val="ka-GE"/>
        </w:rPr>
      </w:pPr>
    </w:p>
    <w:p w:rsidR="006A7A38" w:rsidRDefault="00331FBA" w:rsidP="006A7A38">
      <w:pPr>
        <w:pStyle w:val="ListParagraph"/>
        <w:tabs>
          <w:tab w:val="left" w:pos="360"/>
        </w:tabs>
        <w:ind w:left="360"/>
        <w:jc w:val="both"/>
        <w:rPr>
          <w:rFonts w:ascii="Sylfaen" w:hAnsi="Sylfaen"/>
          <w:lang w:val="ka-GE"/>
        </w:rPr>
      </w:pPr>
      <w:r>
        <w:rPr>
          <w:rFonts w:ascii="Sylfaen" w:hAnsi="Sylfaen"/>
          <w:lang w:val="ka-GE"/>
        </w:rPr>
        <w:t>ჩვენს მიერ ჩატარდება მოკვლევითი სამუშაოები, რათა განისაზღვროს ის სამედიცინო დაწესებულებები, რომლებიც ფლობენ ეთანოლის შემცველობის დადგენისათვის საჭირო ტექნიკური აღჭურვილობას (ქრომატოგრაფს) და შესაბამისი კვალიფიკაციის პერსონალს.</w:t>
      </w:r>
    </w:p>
    <w:p w:rsidR="006A7A38" w:rsidRDefault="006A7A38" w:rsidP="006A7A38">
      <w:pPr>
        <w:pStyle w:val="ListParagraph"/>
        <w:tabs>
          <w:tab w:val="left" w:pos="360"/>
        </w:tabs>
        <w:ind w:left="360"/>
        <w:jc w:val="both"/>
        <w:rPr>
          <w:rFonts w:ascii="Sylfaen" w:hAnsi="Sylfaen"/>
          <w:lang w:val="ka-GE"/>
        </w:rPr>
      </w:pPr>
    </w:p>
    <w:p w:rsidR="006A7A38" w:rsidRPr="00F81DB4" w:rsidRDefault="006A7A38" w:rsidP="006A7A38">
      <w:pPr>
        <w:pStyle w:val="ListParagraph"/>
        <w:numPr>
          <w:ilvl w:val="0"/>
          <w:numId w:val="1"/>
        </w:numPr>
        <w:tabs>
          <w:tab w:val="left" w:pos="360"/>
        </w:tabs>
        <w:ind w:left="360"/>
        <w:jc w:val="both"/>
        <w:rPr>
          <w:i/>
        </w:rPr>
      </w:pPr>
      <w:r w:rsidRPr="00AF3EFE">
        <w:rPr>
          <w:rFonts w:ascii="Sylfaen" w:hAnsi="Sylfaen"/>
          <w:i/>
          <w:lang w:val="ka-GE"/>
        </w:rPr>
        <w:t>სამედიცინო/საექსპერტო დაწესებულებაში კლინიკურ-ლაბორატორიული შემოწმების შემთხვევაში სისხლის აღების, შენახვის სათანადო საექსპერტო დაწესებულებებისათვის მისი გადაგზავნის წესები და ვადები.</w:t>
      </w:r>
    </w:p>
    <w:p w:rsidR="00F81DB4" w:rsidRPr="00367D32" w:rsidRDefault="00F81DB4" w:rsidP="00F81DB4">
      <w:pPr>
        <w:pStyle w:val="ListParagraph"/>
        <w:tabs>
          <w:tab w:val="left" w:pos="360"/>
        </w:tabs>
        <w:ind w:left="360"/>
        <w:jc w:val="both"/>
        <w:rPr>
          <w:i/>
        </w:rPr>
      </w:pPr>
    </w:p>
    <w:p w:rsidR="00156401" w:rsidRDefault="008A1ED5" w:rsidP="00156401">
      <w:pPr>
        <w:pStyle w:val="ListParagraph"/>
        <w:numPr>
          <w:ilvl w:val="0"/>
          <w:numId w:val="2"/>
        </w:numPr>
        <w:tabs>
          <w:tab w:val="left" w:pos="360"/>
        </w:tabs>
        <w:jc w:val="both"/>
        <w:rPr>
          <w:rFonts w:ascii="Sylfaen" w:hAnsi="Sylfaen"/>
          <w:i/>
          <w:lang w:val="ka-GE"/>
        </w:rPr>
      </w:pPr>
      <w:r w:rsidRPr="00156401">
        <w:rPr>
          <w:rFonts w:ascii="Sylfaen" w:hAnsi="Sylfaen" w:cs="Sylfaen"/>
          <w:i/>
          <w:lang w:val="ka-GE"/>
        </w:rPr>
        <w:t>ალკოჰოლური</w:t>
      </w:r>
      <w:r w:rsidRPr="00156401">
        <w:rPr>
          <w:rFonts w:ascii="Sylfaen" w:hAnsi="Sylfaen"/>
          <w:i/>
          <w:lang w:val="ka-GE"/>
        </w:rPr>
        <w:t>, ნარკოტიკული და სხვა გამაბრუებელი საშუალებებით გამოწვეული თრობის მდგომარეობის დადგენის წესი რეგულირდება „ფსიქოაქტიური ნივთიერებების მომხმარებელთა შემოწმების, გამოკვლევის, ექსპერტიზის, დიაგნოსტიკის, დისპანსერიზაციის, აღრიცხვიანობისა და მკურნალობის წესების დამტკიცების შესახებ“ საქართველოს შრომის, ჯანმრთელობისა და სოციალური დაცვის მ</w:t>
      </w:r>
      <w:r w:rsidR="00D730A2" w:rsidRPr="00156401">
        <w:rPr>
          <w:rFonts w:ascii="Sylfaen" w:hAnsi="Sylfaen"/>
          <w:i/>
          <w:lang w:val="ka-GE"/>
        </w:rPr>
        <w:t>ი</w:t>
      </w:r>
      <w:r w:rsidRPr="00156401">
        <w:rPr>
          <w:rFonts w:ascii="Sylfaen" w:hAnsi="Sylfaen"/>
          <w:i/>
          <w:lang w:val="ka-GE"/>
        </w:rPr>
        <w:t>ნისტრის 2003 წლის 10 დეკემბრის #317/ნ ბრძანებით</w:t>
      </w:r>
      <w:r w:rsidR="00156401">
        <w:rPr>
          <w:rFonts w:ascii="Sylfaen" w:hAnsi="Sylfaen"/>
          <w:i/>
          <w:lang w:val="ka-GE"/>
        </w:rPr>
        <w:t>;</w:t>
      </w:r>
    </w:p>
    <w:p w:rsidR="00F81DB4" w:rsidRDefault="00F81DB4" w:rsidP="00F81DB4">
      <w:pPr>
        <w:pStyle w:val="ListParagraph"/>
        <w:tabs>
          <w:tab w:val="left" w:pos="360"/>
        </w:tabs>
        <w:jc w:val="both"/>
        <w:rPr>
          <w:rFonts w:ascii="Sylfaen" w:hAnsi="Sylfaen"/>
          <w:i/>
          <w:lang w:val="ka-GE"/>
        </w:rPr>
      </w:pPr>
    </w:p>
    <w:p w:rsidR="00156401" w:rsidRPr="00156401" w:rsidRDefault="00156401" w:rsidP="00156401">
      <w:pPr>
        <w:pStyle w:val="ListParagraph"/>
        <w:numPr>
          <w:ilvl w:val="0"/>
          <w:numId w:val="2"/>
        </w:numPr>
        <w:tabs>
          <w:tab w:val="left" w:pos="360"/>
        </w:tabs>
        <w:jc w:val="both"/>
        <w:rPr>
          <w:rFonts w:ascii="Sylfaen" w:hAnsi="Sylfaen"/>
          <w:i/>
          <w:lang w:val="ka-GE"/>
        </w:rPr>
      </w:pPr>
      <w:r>
        <w:rPr>
          <w:rFonts w:ascii="Sylfaen" w:hAnsi="Sylfaen" w:cs="Sylfaen"/>
          <w:i/>
          <w:lang w:val="ka-GE"/>
        </w:rPr>
        <w:t>ნარკოტიკული ან/და ფსიქოტროპული საშუალების მოხმარებაზე ლაბორატორიული გამოკვლევის ჩატარების წესი რეგულირდება „ნარკოტიკული და ფსიქოტროპული საშუალებების მოხმარებასთან დაკავშირებული ადმინისტრაციული სამართალდარღვევების დადგენის წესის დამტკიცების შესახებ“ საქართველოს შინაგან საქმეთა მინისტრისა და საქართველოს შრომის, ჯანმრთელობისა და სოციალური დაცვის მინისტრის 2006 წლის 24 ოქტომბრის #1244-#278/ნ ბრძანებით.</w:t>
      </w:r>
    </w:p>
    <w:p w:rsidR="00367D32" w:rsidRPr="00156401" w:rsidRDefault="00156401" w:rsidP="00F81DB4">
      <w:pPr>
        <w:pStyle w:val="ListParagraph"/>
        <w:tabs>
          <w:tab w:val="left" w:pos="360"/>
        </w:tabs>
        <w:jc w:val="both"/>
        <w:rPr>
          <w:rFonts w:ascii="Sylfaen" w:hAnsi="Sylfaen"/>
          <w:i/>
          <w:lang w:val="ka-GE"/>
        </w:rPr>
      </w:pPr>
      <w:r>
        <w:rPr>
          <w:rFonts w:ascii="Sylfaen" w:hAnsi="Sylfaen"/>
          <w:i/>
          <w:lang w:val="ka-GE"/>
        </w:rPr>
        <w:lastRenderedPageBreak/>
        <w:t>კონკრეტულად</w:t>
      </w:r>
      <w:r w:rsidR="00F81DB4">
        <w:rPr>
          <w:rFonts w:ascii="Sylfaen" w:hAnsi="Sylfaen"/>
          <w:i/>
          <w:lang w:val="ka-GE"/>
        </w:rPr>
        <w:t xml:space="preserve"> </w:t>
      </w:r>
      <w:r w:rsidRPr="00AF3EFE">
        <w:rPr>
          <w:rFonts w:ascii="Sylfaen" w:hAnsi="Sylfaen"/>
          <w:i/>
          <w:lang w:val="ka-GE"/>
        </w:rPr>
        <w:t>სამედიცინო/საექსპერტო დაწესებულებაში კლინიკურ-ლაბორატორიული შემოწმების შემთხვევაში სისხლის აღების, შენახვის სათანადო საექსპერტო დაწესებულებებისათვის მისი გადაგზავნის წესები</w:t>
      </w:r>
      <w:r>
        <w:rPr>
          <w:rFonts w:ascii="Sylfaen" w:hAnsi="Sylfaen"/>
          <w:i/>
          <w:lang w:val="ka-GE"/>
        </w:rPr>
        <w:t>ს</w:t>
      </w:r>
      <w:r w:rsidRPr="00AF3EFE">
        <w:rPr>
          <w:rFonts w:ascii="Sylfaen" w:hAnsi="Sylfaen"/>
          <w:i/>
          <w:lang w:val="ka-GE"/>
        </w:rPr>
        <w:t xml:space="preserve"> და ვადები</w:t>
      </w:r>
      <w:r>
        <w:rPr>
          <w:rFonts w:ascii="Sylfaen" w:hAnsi="Sylfaen"/>
          <w:i/>
          <w:lang w:val="ka-GE"/>
        </w:rPr>
        <w:t>ს ერთიან ფორმატში განსაზღვრისათვის</w:t>
      </w:r>
      <w:r w:rsidR="00F81DB4">
        <w:rPr>
          <w:rFonts w:ascii="Sylfaen" w:hAnsi="Sylfaen"/>
          <w:i/>
          <w:lang w:val="ka-GE"/>
        </w:rPr>
        <w:t>,</w:t>
      </w:r>
      <w:r>
        <w:rPr>
          <w:rFonts w:ascii="Sylfaen" w:hAnsi="Sylfaen"/>
          <w:i/>
          <w:lang w:val="ka-GE"/>
        </w:rPr>
        <w:t xml:space="preserve"> </w:t>
      </w:r>
      <w:r w:rsidR="009B78CD">
        <w:rPr>
          <w:rFonts w:ascii="Sylfaen" w:hAnsi="Sylfaen"/>
          <w:i/>
          <w:lang w:val="ka-GE"/>
        </w:rPr>
        <w:t>მიზანშეწონილად მიგვაჩნია ჩატარდეს დამატებითი საკონსულტაციო სამუშაო</w:t>
      </w:r>
      <w:r w:rsidR="003244D1">
        <w:rPr>
          <w:rFonts w:ascii="Sylfaen" w:hAnsi="Sylfaen"/>
          <w:i/>
          <w:lang w:val="ka-GE"/>
        </w:rPr>
        <w:t xml:space="preserve"> </w:t>
      </w:r>
      <w:r>
        <w:rPr>
          <w:rFonts w:ascii="Sylfaen" w:hAnsi="Sylfaen"/>
          <w:i/>
          <w:lang w:val="ka-GE"/>
        </w:rPr>
        <w:t xml:space="preserve">შესაბამისი დარგის ექსპერტებთან </w:t>
      </w:r>
      <w:r w:rsidR="003244D1">
        <w:rPr>
          <w:rFonts w:ascii="Sylfaen" w:hAnsi="Sylfaen"/>
          <w:i/>
          <w:lang w:val="ka-GE"/>
        </w:rPr>
        <w:t>და სპეციალისტებთან</w:t>
      </w:r>
      <w:r w:rsidR="009B78CD">
        <w:rPr>
          <w:rFonts w:ascii="Sylfaen" w:hAnsi="Sylfaen"/>
          <w:i/>
          <w:lang w:val="ka-GE"/>
        </w:rPr>
        <w:t>.</w:t>
      </w:r>
      <w:bookmarkStart w:id="0" w:name="_GoBack"/>
      <w:bookmarkEnd w:id="0"/>
    </w:p>
    <w:p w:rsidR="00367D32" w:rsidRPr="00367D32" w:rsidRDefault="00367D32" w:rsidP="00367D32">
      <w:pPr>
        <w:tabs>
          <w:tab w:val="left" w:pos="360"/>
        </w:tabs>
        <w:jc w:val="both"/>
        <w:rPr>
          <w:rFonts w:ascii="Sylfaen" w:hAnsi="Sylfaen"/>
          <w:i/>
          <w:lang w:val="ka-GE"/>
        </w:rPr>
      </w:pPr>
      <w:r>
        <w:rPr>
          <w:rFonts w:ascii="Sylfaen" w:hAnsi="Sylfaen"/>
          <w:i/>
          <w:lang w:val="ka-GE"/>
        </w:rPr>
        <w:t>შენიშვნა: ლაბორატორიული საქმიანობა არ არის მოქცეული სახელმწიფოს მხრიდან სალიცენზიო-სანებართვო რეჟიმში და არ ექვემდებარება ტექნიკური რეგლამენტის შესრულებას (მაღალი რისკის შემცველი ამბულატორიული საქმიანობა).</w:t>
      </w:r>
    </w:p>
    <w:sectPr w:rsidR="00367D32" w:rsidRPr="00367D32"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B4CB4"/>
    <w:multiLevelType w:val="hybridMultilevel"/>
    <w:tmpl w:val="9EAA8128"/>
    <w:lvl w:ilvl="0" w:tplc="6AE2D70C">
      <w:start w:val="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5E2F15"/>
    <w:multiLevelType w:val="hybridMultilevel"/>
    <w:tmpl w:val="E68C0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8DD"/>
    <w:rsid w:val="00156401"/>
    <w:rsid w:val="003244D1"/>
    <w:rsid w:val="00331FBA"/>
    <w:rsid w:val="00367D32"/>
    <w:rsid w:val="00640437"/>
    <w:rsid w:val="006A7A38"/>
    <w:rsid w:val="006B701E"/>
    <w:rsid w:val="008A1ED5"/>
    <w:rsid w:val="008C58DD"/>
    <w:rsid w:val="009B78CD"/>
    <w:rsid w:val="00A27568"/>
    <w:rsid w:val="00A460C0"/>
    <w:rsid w:val="00AF3EFE"/>
    <w:rsid w:val="00D377C9"/>
    <w:rsid w:val="00D730A2"/>
    <w:rsid w:val="00E02CDE"/>
    <w:rsid w:val="00F81DB4"/>
    <w:rsid w:val="00FF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8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25</cp:revision>
  <cp:lastPrinted>2013-10-09T11:05:00Z</cp:lastPrinted>
  <dcterms:created xsi:type="dcterms:W3CDTF">2013-10-09T10:58:00Z</dcterms:created>
  <dcterms:modified xsi:type="dcterms:W3CDTF">2013-10-09T14:28:00Z</dcterms:modified>
</cp:coreProperties>
</file>