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85B" w:rsidRDefault="005A385B" w:rsidP="005A385B">
      <w:pPr>
        <w:jc w:val="right"/>
        <w:rPr>
          <w:rFonts w:ascii="Sylfaen" w:hAnsi="Sylfaen"/>
          <w:sz w:val="22"/>
          <w:szCs w:val="22"/>
          <w:lang w:val="en-US"/>
        </w:rPr>
      </w:pPr>
    </w:p>
    <w:p w:rsidR="005A385B" w:rsidRDefault="005A385B" w:rsidP="005A385B">
      <w:pPr>
        <w:jc w:val="right"/>
        <w:rPr>
          <w:rFonts w:ascii="Sylfaen" w:hAnsi="Sylfaen"/>
          <w:sz w:val="22"/>
          <w:szCs w:val="22"/>
          <w:lang w:val="en-US"/>
        </w:rPr>
      </w:pPr>
    </w:p>
    <w:p w:rsidR="005A385B" w:rsidRDefault="005A385B" w:rsidP="005A385B">
      <w:pPr>
        <w:jc w:val="right"/>
        <w:rPr>
          <w:rFonts w:ascii="Sylfaen" w:hAnsi="Sylfaen"/>
          <w:sz w:val="22"/>
          <w:szCs w:val="22"/>
          <w:lang w:val="en-US"/>
        </w:rPr>
      </w:pPr>
    </w:p>
    <w:p w:rsidR="005A385B" w:rsidRDefault="005A385B" w:rsidP="005A385B">
      <w:pPr>
        <w:jc w:val="right"/>
        <w:rPr>
          <w:rFonts w:ascii="Sylfaen" w:hAnsi="Sylfaen"/>
          <w:sz w:val="22"/>
          <w:szCs w:val="22"/>
          <w:lang w:val="en-US"/>
        </w:rPr>
      </w:pPr>
    </w:p>
    <w:p w:rsidR="005A385B" w:rsidRDefault="005A385B" w:rsidP="005A385B">
      <w:pPr>
        <w:jc w:val="right"/>
        <w:rPr>
          <w:rFonts w:ascii="Sylfaen" w:hAnsi="Sylfaen"/>
          <w:sz w:val="22"/>
          <w:szCs w:val="22"/>
          <w:lang w:val="en-US"/>
        </w:rPr>
      </w:pPr>
    </w:p>
    <w:p w:rsidR="005A385B" w:rsidRPr="005A3B07" w:rsidRDefault="005A385B" w:rsidP="005A385B">
      <w:pPr>
        <w:jc w:val="right"/>
        <w:rPr>
          <w:rFonts w:ascii="Sylfaen" w:hAnsi="Sylfaen"/>
          <w:sz w:val="22"/>
          <w:szCs w:val="22"/>
          <w:lang w:val="ka-GE"/>
        </w:rPr>
      </w:pPr>
      <w:r w:rsidRPr="005A3B07">
        <w:rPr>
          <w:rFonts w:ascii="Sylfaen" w:hAnsi="Sylfaen"/>
          <w:sz w:val="22"/>
          <w:szCs w:val="22"/>
          <w:lang w:val="ka-GE"/>
        </w:rPr>
        <w:t>საქართველოს შრომის, ჯანმრთელობისა</w:t>
      </w:r>
    </w:p>
    <w:p w:rsidR="005A385B" w:rsidRDefault="005A385B" w:rsidP="005A385B">
      <w:pPr>
        <w:jc w:val="right"/>
        <w:rPr>
          <w:rFonts w:ascii="Sylfaen" w:hAnsi="Sylfaen"/>
          <w:sz w:val="22"/>
          <w:szCs w:val="22"/>
          <w:lang w:val="ka-GE"/>
        </w:rPr>
      </w:pPr>
      <w:r w:rsidRPr="005A3B07">
        <w:rPr>
          <w:rFonts w:ascii="Sylfaen" w:hAnsi="Sylfaen"/>
          <w:sz w:val="22"/>
          <w:szCs w:val="22"/>
          <w:lang w:val="ka-GE"/>
        </w:rPr>
        <w:t>და სოციალური დაცვის მინისტრ</w:t>
      </w:r>
      <w:r>
        <w:rPr>
          <w:rFonts w:ascii="Sylfaen" w:hAnsi="Sylfaen"/>
          <w:sz w:val="22"/>
          <w:szCs w:val="22"/>
          <w:lang w:val="ka-GE"/>
        </w:rPr>
        <w:t>ი</w:t>
      </w:r>
      <w:r w:rsidRPr="005A3B07">
        <w:rPr>
          <w:rFonts w:ascii="Sylfaen" w:hAnsi="Sylfaen"/>
          <w:sz w:val="22"/>
          <w:szCs w:val="22"/>
          <w:lang w:val="ka-GE"/>
        </w:rPr>
        <w:t>ს</w:t>
      </w:r>
    </w:p>
    <w:p w:rsidR="005A385B" w:rsidRPr="005A3B07" w:rsidRDefault="005A385B" w:rsidP="005A385B">
      <w:pPr>
        <w:jc w:val="right"/>
        <w:rPr>
          <w:rFonts w:ascii="Sylfaen" w:hAnsi="Sylfaen"/>
          <w:sz w:val="22"/>
          <w:szCs w:val="22"/>
          <w:lang w:val="ka-GE"/>
        </w:rPr>
      </w:pPr>
      <w:r>
        <w:rPr>
          <w:rFonts w:ascii="Sylfaen" w:hAnsi="Sylfaen"/>
          <w:sz w:val="22"/>
          <w:szCs w:val="22"/>
          <w:lang w:val="ka-GE"/>
        </w:rPr>
        <w:t>პირველ მოადგილეს</w:t>
      </w:r>
    </w:p>
    <w:p w:rsidR="005A385B" w:rsidRPr="00416688" w:rsidRDefault="005A385B" w:rsidP="005A385B">
      <w:pPr>
        <w:jc w:val="right"/>
        <w:rPr>
          <w:rFonts w:ascii="Sylfaen" w:hAnsi="Sylfaen"/>
          <w:sz w:val="22"/>
          <w:szCs w:val="22"/>
          <w:lang w:val="ka-GE"/>
        </w:rPr>
      </w:pPr>
      <w:r w:rsidRPr="005A3B07">
        <w:rPr>
          <w:rFonts w:ascii="Sylfaen" w:hAnsi="Sylfaen"/>
          <w:sz w:val="22"/>
          <w:szCs w:val="22"/>
          <w:lang w:val="ka-GE"/>
        </w:rPr>
        <w:t xml:space="preserve">ბატონ </w:t>
      </w:r>
      <w:r>
        <w:rPr>
          <w:rFonts w:ascii="Sylfaen" w:hAnsi="Sylfaen"/>
          <w:sz w:val="22"/>
          <w:szCs w:val="22"/>
          <w:lang w:val="ka-GE"/>
        </w:rPr>
        <w:t>დიმიტრი მახათაძეს</w:t>
      </w:r>
    </w:p>
    <w:p w:rsidR="005A385B" w:rsidRPr="005A3B07" w:rsidRDefault="005A385B" w:rsidP="005A385B">
      <w:pPr>
        <w:jc w:val="right"/>
        <w:rPr>
          <w:rFonts w:ascii="Sylfaen" w:hAnsi="Sylfaen"/>
          <w:sz w:val="22"/>
          <w:szCs w:val="22"/>
          <w:lang w:val="ka-GE"/>
        </w:rPr>
      </w:pPr>
    </w:p>
    <w:p w:rsidR="005A385B" w:rsidRPr="005A3B07" w:rsidRDefault="005A385B" w:rsidP="005A385B">
      <w:pPr>
        <w:jc w:val="right"/>
        <w:rPr>
          <w:rFonts w:ascii="Sylfaen" w:hAnsi="Sylfaen"/>
          <w:sz w:val="22"/>
          <w:szCs w:val="22"/>
          <w:lang w:val="ka-GE"/>
        </w:rPr>
      </w:pPr>
      <w:r w:rsidRPr="005A3B07">
        <w:rPr>
          <w:rFonts w:ascii="Sylfaen" w:hAnsi="Sylfaen"/>
          <w:sz w:val="22"/>
          <w:szCs w:val="22"/>
          <w:lang w:val="ka-GE"/>
        </w:rPr>
        <w:t>საგანგებო სიტუაციების კოორდინაციისა</w:t>
      </w:r>
    </w:p>
    <w:p w:rsidR="005A385B" w:rsidRPr="005A3B07" w:rsidRDefault="005A385B" w:rsidP="005A385B">
      <w:pPr>
        <w:jc w:val="right"/>
        <w:rPr>
          <w:rFonts w:ascii="Sylfaen" w:hAnsi="Sylfaen"/>
          <w:sz w:val="22"/>
          <w:szCs w:val="22"/>
          <w:lang w:val="ka-GE"/>
        </w:rPr>
      </w:pPr>
      <w:r w:rsidRPr="005A3B07">
        <w:rPr>
          <w:rFonts w:ascii="Sylfaen" w:hAnsi="Sylfaen"/>
          <w:sz w:val="22"/>
          <w:szCs w:val="22"/>
          <w:lang w:val="ka-GE"/>
        </w:rPr>
        <w:t>და რეჟიმის დეპარტამენტის უფროსის</w:t>
      </w:r>
    </w:p>
    <w:p w:rsidR="005A385B" w:rsidRPr="005A3B07" w:rsidRDefault="005A385B" w:rsidP="005A385B">
      <w:pPr>
        <w:jc w:val="right"/>
        <w:rPr>
          <w:rFonts w:ascii="Sylfaen" w:hAnsi="Sylfaen"/>
          <w:sz w:val="22"/>
          <w:szCs w:val="22"/>
          <w:lang w:val="ka-GE"/>
        </w:rPr>
      </w:pPr>
      <w:r w:rsidRPr="005A3B07">
        <w:rPr>
          <w:rFonts w:ascii="Sylfaen" w:hAnsi="Sylfaen"/>
          <w:sz w:val="22"/>
          <w:szCs w:val="22"/>
          <w:lang w:val="ka-GE"/>
        </w:rPr>
        <w:t>ზურაბ უტიაშვილის</w:t>
      </w:r>
    </w:p>
    <w:p w:rsidR="005A385B" w:rsidRPr="005A3B07" w:rsidRDefault="005A385B" w:rsidP="005A385B">
      <w:pPr>
        <w:jc w:val="right"/>
        <w:rPr>
          <w:rFonts w:ascii="Sylfaen" w:hAnsi="Sylfaen"/>
          <w:sz w:val="22"/>
          <w:szCs w:val="22"/>
          <w:lang w:val="ka-GE"/>
        </w:rPr>
      </w:pPr>
    </w:p>
    <w:p w:rsidR="005A385B" w:rsidRDefault="005A385B" w:rsidP="005A385B">
      <w:pPr>
        <w:jc w:val="right"/>
        <w:rPr>
          <w:rFonts w:ascii="Sylfaen" w:hAnsi="Sylfaen"/>
          <w:sz w:val="22"/>
          <w:szCs w:val="22"/>
          <w:lang w:val="ka-GE"/>
        </w:rPr>
      </w:pPr>
    </w:p>
    <w:p w:rsidR="005A385B" w:rsidRDefault="005A385B" w:rsidP="005A385B">
      <w:pPr>
        <w:jc w:val="right"/>
        <w:rPr>
          <w:rFonts w:ascii="Sylfaen" w:hAnsi="Sylfaen"/>
          <w:sz w:val="22"/>
          <w:szCs w:val="22"/>
          <w:lang w:val="ka-GE"/>
        </w:rPr>
      </w:pPr>
    </w:p>
    <w:p w:rsidR="005A385B" w:rsidRDefault="005A385B" w:rsidP="005A385B">
      <w:pPr>
        <w:jc w:val="right"/>
        <w:rPr>
          <w:rFonts w:ascii="Sylfaen" w:hAnsi="Sylfaen"/>
          <w:sz w:val="22"/>
          <w:szCs w:val="22"/>
          <w:lang w:val="ka-GE"/>
        </w:rPr>
      </w:pPr>
    </w:p>
    <w:p w:rsidR="005A385B" w:rsidRDefault="005A385B" w:rsidP="005A385B">
      <w:pPr>
        <w:jc w:val="center"/>
        <w:rPr>
          <w:rFonts w:ascii="Sylfaen" w:hAnsi="Sylfaen"/>
          <w:sz w:val="22"/>
          <w:szCs w:val="22"/>
          <w:lang w:val="ka-GE"/>
        </w:rPr>
      </w:pPr>
    </w:p>
    <w:p w:rsidR="005A385B" w:rsidRDefault="005A385B" w:rsidP="005A385B">
      <w:pPr>
        <w:jc w:val="center"/>
        <w:rPr>
          <w:rFonts w:ascii="Sylfaen" w:hAnsi="Sylfaen"/>
          <w:sz w:val="22"/>
          <w:szCs w:val="22"/>
          <w:lang w:val="ka-GE"/>
        </w:rPr>
      </w:pPr>
      <w:r w:rsidRPr="005A3B07">
        <w:rPr>
          <w:rFonts w:ascii="Sylfaen" w:hAnsi="Sylfaen"/>
          <w:sz w:val="22"/>
          <w:szCs w:val="22"/>
          <w:lang w:val="ka-GE"/>
        </w:rPr>
        <w:t>მ ო ხ ს ე ნ ე ბ ი თ ი       ბ ა რ ა თ ი</w:t>
      </w:r>
    </w:p>
    <w:p w:rsidR="005A385B" w:rsidRPr="005A3B07" w:rsidRDefault="005A385B" w:rsidP="005A385B">
      <w:pPr>
        <w:jc w:val="center"/>
        <w:rPr>
          <w:rFonts w:ascii="Sylfaen" w:hAnsi="Sylfaen"/>
          <w:sz w:val="22"/>
          <w:szCs w:val="22"/>
          <w:lang w:val="ka-GE"/>
        </w:rPr>
      </w:pPr>
    </w:p>
    <w:p w:rsidR="005A385B" w:rsidRPr="005A3B07" w:rsidRDefault="005A385B" w:rsidP="005A385B">
      <w:pPr>
        <w:jc w:val="both"/>
        <w:rPr>
          <w:rFonts w:ascii="Sylfaen" w:hAnsi="Sylfaen"/>
          <w:sz w:val="22"/>
          <w:szCs w:val="22"/>
          <w:lang w:val="ka-GE"/>
        </w:rPr>
      </w:pPr>
    </w:p>
    <w:p w:rsidR="005A385B" w:rsidRPr="005A3B07" w:rsidRDefault="005A385B" w:rsidP="005A385B">
      <w:pPr>
        <w:jc w:val="both"/>
        <w:rPr>
          <w:rFonts w:ascii="Sylfaen" w:hAnsi="Sylfaen"/>
          <w:sz w:val="22"/>
          <w:szCs w:val="22"/>
          <w:lang w:val="ka-GE"/>
        </w:rPr>
      </w:pPr>
      <w:r w:rsidRPr="005A3B07">
        <w:rPr>
          <w:rFonts w:ascii="Sylfaen" w:hAnsi="Sylfaen"/>
          <w:sz w:val="22"/>
          <w:szCs w:val="22"/>
          <w:lang w:val="ka-GE"/>
        </w:rPr>
        <w:tab/>
        <w:t xml:space="preserve">ბატონო </w:t>
      </w:r>
      <w:r>
        <w:rPr>
          <w:rFonts w:ascii="Sylfaen" w:hAnsi="Sylfaen"/>
          <w:sz w:val="22"/>
          <w:szCs w:val="22"/>
          <w:lang w:val="ka-GE"/>
        </w:rPr>
        <w:t>დიმიტრი</w:t>
      </w:r>
      <w:r w:rsidRPr="005A3B07">
        <w:rPr>
          <w:rFonts w:ascii="Sylfaen" w:hAnsi="Sylfaen"/>
          <w:sz w:val="22"/>
          <w:szCs w:val="22"/>
          <w:lang w:val="ka-GE"/>
        </w:rPr>
        <w:t>,</w:t>
      </w:r>
    </w:p>
    <w:p w:rsidR="005A385B" w:rsidRPr="005A3B07" w:rsidRDefault="005A385B" w:rsidP="005A385B">
      <w:pPr>
        <w:jc w:val="both"/>
        <w:rPr>
          <w:rFonts w:ascii="Sylfaen" w:hAnsi="Sylfaen"/>
          <w:sz w:val="22"/>
          <w:szCs w:val="22"/>
          <w:lang w:val="ka-GE"/>
        </w:rPr>
      </w:pPr>
    </w:p>
    <w:p w:rsidR="005A385B" w:rsidRPr="005A3B07" w:rsidRDefault="005A385B" w:rsidP="005A385B">
      <w:pPr>
        <w:jc w:val="both"/>
        <w:rPr>
          <w:rFonts w:ascii="Sylfaen" w:hAnsi="Sylfaen"/>
          <w:sz w:val="22"/>
          <w:szCs w:val="22"/>
          <w:lang w:val="ka-GE"/>
        </w:rPr>
      </w:pPr>
      <w:r w:rsidRPr="005A3B07">
        <w:rPr>
          <w:rFonts w:ascii="Sylfaen" w:hAnsi="Sylfaen"/>
          <w:sz w:val="22"/>
          <w:szCs w:val="22"/>
          <w:lang w:val="ka-GE"/>
        </w:rPr>
        <w:tab/>
        <w:t xml:space="preserve">როგორც მოგეხსენებათ, „ბუნებრივი და ტექნოგენური ხასიათის საგანგებო სიტუაციებისაგან მოსახლეობისა და ტერიტორიის დაცვის შესახებ“ საქართველოს კანონი, </w:t>
      </w:r>
      <w:r>
        <w:rPr>
          <w:rFonts w:ascii="Sylfaen" w:hAnsi="Sylfaen"/>
          <w:sz w:val="22"/>
          <w:szCs w:val="22"/>
          <w:lang w:val="ka-GE"/>
        </w:rPr>
        <w:t>„</w:t>
      </w:r>
      <w:r w:rsidRPr="005A3B07">
        <w:rPr>
          <w:rFonts w:ascii="Sylfaen" w:hAnsi="Sylfaen"/>
          <w:sz w:val="22"/>
          <w:szCs w:val="22"/>
          <w:lang w:val="ka-GE"/>
        </w:rPr>
        <w:t>საგანგებო სიტუაციების თავიდან აცილების და ამ სიტუაციებით გამოწვეული შედეგების ლიკვიდაციის მიზნით, ითვალისწინებს საგანგებო სიტუაციებზე რეაგირების შესაბამისი ძალების სწავლებას და გადამზადებას</w:t>
      </w:r>
      <w:r>
        <w:rPr>
          <w:rFonts w:ascii="Sylfaen" w:hAnsi="Sylfaen"/>
          <w:sz w:val="22"/>
          <w:szCs w:val="22"/>
          <w:lang w:val="ka-GE"/>
        </w:rPr>
        <w:t>“</w:t>
      </w:r>
      <w:r w:rsidRPr="005A3B07">
        <w:rPr>
          <w:rFonts w:ascii="Sylfaen" w:hAnsi="Sylfaen"/>
          <w:sz w:val="22"/>
          <w:szCs w:val="22"/>
          <w:lang w:val="ka-GE"/>
        </w:rPr>
        <w:t xml:space="preserve"> (მუხლი 6, პირველი პუნქტი, „ვ)“ ქვეპუნქტი). ასევე, „საქართველოს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2005 წლის 31 დეკემბრის №249 დადგენილების  18</w:t>
      </w:r>
      <w:r w:rsidRPr="005A3B07">
        <w:rPr>
          <w:rFonts w:ascii="Sylfaen" w:hAnsi="Sylfaen"/>
          <w:sz w:val="22"/>
          <w:szCs w:val="22"/>
          <w:vertAlign w:val="superscript"/>
          <w:lang w:val="ka-GE"/>
        </w:rPr>
        <w:t>5</w:t>
      </w:r>
      <w:r w:rsidRPr="005A3B07">
        <w:rPr>
          <w:rFonts w:ascii="Sylfaen" w:hAnsi="Sylfaen"/>
          <w:sz w:val="22"/>
          <w:szCs w:val="22"/>
          <w:lang w:val="ka-GE"/>
        </w:rPr>
        <w:t xml:space="preserve"> მუხლის „ბ)“</w:t>
      </w:r>
      <w:r>
        <w:rPr>
          <w:rFonts w:ascii="Sylfaen" w:hAnsi="Sylfaen"/>
          <w:sz w:val="22"/>
          <w:szCs w:val="22"/>
          <w:lang w:val="ka-GE"/>
        </w:rPr>
        <w:t xml:space="preserve"> </w:t>
      </w:r>
      <w:r w:rsidRPr="005A3B07">
        <w:rPr>
          <w:rFonts w:ascii="Sylfaen" w:hAnsi="Sylfaen"/>
          <w:sz w:val="22"/>
          <w:szCs w:val="22"/>
          <w:lang w:val="ka-GE"/>
        </w:rPr>
        <w:t xml:space="preserve">პუნქტის თანახმად, დეპარტამენტის ერთ-ერთ ამოცანას წარმოადგენს საგანგებო სიტუაციებზე რეაგირების სწავლების დაგეგმვა-ორგანიზება. </w:t>
      </w:r>
    </w:p>
    <w:p w:rsidR="005A385B" w:rsidRPr="00CD0978" w:rsidRDefault="005A385B" w:rsidP="005A385B">
      <w:pPr>
        <w:jc w:val="both"/>
        <w:rPr>
          <w:rFonts w:ascii="Sylfaen" w:hAnsi="Sylfaen"/>
          <w:sz w:val="22"/>
          <w:szCs w:val="22"/>
          <w:lang w:val="ka-GE"/>
        </w:rPr>
      </w:pPr>
      <w:r w:rsidRPr="005A3B07">
        <w:rPr>
          <w:rFonts w:ascii="Sylfaen" w:hAnsi="Sylfaen"/>
          <w:sz w:val="22"/>
          <w:szCs w:val="22"/>
          <w:lang w:val="ka-GE"/>
        </w:rPr>
        <w:tab/>
        <w:t xml:space="preserve">ზემოაღნიშნულიდან გამომდინარე, დეპარტამენტი ყოველწლიურად ახორციელებს პრეჰოსპიტალური და ჰოსპიტალური სექტორის სამედიცინო კადრების ეტაპობრივ მზადებას გადაუდებელ სამედიცინო მომსახურებასა და საგანგებო სიტუაციების მართვაში. სულ, დღემდე მომზადდა 1250 ჯანდაცვის სპეციალისტი (1070 ექიმი, 175 მენეჯერი) და 540 მაშველი. </w:t>
      </w:r>
    </w:p>
    <w:p w:rsidR="005A385B" w:rsidRPr="005A3B07" w:rsidRDefault="005A385B" w:rsidP="005A385B">
      <w:pPr>
        <w:jc w:val="both"/>
        <w:rPr>
          <w:rFonts w:ascii="Sylfaen" w:hAnsi="Sylfaen"/>
          <w:sz w:val="22"/>
          <w:szCs w:val="22"/>
          <w:lang w:val="ka-GE"/>
        </w:rPr>
      </w:pPr>
      <w:r w:rsidRPr="00CD0978">
        <w:rPr>
          <w:rFonts w:ascii="Sylfaen" w:hAnsi="Sylfaen"/>
          <w:sz w:val="22"/>
          <w:szCs w:val="22"/>
          <w:lang w:val="ka-GE"/>
        </w:rPr>
        <w:tab/>
        <w:t>მოგახსენებთ, რომ მიმდინარე წელს დეპარტამენტი გეგმავს 110 ექიმის (</w:t>
      </w:r>
      <w:r w:rsidRPr="00CD0978">
        <w:rPr>
          <w:rFonts w:ascii="Sylfaen" w:hAnsi="Sylfaen"/>
          <w:sz w:val="22"/>
          <w:szCs w:val="22"/>
          <w:lang w:val="en-US"/>
        </w:rPr>
        <w:t>60</w:t>
      </w:r>
      <w:r w:rsidRPr="00CD0978">
        <w:rPr>
          <w:rFonts w:ascii="Sylfaen" w:hAnsi="Sylfaen"/>
          <w:sz w:val="22"/>
          <w:szCs w:val="22"/>
          <w:lang w:val="ka-GE"/>
        </w:rPr>
        <w:t xml:space="preserve"> სამხედრო ექიმი</w:t>
      </w:r>
      <w:r w:rsidRPr="00CD0978">
        <w:rPr>
          <w:rFonts w:ascii="Sylfaen" w:hAnsi="Sylfaen"/>
          <w:sz w:val="22"/>
          <w:szCs w:val="22"/>
          <w:lang w:val="en-US"/>
        </w:rPr>
        <w:t xml:space="preserve"> </w:t>
      </w:r>
      <w:r w:rsidRPr="00CD0978">
        <w:rPr>
          <w:rFonts w:ascii="Sylfaen" w:hAnsi="Sylfaen"/>
          <w:sz w:val="22"/>
          <w:szCs w:val="22"/>
          <w:lang w:val="ka-GE"/>
        </w:rPr>
        <w:t xml:space="preserve">და </w:t>
      </w:r>
      <w:r w:rsidR="00AE4AEC">
        <w:rPr>
          <w:rFonts w:ascii="Sylfaen" w:hAnsi="Sylfaen"/>
          <w:sz w:val="22"/>
          <w:szCs w:val="22"/>
          <w:lang w:val="ka-GE"/>
        </w:rPr>
        <w:t>ცხინვალის რეგიონის ოკუპირებული ტერიტორიების მიმდებარე სოფლების</w:t>
      </w:r>
      <w:bookmarkStart w:id="0" w:name="_GoBack"/>
      <w:bookmarkEnd w:id="0"/>
      <w:r w:rsidRPr="00CD0978">
        <w:rPr>
          <w:rFonts w:ascii="Sylfaen" w:hAnsi="Sylfaen"/>
          <w:sz w:val="22"/>
          <w:szCs w:val="22"/>
          <w:lang w:val="ka-GE"/>
        </w:rPr>
        <w:t xml:space="preserve"> მომსახურე 50 სოფლის ექიმი) მომზადებას გადაუდებელ სამედიცინო დახმარებაში. სწავლება განხორციელდება</w:t>
      </w:r>
      <w:r>
        <w:rPr>
          <w:rFonts w:ascii="Sylfaen" w:hAnsi="Sylfaen"/>
          <w:sz w:val="22"/>
          <w:szCs w:val="22"/>
          <w:lang w:val="ka-GE"/>
        </w:rPr>
        <w:t xml:space="preserve"> ეტაპობრივად თბილისში, ქუთაისში და შიდა ქართლის რეგიონის გორის, ქარელის და კასპის რაიონებში.</w:t>
      </w:r>
      <w:r w:rsidRPr="005A3B07">
        <w:rPr>
          <w:rFonts w:ascii="Sylfaen" w:hAnsi="Sylfaen"/>
          <w:sz w:val="22"/>
          <w:szCs w:val="22"/>
          <w:lang w:val="ka-GE"/>
        </w:rPr>
        <w:t xml:space="preserve">  </w:t>
      </w:r>
      <w:r>
        <w:rPr>
          <w:rFonts w:ascii="Sylfaen" w:hAnsi="Sylfaen"/>
          <w:sz w:val="22"/>
          <w:szCs w:val="22"/>
          <w:lang w:val="ka-GE"/>
        </w:rPr>
        <w:t>ჩატარდება ერთი სიმულაციური სავარჯიშო თბილისში.</w:t>
      </w:r>
      <w:r w:rsidRPr="005A3B07">
        <w:rPr>
          <w:rFonts w:ascii="Sylfaen" w:hAnsi="Sylfaen"/>
          <w:sz w:val="22"/>
          <w:szCs w:val="22"/>
          <w:lang w:val="ka-GE"/>
        </w:rPr>
        <w:t xml:space="preserve"> </w:t>
      </w:r>
    </w:p>
    <w:p w:rsidR="005A385B" w:rsidRPr="005A3B07" w:rsidRDefault="005A385B" w:rsidP="005A385B">
      <w:pPr>
        <w:jc w:val="both"/>
        <w:rPr>
          <w:rFonts w:ascii="Sylfaen" w:hAnsi="Sylfaen"/>
          <w:sz w:val="22"/>
          <w:szCs w:val="22"/>
          <w:lang w:val="ka-GE"/>
        </w:rPr>
      </w:pPr>
      <w:r w:rsidRPr="005A3B07">
        <w:rPr>
          <w:rFonts w:ascii="Sylfaen" w:hAnsi="Sylfaen"/>
          <w:sz w:val="22"/>
          <w:szCs w:val="22"/>
          <w:lang w:val="ka-GE"/>
        </w:rPr>
        <w:tab/>
        <w:t>წარმოგიდგენთ სასწავლო პროცესის განხორციელების ტექნიკურ დავალებას. თქვენი თანხმობის შემთხვევაში, გთხოვთ, დაავალოთ სამინისტროს ადმინისტრაციულ დეპარტამენტს განახორციელოს 201</w:t>
      </w:r>
      <w:r>
        <w:rPr>
          <w:rFonts w:ascii="Sylfaen" w:hAnsi="Sylfaen"/>
          <w:sz w:val="22"/>
          <w:szCs w:val="22"/>
          <w:lang w:val="ka-GE"/>
        </w:rPr>
        <w:t>3</w:t>
      </w:r>
      <w:r w:rsidRPr="005A3B07">
        <w:rPr>
          <w:rFonts w:ascii="Sylfaen" w:hAnsi="Sylfaen"/>
          <w:sz w:val="22"/>
          <w:szCs w:val="22"/>
          <w:lang w:val="ka-GE"/>
        </w:rPr>
        <w:t xml:space="preserve"> წლის სახელმწიფო შესყიდვების წლიური გეგმით </w:t>
      </w:r>
      <w:r w:rsidRPr="005A3B07">
        <w:rPr>
          <w:rFonts w:ascii="Sylfaen" w:hAnsi="Sylfaen"/>
          <w:sz w:val="22"/>
          <w:szCs w:val="22"/>
          <w:lang w:val="ka-GE"/>
        </w:rPr>
        <w:lastRenderedPageBreak/>
        <w:t xml:space="preserve">გათვალისწინებული მომსახურების შესყიდვა თანდართული ტექნიკური დავალების (დანართი </w:t>
      </w:r>
      <w:r>
        <w:rPr>
          <w:rFonts w:ascii="Sylfaen" w:hAnsi="Sylfaen"/>
          <w:sz w:val="22"/>
          <w:szCs w:val="22"/>
          <w:lang w:val="ka-GE"/>
        </w:rPr>
        <w:t>1</w:t>
      </w:r>
      <w:r w:rsidRPr="005A3B07">
        <w:rPr>
          <w:rFonts w:ascii="Sylfaen" w:hAnsi="Sylfaen"/>
          <w:sz w:val="22"/>
          <w:szCs w:val="22"/>
          <w:lang w:val="ka-GE"/>
        </w:rPr>
        <w:t xml:space="preserve">) და საკვალიფიკაციო მოთხოვნების (დანართი </w:t>
      </w:r>
      <w:r>
        <w:rPr>
          <w:rFonts w:ascii="Sylfaen" w:hAnsi="Sylfaen"/>
          <w:sz w:val="22"/>
          <w:szCs w:val="22"/>
          <w:lang w:val="ka-GE"/>
        </w:rPr>
        <w:t>2</w:t>
      </w:r>
      <w:r w:rsidRPr="005A3B07">
        <w:rPr>
          <w:rFonts w:ascii="Sylfaen" w:hAnsi="Sylfaen"/>
          <w:sz w:val="22"/>
          <w:szCs w:val="22"/>
          <w:lang w:val="ka-GE"/>
        </w:rPr>
        <w:t>) შესაბამისად.</w:t>
      </w:r>
    </w:p>
    <w:p w:rsidR="005A385B" w:rsidRPr="005A3B07" w:rsidRDefault="005A385B" w:rsidP="005A385B">
      <w:pPr>
        <w:jc w:val="both"/>
        <w:rPr>
          <w:rFonts w:ascii="Sylfaen" w:hAnsi="Sylfaen"/>
          <w:sz w:val="22"/>
          <w:szCs w:val="22"/>
          <w:lang w:val="ka-GE"/>
        </w:rPr>
      </w:pPr>
      <w:r w:rsidRPr="005A3B07">
        <w:rPr>
          <w:rFonts w:ascii="Sylfaen" w:hAnsi="Sylfaen"/>
          <w:sz w:val="22"/>
          <w:szCs w:val="22"/>
          <w:lang w:val="ka-GE"/>
        </w:rPr>
        <w:tab/>
      </w:r>
    </w:p>
    <w:p w:rsidR="005A385B" w:rsidRPr="005A3B07" w:rsidRDefault="005A385B" w:rsidP="005A385B">
      <w:pPr>
        <w:jc w:val="both"/>
        <w:rPr>
          <w:rFonts w:ascii="Sylfaen" w:hAnsi="Sylfaen"/>
          <w:sz w:val="22"/>
          <w:szCs w:val="22"/>
          <w:lang w:val="ka-GE"/>
        </w:rPr>
      </w:pPr>
      <w:r w:rsidRPr="005A3B07">
        <w:rPr>
          <w:rFonts w:ascii="Sylfaen" w:hAnsi="Sylfaen"/>
          <w:sz w:val="22"/>
          <w:szCs w:val="22"/>
          <w:lang w:val="ka-GE"/>
        </w:rPr>
        <w:tab/>
        <w:t xml:space="preserve">დანართი </w:t>
      </w:r>
      <w:r>
        <w:rPr>
          <w:rFonts w:ascii="Sylfaen" w:hAnsi="Sylfaen"/>
          <w:sz w:val="22"/>
          <w:szCs w:val="22"/>
          <w:lang w:val="ka-GE"/>
        </w:rPr>
        <w:t>5</w:t>
      </w:r>
      <w:r w:rsidRPr="005A3B07">
        <w:rPr>
          <w:rFonts w:ascii="Sylfaen" w:hAnsi="Sylfaen"/>
          <w:sz w:val="22"/>
          <w:szCs w:val="22"/>
          <w:lang w:val="ka-GE"/>
        </w:rPr>
        <w:t xml:space="preserve"> გვერდი.</w:t>
      </w:r>
    </w:p>
    <w:p w:rsidR="005A385B" w:rsidRPr="005A3B07" w:rsidRDefault="005A385B" w:rsidP="005A385B">
      <w:pPr>
        <w:jc w:val="both"/>
        <w:rPr>
          <w:rFonts w:ascii="Sylfaen" w:hAnsi="Sylfaen"/>
          <w:sz w:val="22"/>
          <w:szCs w:val="22"/>
          <w:lang w:val="ka-GE"/>
        </w:rPr>
      </w:pPr>
    </w:p>
    <w:p w:rsidR="005A385B" w:rsidRPr="005A3B07" w:rsidRDefault="005A385B" w:rsidP="005A385B">
      <w:pPr>
        <w:ind w:firstLine="708"/>
        <w:jc w:val="both"/>
        <w:rPr>
          <w:rFonts w:ascii="Sylfaen" w:hAnsi="Sylfaen"/>
          <w:sz w:val="22"/>
          <w:szCs w:val="22"/>
          <w:lang w:val="ka-GE"/>
        </w:rPr>
      </w:pPr>
      <w:r w:rsidRPr="005A3B07">
        <w:rPr>
          <w:rFonts w:ascii="Sylfaen" w:hAnsi="Sylfaen"/>
          <w:sz w:val="22"/>
          <w:szCs w:val="22"/>
          <w:lang w:val="ka-GE"/>
        </w:rPr>
        <w:t>პატივისცემით,</w:t>
      </w:r>
    </w:p>
    <w:p w:rsidR="005A385B" w:rsidRPr="005A3B07" w:rsidRDefault="005A385B" w:rsidP="005A385B">
      <w:pPr>
        <w:jc w:val="both"/>
        <w:rPr>
          <w:rFonts w:ascii="Sylfaen" w:hAnsi="Sylfaen"/>
          <w:sz w:val="22"/>
          <w:szCs w:val="22"/>
          <w:lang w:val="ka-GE"/>
        </w:rPr>
      </w:pPr>
    </w:p>
    <w:p w:rsidR="005A385B" w:rsidRPr="005A3B07" w:rsidRDefault="005A385B" w:rsidP="005A385B">
      <w:pPr>
        <w:jc w:val="both"/>
        <w:rPr>
          <w:rFonts w:ascii="Sylfaen" w:hAnsi="Sylfaen"/>
          <w:sz w:val="22"/>
          <w:szCs w:val="22"/>
          <w:lang w:val="ka-GE"/>
        </w:rPr>
      </w:pPr>
      <w:r w:rsidRPr="005A3B07">
        <w:rPr>
          <w:rFonts w:ascii="Sylfaen" w:hAnsi="Sylfaen"/>
          <w:sz w:val="22"/>
          <w:szCs w:val="22"/>
          <w:lang w:val="ka-GE"/>
        </w:rPr>
        <w:tab/>
        <w:t>საგანგებო სიტუაციების კოორდინაციისა</w:t>
      </w:r>
    </w:p>
    <w:p w:rsidR="005A385B" w:rsidRDefault="005A385B" w:rsidP="005A385B">
      <w:pPr>
        <w:ind w:firstLine="708"/>
        <w:jc w:val="both"/>
        <w:rPr>
          <w:rFonts w:ascii="Sylfaen" w:hAnsi="Sylfaen"/>
          <w:sz w:val="22"/>
          <w:szCs w:val="22"/>
          <w:lang w:val="ka-GE"/>
        </w:rPr>
      </w:pPr>
      <w:r w:rsidRPr="005A3B07">
        <w:rPr>
          <w:rFonts w:ascii="Sylfaen" w:hAnsi="Sylfaen"/>
          <w:sz w:val="22"/>
          <w:szCs w:val="22"/>
          <w:lang w:val="ka-GE"/>
        </w:rPr>
        <w:t>და რეჟიმის დეპარტამენტის უფროსი                                        ზურაბ უტიაშვილი</w:t>
      </w:r>
    </w:p>
    <w:p w:rsidR="00A27568" w:rsidRDefault="00A27568"/>
    <w:sectPr w:rsidR="00A27568"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5B"/>
    <w:rsid w:val="005A385B"/>
    <w:rsid w:val="006B701E"/>
    <w:rsid w:val="00A27568"/>
    <w:rsid w:val="00A460C0"/>
    <w:rsid w:val="00AE4AEC"/>
    <w:rsid w:val="00D3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85B"/>
    <w:pPr>
      <w:spacing w:after="0" w:line="240" w:lineRule="auto"/>
    </w:pPr>
    <w:rPr>
      <w:rFonts w:ascii="SPLiteraturuly" w:eastAsia="Times New Roman" w:hAnsi="SPLiteraturuly" w:cs="Times New Roman"/>
      <w:sz w:val="24"/>
      <w:szCs w:val="24"/>
      <w:lang w:val="ru-RU" w:eastAsia="ru-RU"/>
    </w:rPr>
  </w:style>
  <w:style w:type="paragraph" w:styleId="Heading2">
    <w:name w:val="heading 2"/>
    <w:basedOn w:val="Normal"/>
    <w:next w:val="Normal"/>
    <w:link w:val="Heading2Char"/>
    <w:uiPriority w:val="9"/>
    <w:semiHidden/>
    <w:unhideWhenUsed/>
    <w:qFormat/>
    <w:rsid w:val="005A385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5A385B"/>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5A385B"/>
    <w:rPr>
      <w:rFonts w:asciiTheme="majorHAnsi" w:eastAsiaTheme="majorEastAsia" w:hAnsiTheme="majorHAnsi" w:cstheme="majorBidi"/>
      <w:b/>
      <w:bCs/>
      <w:color w:val="4F81BD" w:themeColor="accent1"/>
      <w:sz w:val="26"/>
      <w:szCs w:val="2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85B"/>
    <w:pPr>
      <w:spacing w:after="0" w:line="240" w:lineRule="auto"/>
    </w:pPr>
    <w:rPr>
      <w:rFonts w:ascii="SPLiteraturuly" w:eastAsia="Times New Roman" w:hAnsi="SPLiteraturuly" w:cs="Times New Roman"/>
      <w:sz w:val="24"/>
      <w:szCs w:val="24"/>
      <w:lang w:val="ru-RU" w:eastAsia="ru-RU"/>
    </w:rPr>
  </w:style>
  <w:style w:type="paragraph" w:styleId="Heading2">
    <w:name w:val="heading 2"/>
    <w:basedOn w:val="Normal"/>
    <w:next w:val="Normal"/>
    <w:link w:val="Heading2Char"/>
    <w:uiPriority w:val="9"/>
    <w:semiHidden/>
    <w:unhideWhenUsed/>
    <w:qFormat/>
    <w:rsid w:val="005A385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5A385B"/>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5A385B"/>
    <w:rPr>
      <w:rFonts w:asciiTheme="majorHAnsi" w:eastAsiaTheme="majorEastAsia" w:hAnsiTheme="majorHAnsi" w:cstheme="majorBidi"/>
      <w:b/>
      <w:bCs/>
      <w:color w:val="4F81BD" w:themeColor="accent1"/>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2</cp:revision>
  <dcterms:created xsi:type="dcterms:W3CDTF">2013-10-04T10:36:00Z</dcterms:created>
  <dcterms:modified xsi:type="dcterms:W3CDTF">2013-10-08T11:32:00Z</dcterms:modified>
</cp:coreProperties>
</file>