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rawings/drawing3.xml" ContentType="application/vnd.openxmlformats-officedocument.drawingml.chartshap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drawings/drawing2.xml" ContentType="application/vnd.openxmlformats-officedocument.drawingml.chartshape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0FB" w:rsidRPr="008B047B" w:rsidRDefault="00FF40FB" w:rsidP="00537E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center"/>
        <w:rPr>
          <w:rFonts w:ascii="Sylfaen" w:eastAsia="Sylfaen" w:hAnsi="Sylfaen"/>
          <w:b/>
          <w:sz w:val="24"/>
          <w:lang w:val="ka-GE"/>
        </w:rPr>
      </w:pPr>
      <w:r>
        <w:rPr>
          <w:rFonts w:ascii="Sylfaen" w:eastAsia="Sylfaen" w:hAnsi="Sylfaen"/>
          <w:b/>
          <w:sz w:val="24"/>
          <w:lang w:val="ka-GE"/>
        </w:rPr>
        <w:t>სამედიცინო ტრანსპორტირება</w:t>
      </w:r>
    </w:p>
    <w:p w:rsidR="00FF40FB" w:rsidRDefault="00FF40FB" w:rsidP="00FF40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sz w:val="24"/>
          <w:lang w:val="ka-GE"/>
        </w:rPr>
      </w:pPr>
    </w:p>
    <w:p w:rsidR="003E0C74" w:rsidRDefault="003E0C74" w:rsidP="00537E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center"/>
        <w:rPr>
          <w:rFonts w:ascii="Sylfaen" w:eastAsia="Sylfaen" w:hAnsi="Sylfaen"/>
          <w:b/>
          <w:sz w:val="24"/>
          <w:lang w:val="ka-GE"/>
        </w:rPr>
      </w:pPr>
      <w:proofErr w:type="gramStart"/>
      <w:r w:rsidRPr="003E0C74">
        <w:rPr>
          <w:rFonts w:ascii="Sylfaen" w:eastAsia="Sylfaen" w:hAnsi="Sylfaen"/>
          <w:b/>
          <w:sz w:val="24"/>
        </w:rPr>
        <w:t>რეფერალური</w:t>
      </w:r>
      <w:proofErr w:type="gramEnd"/>
      <w:r w:rsidRPr="003E0C74">
        <w:rPr>
          <w:rFonts w:ascii="Sylfaen" w:eastAsia="Sylfaen" w:hAnsi="Sylfaen"/>
          <w:b/>
          <w:sz w:val="24"/>
        </w:rPr>
        <w:t xml:space="preserve"> დახმარება</w:t>
      </w:r>
    </w:p>
    <w:p w:rsidR="006D02B7" w:rsidRDefault="006D02B7" w:rsidP="00FF40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sz w:val="24"/>
          <w:lang w:val="ka-GE"/>
        </w:rPr>
      </w:pPr>
    </w:p>
    <w:p w:rsidR="006D02B7" w:rsidRDefault="006D02B7" w:rsidP="00FF40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Cs w:val="22"/>
          <w:lang w:val="ka-GE"/>
        </w:rPr>
      </w:pPr>
      <w:r>
        <w:rPr>
          <w:rFonts w:ascii="Sylfaen" w:eastAsia="Sylfaen" w:hAnsi="Sylfaen"/>
          <w:szCs w:val="22"/>
          <w:lang w:val="ka-GE"/>
        </w:rPr>
        <w:t>„სასწრაფო სამედიცინო დახმარებისა და სამედიცინო ტრანსპორტირების“ სახელმწიფო პროგრამის სამედიცინო ტრანსპორტირების კომპონენტის რეფერალური დახმარების ქვეკომპონენტის ბიუჯეტის დინამიკა 2010-2014 წლების მიხედვით</w:t>
      </w:r>
      <w:r w:rsidR="00980FB2">
        <w:rPr>
          <w:rFonts w:ascii="Sylfaen" w:eastAsia="Sylfaen" w:hAnsi="Sylfaen"/>
          <w:szCs w:val="22"/>
          <w:lang w:val="ka-GE"/>
        </w:rPr>
        <w:t>:</w:t>
      </w:r>
      <w:r w:rsidR="006E6DD9">
        <w:rPr>
          <w:rFonts w:ascii="Sylfaen" w:eastAsia="Sylfaen" w:hAnsi="Sylfaen"/>
          <w:szCs w:val="22"/>
          <w:lang w:val="ka-GE"/>
        </w:rPr>
        <w:t xml:space="preserve"> </w:t>
      </w:r>
    </w:p>
    <w:p w:rsidR="00BE0CBB" w:rsidRDefault="00BE0CBB" w:rsidP="00FF40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Cs w:val="22"/>
          <w:lang w:val="ka-GE"/>
        </w:rPr>
      </w:pPr>
    </w:p>
    <w:p w:rsidR="002854E3" w:rsidRPr="006E6DD9" w:rsidRDefault="006E6DD9" w:rsidP="006E6D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Sylfaen" w:hAnsi="Sylfaen"/>
          <w:sz w:val="20"/>
          <w:lang w:val="ka-GE"/>
        </w:rPr>
      </w:pPr>
      <w:r w:rsidRPr="006E6DD9">
        <w:rPr>
          <w:rFonts w:ascii="Sylfaen" w:eastAsia="Sylfaen" w:hAnsi="Sylfaen"/>
          <w:sz w:val="20"/>
          <w:lang w:val="ka-GE"/>
        </w:rPr>
        <w:t>ცხრილი N1</w:t>
      </w:r>
    </w:p>
    <w:tbl>
      <w:tblPr>
        <w:tblStyle w:val="TableGrid"/>
        <w:tblpPr w:leftFromText="180" w:rightFromText="180" w:vertAnchor="text" w:tblpY="1"/>
        <w:tblOverlap w:val="never"/>
        <w:tblW w:w="0" w:type="auto"/>
        <w:tblLook w:val="04A0"/>
      </w:tblPr>
      <w:tblGrid>
        <w:gridCol w:w="2376"/>
        <w:gridCol w:w="3261"/>
        <w:gridCol w:w="4281"/>
      </w:tblGrid>
      <w:tr w:rsidR="002854E3" w:rsidTr="00076CF8">
        <w:tc>
          <w:tcPr>
            <w:tcW w:w="2376" w:type="dxa"/>
          </w:tcPr>
          <w:p w:rsidR="002854E3" w:rsidRPr="00734C7A" w:rsidRDefault="00734C7A" w:rsidP="002854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sz w:val="24"/>
                <w:lang w:val="ka-GE"/>
              </w:rPr>
            </w:pPr>
            <w:r>
              <w:rPr>
                <w:rFonts w:ascii="Sylfaen" w:eastAsia="Sylfaen" w:hAnsi="Sylfaen"/>
                <w:b/>
                <w:sz w:val="24"/>
                <w:lang w:val="ka-GE"/>
              </w:rPr>
              <w:t>წელი</w:t>
            </w:r>
          </w:p>
        </w:tc>
        <w:tc>
          <w:tcPr>
            <w:tcW w:w="3261" w:type="dxa"/>
          </w:tcPr>
          <w:p w:rsidR="002854E3" w:rsidRPr="00734C7A" w:rsidRDefault="00734C7A" w:rsidP="00566A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24"/>
                <w:lang w:val="ka-GE"/>
              </w:rPr>
            </w:pPr>
            <w:r>
              <w:rPr>
                <w:rFonts w:ascii="Sylfaen" w:eastAsia="Sylfaen" w:hAnsi="Sylfaen"/>
                <w:b/>
                <w:sz w:val="24"/>
                <w:lang w:val="ka-GE"/>
              </w:rPr>
              <w:t>ბიუჯეტი</w:t>
            </w:r>
          </w:p>
        </w:tc>
        <w:tc>
          <w:tcPr>
            <w:tcW w:w="4281" w:type="dxa"/>
          </w:tcPr>
          <w:p w:rsidR="002854E3" w:rsidRDefault="002854E3" w:rsidP="00566A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b/>
                <w:sz w:val="24"/>
              </w:rPr>
            </w:pPr>
          </w:p>
        </w:tc>
      </w:tr>
      <w:tr w:rsidR="002854E3" w:rsidTr="00076CF8">
        <w:tc>
          <w:tcPr>
            <w:tcW w:w="2376" w:type="dxa"/>
            <w:vMerge w:val="restart"/>
            <w:vAlign w:val="center"/>
          </w:tcPr>
          <w:p w:rsidR="002854E3" w:rsidRDefault="002854E3" w:rsidP="00076C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b/>
                <w:sz w:val="24"/>
              </w:rPr>
            </w:pPr>
            <w:r w:rsidRPr="003E0C74">
              <w:rPr>
                <w:rFonts w:ascii="Sylfaen" w:eastAsia="Times New Roman" w:hAnsi="Sylfaen" w:cs="Times New Roman"/>
                <w:color w:val="000000"/>
                <w:sz w:val="16"/>
                <w:szCs w:val="16"/>
                <w:lang w:val="ru-RU" w:eastAsia="ru-RU"/>
              </w:rPr>
              <w:t>2010 წელი</w:t>
            </w:r>
          </w:p>
        </w:tc>
        <w:tc>
          <w:tcPr>
            <w:tcW w:w="3261" w:type="dxa"/>
          </w:tcPr>
          <w:p w:rsidR="002854E3" w:rsidRDefault="002854E3" w:rsidP="00566A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24"/>
              </w:rPr>
            </w:pPr>
            <w:r w:rsidRPr="002854E3">
              <w:rPr>
                <w:rFonts w:ascii="Sylfaen" w:eastAsia="Times New Roman" w:hAnsi="Sylfaen" w:cs="Times New Roman"/>
                <w:b/>
                <w:color w:val="000000"/>
                <w:sz w:val="16"/>
                <w:szCs w:val="16"/>
                <w:lang w:val="ru-RU" w:eastAsia="ru-RU"/>
              </w:rPr>
              <w:t>3 255 600</w:t>
            </w:r>
          </w:p>
        </w:tc>
        <w:tc>
          <w:tcPr>
            <w:tcW w:w="4281" w:type="dxa"/>
            <w:vMerge w:val="restart"/>
          </w:tcPr>
          <w:p w:rsidR="002854E3" w:rsidRDefault="002854E3" w:rsidP="00566A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b/>
                <w:sz w:val="24"/>
              </w:rPr>
            </w:pPr>
            <w:r>
              <w:rPr>
                <w:rFonts w:ascii="Sylfaen" w:eastAsia="Times New Roman" w:hAnsi="Sylfaen" w:cs="Times New Roman"/>
                <w:color w:val="000000"/>
                <w:sz w:val="16"/>
                <w:szCs w:val="16"/>
                <w:lang w:val="ru-RU" w:eastAsia="ru-RU"/>
              </w:rPr>
              <w:t>ბრძანება N</w:t>
            </w:r>
            <w:r w:rsidRPr="003E0C74">
              <w:rPr>
                <w:rFonts w:ascii="Sylfaen" w:eastAsia="Times New Roman" w:hAnsi="Sylfaen" w:cs="Times New Roman"/>
                <w:color w:val="000000"/>
                <w:sz w:val="16"/>
                <w:szCs w:val="16"/>
                <w:lang w:val="ru-RU" w:eastAsia="ru-RU"/>
              </w:rPr>
              <w:t>424/ნ</w:t>
            </w:r>
            <w:r w:rsidRPr="003E0C74">
              <w:rPr>
                <w:rFonts w:ascii="Sylfaen" w:eastAsia="Times New Roman" w:hAnsi="Sylfaen" w:cs="Times New Roman"/>
                <w:color w:val="000000"/>
                <w:sz w:val="16"/>
                <w:szCs w:val="16"/>
                <w:lang w:val="ru-RU" w:eastAsia="ru-RU"/>
              </w:rPr>
              <w:br/>
              <w:t>2009 წლის 22 დეკემბერი</w:t>
            </w:r>
          </w:p>
        </w:tc>
      </w:tr>
      <w:tr w:rsidR="002854E3" w:rsidTr="00076CF8">
        <w:tc>
          <w:tcPr>
            <w:tcW w:w="2376" w:type="dxa"/>
            <w:vMerge/>
            <w:vAlign w:val="center"/>
          </w:tcPr>
          <w:p w:rsidR="002854E3" w:rsidRDefault="002854E3" w:rsidP="00076C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b/>
                <w:sz w:val="24"/>
              </w:rPr>
            </w:pPr>
          </w:p>
        </w:tc>
        <w:tc>
          <w:tcPr>
            <w:tcW w:w="3261" w:type="dxa"/>
          </w:tcPr>
          <w:p w:rsidR="002854E3" w:rsidRPr="002854E3" w:rsidRDefault="002854E3" w:rsidP="00566A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4"/>
              </w:rPr>
            </w:pPr>
            <w:r w:rsidRPr="002854E3">
              <w:rPr>
                <w:rFonts w:ascii="Sylfaen" w:eastAsia="Times New Roman" w:hAnsi="Sylfaen" w:cs="Times New Roman"/>
                <w:b/>
                <w:color w:val="000000"/>
                <w:sz w:val="16"/>
                <w:szCs w:val="16"/>
                <w:lang w:val="ru-RU" w:eastAsia="ru-RU"/>
              </w:rPr>
              <w:t>3 408 400</w:t>
            </w:r>
          </w:p>
        </w:tc>
        <w:tc>
          <w:tcPr>
            <w:tcW w:w="4281" w:type="dxa"/>
            <w:vMerge/>
          </w:tcPr>
          <w:p w:rsidR="002854E3" w:rsidRDefault="002854E3" w:rsidP="00566A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b/>
                <w:sz w:val="24"/>
              </w:rPr>
            </w:pPr>
          </w:p>
        </w:tc>
      </w:tr>
      <w:tr w:rsidR="002854E3" w:rsidTr="00076CF8">
        <w:tc>
          <w:tcPr>
            <w:tcW w:w="2376" w:type="dxa"/>
            <w:vMerge/>
            <w:vAlign w:val="center"/>
          </w:tcPr>
          <w:p w:rsidR="002854E3" w:rsidRDefault="002854E3" w:rsidP="00076C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b/>
                <w:sz w:val="24"/>
              </w:rPr>
            </w:pPr>
          </w:p>
        </w:tc>
        <w:tc>
          <w:tcPr>
            <w:tcW w:w="3261" w:type="dxa"/>
            <w:shd w:val="clear" w:color="auto" w:fill="D9D9D9" w:themeFill="background1" w:themeFillShade="D9"/>
          </w:tcPr>
          <w:p w:rsidR="002854E3" w:rsidRDefault="002854E3" w:rsidP="00566A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24"/>
              </w:rPr>
            </w:pPr>
            <w:r w:rsidRPr="002854E3">
              <w:rPr>
                <w:rFonts w:ascii="Sylfaen" w:eastAsia="Times New Roman" w:hAnsi="Sylfaen" w:cs="Times New Roman"/>
                <w:b/>
                <w:color w:val="000000"/>
                <w:sz w:val="16"/>
                <w:szCs w:val="16"/>
                <w:lang w:val="ru-RU" w:eastAsia="ru-RU"/>
              </w:rPr>
              <w:t>3 371 040</w:t>
            </w:r>
          </w:p>
        </w:tc>
        <w:tc>
          <w:tcPr>
            <w:tcW w:w="4281" w:type="dxa"/>
          </w:tcPr>
          <w:p w:rsidR="002854E3" w:rsidRDefault="002854E3" w:rsidP="00566A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b/>
                <w:sz w:val="24"/>
              </w:rPr>
            </w:pPr>
            <w:r w:rsidRPr="003E0C74">
              <w:rPr>
                <w:rFonts w:ascii="Sylfaen" w:eastAsia="Times New Roman" w:hAnsi="Sylfaen" w:cs="Times New Roman"/>
                <w:color w:val="000000"/>
                <w:sz w:val="16"/>
                <w:szCs w:val="16"/>
                <w:lang w:val="ru-RU" w:eastAsia="ru-RU"/>
              </w:rPr>
              <w:t>შესრულება</w:t>
            </w:r>
          </w:p>
        </w:tc>
      </w:tr>
      <w:tr w:rsidR="002854E3" w:rsidTr="00076CF8">
        <w:trPr>
          <w:trHeight w:val="133"/>
        </w:trPr>
        <w:tc>
          <w:tcPr>
            <w:tcW w:w="2376" w:type="dxa"/>
            <w:vMerge w:val="restart"/>
            <w:vAlign w:val="center"/>
          </w:tcPr>
          <w:p w:rsidR="002854E3" w:rsidRDefault="002854E3" w:rsidP="00076C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b/>
                <w:sz w:val="24"/>
              </w:rPr>
            </w:pPr>
            <w:r w:rsidRPr="003E0C74">
              <w:rPr>
                <w:rFonts w:ascii="Sylfaen" w:eastAsia="Times New Roman" w:hAnsi="Sylfaen" w:cs="Times New Roman"/>
                <w:color w:val="000000"/>
                <w:sz w:val="16"/>
                <w:szCs w:val="16"/>
                <w:lang w:val="ru-RU" w:eastAsia="ru-RU"/>
              </w:rPr>
              <w:t>2011 წელი</w:t>
            </w:r>
          </w:p>
        </w:tc>
        <w:tc>
          <w:tcPr>
            <w:tcW w:w="3261" w:type="dxa"/>
          </w:tcPr>
          <w:p w:rsidR="002854E3" w:rsidRDefault="002854E3" w:rsidP="00566A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24"/>
              </w:rPr>
            </w:pPr>
            <w:r w:rsidRPr="002854E3">
              <w:rPr>
                <w:rFonts w:ascii="Sylfaen" w:eastAsia="Times New Roman" w:hAnsi="Sylfaen" w:cs="Times New Roman"/>
                <w:b/>
                <w:color w:val="000000"/>
                <w:sz w:val="16"/>
                <w:szCs w:val="16"/>
                <w:lang w:val="ru-RU" w:eastAsia="ru-RU"/>
              </w:rPr>
              <w:t>1 994 467</w:t>
            </w:r>
          </w:p>
        </w:tc>
        <w:tc>
          <w:tcPr>
            <w:tcW w:w="4281" w:type="dxa"/>
          </w:tcPr>
          <w:p w:rsidR="002854E3" w:rsidRDefault="002854E3" w:rsidP="00566A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b/>
                <w:sz w:val="24"/>
              </w:rPr>
            </w:pPr>
            <w:r w:rsidRPr="003E0C74">
              <w:rPr>
                <w:rFonts w:ascii="Sylfaen" w:eastAsia="Times New Roman" w:hAnsi="Sylfaen" w:cs="Times New Roman"/>
                <w:color w:val="000000"/>
                <w:sz w:val="16"/>
                <w:szCs w:val="16"/>
                <w:lang w:val="ru-RU" w:eastAsia="ru-RU"/>
              </w:rPr>
              <w:t>№77</w:t>
            </w:r>
            <w:r w:rsidR="00566ADC">
              <w:rPr>
                <w:rFonts w:ascii="Sylfaen" w:eastAsia="Times New Roman" w:hAnsi="Sylfaen" w:cs="Times New Roman"/>
                <w:color w:val="000000"/>
                <w:sz w:val="16"/>
                <w:szCs w:val="16"/>
                <w:lang w:val="ka-GE" w:eastAsia="ru-RU"/>
              </w:rPr>
              <w:t xml:space="preserve">დადგენილება </w:t>
            </w:r>
            <w:r w:rsidRPr="003E0C74">
              <w:rPr>
                <w:rFonts w:ascii="Sylfaen" w:eastAsia="Times New Roman" w:hAnsi="Sylfaen" w:cs="Times New Roman"/>
                <w:color w:val="000000"/>
                <w:sz w:val="16"/>
                <w:szCs w:val="16"/>
                <w:lang w:val="ru-RU" w:eastAsia="ru-RU"/>
              </w:rPr>
              <w:t>2011 წლის 15 თებერვალი</w:t>
            </w:r>
          </w:p>
        </w:tc>
      </w:tr>
      <w:tr w:rsidR="002854E3" w:rsidTr="00076CF8">
        <w:tc>
          <w:tcPr>
            <w:tcW w:w="2376" w:type="dxa"/>
            <w:vMerge/>
            <w:vAlign w:val="center"/>
          </w:tcPr>
          <w:p w:rsidR="002854E3" w:rsidRDefault="002854E3" w:rsidP="00076C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b/>
                <w:sz w:val="24"/>
              </w:rPr>
            </w:pPr>
          </w:p>
        </w:tc>
        <w:tc>
          <w:tcPr>
            <w:tcW w:w="3261" w:type="dxa"/>
          </w:tcPr>
          <w:p w:rsidR="002854E3" w:rsidRDefault="002854E3" w:rsidP="00566A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24"/>
              </w:rPr>
            </w:pPr>
            <w:r w:rsidRPr="002854E3">
              <w:rPr>
                <w:rFonts w:ascii="Sylfaen" w:eastAsia="Times New Roman" w:hAnsi="Sylfaen" w:cs="Times New Roman"/>
                <w:b/>
                <w:color w:val="000000"/>
                <w:sz w:val="16"/>
                <w:szCs w:val="16"/>
                <w:lang w:val="ru-RU" w:eastAsia="ru-RU"/>
              </w:rPr>
              <w:t>3 051 067</w:t>
            </w:r>
          </w:p>
        </w:tc>
        <w:tc>
          <w:tcPr>
            <w:tcW w:w="4281" w:type="dxa"/>
          </w:tcPr>
          <w:p w:rsidR="002854E3" w:rsidRDefault="002854E3" w:rsidP="00566A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b/>
                <w:sz w:val="24"/>
              </w:rPr>
            </w:pPr>
            <w:r w:rsidRPr="003E0C74">
              <w:rPr>
                <w:rFonts w:ascii="Sylfaen" w:eastAsia="Times New Roman" w:hAnsi="Sylfaen" w:cs="Times New Roman"/>
                <w:color w:val="000000"/>
                <w:sz w:val="16"/>
                <w:szCs w:val="16"/>
                <w:lang w:val="ru-RU" w:eastAsia="ru-RU"/>
              </w:rPr>
              <w:t xml:space="preserve">№333   </w:t>
            </w:r>
            <w:r w:rsidR="00566ADC">
              <w:rPr>
                <w:rFonts w:ascii="Sylfaen" w:eastAsia="Times New Roman" w:hAnsi="Sylfaen" w:cs="Times New Roman"/>
                <w:color w:val="000000"/>
                <w:sz w:val="16"/>
                <w:szCs w:val="16"/>
                <w:lang w:val="ka-GE" w:eastAsia="ru-RU"/>
              </w:rPr>
              <w:t xml:space="preserve">დადგენილება </w:t>
            </w:r>
            <w:r w:rsidRPr="003E0C74">
              <w:rPr>
                <w:rFonts w:ascii="Sylfaen" w:eastAsia="Times New Roman" w:hAnsi="Sylfaen" w:cs="Times New Roman"/>
                <w:color w:val="000000"/>
                <w:sz w:val="16"/>
                <w:szCs w:val="16"/>
                <w:lang w:val="ru-RU" w:eastAsia="ru-RU"/>
              </w:rPr>
              <w:t xml:space="preserve">2011 წლის 26 აგვისტო    </w:t>
            </w:r>
          </w:p>
        </w:tc>
      </w:tr>
      <w:tr w:rsidR="002854E3" w:rsidTr="00076CF8">
        <w:tc>
          <w:tcPr>
            <w:tcW w:w="2376" w:type="dxa"/>
            <w:vMerge/>
            <w:vAlign w:val="center"/>
          </w:tcPr>
          <w:p w:rsidR="002854E3" w:rsidRDefault="002854E3" w:rsidP="00076C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b/>
                <w:sz w:val="24"/>
              </w:rPr>
            </w:pPr>
          </w:p>
        </w:tc>
        <w:tc>
          <w:tcPr>
            <w:tcW w:w="3261" w:type="dxa"/>
            <w:shd w:val="clear" w:color="auto" w:fill="D9D9D9" w:themeFill="background1" w:themeFillShade="D9"/>
          </w:tcPr>
          <w:p w:rsidR="002854E3" w:rsidRDefault="002854E3" w:rsidP="00566A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24"/>
              </w:rPr>
            </w:pPr>
            <w:r w:rsidRPr="002854E3">
              <w:rPr>
                <w:rFonts w:ascii="Sylfaen" w:eastAsia="Times New Roman" w:hAnsi="Sylfaen" w:cs="Times New Roman"/>
                <w:b/>
                <w:color w:val="000000"/>
                <w:sz w:val="16"/>
                <w:szCs w:val="16"/>
                <w:lang w:val="ru-RU" w:eastAsia="ru-RU"/>
              </w:rPr>
              <w:t>2 986 675</w:t>
            </w:r>
          </w:p>
        </w:tc>
        <w:tc>
          <w:tcPr>
            <w:tcW w:w="4281" w:type="dxa"/>
          </w:tcPr>
          <w:p w:rsidR="002854E3" w:rsidRDefault="002854E3" w:rsidP="00566A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b/>
                <w:sz w:val="24"/>
              </w:rPr>
            </w:pPr>
            <w:r w:rsidRPr="003E0C74">
              <w:rPr>
                <w:rFonts w:ascii="Sylfaen" w:eastAsia="Times New Roman" w:hAnsi="Sylfaen" w:cs="Times New Roman"/>
                <w:color w:val="000000"/>
                <w:sz w:val="16"/>
                <w:szCs w:val="16"/>
                <w:lang w:val="ru-RU" w:eastAsia="ru-RU"/>
              </w:rPr>
              <w:t>შესრულება</w:t>
            </w:r>
          </w:p>
        </w:tc>
      </w:tr>
      <w:tr w:rsidR="002854E3" w:rsidTr="00076CF8">
        <w:tc>
          <w:tcPr>
            <w:tcW w:w="2376" w:type="dxa"/>
            <w:vMerge w:val="restart"/>
            <w:vAlign w:val="center"/>
          </w:tcPr>
          <w:p w:rsidR="002854E3" w:rsidRDefault="002854E3" w:rsidP="00076C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b/>
                <w:sz w:val="24"/>
              </w:rPr>
            </w:pPr>
            <w:r w:rsidRPr="003E0C74">
              <w:rPr>
                <w:rFonts w:ascii="Sylfaen" w:eastAsia="Times New Roman" w:hAnsi="Sylfaen" w:cs="Times New Roman"/>
                <w:color w:val="000000"/>
                <w:sz w:val="16"/>
                <w:szCs w:val="16"/>
                <w:lang w:val="ru-RU" w:eastAsia="ru-RU"/>
              </w:rPr>
              <w:t>2012 წელი</w:t>
            </w:r>
          </w:p>
        </w:tc>
        <w:tc>
          <w:tcPr>
            <w:tcW w:w="3261" w:type="dxa"/>
          </w:tcPr>
          <w:p w:rsidR="002854E3" w:rsidRDefault="002854E3" w:rsidP="00566A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24"/>
              </w:rPr>
            </w:pPr>
            <w:r w:rsidRPr="002854E3">
              <w:rPr>
                <w:rFonts w:ascii="Sylfaen" w:eastAsia="Times New Roman" w:hAnsi="Sylfaen" w:cs="Times New Roman"/>
                <w:b/>
                <w:color w:val="000000"/>
                <w:sz w:val="16"/>
                <w:szCs w:val="16"/>
                <w:lang w:val="ru-RU" w:eastAsia="ru-RU"/>
              </w:rPr>
              <w:t>3 047 000</w:t>
            </w:r>
          </w:p>
        </w:tc>
        <w:tc>
          <w:tcPr>
            <w:tcW w:w="4281" w:type="dxa"/>
          </w:tcPr>
          <w:p w:rsidR="002854E3" w:rsidRDefault="002854E3" w:rsidP="00566A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b/>
                <w:sz w:val="24"/>
              </w:rPr>
            </w:pPr>
            <w:r w:rsidRPr="003E0C74">
              <w:rPr>
                <w:rFonts w:ascii="Sylfaen" w:eastAsia="Times New Roman" w:hAnsi="Sylfaen" w:cs="Times New Roman"/>
                <w:color w:val="000000"/>
                <w:sz w:val="16"/>
                <w:szCs w:val="16"/>
                <w:lang w:val="ru-RU" w:eastAsia="ru-RU"/>
              </w:rPr>
              <w:t>№92</w:t>
            </w:r>
            <w:r w:rsidR="00566ADC">
              <w:rPr>
                <w:rFonts w:ascii="Sylfaen" w:eastAsia="Times New Roman" w:hAnsi="Sylfaen" w:cs="Times New Roman"/>
                <w:color w:val="000000"/>
                <w:sz w:val="16"/>
                <w:szCs w:val="16"/>
                <w:lang w:val="ka-GE" w:eastAsia="ru-RU"/>
              </w:rPr>
              <w:t xml:space="preserve"> დადგენილება </w:t>
            </w:r>
            <w:r w:rsidRPr="003E0C74">
              <w:rPr>
                <w:rFonts w:ascii="Sylfaen" w:eastAsia="Times New Roman" w:hAnsi="Sylfaen" w:cs="Times New Roman"/>
                <w:color w:val="000000"/>
                <w:sz w:val="16"/>
                <w:szCs w:val="16"/>
                <w:lang w:val="ru-RU" w:eastAsia="ru-RU"/>
              </w:rPr>
              <w:t>2012 წლის 15 მარტი</w:t>
            </w:r>
          </w:p>
        </w:tc>
      </w:tr>
      <w:tr w:rsidR="002854E3" w:rsidTr="00076CF8">
        <w:tc>
          <w:tcPr>
            <w:tcW w:w="2376" w:type="dxa"/>
            <w:vMerge/>
            <w:vAlign w:val="center"/>
          </w:tcPr>
          <w:p w:rsidR="002854E3" w:rsidRDefault="002854E3" w:rsidP="00076C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b/>
                <w:sz w:val="24"/>
              </w:rPr>
            </w:pPr>
          </w:p>
        </w:tc>
        <w:tc>
          <w:tcPr>
            <w:tcW w:w="3261" w:type="dxa"/>
          </w:tcPr>
          <w:p w:rsidR="002854E3" w:rsidRDefault="002854E3" w:rsidP="00566A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24"/>
              </w:rPr>
            </w:pPr>
            <w:r w:rsidRPr="002854E3">
              <w:rPr>
                <w:rFonts w:ascii="Sylfaen" w:eastAsia="Times New Roman" w:hAnsi="Sylfaen" w:cs="Times New Roman"/>
                <w:b/>
                <w:color w:val="000000"/>
                <w:sz w:val="16"/>
                <w:szCs w:val="16"/>
                <w:lang w:val="ru-RU" w:eastAsia="ru-RU"/>
              </w:rPr>
              <w:t>4 299 000</w:t>
            </w:r>
          </w:p>
        </w:tc>
        <w:tc>
          <w:tcPr>
            <w:tcW w:w="4281" w:type="dxa"/>
          </w:tcPr>
          <w:p w:rsidR="002854E3" w:rsidRPr="003E0C74" w:rsidRDefault="002854E3" w:rsidP="00566ADC">
            <w:pPr>
              <w:tabs>
                <w:tab w:val="center" w:pos="1097"/>
              </w:tabs>
              <w:spacing w:line="20" w:lineRule="atLeast"/>
              <w:rPr>
                <w:rFonts w:ascii="Sylfaen" w:eastAsia="Times New Roman" w:hAnsi="Sylfaen" w:cs="Times New Roman"/>
                <w:color w:val="000000"/>
                <w:sz w:val="16"/>
                <w:szCs w:val="16"/>
                <w:lang w:val="ru-RU" w:eastAsia="ru-RU"/>
              </w:rPr>
            </w:pPr>
            <w:r w:rsidRPr="003E0C74">
              <w:rPr>
                <w:rFonts w:ascii="Sylfaen" w:eastAsia="Times New Roman" w:hAnsi="Sylfaen" w:cs="Times New Roman"/>
                <w:color w:val="000000"/>
                <w:sz w:val="16"/>
                <w:szCs w:val="16"/>
                <w:lang w:val="ru-RU" w:eastAsia="ru-RU"/>
              </w:rPr>
              <w:t>№453</w:t>
            </w:r>
            <w:r w:rsidR="00566ADC">
              <w:rPr>
                <w:rFonts w:ascii="Sylfaen" w:eastAsia="Times New Roman" w:hAnsi="Sylfaen" w:cs="Times New Roman"/>
                <w:color w:val="000000"/>
                <w:sz w:val="16"/>
                <w:szCs w:val="16"/>
                <w:lang w:val="ka-GE" w:eastAsia="ru-RU"/>
              </w:rPr>
              <w:t xml:space="preserve"> დადგენილება </w:t>
            </w:r>
            <w:r w:rsidRPr="003E0C74">
              <w:rPr>
                <w:rFonts w:ascii="Sylfaen" w:eastAsia="Times New Roman" w:hAnsi="Sylfaen" w:cs="Times New Roman"/>
                <w:color w:val="000000"/>
                <w:sz w:val="16"/>
                <w:szCs w:val="16"/>
                <w:lang w:val="ru-RU" w:eastAsia="ru-RU"/>
              </w:rPr>
              <w:t>2012 წლის 22 ნოემბერი</w:t>
            </w:r>
          </w:p>
        </w:tc>
      </w:tr>
      <w:tr w:rsidR="002854E3" w:rsidTr="00076CF8">
        <w:tc>
          <w:tcPr>
            <w:tcW w:w="2376" w:type="dxa"/>
            <w:vMerge/>
            <w:vAlign w:val="center"/>
          </w:tcPr>
          <w:p w:rsidR="002854E3" w:rsidRDefault="002854E3" w:rsidP="00076C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b/>
                <w:sz w:val="24"/>
              </w:rPr>
            </w:pPr>
          </w:p>
        </w:tc>
        <w:tc>
          <w:tcPr>
            <w:tcW w:w="3261" w:type="dxa"/>
            <w:shd w:val="clear" w:color="auto" w:fill="D9D9D9" w:themeFill="background1" w:themeFillShade="D9"/>
          </w:tcPr>
          <w:p w:rsidR="002854E3" w:rsidRDefault="002854E3" w:rsidP="00566A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24"/>
              </w:rPr>
            </w:pPr>
            <w:r w:rsidRPr="002854E3">
              <w:rPr>
                <w:rFonts w:ascii="Sylfaen" w:eastAsia="Times New Roman" w:hAnsi="Sylfaen" w:cs="Times New Roman"/>
                <w:b/>
                <w:color w:val="000000"/>
                <w:sz w:val="16"/>
                <w:szCs w:val="16"/>
                <w:lang w:val="ru-RU" w:eastAsia="ru-RU"/>
              </w:rPr>
              <w:t>3 624 311</w:t>
            </w:r>
          </w:p>
        </w:tc>
        <w:tc>
          <w:tcPr>
            <w:tcW w:w="4281" w:type="dxa"/>
          </w:tcPr>
          <w:p w:rsidR="002854E3" w:rsidRPr="003E0C74" w:rsidRDefault="002854E3" w:rsidP="00566A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Times New Roman"/>
                <w:color w:val="000000"/>
                <w:sz w:val="16"/>
                <w:szCs w:val="16"/>
                <w:lang w:val="ru-RU" w:eastAsia="ru-RU"/>
              </w:rPr>
            </w:pPr>
            <w:r w:rsidRPr="003E0C74">
              <w:rPr>
                <w:rFonts w:ascii="Sylfaen" w:eastAsia="Times New Roman" w:hAnsi="Sylfaen" w:cs="Times New Roman"/>
                <w:color w:val="000000"/>
                <w:sz w:val="16"/>
                <w:szCs w:val="16"/>
                <w:lang w:val="ru-RU" w:eastAsia="ru-RU"/>
              </w:rPr>
              <w:t>შესრულება</w:t>
            </w:r>
          </w:p>
        </w:tc>
      </w:tr>
      <w:tr w:rsidR="002854E3" w:rsidTr="00076CF8">
        <w:tc>
          <w:tcPr>
            <w:tcW w:w="2376" w:type="dxa"/>
            <w:vMerge w:val="restart"/>
            <w:vAlign w:val="center"/>
          </w:tcPr>
          <w:p w:rsidR="002854E3" w:rsidRDefault="002854E3" w:rsidP="00076C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b/>
                <w:sz w:val="24"/>
              </w:rPr>
            </w:pPr>
            <w:r w:rsidRPr="003E0C74">
              <w:rPr>
                <w:rFonts w:ascii="Sylfaen" w:eastAsia="Times New Roman" w:hAnsi="Sylfaen" w:cs="Times New Roman"/>
                <w:color w:val="000000"/>
                <w:sz w:val="16"/>
                <w:szCs w:val="16"/>
                <w:lang w:val="ru-RU" w:eastAsia="ru-RU"/>
              </w:rPr>
              <w:t>2013 წელი</w:t>
            </w:r>
          </w:p>
        </w:tc>
        <w:tc>
          <w:tcPr>
            <w:tcW w:w="3261" w:type="dxa"/>
          </w:tcPr>
          <w:p w:rsidR="002854E3" w:rsidRDefault="002854E3" w:rsidP="00566A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24"/>
              </w:rPr>
            </w:pPr>
            <w:r w:rsidRPr="002854E3">
              <w:rPr>
                <w:rFonts w:ascii="Sylfaen" w:eastAsia="Times New Roman" w:hAnsi="Sylfaen" w:cs="Times New Roman"/>
                <w:b/>
                <w:color w:val="000000"/>
                <w:sz w:val="16"/>
                <w:szCs w:val="16"/>
                <w:lang w:val="ru-RU" w:eastAsia="ru-RU"/>
              </w:rPr>
              <w:t>2 285 300</w:t>
            </w:r>
          </w:p>
        </w:tc>
        <w:tc>
          <w:tcPr>
            <w:tcW w:w="4281" w:type="dxa"/>
          </w:tcPr>
          <w:p w:rsidR="002854E3" w:rsidRPr="003E0C74" w:rsidRDefault="002854E3" w:rsidP="00566A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Times New Roman"/>
                <w:color w:val="000000"/>
                <w:sz w:val="16"/>
                <w:szCs w:val="16"/>
                <w:lang w:val="ru-RU" w:eastAsia="ru-RU"/>
              </w:rPr>
            </w:pPr>
            <w:r w:rsidRPr="003E0C74">
              <w:rPr>
                <w:rFonts w:ascii="Sylfaen" w:eastAsia="Times New Roman" w:hAnsi="Sylfaen" w:cs="Times New Roman"/>
                <w:color w:val="000000"/>
                <w:sz w:val="16"/>
                <w:szCs w:val="16"/>
                <w:lang w:val="ru-RU" w:eastAsia="ru-RU"/>
              </w:rPr>
              <w:t>№279</w:t>
            </w:r>
            <w:r w:rsidR="00566ADC">
              <w:rPr>
                <w:rFonts w:ascii="Sylfaen" w:eastAsia="Times New Roman" w:hAnsi="Sylfaen" w:cs="Times New Roman"/>
                <w:color w:val="000000"/>
                <w:sz w:val="16"/>
                <w:szCs w:val="16"/>
                <w:lang w:val="ka-GE" w:eastAsia="ru-RU"/>
              </w:rPr>
              <w:t xml:space="preserve"> დადგენილება </w:t>
            </w:r>
            <w:r w:rsidRPr="003E0C74">
              <w:rPr>
                <w:rFonts w:ascii="Sylfaen" w:eastAsia="Times New Roman" w:hAnsi="Sylfaen" w:cs="Times New Roman"/>
                <w:color w:val="000000"/>
                <w:sz w:val="16"/>
                <w:szCs w:val="16"/>
                <w:lang w:val="ru-RU" w:eastAsia="ru-RU"/>
              </w:rPr>
              <w:t>2013 წლის 31 ოქტომბერი</w:t>
            </w:r>
          </w:p>
        </w:tc>
      </w:tr>
      <w:tr w:rsidR="002854E3" w:rsidTr="00076CF8">
        <w:trPr>
          <w:trHeight w:val="256"/>
        </w:trPr>
        <w:tc>
          <w:tcPr>
            <w:tcW w:w="2376" w:type="dxa"/>
            <w:vMerge/>
            <w:vAlign w:val="center"/>
          </w:tcPr>
          <w:p w:rsidR="002854E3" w:rsidRDefault="002854E3" w:rsidP="00076C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b/>
                <w:sz w:val="24"/>
              </w:rPr>
            </w:pPr>
          </w:p>
        </w:tc>
        <w:tc>
          <w:tcPr>
            <w:tcW w:w="3261" w:type="dxa"/>
          </w:tcPr>
          <w:p w:rsidR="002854E3" w:rsidRDefault="002854E3" w:rsidP="00566A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24"/>
              </w:rPr>
            </w:pPr>
            <w:r w:rsidRPr="002854E3">
              <w:rPr>
                <w:rFonts w:ascii="Sylfaen" w:eastAsia="Times New Roman" w:hAnsi="Sylfaen" w:cs="Times New Roman"/>
                <w:b/>
                <w:color w:val="000000"/>
                <w:sz w:val="16"/>
                <w:szCs w:val="16"/>
                <w:lang w:val="ru-RU" w:eastAsia="ru-RU"/>
              </w:rPr>
              <w:t>3 280 900</w:t>
            </w:r>
          </w:p>
        </w:tc>
        <w:tc>
          <w:tcPr>
            <w:tcW w:w="4281" w:type="dxa"/>
          </w:tcPr>
          <w:p w:rsidR="002854E3" w:rsidRPr="003E0C74" w:rsidRDefault="002854E3" w:rsidP="00566A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Times New Roman"/>
                <w:color w:val="000000"/>
                <w:sz w:val="16"/>
                <w:szCs w:val="16"/>
                <w:lang w:val="ru-RU" w:eastAsia="ru-RU"/>
              </w:rPr>
            </w:pPr>
            <w:r w:rsidRPr="003E0C74">
              <w:rPr>
                <w:rFonts w:ascii="Sylfaen" w:eastAsia="Times New Roman" w:hAnsi="Sylfaen" w:cs="Times New Roman"/>
                <w:color w:val="000000"/>
                <w:sz w:val="16"/>
                <w:szCs w:val="16"/>
                <w:lang w:val="ru-RU" w:eastAsia="ru-RU"/>
              </w:rPr>
              <w:t>№392</w:t>
            </w:r>
            <w:r w:rsidR="00566ADC">
              <w:rPr>
                <w:rFonts w:ascii="Sylfaen" w:eastAsia="Times New Roman" w:hAnsi="Sylfaen" w:cs="Times New Roman"/>
                <w:color w:val="000000"/>
                <w:sz w:val="16"/>
                <w:szCs w:val="16"/>
                <w:lang w:val="ka-GE" w:eastAsia="ru-RU"/>
              </w:rPr>
              <w:t xml:space="preserve"> დადგენილება </w:t>
            </w:r>
            <w:r w:rsidRPr="003E0C74">
              <w:rPr>
                <w:rFonts w:ascii="Sylfaen" w:eastAsia="Times New Roman" w:hAnsi="Sylfaen" w:cs="Times New Roman"/>
                <w:color w:val="000000"/>
                <w:sz w:val="16"/>
                <w:szCs w:val="16"/>
                <w:lang w:val="ru-RU" w:eastAsia="ru-RU"/>
              </w:rPr>
              <w:t>2013 წლის 30 დეკემბერი</w:t>
            </w:r>
          </w:p>
        </w:tc>
      </w:tr>
      <w:tr w:rsidR="002854E3" w:rsidTr="00076CF8">
        <w:tc>
          <w:tcPr>
            <w:tcW w:w="2376" w:type="dxa"/>
            <w:vMerge/>
            <w:vAlign w:val="center"/>
          </w:tcPr>
          <w:p w:rsidR="002854E3" w:rsidRDefault="002854E3" w:rsidP="00076C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b/>
                <w:sz w:val="24"/>
              </w:rPr>
            </w:pPr>
          </w:p>
        </w:tc>
        <w:tc>
          <w:tcPr>
            <w:tcW w:w="3261" w:type="dxa"/>
            <w:shd w:val="clear" w:color="auto" w:fill="D9D9D9" w:themeFill="background1" w:themeFillShade="D9"/>
          </w:tcPr>
          <w:p w:rsidR="002854E3" w:rsidRPr="00204251" w:rsidRDefault="00204251" w:rsidP="002042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Times New Roman"/>
                <w:b/>
                <w:color w:val="000000"/>
                <w:sz w:val="16"/>
                <w:szCs w:val="16"/>
                <w:lang w:val="ka-GE" w:eastAsia="ru-RU"/>
              </w:rPr>
            </w:pPr>
            <w:r>
              <w:rPr>
                <w:rFonts w:ascii="Sylfaen" w:eastAsia="Times New Roman" w:hAnsi="Sylfaen" w:cs="Times New Roman"/>
                <w:b/>
                <w:color w:val="000000"/>
                <w:sz w:val="16"/>
                <w:szCs w:val="16"/>
                <w:lang w:val="ru-RU" w:eastAsia="ru-RU"/>
              </w:rPr>
              <w:t>3275232</w:t>
            </w:r>
          </w:p>
        </w:tc>
        <w:tc>
          <w:tcPr>
            <w:tcW w:w="4281" w:type="dxa"/>
          </w:tcPr>
          <w:p w:rsidR="002854E3" w:rsidRPr="003E0C74" w:rsidRDefault="002854E3" w:rsidP="00566A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Times New Roman"/>
                <w:color w:val="000000"/>
                <w:sz w:val="16"/>
                <w:szCs w:val="16"/>
                <w:lang w:val="ru-RU" w:eastAsia="ru-RU"/>
              </w:rPr>
            </w:pPr>
            <w:r w:rsidRPr="003E0C74">
              <w:rPr>
                <w:rFonts w:ascii="Sylfaen" w:eastAsia="Times New Roman" w:hAnsi="Sylfaen" w:cs="Times New Roman"/>
                <w:color w:val="000000"/>
                <w:sz w:val="16"/>
                <w:szCs w:val="16"/>
                <w:lang w:val="ru-RU" w:eastAsia="ru-RU"/>
              </w:rPr>
              <w:t>შესრულება</w:t>
            </w:r>
          </w:p>
        </w:tc>
      </w:tr>
      <w:tr w:rsidR="00297F1E" w:rsidTr="00297F1E">
        <w:tc>
          <w:tcPr>
            <w:tcW w:w="2376" w:type="dxa"/>
            <w:vAlign w:val="center"/>
          </w:tcPr>
          <w:p w:rsidR="00297F1E" w:rsidRDefault="00297F1E" w:rsidP="00076C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b/>
                <w:sz w:val="24"/>
              </w:rPr>
            </w:pPr>
            <w:r w:rsidRPr="003E0C74">
              <w:rPr>
                <w:rFonts w:ascii="Sylfaen" w:eastAsia="Times New Roman" w:hAnsi="Sylfaen" w:cs="Times New Roman"/>
                <w:color w:val="000000"/>
                <w:sz w:val="16"/>
                <w:szCs w:val="16"/>
                <w:lang w:val="ru-RU" w:eastAsia="ru-RU"/>
              </w:rPr>
              <w:t xml:space="preserve">2014 </w:t>
            </w:r>
            <w:r>
              <w:rPr>
                <w:rFonts w:ascii="Sylfaen" w:eastAsia="Times New Roman" w:hAnsi="Sylfaen" w:cs="Times New Roman"/>
                <w:color w:val="000000"/>
                <w:sz w:val="16"/>
                <w:szCs w:val="16"/>
                <w:lang w:val="ka-GE" w:eastAsia="ru-RU"/>
              </w:rPr>
              <w:t>წელი</w:t>
            </w:r>
          </w:p>
        </w:tc>
        <w:tc>
          <w:tcPr>
            <w:tcW w:w="3261" w:type="dxa"/>
            <w:shd w:val="clear" w:color="auto" w:fill="auto"/>
          </w:tcPr>
          <w:p w:rsidR="00297F1E" w:rsidRPr="00663EC1" w:rsidRDefault="00663EC1" w:rsidP="002042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Times New Roman"/>
                <w:b/>
                <w:color w:val="000000"/>
                <w:sz w:val="16"/>
                <w:szCs w:val="16"/>
                <w:lang w:val="ka-GE" w:eastAsia="ru-RU"/>
              </w:rPr>
            </w:pPr>
            <w:r>
              <w:rPr>
                <w:rFonts w:ascii="Sylfaen" w:eastAsia="Times New Roman" w:hAnsi="Sylfaen" w:cs="Times New Roman"/>
                <w:b/>
                <w:color w:val="000000"/>
                <w:sz w:val="16"/>
                <w:szCs w:val="16"/>
                <w:lang w:val="ka-GE" w:eastAsia="ru-RU"/>
              </w:rPr>
              <w:t>4441452</w:t>
            </w:r>
          </w:p>
        </w:tc>
        <w:tc>
          <w:tcPr>
            <w:tcW w:w="4281" w:type="dxa"/>
          </w:tcPr>
          <w:p w:rsidR="00297F1E" w:rsidRPr="003E0C74" w:rsidRDefault="00297F1E" w:rsidP="00663E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Times New Roman"/>
                <w:color w:val="000000"/>
                <w:sz w:val="16"/>
                <w:szCs w:val="16"/>
                <w:lang w:val="ru-RU" w:eastAsia="ru-RU"/>
              </w:rPr>
            </w:pPr>
            <w:r>
              <w:rPr>
                <w:rFonts w:ascii="Sylfaen" w:eastAsia="Times New Roman" w:hAnsi="Sylfaen" w:cs="Times New Roman"/>
                <w:color w:val="000000"/>
                <w:sz w:val="16"/>
                <w:szCs w:val="16"/>
                <w:lang w:val="ka-GE" w:eastAsia="ru-RU"/>
              </w:rPr>
              <w:t>შესრულება (2013 წლის დეკემბერი - 201</w:t>
            </w:r>
            <w:r w:rsidR="00F91BCB">
              <w:rPr>
                <w:rFonts w:ascii="Sylfaen" w:eastAsia="Times New Roman" w:hAnsi="Sylfaen" w:cs="Times New Roman"/>
                <w:color w:val="000000"/>
                <w:sz w:val="16"/>
                <w:szCs w:val="16"/>
                <w:lang w:val="ka-GE" w:eastAsia="ru-RU"/>
              </w:rPr>
              <w:t>4</w:t>
            </w:r>
            <w:r>
              <w:rPr>
                <w:rFonts w:ascii="Sylfaen" w:eastAsia="Times New Roman" w:hAnsi="Sylfaen" w:cs="Times New Roman"/>
                <w:color w:val="000000"/>
                <w:sz w:val="16"/>
                <w:szCs w:val="16"/>
                <w:lang w:val="ka-GE" w:eastAsia="ru-RU"/>
              </w:rPr>
              <w:t xml:space="preserve"> წლის </w:t>
            </w:r>
            <w:r w:rsidR="00663EC1">
              <w:rPr>
                <w:rFonts w:ascii="Sylfaen" w:eastAsia="Times New Roman" w:hAnsi="Sylfaen" w:cs="Times New Roman"/>
                <w:color w:val="000000"/>
                <w:sz w:val="16"/>
                <w:szCs w:val="16"/>
                <w:lang w:val="ka-GE" w:eastAsia="ru-RU"/>
              </w:rPr>
              <w:t xml:space="preserve">აგვისტო </w:t>
            </w:r>
            <w:r>
              <w:rPr>
                <w:rFonts w:ascii="Sylfaen" w:eastAsia="Times New Roman" w:hAnsi="Sylfaen" w:cs="Times New Roman"/>
                <w:color w:val="000000"/>
                <w:sz w:val="16"/>
                <w:szCs w:val="16"/>
                <w:lang w:val="ka-GE" w:eastAsia="ru-RU"/>
              </w:rPr>
              <w:t xml:space="preserve"> (</w:t>
            </w:r>
            <w:r w:rsidR="00663EC1">
              <w:rPr>
                <w:rFonts w:ascii="Sylfaen" w:eastAsia="Times New Roman" w:hAnsi="Sylfaen" w:cs="Times New Roman"/>
                <w:color w:val="000000"/>
                <w:sz w:val="16"/>
                <w:szCs w:val="16"/>
                <w:lang w:val="ka-GE" w:eastAsia="ru-RU"/>
              </w:rPr>
              <w:t>საკასო)– 9</w:t>
            </w:r>
            <w:r w:rsidR="007B2216">
              <w:rPr>
                <w:rFonts w:ascii="Sylfaen" w:eastAsia="Times New Roman" w:hAnsi="Sylfaen" w:cs="Times New Roman"/>
                <w:color w:val="000000"/>
                <w:sz w:val="16"/>
                <w:szCs w:val="16"/>
                <w:lang w:val="ka-GE" w:eastAsia="ru-RU"/>
              </w:rPr>
              <w:t xml:space="preserve"> თვე</w:t>
            </w:r>
            <w:r w:rsidR="00663EC1">
              <w:rPr>
                <w:rFonts w:ascii="Sylfaen" w:eastAsia="Times New Roman" w:hAnsi="Sylfaen" w:cs="Times New Roman"/>
                <w:color w:val="000000"/>
                <w:sz w:val="16"/>
                <w:szCs w:val="16"/>
                <w:lang w:val="ka-GE" w:eastAsia="ru-RU"/>
              </w:rPr>
              <w:t>; შესრულება 5131597</w:t>
            </w:r>
          </w:p>
        </w:tc>
      </w:tr>
    </w:tbl>
    <w:p w:rsidR="00CC4830" w:rsidRDefault="00CC4830" w:rsidP="00FF40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sz w:val="24"/>
          <w:lang w:val="ka-GE"/>
        </w:rPr>
      </w:pPr>
    </w:p>
    <w:p w:rsidR="00CC4830" w:rsidRDefault="00CC4830" w:rsidP="00FF40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sz w:val="24"/>
          <w:lang w:val="ka-GE"/>
        </w:rPr>
      </w:pPr>
    </w:p>
    <w:p w:rsidR="006B57B0" w:rsidRDefault="008518AA" w:rsidP="006E6D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Cs w:val="22"/>
          <w:lang w:val="ka-GE"/>
        </w:rPr>
      </w:pPr>
      <w:r>
        <w:rPr>
          <w:rFonts w:ascii="Sylfaen" w:eastAsia="Sylfaen" w:hAnsi="Sylfaen"/>
          <w:szCs w:val="22"/>
          <w:lang w:val="ka-GE"/>
        </w:rPr>
        <w:t xml:space="preserve">წარმოგიდგენთ </w:t>
      </w:r>
      <w:r w:rsidR="006B57B0">
        <w:rPr>
          <w:rFonts w:ascii="Sylfaen" w:eastAsia="Sylfaen" w:hAnsi="Sylfaen"/>
          <w:szCs w:val="22"/>
          <w:lang w:val="ka-GE"/>
        </w:rPr>
        <w:t>2012-2014</w:t>
      </w:r>
      <w:r w:rsidR="00262A44">
        <w:rPr>
          <w:rFonts w:ascii="Sylfaen" w:eastAsia="Sylfaen" w:hAnsi="Sylfaen"/>
          <w:szCs w:val="22"/>
          <w:lang w:val="ka-GE"/>
        </w:rPr>
        <w:t xml:space="preserve"> (იანვარი-აგვისტო)</w:t>
      </w:r>
      <w:r w:rsidR="006B57B0">
        <w:rPr>
          <w:rFonts w:ascii="Sylfaen" w:eastAsia="Sylfaen" w:hAnsi="Sylfaen"/>
          <w:szCs w:val="22"/>
          <w:lang w:val="ka-GE"/>
        </w:rPr>
        <w:t xml:space="preserve"> წლებში კომპონენტის ფარგლებში ყოველთვიურად გაწეული მომსახურების </w:t>
      </w:r>
      <w:r>
        <w:rPr>
          <w:rFonts w:ascii="Sylfaen" w:eastAsia="Sylfaen" w:hAnsi="Sylfaen"/>
          <w:szCs w:val="22"/>
          <w:lang w:val="ka-GE"/>
        </w:rPr>
        <w:t>ანალიზს</w:t>
      </w:r>
      <w:r w:rsidR="006B57B0">
        <w:rPr>
          <w:rFonts w:ascii="Sylfaen" w:eastAsia="Sylfaen" w:hAnsi="Sylfaen"/>
          <w:szCs w:val="22"/>
          <w:lang w:val="ka-GE"/>
        </w:rPr>
        <w:t>.</w:t>
      </w:r>
    </w:p>
    <w:p w:rsidR="006B57B0" w:rsidRDefault="006B57B0" w:rsidP="006E6D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Cs w:val="22"/>
          <w:lang w:val="ka-GE"/>
        </w:rPr>
      </w:pPr>
      <w:bookmarkStart w:id="0" w:name="_GoBack"/>
      <w:bookmarkEnd w:id="0"/>
      <w:r>
        <w:rPr>
          <w:rFonts w:ascii="Sylfaen" w:eastAsia="Sylfaen" w:hAnsi="Sylfaen"/>
          <w:szCs w:val="22"/>
          <w:lang w:val="ka-GE"/>
        </w:rPr>
        <w:t xml:space="preserve">ანალიზის შედეგები </w:t>
      </w:r>
      <w:r w:rsidR="00980FB2">
        <w:rPr>
          <w:rFonts w:ascii="Sylfaen" w:eastAsia="Sylfaen" w:hAnsi="Sylfaen"/>
          <w:szCs w:val="22"/>
          <w:lang w:val="ka-GE"/>
        </w:rPr>
        <w:t xml:space="preserve">გვაჩვენებს,  რომ პროგრამის უტილიზაციის </w:t>
      </w:r>
      <w:r w:rsidR="00B117B0">
        <w:rPr>
          <w:rFonts w:ascii="Sylfaen" w:eastAsia="Sylfaen" w:hAnsi="Sylfaen"/>
          <w:szCs w:val="22"/>
          <w:lang w:val="ka-GE"/>
        </w:rPr>
        <w:t xml:space="preserve">რყევები (კლება/მატება) </w:t>
      </w:r>
      <w:r w:rsidR="00980FB2">
        <w:rPr>
          <w:rFonts w:ascii="Sylfaen" w:eastAsia="Sylfaen" w:hAnsi="Sylfaen"/>
          <w:szCs w:val="22"/>
          <w:lang w:val="ka-GE"/>
        </w:rPr>
        <w:t xml:space="preserve">წლებისა და თვეების მიხედვით ძირითადად გამოწვეულია პროგრამის ბენეფიციართა </w:t>
      </w:r>
      <w:r w:rsidR="00B117B0">
        <w:rPr>
          <w:rFonts w:ascii="Sylfaen" w:eastAsia="Sylfaen" w:hAnsi="Sylfaen"/>
          <w:szCs w:val="22"/>
          <w:lang w:val="ka-GE"/>
        </w:rPr>
        <w:t xml:space="preserve"> </w:t>
      </w:r>
      <w:r w:rsidR="00980FB2">
        <w:rPr>
          <w:rFonts w:ascii="Sylfaen" w:eastAsia="Sylfaen" w:hAnsi="Sylfaen"/>
          <w:szCs w:val="22"/>
          <w:lang w:val="ka-GE"/>
        </w:rPr>
        <w:t xml:space="preserve">რაოდენობის პერიოდული </w:t>
      </w:r>
      <w:r w:rsidR="00B117B0">
        <w:rPr>
          <w:rFonts w:ascii="Sylfaen" w:eastAsia="Sylfaen" w:hAnsi="Sylfaen"/>
          <w:szCs w:val="22"/>
          <w:lang w:val="ka-GE"/>
        </w:rPr>
        <w:t xml:space="preserve">მნიშვნელოვანი </w:t>
      </w:r>
      <w:r w:rsidR="00980FB2">
        <w:rPr>
          <w:rFonts w:ascii="Sylfaen" w:eastAsia="Sylfaen" w:hAnsi="Sylfaen"/>
          <w:szCs w:val="22"/>
          <w:lang w:val="ka-GE"/>
        </w:rPr>
        <w:t>ცვ</w:t>
      </w:r>
      <w:r w:rsidR="00B117B0">
        <w:rPr>
          <w:rFonts w:ascii="Sylfaen" w:eastAsia="Sylfaen" w:hAnsi="Sylfaen"/>
          <w:szCs w:val="22"/>
          <w:lang w:val="ka-GE"/>
        </w:rPr>
        <w:t>ა</w:t>
      </w:r>
      <w:r w:rsidR="00980FB2">
        <w:rPr>
          <w:rFonts w:ascii="Sylfaen" w:eastAsia="Sylfaen" w:hAnsi="Sylfaen"/>
          <w:szCs w:val="22"/>
          <w:lang w:val="ka-GE"/>
        </w:rPr>
        <w:t>ლ</w:t>
      </w:r>
      <w:r w:rsidR="00B117B0">
        <w:rPr>
          <w:rFonts w:ascii="Sylfaen" w:eastAsia="Sylfaen" w:hAnsi="Sylfaen"/>
          <w:szCs w:val="22"/>
          <w:lang w:val="ka-GE"/>
        </w:rPr>
        <w:t>ებადობით</w:t>
      </w:r>
      <w:r w:rsidR="00980FB2">
        <w:rPr>
          <w:rFonts w:ascii="Sylfaen" w:eastAsia="Sylfaen" w:hAnsi="Sylfaen"/>
          <w:szCs w:val="22"/>
          <w:lang w:val="ka-GE"/>
        </w:rPr>
        <w:t>,</w:t>
      </w:r>
      <w:r w:rsidR="00B117B0">
        <w:rPr>
          <w:rFonts w:ascii="Sylfaen" w:eastAsia="Sylfaen" w:hAnsi="Sylfaen"/>
          <w:szCs w:val="22"/>
          <w:lang w:val="ka-GE"/>
        </w:rPr>
        <w:t xml:space="preserve"> კერძოდ:</w:t>
      </w:r>
    </w:p>
    <w:p w:rsidR="00730A9F" w:rsidRDefault="00730A9F" w:rsidP="006E6D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Cs w:val="22"/>
          <w:lang w:val="ka-GE"/>
        </w:rPr>
      </w:pPr>
    </w:p>
    <w:p w:rsidR="00730A9F" w:rsidRDefault="00730A9F" w:rsidP="00730A9F">
      <w:pPr>
        <w:pStyle w:val="ListParagraph"/>
        <w:numPr>
          <w:ilvl w:val="0"/>
          <w:numId w:val="26"/>
        </w:numPr>
        <w:spacing w:after="120" w:line="240" w:lineRule="auto"/>
        <w:jc w:val="both"/>
        <w:rPr>
          <w:rFonts w:ascii="Sylfaen" w:eastAsia="Times New Roman" w:hAnsi="Sylfaen" w:cs="Calibri"/>
          <w:szCs w:val="22"/>
          <w:lang w:val="ka-GE"/>
        </w:rPr>
      </w:pPr>
      <w:r w:rsidRPr="00A86520">
        <w:rPr>
          <w:rFonts w:ascii="Sylfaen" w:eastAsia="Times New Roman" w:hAnsi="Sylfaen" w:cs="Calibri"/>
          <w:b/>
          <w:szCs w:val="22"/>
          <w:lang w:val="ka-GE"/>
        </w:rPr>
        <w:t>2011-2012 წლებში რაიონებში მოქმედ ძველ ამბულატორიულ და სტაციონარულ დაწესებულებებს ჩაენაცვლა და ფუნქციონირება დაიწყო საქართველოს მთავრობის 2009 წლის 9 დეკემბრის 218 დადგენილების საფუძველზე შექმნილმა რაიონულმა სამედიცინო ცენტრებმა.</w:t>
      </w:r>
      <w:r w:rsidRPr="00A86520">
        <w:rPr>
          <w:rFonts w:ascii="Sylfaen" w:eastAsia="Times New Roman" w:hAnsi="Sylfaen" w:cs="Calibri"/>
          <w:szCs w:val="22"/>
          <w:lang w:val="ka-GE"/>
        </w:rPr>
        <w:t xml:space="preserve"> ადგილზე სტაციონარული სერვისების მიღების შესაძლებლობამ გაზარდა მიმართვიანობა ახალ სამედიცინო ცენტრებში, თუმცა გამომდინარე იქიდან, რომ აღნიშნული სამედიცინო ცენტრები სრულად ვერ უზრუნველყოფდნენ მოსახლეობის საჭიროებებს სრულფასოვანი სამედიცინო სერვისების მიწოდების კუთხით (მ.შ. სტაციონარული მომსახურების კუთხით), 2012 წლის განმავლობაში გაიზარდა რეფერალური სამსახურების დატვირთვა. </w:t>
      </w:r>
    </w:p>
    <w:p w:rsidR="00730A9F" w:rsidRPr="009D4404" w:rsidRDefault="00730A9F" w:rsidP="00730A9F">
      <w:pPr>
        <w:pStyle w:val="ListParagraph"/>
        <w:spacing w:after="120" w:line="240" w:lineRule="auto"/>
        <w:jc w:val="both"/>
        <w:rPr>
          <w:rFonts w:ascii="Sylfaen" w:eastAsia="Times New Roman" w:hAnsi="Sylfaen" w:cs="Calibri"/>
          <w:sz w:val="16"/>
          <w:szCs w:val="16"/>
          <w:lang w:val="ka-GE"/>
        </w:rPr>
      </w:pPr>
    </w:p>
    <w:p w:rsidR="00730A9F" w:rsidRPr="00083219" w:rsidRDefault="00730A9F" w:rsidP="00730A9F">
      <w:pPr>
        <w:pStyle w:val="ListParagraph"/>
        <w:numPr>
          <w:ilvl w:val="0"/>
          <w:numId w:val="26"/>
        </w:numPr>
        <w:spacing w:after="120" w:line="240" w:lineRule="auto"/>
        <w:jc w:val="both"/>
        <w:rPr>
          <w:rFonts w:ascii="Sylfaen" w:eastAsia="Times New Roman" w:hAnsi="Sylfaen" w:cs="Calibri"/>
          <w:color w:val="000000"/>
          <w:szCs w:val="22"/>
          <w:lang w:val="ka-GE"/>
        </w:rPr>
      </w:pPr>
      <w:r w:rsidRPr="008754F8">
        <w:rPr>
          <w:rFonts w:ascii="Sylfaen" w:eastAsia="Sylfaen" w:hAnsi="Sylfaen" w:cs="Sylfaen"/>
          <w:szCs w:val="22"/>
          <w:lang w:val="ka-GE"/>
        </w:rPr>
        <w:t>როგორც</w:t>
      </w:r>
      <w:r w:rsidRPr="008754F8">
        <w:rPr>
          <w:rFonts w:ascii="Sylfaen" w:eastAsia="Sylfaen" w:hAnsi="Sylfaen"/>
          <w:szCs w:val="22"/>
          <w:lang w:val="ka-GE"/>
        </w:rPr>
        <w:t xml:space="preserve"> გრაფიკებიდან ჩანს</w:t>
      </w:r>
      <w:r w:rsidRPr="008754F8">
        <w:rPr>
          <w:rFonts w:ascii="Sylfaen" w:eastAsia="Sylfaen" w:hAnsi="Sylfaen"/>
          <w:szCs w:val="22"/>
        </w:rPr>
        <w:t>,</w:t>
      </w:r>
      <w:r w:rsidRPr="008754F8">
        <w:rPr>
          <w:rFonts w:ascii="Sylfaen" w:eastAsia="Sylfaen" w:hAnsi="Sylfaen"/>
          <w:szCs w:val="22"/>
          <w:lang w:val="ka-GE"/>
        </w:rPr>
        <w:t xml:space="preserve"> კომპონენტის უტილიზაცია (ტრანსპორტირება, კონსულტაცია, თანმხლები კონსულტაცია) მნიშვნელოვნად </w:t>
      </w:r>
      <w:r w:rsidRPr="008754F8">
        <w:rPr>
          <w:rFonts w:ascii="Sylfaen" w:eastAsia="Sylfaen" w:hAnsi="Sylfaen"/>
          <w:b/>
          <w:szCs w:val="22"/>
          <w:lang w:val="ka-GE"/>
        </w:rPr>
        <w:t>შემცირდა 2012 წლის 1 სექტემბრიდან,</w:t>
      </w:r>
      <w:r w:rsidRPr="008754F8">
        <w:rPr>
          <w:rFonts w:ascii="Sylfaen" w:eastAsia="Sylfaen" w:hAnsi="Sylfaen"/>
          <w:szCs w:val="22"/>
          <w:lang w:val="ka-GE"/>
        </w:rPr>
        <w:t xml:space="preserve"> რაც დაკავშირებული იყო საქართველოს მთავრობის </w:t>
      </w:r>
      <w:r w:rsidRPr="008754F8">
        <w:rPr>
          <w:rFonts w:ascii="Sylfaen" w:eastAsia="Sylfaen" w:hAnsi="Sylfaen"/>
          <w:szCs w:val="22"/>
        </w:rPr>
        <w:t>20</w:t>
      </w:r>
      <w:r w:rsidRPr="008754F8">
        <w:rPr>
          <w:rFonts w:ascii="Sylfaen" w:eastAsia="Sylfaen" w:hAnsi="Sylfaen"/>
          <w:szCs w:val="22"/>
          <w:lang w:val="ka-GE"/>
        </w:rPr>
        <w:t xml:space="preserve">12 წლის 7 მაისის N165 დადგენილების ძალაში შესვლასთან. აღნიშნული დადგენილების ბენეფიციარი გახდა დაახლოებით </w:t>
      </w:r>
      <w:r w:rsidRPr="008754F8">
        <w:rPr>
          <w:rFonts w:eastAsia="Times New Roman" w:cs="Calibri"/>
          <w:color w:val="000000"/>
          <w:szCs w:val="22"/>
        </w:rPr>
        <w:t>9</w:t>
      </w:r>
      <w:r w:rsidRPr="008754F8">
        <w:rPr>
          <w:rFonts w:ascii="Sylfaen" w:eastAsia="Times New Roman" w:hAnsi="Sylfaen" w:cs="Calibri"/>
          <w:color w:val="000000"/>
          <w:szCs w:val="22"/>
          <w:lang w:val="ka-GE"/>
        </w:rPr>
        <w:t xml:space="preserve">40 ათასი ადამიანი, შესაბამისად, მათი მომსახურების ვალდებულება გადაეცა სადაზღვევო </w:t>
      </w:r>
      <w:r w:rsidRPr="00083219">
        <w:rPr>
          <w:rFonts w:ascii="Sylfaen" w:eastAsia="Times New Roman" w:hAnsi="Sylfaen" w:cs="Calibri"/>
          <w:color w:val="000000"/>
          <w:szCs w:val="22"/>
          <w:lang w:val="ka-GE"/>
        </w:rPr>
        <w:t xml:space="preserve">კომპანიებს(გრაფიკი N1 (ა); გრაფიკი N2 (ა); გრაფიკი №3 (ა)). </w:t>
      </w:r>
    </w:p>
    <w:p w:rsidR="00730A9F" w:rsidRPr="009D4404" w:rsidRDefault="00730A9F" w:rsidP="00730A9F">
      <w:pPr>
        <w:pStyle w:val="ListParagraph"/>
        <w:spacing w:after="120" w:line="240" w:lineRule="auto"/>
        <w:jc w:val="both"/>
        <w:rPr>
          <w:rFonts w:ascii="Sylfaen" w:eastAsia="Times New Roman" w:hAnsi="Sylfaen" w:cs="Calibri"/>
          <w:color w:val="000000"/>
          <w:sz w:val="16"/>
          <w:szCs w:val="16"/>
          <w:lang w:val="ka-GE"/>
        </w:rPr>
      </w:pPr>
    </w:p>
    <w:p w:rsidR="00730A9F" w:rsidRDefault="00730A9F" w:rsidP="00730A9F">
      <w:pPr>
        <w:pStyle w:val="ListParagraph"/>
        <w:numPr>
          <w:ilvl w:val="0"/>
          <w:numId w:val="26"/>
        </w:numPr>
        <w:spacing w:after="120" w:line="240" w:lineRule="auto"/>
        <w:jc w:val="both"/>
        <w:rPr>
          <w:rFonts w:ascii="Sylfaen" w:eastAsia="Times New Roman" w:hAnsi="Sylfaen" w:cs="Calibri"/>
          <w:color w:val="000000"/>
          <w:szCs w:val="22"/>
          <w:lang w:val="ka-GE"/>
        </w:rPr>
      </w:pPr>
      <w:r w:rsidRPr="008754F8">
        <w:rPr>
          <w:rFonts w:ascii="Sylfaen" w:eastAsia="Times New Roman" w:hAnsi="Sylfaen" w:cs="Calibri"/>
          <w:b/>
          <w:color w:val="000000"/>
          <w:szCs w:val="22"/>
          <w:lang w:val="ka-GE"/>
        </w:rPr>
        <w:lastRenderedPageBreak/>
        <w:t xml:space="preserve">ზრდის ტენდენცია აღინიშნა 2013 წლის მარტის </w:t>
      </w:r>
      <w:r w:rsidRPr="00B37C3B">
        <w:rPr>
          <w:rFonts w:ascii="Sylfaen" w:eastAsia="Times New Roman" w:hAnsi="Sylfaen" w:cs="Calibri"/>
          <w:b/>
          <w:color w:val="000000"/>
          <w:szCs w:val="22"/>
          <w:lang w:val="ka-GE"/>
        </w:rPr>
        <w:t>თვეში</w:t>
      </w:r>
      <w:r w:rsidRPr="00B37C3B">
        <w:rPr>
          <w:rFonts w:ascii="Sylfaen" w:eastAsia="Times New Roman" w:hAnsi="Sylfaen" w:cs="Calibri"/>
          <w:color w:val="000000"/>
          <w:szCs w:val="22"/>
          <w:lang w:val="ka-GE"/>
        </w:rPr>
        <w:t>(გრაფიკი N1 (ბ); გრაფიკი N2 (ბ); გრაფიკი N3 (ბ)</w:t>
      </w:r>
      <w:r w:rsidRPr="00B37C3B">
        <w:rPr>
          <w:rFonts w:ascii="Sylfaen" w:eastAsia="Times New Roman" w:hAnsi="Sylfaen" w:cs="Calibri"/>
          <w:b/>
          <w:color w:val="000000"/>
          <w:szCs w:val="22"/>
          <w:lang w:val="ka-GE"/>
        </w:rPr>
        <w:t>,</w:t>
      </w:r>
      <w:r w:rsidRPr="00B37C3B">
        <w:rPr>
          <w:rFonts w:ascii="Sylfaen" w:eastAsia="Times New Roman" w:hAnsi="Sylfaen" w:cs="Calibri"/>
          <w:color w:val="000000"/>
          <w:szCs w:val="22"/>
          <w:lang w:val="ka-GE"/>
        </w:rPr>
        <w:t xml:space="preserve"> რაც გამოწვეული იყო სასჯელაღსრულების სისტემაში</w:t>
      </w:r>
      <w:r w:rsidRPr="008754F8">
        <w:rPr>
          <w:rFonts w:ascii="Sylfaen" w:eastAsia="Times New Roman" w:hAnsi="Sylfaen" w:cs="Calibri"/>
          <w:color w:val="000000"/>
          <w:szCs w:val="22"/>
          <w:lang w:val="ka-GE"/>
        </w:rPr>
        <w:t xml:space="preserve"> განვითარებული მოვლენებით (გრაფიკი N4).</w:t>
      </w:r>
    </w:p>
    <w:p w:rsidR="00730A9F" w:rsidRPr="00291AC0" w:rsidRDefault="00730A9F" w:rsidP="00730A9F">
      <w:pPr>
        <w:spacing w:after="120" w:line="240" w:lineRule="auto"/>
        <w:ind w:left="720"/>
        <w:jc w:val="both"/>
        <w:rPr>
          <w:rFonts w:ascii="Sylfaen" w:eastAsia="Times New Roman" w:hAnsi="Sylfaen" w:cs="Calibri"/>
          <w:color w:val="000000"/>
          <w:szCs w:val="22"/>
          <w:lang w:val="ka-GE"/>
        </w:rPr>
      </w:pPr>
      <w:r>
        <w:rPr>
          <w:rFonts w:ascii="Sylfaen" w:eastAsia="Times New Roman" w:hAnsi="Sylfaen" w:cs="Calibri"/>
          <w:color w:val="000000"/>
          <w:szCs w:val="22"/>
          <w:lang w:val="ka-GE"/>
        </w:rPr>
        <w:t>კ</w:t>
      </w:r>
      <w:r w:rsidRPr="00291AC0">
        <w:rPr>
          <w:rFonts w:ascii="Sylfaen" w:eastAsia="Times New Roman" w:hAnsi="Sylfaen" w:cs="Calibri"/>
          <w:color w:val="000000"/>
          <w:szCs w:val="22"/>
          <w:lang w:val="ka-GE"/>
        </w:rPr>
        <w:t>ერძოდ, პენიტენციურ სისტემაში თავისუფლების ხარისხის გაზრდით (რამაც გამოიწვია სამედიცინო მომსახურების მიღებაზე მოთხოვნის ზრდა) და სამედიცინო პერსონალის სისტემიდან წასვლით (რამაც გამოიწვია ადგილზე სერვისების მიწოდების შეფერხება) გამოწვეული პრობლემები, პირველ ეტაპზე დარეგულირდა გარედან დახმარებით, რეფერალური დახმარების პროგრამით გათვალისწინებული მომსახურების ხარჯზე.</w:t>
      </w:r>
    </w:p>
    <w:p w:rsidR="00730A9F" w:rsidRPr="009D4404" w:rsidRDefault="00730A9F" w:rsidP="00730A9F">
      <w:pPr>
        <w:pStyle w:val="ListParagraph"/>
        <w:spacing w:after="120" w:line="240" w:lineRule="auto"/>
        <w:jc w:val="both"/>
        <w:rPr>
          <w:rFonts w:ascii="Sylfaen" w:eastAsia="Times New Roman" w:hAnsi="Sylfaen" w:cs="Calibri"/>
          <w:color w:val="000000"/>
          <w:sz w:val="16"/>
          <w:szCs w:val="16"/>
          <w:lang w:val="ka-GE"/>
        </w:rPr>
      </w:pPr>
    </w:p>
    <w:p w:rsidR="00730A9F" w:rsidRPr="00DD2D60" w:rsidRDefault="00730A9F" w:rsidP="00730A9F">
      <w:pPr>
        <w:pStyle w:val="ListParagraph"/>
        <w:numPr>
          <w:ilvl w:val="0"/>
          <w:numId w:val="26"/>
        </w:numPr>
        <w:spacing w:after="120" w:line="240" w:lineRule="auto"/>
        <w:jc w:val="both"/>
        <w:rPr>
          <w:rFonts w:ascii="Sylfaen" w:eastAsia="Sylfaen" w:hAnsi="Sylfaen"/>
          <w:szCs w:val="22"/>
          <w:lang w:val="ka-GE"/>
        </w:rPr>
      </w:pPr>
      <w:r w:rsidRPr="008754F8">
        <w:rPr>
          <w:rFonts w:ascii="Sylfaen" w:eastAsia="Sylfaen" w:hAnsi="Sylfaen" w:cs="Sylfaen"/>
          <w:b/>
          <w:szCs w:val="22"/>
          <w:lang w:val="ka-GE"/>
        </w:rPr>
        <w:t>ზრდის</w:t>
      </w:r>
      <w:r w:rsidRPr="008754F8">
        <w:rPr>
          <w:rFonts w:ascii="Sylfaen" w:eastAsia="Sylfaen" w:hAnsi="Sylfaen"/>
          <w:b/>
          <w:szCs w:val="22"/>
          <w:lang w:val="ka-GE"/>
        </w:rPr>
        <w:t xml:space="preserve"> შემდგომი ეპიზოდი (2013 წლის მაისი-ივნისი)</w:t>
      </w:r>
      <w:r w:rsidRPr="008754F8">
        <w:rPr>
          <w:rFonts w:ascii="Sylfaen" w:eastAsia="Sylfaen" w:hAnsi="Sylfaen"/>
          <w:szCs w:val="22"/>
          <w:lang w:val="ka-GE"/>
        </w:rPr>
        <w:t xml:space="preserve"> უკავშირდება საქართველოს მთავრობის 2009 წლის 9 დეკემბრის N218 დადგენილებიდან სადაზღვევო კომპანია „ალფას“ გასვლას, რის შედეგადაც საყოველთაო ჯანდაცვის პროგრამაში ინტეგრირდა დაახლოებით 225 ათასი </w:t>
      </w:r>
      <w:r w:rsidRPr="00DD2D60">
        <w:rPr>
          <w:rFonts w:ascii="Sylfaen" w:eastAsia="Sylfaen" w:hAnsi="Sylfaen"/>
          <w:szCs w:val="22"/>
          <w:lang w:val="ka-GE"/>
        </w:rPr>
        <w:t>ადამიანი</w:t>
      </w:r>
      <w:r w:rsidRPr="00DD2D60">
        <w:rPr>
          <w:rFonts w:ascii="Sylfaen" w:eastAsia="Times New Roman" w:hAnsi="Sylfaen" w:cs="Calibri"/>
          <w:color w:val="000000"/>
          <w:szCs w:val="22"/>
          <w:lang w:val="ka-GE"/>
        </w:rPr>
        <w:t>(გრაფიკი N1 (გ).</w:t>
      </w:r>
    </w:p>
    <w:p w:rsidR="00730A9F" w:rsidRDefault="00730A9F" w:rsidP="00730A9F">
      <w:pPr>
        <w:pStyle w:val="ListParagraph"/>
        <w:spacing w:after="120" w:line="240" w:lineRule="auto"/>
        <w:jc w:val="both"/>
        <w:rPr>
          <w:rFonts w:ascii="Sylfaen" w:eastAsia="Sylfaen" w:hAnsi="Sylfaen"/>
          <w:szCs w:val="22"/>
          <w:lang w:val="ka-GE"/>
        </w:rPr>
      </w:pPr>
    </w:p>
    <w:p w:rsidR="00730A9F" w:rsidRPr="00C17C1A" w:rsidRDefault="00730A9F" w:rsidP="00730A9F">
      <w:pPr>
        <w:pStyle w:val="ListParagraph"/>
        <w:numPr>
          <w:ilvl w:val="0"/>
          <w:numId w:val="26"/>
        </w:numPr>
        <w:spacing w:after="120" w:line="240" w:lineRule="auto"/>
        <w:jc w:val="both"/>
        <w:rPr>
          <w:rFonts w:ascii="Sylfaen" w:eastAsia="Times New Roman" w:hAnsi="Sylfaen" w:cs="Calibri"/>
          <w:color w:val="000000"/>
          <w:szCs w:val="22"/>
          <w:lang w:val="ka-GE"/>
        </w:rPr>
      </w:pPr>
      <w:r w:rsidRPr="00C17C1A">
        <w:rPr>
          <w:rFonts w:ascii="Sylfaen" w:eastAsia="Sylfaen" w:hAnsi="Sylfaen"/>
          <w:b/>
          <w:i/>
          <w:szCs w:val="22"/>
          <w:lang w:val="ka-GE"/>
        </w:rPr>
        <w:t>2013 წლის</w:t>
      </w:r>
      <w:r w:rsidRPr="00DD2D60">
        <w:rPr>
          <w:rFonts w:ascii="Sylfaen" w:eastAsia="Sylfaen" w:hAnsi="Sylfaen"/>
          <w:b/>
          <w:i/>
          <w:szCs w:val="22"/>
          <w:lang w:val="ka-GE"/>
        </w:rPr>
        <w:t xml:space="preserve"> ივლისიდან</w:t>
      </w:r>
      <w:r w:rsidRPr="00DD2D60">
        <w:rPr>
          <w:rFonts w:ascii="Sylfaen" w:eastAsia="Sylfaen" w:hAnsi="Sylfaen"/>
          <w:szCs w:val="22"/>
          <w:lang w:val="ka-GE"/>
        </w:rPr>
        <w:t xml:space="preserve"> გაიზარდა საყოველთაო ჯანდაცვის პროგრამით გათვალისწინებული მომსახურების მოცულობა, რამაც გამოიწვია რეფერალური დახმარების კომპონენტის უტილიზაციის მატება </w:t>
      </w:r>
      <w:r w:rsidRPr="00C17C1A">
        <w:rPr>
          <w:rFonts w:ascii="Sylfaen" w:eastAsia="Times New Roman" w:hAnsi="Sylfaen" w:cs="Calibri"/>
          <w:color w:val="000000"/>
          <w:szCs w:val="22"/>
          <w:lang w:val="ka-GE"/>
        </w:rPr>
        <w:t>(გრაფიკი N1 (დ); გრაფიკი N2 (დ).</w:t>
      </w:r>
    </w:p>
    <w:p w:rsidR="00730A9F" w:rsidRPr="00DD2D60" w:rsidRDefault="00730A9F" w:rsidP="00730A9F">
      <w:pPr>
        <w:pStyle w:val="ListParagraph"/>
        <w:rPr>
          <w:rFonts w:ascii="Sylfaen" w:eastAsia="Times New Roman" w:hAnsi="Sylfaen" w:cs="Calibri"/>
          <w:color w:val="000000"/>
          <w:szCs w:val="22"/>
          <w:highlight w:val="yellow"/>
          <w:lang w:val="ka-GE"/>
        </w:rPr>
      </w:pPr>
    </w:p>
    <w:p w:rsidR="00730A9F" w:rsidRPr="00DD2D60" w:rsidRDefault="00730A9F" w:rsidP="00730A9F">
      <w:pPr>
        <w:pStyle w:val="ListParagraph"/>
        <w:spacing w:after="120" w:line="240" w:lineRule="auto"/>
        <w:jc w:val="both"/>
        <w:rPr>
          <w:rFonts w:ascii="Sylfaen" w:eastAsia="Times New Roman" w:hAnsi="Sylfaen" w:cs="Calibri"/>
          <w:color w:val="000000"/>
          <w:szCs w:val="22"/>
          <w:highlight w:val="yellow"/>
          <w:lang w:val="ka-GE"/>
        </w:rPr>
      </w:pPr>
    </w:p>
    <w:p w:rsidR="00730A9F" w:rsidRDefault="00730A9F" w:rsidP="00730A9F">
      <w:pPr>
        <w:pStyle w:val="ListParagraph"/>
        <w:numPr>
          <w:ilvl w:val="0"/>
          <w:numId w:val="26"/>
        </w:numPr>
        <w:spacing w:after="120" w:line="240" w:lineRule="auto"/>
        <w:jc w:val="both"/>
        <w:rPr>
          <w:rFonts w:ascii="Sylfaen" w:eastAsia="Sylfaen" w:hAnsi="Sylfaen"/>
          <w:szCs w:val="22"/>
          <w:lang w:val="ka-GE"/>
        </w:rPr>
      </w:pPr>
      <w:r w:rsidRPr="008754F8">
        <w:rPr>
          <w:rFonts w:ascii="Sylfaen" w:eastAsia="Sylfaen" w:hAnsi="Sylfaen"/>
          <w:b/>
          <w:szCs w:val="22"/>
          <w:lang w:val="ka-GE"/>
        </w:rPr>
        <w:t>2013 წლის სექტემბრის თვეში აღინიშნა ქვეკომპონენტის უტილიზაციის შემცირება,</w:t>
      </w:r>
      <w:r w:rsidRPr="008754F8">
        <w:rPr>
          <w:rFonts w:ascii="Sylfaen" w:eastAsia="Sylfaen" w:hAnsi="Sylfaen"/>
          <w:szCs w:val="22"/>
          <w:lang w:val="ka-GE"/>
        </w:rPr>
        <w:t xml:space="preserve"> რაც განაპირობა 115 ათასზე მეტი ადამიანის საქართველოს მთავრობის 2012 წლის 7 მაისის N165 დადგენილებაში ჩართვამ</w:t>
      </w:r>
      <w:r>
        <w:rPr>
          <w:rFonts w:ascii="Sylfaen" w:eastAsia="Sylfaen" w:hAnsi="Sylfaen"/>
          <w:szCs w:val="22"/>
          <w:lang w:val="ka-GE"/>
        </w:rPr>
        <w:t xml:space="preserve"> </w:t>
      </w:r>
      <w:r w:rsidRPr="00C17C1A">
        <w:rPr>
          <w:rFonts w:ascii="Sylfaen" w:eastAsia="Times New Roman" w:hAnsi="Sylfaen" w:cs="Calibri"/>
          <w:color w:val="000000"/>
          <w:szCs w:val="22"/>
          <w:lang w:val="ka-GE"/>
        </w:rPr>
        <w:t>(გრაფიკი N1 (ე)</w:t>
      </w:r>
      <w:r>
        <w:rPr>
          <w:rFonts w:ascii="Sylfaen" w:eastAsia="Times New Roman" w:hAnsi="Sylfaen" w:cs="Calibri"/>
          <w:color w:val="000000"/>
          <w:szCs w:val="22"/>
          <w:lang w:val="ka-GE"/>
        </w:rPr>
        <w:t>)</w:t>
      </w:r>
      <w:r w:rsidRPr="00C17C1A">
        <w:rPr>
          <w:rFonts w:ascii="Sylfaen" w:eastAsia="Times New Roman" w:hAnsi="Sylfaen" w:cs="Calibri"/>
          <w:color w:val="000000"/>
          <w:szCs w:val="22"/>
          <w:lang w:val="ka-GE"/>
        </w:rPr>
        <w:t>.</w:t>
      </w:r>
    </w:p>
    <w:p w:rsidR="00730A9F" w:rsidRPr="009D4404" w:rsidRDefault="00730A9F" w:rsidP="00730A9F">
      <w:pPr>
        <w:pStyle w:val="ListParagraph"/>
        <w:spacing w:after="120" w:line="240" w:lineRule="auto"/>
        <w:jc w:val="both"/>
        <w:rPr>
          <w:rFonts w:ascii="Sylfaen" w:eastAsia="Sylfaen" w:hAnsi="Sylfaen"/>
          <w:sz w:val="16"/>
          <w:szCs w:val="16"/>
          <w:lang w:val="ka-GE"/>
        </w:rPr>
      </w:pPr>
    </w:p>
    <w:p w:rsidR="00730A9F" w:rsidRDefault="00730A9F" w:rsidP="00730A9F">
      <w:pPr>
        <w:pStyle w:val="ListParagraph"/>
        <w:numPr>
          <w:ilvl w:val="0"/>
          <w:numId w:val="26"/>
        </w:numPr>
        <w:spacing w:after="120" w:line="240" w:lineRule="auto"/>
        <w:jc w:val="both"/>
        <w:rPr>
          <w:rFonts w:ascii="Sylfaen" w:eastAsia="Sylfaen" w:hAnsi="Sylfaen"/>
          <w:szCs w:val="22"/>
          <w:lang w:val="ka-GE"/>
        </w:rPr>
      </w:pPr>
      <w:r w:rsidRPr="008754F8">
        <w:rPr>
          <w:rFonts w:ascii="Sylfaen" w:eastAsia="Sylfaen" w:hAnsi="Sylfaen"/>
          <w:b/>
          <w:szCs w:val="22"/>
          <w:lang w:val="ka-GE"/>
        </w:rPr>
        <w:t>2013 წლის ნოემბრიდან ფიქსირდება უტილიზაციის ზრდა</w:t>
      </w:r>
      <w:r w:rsidRPr="008754F8">
        <w:rPr>
          <w:rFonts w:ascii="Sylfaen" w:eastAsia="Sylfaen" w:hAnsi="Sylfaen"/>
          <w:szCs w:val="22"/>
          <w:lang w:val="ka-GE"/>
        </w:rPr>
        <w:t xml:space="preserve">საყოველთაო ჯანდაცვის პროგრამაში სადაზღვევო პროგრამებიდან 77 ათასზე მეტი ბენეფიციარის ინტეგრირების გამო (რომლებმაც დაკარგეს სადაზღვევო პროგრამით სარგებლობის უფლება პოლისის ჩაუბარებლობის </w:t>
      </w:r>
      <w:r w:rsidRPr="00C17C1A">
        <w:rPr>
          <w:rFonts w:ascii="Sylfaen" w:eastAsia="Sylfaen" w:hAnsi="Sylfaen"/>
          <w:szCs w:val="22"/>
          <w:lang w:val="ka-GE"/>
        </w:rPr>
        <w:t>გამო)</w:t>
      </w:r>
      <w:r>
        <w:rPr>
          <w:rFonts w:ascii="Sylfaen" w:eastAsia="Sylfaen" w:hAnsi="Sylfaen"/>
          <w:szCs w:val="22"/>
          <w:lang w:val="ka-GE"/>
        </w:rPr>
        <w:t xml:space="preserve"> </w:t>
      </w:r>
      <w:r w:rsidRPr="00C17C1A">
        <w:rPr>
          <w:rFonts w:ascii="Sylfaen" w:eastAsia="Times New Roman" w:hAnsi="Sylfaen" w:cs="Calibri"/>
          <w:color w:val="000000"/>
          <w:szCs w:val="22"/>
          <w:lang w:val="ka-GE"/>
        </w:rPr>
        <w:t>(გრაფიკი N1 (ვ); გრაფიკი N2 (ვ)).</w:t>
      </w:r>
    </w:p>
    <w:p w:rsidR="00730A9F" w:rsidRPr="009D4404" w:rsidRDefault="00730A9F" w:rsidP="00730A9F">
      <w:pPr>
        <w:pStyle w:val="ListParagraph"/>
        <w:spacing w:after="120" w:line="240" w:lineRule="auto"/>
        <w:jc w:val="both"/>
        <w:rPr>
          <w:rFonts w:ascii="Sylfaen" w:eastAsia="Sylfaen" w:hAnsi="Sylfaen"/>
          <w:sz w:val="16"/>
          <w:szCs w:val="16"/>
          <w:lang w:val="ka-GE"/>
        </w:rPr>
      </w:pPr>
    </w:p>
    <w:p w:rsidR="00730A9F" w:rsidRDefault="00730A9F" w:rsidP="00730A9F">
      <w:pPr>
        <w:pStyle w:val="ListParagraph"/>
        <w:numPr>
          <w:ilvl w:val="0"/>
          <w:numId w:val="26"/>
        </w:numPr>
        <w:spacing w:after="120" w:line="240" w:lineRule="auto"/>
        <w:jc w:val="both"/>
        <w:rPr>
          <w:rFonts w:ascii="Sylfaen" w:eastAsia="Sylfaen" w:hAnsi="Sylfaen"/>
          <w:szCs w:val="22"/>
          <w:lang w:val="ka-GE"/>
        </w:rPr>
      </w:pPr>
      <w:r w:rsidRPr="008754F8">
        <w:rPr>
          <w:rFonts w:ascii="Sylfaen" w:eastAsia="Sylfaen" w:hAnsi="Sylfaen"/>
          <w:b/>
          <w:szCs w:val="22"/>
          <w:lang w:val="ka-GE"/>
        </w:rPr>
        <w:t xml:space="preserve">უტილიზაციის მინიშვნელოვანი მატება აღინიშნება 2014 წლის 1 </w:t>
      </w:r>
      <w:r w:rsidRPr="002C06CE">
        <w:rPr>
          <w:rFonts w:ascii="Sylfaen" w:eastAsia="Sylfaen" w:hAnsi="Sylfaen"/>
          <w:b/>
          <w:szCs w:val="22"/>
          <w:lang w:val="ka-GE"/>
        </w:rPr>
        <w:t>იანვრიდან</w:t>
      </w:r>
      <w:r>
        <w:rPr>
          <w:rFonts w:ascii="Sylfaen" w:eastAsia="Sylfaen" w:hAnsi="Sylfaen"/>
          <w:b/>
          <w:szCs w:val="22"/>
          <w:lang w:val="ka-GE"/>
        </w:rPr>
        <w:t xml:space="preserve"> </w:t>
      </w:r>
      <w:r w:rsidRPr="002C06CE">
        <w:rPr>
          <w:rFonts w:ascii="Sylfaen" w:eastAsia="Times New Roman" w:hAnsi="Sylfaen" w:cs="Calibri"/>
          <w:color w:val="000000"/>
          <w:szCs w:val="22"/>
          <w:lang w:val="ka-GE"/>
        </w:rPr>
        <w:t>(გრაფიკი N1 (ზ); გრაფიკი N2 (ზ))</w:t>
      </w:r>
      <w:r w:rsidRPr="002C06CE">
        <w:rPr>
          <w:rFonts w:ascii="Sylfaen" w:eastAsia="Sylfaen" w:hAnsi="Sylfaen"/>
          <w:b/>
          <w:szCs w:val="22"/>
          <w:lang w:val="ka-GE"/>
        </w:rPr>
        <w:t>,</w:t>
      </w:r>
      <w:r w:rsidRPr="002C06CE">
        <w:rPr>
          <w:rFonts w:ascii="Sylfaen" w:eastAsia="Sylfaen" w:hAnsi="Sylfaen"/>
          <w:szCs w:val="22"/>
          <w:lang w:val="ka-GE"/>
        </w:rPr>
        <w:t xml:space="preserve"> რაც დაკავშირებულია სადაზღვევო კომპანიების - „არქიმედეს გლობ</w:t>
      </w:r>
      <w:r w:rsidRPr="008754F8">
        <w:rPr>
          <w:rFonts w:ascii="Sylfaen" w:eastAsia="Sylfaen" w:hAnsi="Sylfaen"/>
          <w:szCs w:val="22"/>
          <w:lang w:val="ka-GE"/>
        </w:rPr>
        <w:t>ალ ჯორჯიას“ და „ქართუს“ სახელმწიფო სადაზღვევო პროგრამებიდან გასვლასთან და საქართველოს მთავრობის 2009 წლის 9 დეკემბრის N218 დადგენილებით დამტკიცებული სადაზღვევო პროგრამის შეწყვეტასთან დაკავშირებული გარდამავალი პერიოდის დაწყებასთან (შეწყდა პროგრმაში შედინება).საყოველთაო ჯანდაცვის პროგრამაში ინტეგრირდა: იანვარი -570 ათასამდე ადამიანი, თებერვალი - 18 ათასამდე, მარტი - 15 ათასამდე. 2014 წლის 1 აპრილიდან, საქართველოს მთავრობის 2009 წლის 9 დეკემბრის N218 დადგენილებით დამტკიცებული სადაზღვევო პროგრამის შეწყვეტასთან დაკავშირებით, საყოველთაო ჯანდაცვაში ინტეგრირდა 415 ათასამდე ადამიანი.</w:t>
      </w:r>
    </w:p>
    <w:p w:rsidR="00B117B0" w:rsidRDefault="00B117B0" w:rsidP="006E6D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Cs w:val="22"/>
          <w:lang w:val="ka-GE"/>
        </w:rPr>
      </w:pPr>
    </w:p>
    <w:p w:rsidR="006B57B0" w:rsidRDefault="006B57B0" w:rsidP="006E6D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Cs w:val="22"/>
          <w:lang w:val="ka-GE"/>
        </w:rPr>
      </w:pPr>
    </w:p>
    <w:p w:rsidR="006E6DD9" w:rsidRPr="00BE0CBB" w:rsidRDefault="006E6DD9" w:rsidP="006E6D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Cs w:val="22"/>
          <w:lang w:val="ka-GE"/>
        </w:rPr>
      </w:pPr>
    </w:p>
    <w:p w:rsidR="00CC4830" w:rsidRPr="00CC4830" w:rsidRDefault="00CC4830" w:rsidP="00FF40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sz w:val="24"/>
          <w:lang w:val="ka-GE"/>
        </w:rPr>
        <w:sectPr w:rsidR="00CC4830" w:rsidRPr="00CC4830" w:rsidSect="002854E3">
          <w:pgSz w:w="12240" w:h="15840"/>
          <w:pgMar w:top="851" w:right="1350" w:bottom="1134" w:left="810" w:header="720" w:footer="720" w:gutter="0"/>
          <w:cols w:space="720"/>
          <w:docGrid w:linePitch="360"/>
        </w:sectPr>
      </w:pPr>
    </w:p>
    <w:p w:rsidR="00693EA7" w:rsidRPr="00992407" w:rsidRDefault="00D86DB3" w:rsidP="00D86DB3">
      <w:pPr>
        <w:jc w:val="right"/>
        <w:rPr>
          <w:rFonts w:ascii="Sylfaen" w:eastAsia="Sylfaen" w:hAnsi="Sylfaen"/>
          <w:szCs w:val="22"/>
        </w:rPr>
      </w:pPr>
      <w:r>
        <w:rPr>
          <w:rFonts w:ascii="Sylfaen" w:eastAsia="Sylfaen" w:hAnsi="Sylfaen"/>
          <w:szCs w:val="22"/>
          <w:lang w:val="ka-GE"/>
        </w:rPr>
        <w:lastRenderedPageBreak/>
        <w:t>გრაფიკი N1</w:t>
      </w:r>
    </w:p>
    <w:p w:rsidR="00992407" w:rsidRPr="00992407" w:rsidRDefault="00CF3519" w:rsidP="00D86DB3">
      <w:pPr>
        <w:jc w:val="right"/>
        <w:rPr>
          <w:rFonts w:ascii="Sylfaen" w:eastAsia="Sylfaen" w:hAnsi="Sylfaen"/>
          <w:szCs w:val="22"/>
        </w:rPr>
      </w:pPr>
      <w:r>
        <w:rPr>
          <w:rFonts w:ascii="Sylfaen" w:eastAsia="Sylfaen" w:hAnsi="Sylfaen"/>
          <w:noProof/>
          <w:szCs w:val="22"/>
        </w:rPr>
        <w:pict>
          <v:shapetype id="_x0000_t202" coordsize="21600,21600" o:spt="202" path="m,l,21600r21600,l21600,xe">
            <v:stroke joinstyle="miter"/>
            <v:path gradientshapeok="t" o:connecttype="rect"/>
          </v:shapetype>
          <v:shape id="_x0000_s1042" type="#_x0000_t202" style="position:absolute;left:0;text-align:left;margin-left:577.05pt;margin-top:134.4pt;width:28.5pt;height:23.25pt;z-index:251671552" filled="f" stroked="f">
            <v:textbox style="mso-next-textbox:#_x0000_s1042">
              <w:txbxContent>
                <w:p w:rsidR="00763734" w:rsidRPr="003E7AB4" w:rsidRDefault="00763734">
                  <w:pPr>
                    <w:rPr>
                      <w:rFonts w:ascii="Sylfaen" w:hAnsi="Sylfaen"/>
                      <w:b/>
                      <w:color w:val="FF0000"/>
                      <w:sz w:val="28"/>
                      <w:szCs w:val="28"/>
                      <w:lang w:val="ka-GE"/>
                    </w:rPr>
                  </w:pPr>
                  <w:r>
                    <w:rPr>
                      <w:rFonts w:ascii="Sylfaen" w:hAnsi="Sylfaen"/>
                      <w:b/>
                      <w:color w:val="FF0000"/>
                      <w:sz w:val="28"/>
                      <w:szCs w:val="28"/>
                      <w:lang w:val="ka-GE"/>
                    </w:rPr>
                    <w:t>ზ</w:t>
                  </w:r>
                </w:p>
              </w:txbxContent>
            </v:textbox>
          </v:shape>
        </w:pict>
      </w:r>
      <w:r>
        <w:rPr>
          <w:rFonts w:ascii="Sylfaen" w:eastAsia="Sylfaen" w:hAnsi="Sylfaen"/>
          <w:noProof/>
          <w:szCs w:val="22"/>
        </w:rPr>
        <w:pict>
          <v:shape id="_x0000_s1040" type="#_x0000_t202" style="position:absolute;left:0;text-align:left;margin-left:523.75pt;margin-top:232.35pt;width:28.5pt;height:30pt;z-index:251669504" filled="f" stroked="f">
            <v:textbox style="mso-next-textbox:#_x0000_s1040">
              <w:txbxContent>
                <w:p w:rsidR="00763734" w:rsidRPr="003E7AB4" w:rsidRDefault="00763734">
                  <w:pPr>
                    <w:rPr>
                      <w:rFonts w:ascii="Sylfaen" w:hAnsi="Sylfaen"/>
                      <w:b/>
                      <w:color w:val="FF0000"/>
                      <w:sz w:val="28"/>
                      <w:szCs w:val="28"/>
                      <w:lang w:val="ka-GE"/>
                    </w:rPr>
                  </w:pPr>
                  <w:r>
                    <w:rPr>
                      <w:rFonts w:ascii="Sylfaen" w:hAnsi="Sylfaen"/>
                      <w:b/>
                      <w:color w:val="FF0000"/>
                      <w:sz w:val="28"/>
                      <w:szCs w:val="28"/>
                      <w:lang w:val="ka-GE"/>
                    </w:rPr>
                    <w:t>ვ</w:t>
                  </w:r>
                </w:p>
              </w:txbxContent>
            </v:textbox>
          </v:shape>
        </w:pict>
      </w:r>
      <w:r>
        <w:rPr>
          <w:rFonts w:ascii="Sylfaen" w:eastAsia="Sylfaen" w:hAnsi="Sylfaen"/>
          <w:noProof/>
          <w:szCs w:val="22"/>
        </w:rPr>
        <w:pict>
          <v:shape id="_x0000_s1039" type="#_x0000_t202" style="position:absolute;left:0;text-align:left;margin-left:495.25pt;margin-top:251.25pt;width:28.5pt;height:32.85pt;z-index:251668480" filled="f" stroked="f">
            <v:textbox style="mso-next-textbox:#_x0000_s1039">
              <w:txbxContent>
                <w:p w:rsidR="00763734" w:rsidRPr="003E7AB4" w:rsidRDefault="00763734">
                  <w:pPr>
                    <w:rPr>
                      <w:rFonts w:ascii="Sylfaen" w:hAnsi="Sylfaen"/>
                      <w:b/>
                      <w:color w:val="FF0000"/>
                      <w:sz w:val="28"/>
                      <w:szCs w:val="28"/>
                      <w:lang w:val="ka-GE"/>
                    </w:rPr>
                  </w:pPr>
                  <w:r>
                    <w:rPr>
                      <w:rFonts w:ascii="Sylfaen" w:hAnsi="Sylfaen"/>
                      <w:b/>
                      <w:color w:val="FF0000"/>
                      <w:sz w:val="28"/>
                      <w:szCs w:val="28"/>
                      <w:lang w:val="ka-GE"/>
                    </w:rPr>
                    <w:t>ე</w:t>
                  </w:r>
                </w:p>
              </w:txbxContent>
            </v:textbox>
          </v:shape>
        </w:pict>
      </w:r>
      <w:r>
        <w:rPr>
          <w:rFonts w:ascii="Sylfaen" w:eastAsia="Sylfaen" w:hAnsi="Sylfaen"/>
          <w:noProof/>
          <w:szCs w:val="22"/>
        </w:rPr>
        <w:pict>
          <v:shape id="_x0000_s1035" type="#_x0000_t202" style="position:absolute;left:0;text-align:left;margin-left:466.75pt;margin-top:241.95pt;width:28.5pt;height:28.65pt;z-index:251664384" filled="f" stroked="f">
            <v:textbox style="mso-next-textbox:#_x0000_s1035">
              <w:txbxContent>
                <w:p w:rsidR="00763734" w:rsidRPr="003E7AB4" w:rsidRDefault="00763734">
                  <w:pPr>
                    <w:rPr>
                      <w:rFonts w:ascii="Sylfaen" w:hAnsi="Sylfaen"/>
                      <w:b/>
                      <w:color w:val="FF0000"/>
                      <w:sz w:val="28"/>
                      <w:szCs w:val="28"/>
                      <w:lang w:val="ka-GE"/>
                    </w:rPr>
                  </w:pPr>
                  <w:r>
                    <w:rPr>
                      <w:rFonts w:ascii="Sylfaen" w:hAnsi="Sylfaen"/>
                      <w:b/>
                      <w:color w:val="FF0000"/>
                      <w:sz w:val="28"/>
                      <w:szCs w:val="28"/>
                      <w:lang w:val="ka-GE"/>
                    </w:rPr>
                    <w:t>დ</w:t>
                  </w:r>
                </w:p>
              </w:txbxContent>
            </v:textbox>
          </v:shape>
        </w:pict>
      </w:r>
      <w:r>
        <w:rPr>
          <w:rFonts w:ascii="Sylfaen" w:eastAsia="Sylfaen" w:hAnsi="Sylfaen"/>
          <w:noProof/>
          <w:szCs w:val="22"/>
        </w:rPr>
        <w:pict>
          <v:shape id="_x0000_s1034" type="#_x0000_t202" style="position:absolute;left:0;text-align:left;margin-left:430pt;margin-top:262.35pt;width:28.5pt;height:30.3pt;z-index:251663360" filled="f" stroked="f">
            <v:textbox style="mso-next-textbox:#_x0000_s1034">
              <w:txbxContent>
                <w:p w:rsidR="00763734" w:rsidRPr="003E7AB4" w:rsidRDefault="00763734">
                  <w:pPr>
                    <w:rPr>
                      <w:rFonts w:ascii="Sylfaen" w:hAnsi="Sylfaen"/>
                      <w:b/>
                      <w:color w:val="FF0000"/>
                      <w:sz w:val="28"/>
                      <w:szCs w:val="28"/>
                      <w:lang w:val="ka-GE"/>
                    </w:rPr>
                  </w:pPr>
                  <w:r>
                    <w:rPr>
                      <w:rFonts w:ascii="Sylfaen" w:hAnsi="Sylfaen"/>
                      <w:b/>
                      <w:color w:val="FF0000"/>
                      <w:sz w:val="28"/>
                      <w:szCs w:val="28"/>
                      <w:lang w:val="ka-GE"/>
                    </w:rPr>
                    <w:t>გ</w:t>
                  </w:r>
                </w:p>
              </w:txbxContent>
            </v:textbox>
          </v:shape>
        </w:pict>
      </w:r>
      <w:r>
        <w:rPr>
          <w:rFonts w:ascii="Sylfaen" w:eastAsia="Sylfaen" w:hAnsi="Sylfaen"/>
          <w:noProof/>
          <w:szCs w:val="22"/>
        </w:rPr>
        <w:pict>
          <v:shape id="_x0000_s1033" type="#_x0000_t202" style="position:absolute;left:0;text-align:left;margin-left:379.75pt;margin-top:265.35pt;width:28.5pt;height:23.25pt;z-index:251662336" filled="f" stroked="f">
            <v:textbox style="mso-next-textbox:#_x0000_s1033">
              <w:txbxContent>
                <w:p w:rsidR="00763734" w:rsidRPr="003E7AB4" w:rsidRDefault="00763734">
                  <w:pPr>
                    <w:rPr>
                      <w:rFonts w:ascii="Sylfaen" w:hAnsi="Sylfaen"/>
                      <w:b/>
                      <w:color w:val="FF0000"/>
                      <w:sz w:val="28"/>
                      <w:szCs w:val="28"/>
                      <w:lang w:val="ka-GE"/>
                    </w:rPr>
                  </w:pPr>
                  <w:r>
                    <w:rPr>
                      <w:rFonts w:ascii="Sylfaen" w:hAnsi="Sylfaen"/>
                      <w:b/>
                      <w:color w:val="FF0000"/>
                      <w:sz w:val="28"/>
                      <w:szCs w:val="28"/>
                      <w:lang w:val="ka-GE"/>
                    </w:rPr>
                    <w:t>ბ</w:t>
                  </w:r>
                </w:p>
              </w:txbxContent>
            </v:textbox>
          </v:shape>
        </w:pict>
      </w:r>
      <w:r>
        <w:rPr>
          <w:rFonts w:ascii="Sylfaen" w:eastAsia="Sylfaen" w:hAnsi="Sylfaen"/>
          <w:noProof/>
          <w:szCs w:val="22"/>
        </w:rPr>
        <w:pict>
          <v:shape id="_x0000_s1030" type="#_x0000_t202" style="position:absolute;left:0;text-align:left;margin-left:273.85pt;margin-top:284.1pt;width:28.5pt;height:23.25pt;z-index:251659264" filled="f" stroked="f">
            <v:textbox style="mso-next-textbox:#_x0000_s1030">
              <w:txbxContent>
                <w:p w:rsidR="00763734" w:rsidRPr="003E7AB4" w:rsidRDefault="00763734">
                  <w:pPr>
                    <w:rPr>
                      <w:rFonts w:ascii="Sylfaen" w:hAnsi="Sylfaen"/>
                      <w:b/>
                      <w:color w:val="FF0000"/>
                      <w:sz w:val="28"/>
                      <w:szCs w:val="28"/>
                      <w:lang w:val="ka-GE"/>
                    </w:rPr>
                  </w:pPr>
                  <w:r w:rsidRPr="003E7AB4">
                    <w:rPr>
                      <w:rFonts w:ascii="Sylfaen" w:hAnsi="Sylfaen"/>
                      <w:b/>
                      <w:color w:val="FF0000"/>
                      <w:sz w:val="28"/>
                      <w:szCs w:val="28"/>
                      <w:lang w:val="ka-GE"/>
                    </w:rPr>
                    <w:t>ა</w:t>
                  </w:r>
                </w:p>
              </w:txbxContent>
            </v:textbox>
          </v:shape>
        </w:pict>
      </w:r>
      <w:r w:rsidR="00992407" w:rsidRPr="00992407">
        <w:rPr>
          <w:rFonts w:ascii="Sylfaen" w:eastAsia="Sylfaen" w:hAnsi="Sylfaen"/>
          <w:noProof/>
          <w:szCs w:val="22"/>
        </w:rPr>
        <w:drawing>
          <wp:inline distT="0" distB="0" distL="0" distR="0">
            <wp:extent cx="9077449" cy="5201392"/>
            <wp:effectExtent l="19050" t="0" r="28451"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92407" w:rsidRPr="00992407" w:rsidRDefault="00992407" w:rsidP="00D86DB3">
      <w:pPr>
        <w:jc w:val="right"/>
        <w:rPr>
          <w:rFonts w:ascii="Sylfaen" w:eastAsia="Sylfaen" w:hAnsi="Sylfaen"/>
          <w:szCs w:val="22"/>
        </w:rPr>
      </w:pPr>
    </w:p>
    <w:p w:rsidR="00693EA7" w:rsidRDefault="00693EA7" w:rsidP="00BB26CD">
      <w:pPr>
        <w:rPr>
          <w:rFonts w:ascii="Sylfaen" w:eastAsia="Sylfaen" w:hAnsi="Sylfaen"/>
          <w:szCs w:val="22"/>
          <w:lang w:val="ka-GE"/>
        </w:rPr>
      </w:pPr>
    </w:p>
    <w:p w:rsidR="00D86DB3" w:rsidRDefault="00D86DB3" w:rsidP="00D86DB3">
      <w:pPr>
        <w:jc w:val="right"/>
        <w:rPr>
          <w:rFonts w:ascii="Sylfaen" w:eastAsia="Sylfaen" w:hAnsi="Sylfaen"/>
          <w:szCs w:val="22"/>
          <w:lang w:val="ka-GE"/>
        </w:rPr>
      </w:pPr>
      <w:r>
        <w:rPr>
          <w:rFonts w:ascii="Sylfaen" w:eastAsia="Sylfaen" w:hAnsi="Sylfaen"/>
          <w:szCs w:val="22"/>
          <w:lang w:val="ka-GE"/>
        </w:rPr>
        <w:lastRenderedPageBreak/>
        <w:t>გრაფიკი N2</w:t>
      </w:r>
    </w:p>
    <w:p w:rsidR="00693EA7" w:rsidRDefault="00693EA7" w:rsidP="00BB26CD">
      <w:pPr>
        <w:rPr>
          <w:rFonts w:ascii="Sylfaen" w:eastAsia="Sylfaen" w:hAnsi="Sylfaen"/>
          <w:szCs w:val="22"/>
          <w:lang w:val="ka-GE"/>
        </w:rPr>
      </w:pPr>
    </w:p>
    <w:p w:rsidR="00693EA7" w:rsidRDefault="008A2D3D" w:rsidP="00BB26CD">
      <w:pPr>
        <w:rPr>
          <w:rFonts w:ascii="Sylfaen" w:eastAsia="Sylfaen" w:hAnsi="Sylfaen"/>
          <w:szCs w:val="22"/>
          <w:lang w:val="ka-GE"/>
        </w:rPr>
      </w:pPr>
      <w:r w:rsidRPr="008A2D3D">
        <w:rPr>
          <w:rFonts w:ascii="Sylfaen" w:eastAsia="Sylfaen" w:hAnsi="Sylfaen"/>
          <w:noProof/>
          <w:szCs w:val="22"/>
        </w:rPr>
        <w:drawing>
          <wp:inline distT="0" distB="0" distL="0" distR="0">
            <wp:extent cx="8780565" cy="3954483"/>
            <wp:effectExtent l="19050" t="0" r="20535" b="7917"/>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30A9F" w:rsidRDefault="00730A9F" w:rsidP="00D86DB3">
      <w:pPr>
        <w:jc w:val="right"/>
        <w:rPr>
          <w:rFonts w:ascii="Sylfaen" w:eastAsia="Sylfaen" w:hAnsi="Sylfaen"/>
          <w:szCs w:val="22"/>
        </w:rPr>
      </w:pPr>
    </w:p>
    <w:p w:rsidR="006E3C2A" w:rsidRDefault="006E3C2A" w:rsidP="00D86DB3">
      <w:pPr>
        <w:jc w:val="right"/>
        <w:rPr>
          <w:rFonts w:ascii="Sylfaen" w:eastAsia="Sylfaen" w:hAnsi="Sylfaen"/>
          <w:szCs w:val="22"/>
        </w:rPr>
      </w:pPr>
    </w:p>
    <w:p w:rsidR="006E3C2A" w:rsidRPr="006E3C2A" w:rsidRDefault="006E3C2A" w:rsidP="00D86DB3">
      <w:pPr>
        <w:jc w:val="right"/>
        <w:rPr>
          <w:rFonts w:ascii="Sylfaen" w:eastAsia="Sylfaen" w:hAnsi="Sylfaen"/>
          <w:szCs w:val="22"/>
        </w:rPr>
      </w:pPr>
    </w:p>
    <w:p w:rsidR="00730A9F" w:rsidRPr="00730A9F" w:rsidRDefault="00730A9F" w:rsidP="00D86DB3">
      <w:pPr>
        <w:jc w:val="right"/>
        <w:rPr>
          <w:rFonts w:ascii="Sylfaen" w:eastAsia="Sylfaen" w:hAnsi="Sylfaen"/>
          <w:szCs w:val="22"/>
          <w:lang w:val="ka-GE"/>
        </w:rPr>
      </w:pPr>
    </w:p>
    <w:p w:rsidR="00730768" w:rsidRDefault="00730768" w:rsidP="00D86DB3">
      <w:pPr>
        <w:jc w:val="right"/>
        <w:rPr>
          <w:rFonts w:ascii="Sylfaen" w:eastAsia="Sylfaen" w:hAnsi="Sylfaen"/>
          <w:szCs w:val="22"/>
        </w:rPr>
      </w:pPr>
    </w:p>
    <w:p w:rsidR="00D86DB3" w:rsidRDefault="00D86DB3" w:rsidP="00D86DB3">
      <w:pPr>
        <w:jc w:val="right"/>
        <w:rPr>
          <w:rFonts w:ascii="Sylfaen" w:eastAsia="Sylfaen" w:hAnsi="Sylfaen"/>
          <w:szCs w:val="22"/>
          <w:lang w:val="ka-GE"/>
        </w:rPr>
      </w:pPr>
      <w:r>
        <w:rPr>
          <w:rFonts w:ascii="Sylfaen" w:eastAsia="Sylfaen" w:hAnsi="Sylfaen"/>
          <w:szCs w:val="22"/>
          <w:lang w:val="ka-GE"/>
        </w:rPr>
        <w:lastRenderedPageBreak/>
        <w:t>გრაფიკი N3</w:t>
      </w:r>
    </w:p>
    <w:p w:rsidR="00693EA7" w:rsidRDefault="008B7FB7" w:rsidP="00BB26CD">
      <w:pPr>
        <w:rPr>
          <w:rFonts w:ascii="Sylfaen" w:eastAsia="Sylfaen" w:hAnsi="Sylfaen"/>
          <w:szCs w:val="22"/>
          <w:lang w:val="ka-GE"/>
        </w:rPr>
      </w:pPr>
      <w:r w:rsidRPr="008B7FB7">
        <w:rPr>
          <w:rFonts w:ascii="Sylfaen" w:eastAsia="Sylfaen" w:hAnsi="Sylfaen"/>
          <w:noProof/>
          <w:szCs w:val="22"/>
        </w:rPr>
        <w:drawing>
          <wp:inline distT="0" distB="0" distL="0" distR="0">
            <wp:extent cx="8925420" cy="4952010"/>
            <wp:effectExtent l="19050" t="0" r="28080" b="990"/>
            <wp:docPr id="7"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93EA7" w:rsidRDefault="00693EA7" w:rsidP="00BB26CD">
      <w:pPr>
        <w:rPr>
          <w:rFonts w:ascii="Sylfaen" w:eastAsia="Sylfaen" w:hAnsi="Sylfaen"/>
          <w:szCs w:val="22"/>
          <w:lang w:val="ka-GE"/>
        </w:rPr>
      </w:pPr>
    </w:p>
    <w:p w:rsidR="00693EA7" w:rsidRDefault="00693EA7" w:rsidP="00BB26CD">
      <w:pPr>
        <w:rPr>
          <w:rFonts w:ascii="Sylfaen" w:eastAsia="Sylfaen" w:hAnsi="Sylfaen"/>
          <w:szCs w:val="22"/>
          <w:lang w:val="ka-GE"/>
        </w:rPr>
      </w:pPr>
    </w:p>
    <w:p w:rsidR="00693EA7" w:rsidRDefault="00693EA7" w:rsidP="00BB26CD">
      <w:pPr>
        <w:rPr>
          <w:rFonts w:ascii="Sylfaen" w:eastAsia="Sylfaen" w:hAnsi="Sylfaen"/>
          <w:szCs w:val="22"/>
          <w:lang w:val="ka-GE"/>
        </w:rPr>
      </w:pPr>
    </w:p>
    <w:p w:rsidR="00D86DB3" w:rsidRDefault="00D86DB3" w:rsidP="00BB26CD">
      <w:pPr>
        <w:rPr>
          <w:rFonts w:ascii="Sylfaen" w:eastAsia="Sylfaen" w:hAnsi="Sylfaen"/>
          <w:szCs w:val="22"/>
          <w:lang w:val="ka-GE"/>
        </w:rPr>
      </w:pPr>
    </w:p>
    <w:p w:rsidR="00D86DB3" w:rsidRDefault="00D86DB3" w:rsidP="00D86DB3">
      <w:pPr>
        <w:jc w:val="right"/>
        <w:rPr>
          <w:rFonts w:ascii="Sylfaen" w:eastAsia="Sylfaen" w:hAnsi="Sylfaen"/>
          <w:szCs w:val="22"/>
          <w:lang w:val="ka-GE"/>
        </w:rPr>
      </w:pPr>
      <w:r>
        <w:rPr>
          <w:rFonts w:ascii="Sylfaen" w:eastAsia="Sylfaen" w:hAnsi="Sylfaen"/>
          <w:szCs w:val="22"/>
          <w:lang w:val="ka-GE"/>
        </w:rPr>
        <w:t>გრაფიკი N4</w:t>
      </w:r>
    </w:p>
    <w:p w:rsidR="00693EA7" w:rsidRDefault="008B7FB7" w:rsidP="00BB26CD">
      <w:pPr>
        <w:rPr>
          <w:rFonts w:ascii="Sylfaen" w:eastAsia="Sylfaen" w:hAnsi="Sylfaen"/>
          <w:szCs w:val="22"/>
          <w:lang w:val="ka-GE"/>
        </w:rPr>
      </w:pPr>
      <w:r w:rsidRPr="008B7FB7">
        <w:rPr>
          <w:rFonts w:ascii="Sylfaen" w:eastAsia="Sylfaen" w:hAnsi="Sylfaen"/>
          <w:noProof/>
          <w:szCs w:val="22"/>
        </w:rPr>
        <w:drawing>
          <wp:inline distT="0" distB="0" distL="0" distR="0">
            <wp:extent cx="8862233" cy="4809506"/>
            <wp:effectExtent l="19050" t="0" r="15067" b="0"/>
            <wp:docPr id="8"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93EA7" w:rsidRDefault="00693EA7" w:rsidP="00BB26CD">
      <w:pPr>
        <w:rPr>
          <w:rFonts w:ascii="Sylfaen" w:eastAsia="Sylfaen" w:hAnsi="Sylfaen"/>
          <w:szCs w:val="22"/>
          <w:lang w:val="ka-GE"/>
        </w:rPr>
      </w:pPr>
    </w:p>
    <w:p w:rsidR="00693EA7" w:rsidRDefault="00693EA7" w:rsidP="00BB26CD">
      <w:pPr>
        <w:rPr>
          <w:rFonts w:ascii="Sylfaen" w:eastAsia="Sylfaen" w:hAnsi="Sylfaen"/>
          <w:szCs w:val="22"/>
          <w:lang w:val="ka-GE"/>
        </w:rPr>
      </w:pPr>
    </w:p>
    <w:p w:rsidR="00693EA7" w:rsidRDefault="00693EA7" w:rsidP="00BB26CD">
      <w:pPr>
        <w:rPr>
          <w:rFonts w:ascii="Sylfaen" w:eastAsia="Sylfaen" w:hAnsi="Sylfaen"/>
          <w:szCs w:val="22"/>
          <w:lang w:val="ka-GE"/>
        </w:rPr>
      </w:pPr>
    </w:p>
    <w:p w:rsidR="00693EA7" w:rsidRDefault="00D86DB3" w:rsidP="00D86DB3">
      <w:pPr>
        <w:jc w:val="right"/>
        <w:rPr>
          <w:rFonts w:ascii="Sylfaen" w:eastAsia="Sylfaen" w:hAnsi="Sylfaen"/>
          <w:szCs w:val="22"/>
          <w:lang w:val="ka-GE"/>
        </w:rPr>
      </w:pPr>
      <w:r>
        <w:rPr>
          <w:rFonts w:ascii="Sylfaen" w:eastAsia="Sylfaen" w:hAnsi="Sylfaen"/>
          <w:szCs w:val="22"/>
          <w:lang w:val="ka-GE"/>
        </w:rPr>
        <w:t>გრაფიკი N5</w:t>
      </w:r>
    </w:p>
    <w:p w:rsidR="00693EA7" w:rsidRDefault="008B7FB7" w:rsidP="00BB26CD">
      <w:pPr>
        <w:rPr>
          <w:rFonts w:ascii="Sylfaen" w:eastAsia="Sylfaen" w:hAnsi="Sylfaen"/>
          <w:szCs w:val="22"/>
          <w:lang w:val="ka-GE"/>
        </w:rPr>
      </w:pPr>
      <w:r w:rsidRPr="008B7FB7">
        <w:rPr>
          <w:rFonts w:ascii="Sylfaen" w:eastAsia="Sylfaen" w:hAnsi="Sylfaen"/>
          <w:noProof/>
          <w:szCs w:val="22"/>
        </w:rPr>
        <w:drawing>
          <wp:inline distT="0" distB="0" distL="0" distR="0">
            <wp:extent cx="8862233" cy="5272644"/>
            <wp:effectExtent l="19050" t="0" r="15067" b="4206"/>
            <wp:docPr id="9"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80C3A" w:rsidRDefault="00F80C3A" w:rsidP="00D3077B">
      <w:pPr>
        <w:rPr>
          <w:rFonts w:ascii="Sylfaen" w:eastAsia="Sylfaen" w:hAnsi="Sylfaen"/>
          <w:szCs w:val="22"/>
          <w:lang w:val="ka-GE"/>
        </w:rPr>
      </w:pPr>
    </w:p>
    <w:p w:rsidR="00140951" w:rsidRDefault="00140951" w:rsidP="0034239C">
      <w:pPr>
        <w:spacing w:after="120" w:line="240" w:lineRule="auto"/>
        <w:jc w:val="both"/>
        <w:rPr>
          <w:rFonts w:ascii="Sylfaen" w:eastAsia="Sylfaen" w:hAnsi="Sylfaen"/>
          <w:szCs w:val="22"/>
          <w:lang w:val="ka-GE"/>
        </w:rPr>
        <w:sectPr w:rsidR="00140951" w:rsidSect="00140951">
          <w:pgSz w:w="15840" w:h="12240" w:orient="landscape"/>
          <w:pgMar w:top="1354" w:right="1138" w:bottom="806" w:left="1138" w:header="720" w:footer="720" w:gutter="0"/>
          <w:cols w:space="720"/>
          <w:docGrid w:linePitch="360"/>
        </w:sectPr>
      </w:pPr>
    </w:p>
    <w:p w:rsidR="0011613C" w:rsidRPr="0011613C" w:rsidRDefault="006C609F" w:rsidP="0034239C">
      <w:pPr>
        <w:spacing w:after="120" w:line="240" w:lineRule="auto"/>
        <w:jc w:val="both"/>
        <w:rPr>
          <w:rFonts w:ascii="Sylfaen" w:eastAsia="Sylfaen" w:hAnsi="Sylfaen"/>
          <w:szCs w:val="22"/>
          <w:lang w:val="ka-GE"/>
        </w:rPr>
      </w:pPr>
      <w:r>
        <w:rPr>
          <w:rFonts w:ascii="Sylfaen" w:eastAsia="Sylfaen" w:hAnsi="Sylfaen"/>
          <w:szCs w:val="22"/>
          <w:lang w:val="ka-GE"/>
        </w:rPr>
        <w:lastRenderedPageBreak/>
        <w:t xml:space="preserve">2014 წლის ივნისის თვეში </w:t>
      </w:r>
      <w:r w:rsidR="0011613C" w:rsidRPr="0011613C">
        <w:rPr>
          <w:rFonts w:ascii="Sylfaen" w:eastAsia="Sylfaen" w:hAnsi="Sylfaen"/>
          <w:szCs w:val="22"/>
          <w:lang w:val="ka-GE"/>
        </w:rPr>
        <w:t>პროგრამის მოსარგებლეები 1 მლნ–ით აღემატებ</w:t>
      </w:r>
      <w:r>
        <w:rPr>
          <w:rFonts w:ascii="Sylfaen" w:eastAsia="Sylfaen" w:hAnsi="Sylfaen"/>
          <w:szCs w:val="22"/>
          <w:lang w:val="ka-GE"/>
        </w:rPr>
        <w:t>ოდა</w:t>
      </w:r>
      <w:r w:rsidR="0011613C" w:rsidRPr="0011613C">
        <w:rPr>
          <w:rFonts w:ascii="Sylfaen" w:eastAsia="Sylfaen" w:hAnsi="Sylfaen"/>
          <w:szCs w:val="22"/>
          <w:lang w:val="ka-GE"/>
        </w:rPr>
        <w:t xml:space="preserve"> 2013 წლის დეკემბრის თვეში პროგრამის მოსარგებლეების რაოდენობას. </w:t>
      </w:r>
      <w:r w:rsidR="00763734">
        <w:rPr>
          <w:rFonts w:ascii="Sylfaen" w:eastAsia="Sylfaen" w:hAnsi="Sylfaen"/>
          <w:szCs w:val="22"/>
        </w:rPr>
        <w:t xml:space="preserve"> </w:t>
      </w:r>
      <w:r w:rsidR="0011613C" w:rsidRPr="0011613C">
        <w:rPr>
          <w:rFonts w:ascii="Sylfaen" w:eastAsia="Sylfaen" w:hAnsi="Sylfaen"/>
          <w:szCs w:val="22"/>
          <w:lang w:val="ka-GE"/>
        </w:rPr>
        <w:t xml:space="preserve"> საქართველოს მთავრობის 2012 წლის 7 მაისის  N165 დადგენილებით დამტკიცებული სადაზღვევო პროგრამის შეწყვეტასთან (2014 წლის 1 სექტემბერი) დაკავშირებით, გარდამავალ პერიოდში (2014 წლის 1 ივნისიდან 1 სექტემბრამდე) შეწყდა პროგრმაში შედინება, ხოლო 1 სექტემბრიდან აღნიშნული პროგრამის ბენეფიციარები სრულად ინტეგრირდა საყოველთაო ჯანდაცვის პროგრამაში (51</w:t>
      </w:r>
      <w:r w:rsidR="005C1AFE">
        <w:rPr>
          <w:rFonts w:ascii="Sylfaen" w:eastAsia="Sylfaen" w:hAnsi="Sylfaen"/>
          <w:szCs w:val="22"/>
          <w:lang w:val="ka-GE"/>
        </w:rPr>
        <w:t>0</w:t>
      </w:r>
      <w:r w:rsidR="0011613C" w:rsidRPr="0011613C">
        <w:rPr>
          <w:rFonts w:ascii="Sylfaen" w:eastAsia="Sylfaen" w:hAnsi="Sylfaen"/>
          <w:szCs w:val="22"/>
          <w:lang w:val="ka-GE"/>
        </w:rPr>
        <w:t xml:space="preserve"> ათასამდე).</w:t>
      </w:r>
      <w:r w:rsidR="0011613C" w:rsidRPr="0011613C">
        <w:rPr>
          <w:rFonts w:ascii="Sylfaen" w:eastAsia="Sylfaen" w:hAnsi="Sylfaen"/>
          <w:b/>
          <w:szCs w:val="22"/>
          <w:lang w:val="ka-GE"/>
        </w:rPr>
        <w:t>შესაბასმისად, საქართველოს მთელი მოსახლეობის რეფერალური დახმარებით უზრუნველყოფა ხორციელდება რეფერალური დახმარების კომპონენტისთვის გამოყოფილი ასიგნებების ფარგლებში (</w:t>
      </w:r>
      <w:r w:rsidR="0011613C" w:rsidRPr="0011613C">
        <w:rPr>
          <w:rFonts w:ascii="Sylfaen" w:eastAsia="Sylfaen" w:hAnsi="Sylfaen"/>
          <w:szCs w:val="22"/>
          <w:lang w:val="ka-GE"/>
        </w:rPr>
        <w:t xml:space="preserve">ბენეფიციართა რაოდენობა წლების მიხედვით და </w:t>
      </w:r>
      <w:r w:rsidR="0011613C" w:rsidRPr="0011613C">
        <w:rPr>
          <w:rFonts w:ascii="Sylfaen" w:eastAsia="Sylfaen" w:hAnsi="Sylfaen" w:cs="Sylfaen"/>
          <w:szCs w:val="22"/>
          <w:lang w:val="ka-GE"/>
        </w:rPr>
        <w:t>მოსარგებლეთა</w:t>
      </w:r>
      <w:r w:rsidR="0011613C" w:rsidRPr="0011613C">
        <w:rPr>
          <w:rFonts w:ascii="Sylfaen" w:eastAsia="Sylfaen" w:hAnsi="Sylfaen"/>
          <w:szCs w:val="22"/>
          <w:lang w:val="ka-GE"/>
        </w:rPr>
        <w:t xml:space="preserve"> პროგრამებს შორის გადანაცვლება იხ. ცხრილი №2-ა); N2-ბ)).</w:t>
      </w:r>
    </w:p>
    <w:p w:rsidR="00D86DB3" w:rsidRDefault="00D86DB3" w:rsidP="0011613C">
      <w:pPr>
        <w:jc w:val="right"/>
        <w:rPr>
          <w:rFonts w:ascii="Sylfaen" w:eastAsia="Sylfaen" w:hAnsi="Sylfaen"/>
          <w:sz w:val="24"/>
          <w:lang w:val="ka-GE"/>
        </w:rPr>
      </w:pPr>
      <w:r>
        <w:rPr>
          <w:rFonts w:ascii="Sylfaen" w:eastAsia="Sylfaen" w:hAnsi="Sylfaen"/>
          <w:sz w:val="24"/>
          <w:lang w:val="ka-GE"/>
        </w:rPr>
        <w:t xml:space="preserve">ცხრილი N2-ა </w:t>
      </w:r>
    </w:p>
    <w:p w:rsidR="00D86DB3" w:rsidRPr="00D86DB3" w:rsidRDefault="00D86DB3" w:rsidP="00D86DB3">
      <w:pPr>
        <w:jc w:val="center"/>
        <w:rPr>
          <w:rFonts w:ascii="Sylfaen" w:eastAsia="Sylfaen" w:hAnsi="Sylfaen"/>
          <w:b/>
          <w:szCs w:val="22"/>
          <w:lang w:val="ka-GE"/>
        </w:rPr>
      </w:pPr>
      <w:r w:rsidRPr="00D86DB3">
        <w:rPr>
          <w:rFonts w:ascii="Sylfaen" w:eastAsia="Sylfaen" w:hAnsi="Sylfaen"/>
          <w:b/>
          <w:szCs w:val="22"/>
          <w:lang w:val="ka-GE"/>
        </w:rPr>
        <w:t>2010-2014 წლებში სამედიცინო ტრანსპორტირების კომპონენტით მოსარგებლეები</w:t>
      </w:r>
      <w:r w:rsidRPr="00D86DB3">
        <w:rPr>
          <w:rFonts w:ascii="Sylfaen" w:eastAsia="Sylfaen" w:hAnsi="Sylfaen"/>
          <w:b/>
          <w:sz w:val="24"/>
        </w:rPr>
        <w:t> </w:t>
      </w:r>
    </w:p>
    <w:tbl>
      <w:tblPr>
        <w:tblStyle w:val="TableGrid"/>
        <w:tblW w:w="0" w:type="auto"/>
        <w:tblLayout w:type="fixed"/>
        <w:tblLook w:val="04A0"/>
      </w:tblPr>
      <w:tblGrid>
        <w:gridCol w:w="615"/>
        <w:gridCol w:w="1384"/>
        <w:gridCol w:w="2586"/>
        <w:gridCol w:w="1418"/>
        <w:gridCol w:w="1215"/>
        <w:gridCol w:w="1890"/>
      </w:tblGrid>
      <w:tr w:rsidR="00D86DB3" w:rsidRPr="00542099" w:rsidTr="00D86DB3">
        <w:tc>
          <w:tcPr>
            <w:tcW w:w="615" w:type="dxa"/>
          </w:tcPr>
          <w:p w:rsidR="00D86DB3" w:rsidRPr="00542099" w:rsidRDefault="00D86DB3" w:rsidP="00D86D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16"/>
                <w:szCs w:val="16"/>
                <w:lang w:val="ka-GE"/>
              </w:rPr>
            </w:pPr>
            <w:r w:rsidRPr="00542099">
              <w:rPr>
                <w:rFonts w:ascii="Sylfaen" w:eastAsia="Sylfaen" w:hAnsi="Sylfaen"/>
                <w:sz w:val="16"/>
                <w:szCs w:val="16"/>
                <w:lang w:val="ka-GE"/>
              </w:rPr>
              <w:t>წელი</w:t>
            </w:r>
          </w:p>
        </w:tc>
        <w:tc>
          <w:tcPr>
            <w:tcW w:w="1384" w:type="dxa"/>
          </w:tcPr>
          <w:p w:rsidR="00D86DB3" w:rsidRPr="00542099" w:rsidRDefault="00D86DB3" w:rsidP="00D86D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16"/>
                <w:szCs w:val="16"/>
                <w:lang w:val="ka-GE"/>
              </w:rPr>
            </w:pPr>
            <w:r w:rsidRPr="00542099">
              <w:rPr>
                <w:rFonts w:ascii="Sylfaen" w:eastAsia="Sylfaen" w:hAnsi="Sylfaen"/>
                <w:sz w:val="16"/>
                <w:szCs w:val="16"/>
                <w:lang w:val="ka-GE"/>
              </w:rPr>
              <w:t>მოსარგებლე</w:t>
            </w:r>
          </w:p>
        </w:tc>
        <w:tc>
          <w:tcPr>
            <w:tcW w:w="2586" w:type="dxa"/>
          </w:tcPr>
          <w:p w:rsidR="00D86DB3" w:rsidRPr="00542099" w:rsidRDefault="00D86DB3" w:rsidP="00D86D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16"/>
                <w:szCs w:val="16"/>
                <w:lang w:val="ka-GE"/>
              </w:rPr>
            </w:pPr>
            <w:r w:rsidRPr="00542099">
              <w:rPr>
                <w:rFonts w:ascii="Sylfaen" w:eastAsia="Sylfaen" w:hAnsi="Sylfaen"/>
                <w:sz w:val="16"/>
                <w:szCs w:val="16"/>
                <w:lang w:val="ka-GE"/>
              </w:rPr>
              <w:t>გარდა</w:t>
            </w:r>
          </w:p>
        </w:tc>
        <w:tc>
          <w:tcPr>
            <w:tcW w:w="1418" w:type="dxa"/>
          </w:tcPr>
          <w:p w:rsidR="00D86DB3" w:rsidRPr="00542099" w:rsidRDefault="00D86DB3" w:rsidP="00D86D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16"/>
                <w:szCs w:val="16"/>
                <w:lang w:val="ka-GE"/>
              </w:rPr>
            </w:pPr>
            <w:r w:rsidRPr="00542099">
              <w:rPr>
                <w:rFonts w:ascii="Sylfaen" w:eastAsia="Sylfaen" w:hAnsi="Sylfaen"/>
                <w:sz w:val="16"/>
                <w:szCs w:val="16"/>
                <w:lang w:val="ka-GE"/>
              </w:rPr>
              <w:t>მოსახლეობის რაოდენობა</w:t>
            </w:r>
            <w:r w:rsidRPr="00542099">
              <w:rPr>
                <w:rStyle w:val="FootnoteReference"/>
                <w:rFonts w:ascii="Sylfaen" w:eastAsia="Sylfaen" w:hAnsi="Sylfaen"/>
                <w:sz w:val="16"/>
                <w:szCs w:val="16"/>
                <w:lang w:val="ka-GE"/>
              </w:rPr>
              <w:footnoteReference w:id="2"/>
            </w:r>
          </w:p>
        </w:tc>
        <w:tc>
          <w:tcPr>
            <w:tcW w:w="1215" w:type="dxa"/>
          </w:tcPr>
          <w:p w:rsidR="00D86DB3" w:rsidRPr="00542099" w:rsidRDefault="00D86DB3" w:rsidP="00D86D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ka-GE"/>
              </w:rPr>
            </w:pPr>
            <w:r w:rsidRPr="00542099">
              <w:rPr>
                <w:rFonts w:ascii="Sylfaen" w:eastAsia="Sylfaen" w:hAnsi="Sylfaen"/>
                <w:sz w:val="16"/>
                <w:szCs w:val="16"/>
                <w:lang w:val="ka-GE"/>
              </w:rPr>
              <w:t>ბენეფიციარების რაოდენობა (საშუალოდ)</w:t>
            </w:r>
          </w:p>
        </w:tc>
        <w:tc>
          <w:tcPr>
            <w:tcW w:w="1890" w:type="dxa"/>
          </w:tcPr>
          <w:p w:rsidR="00D86DB3" w:rsidRPr="00542099" w:rsidRDefault="00D86DB3" w:rsidP="00D86D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ka-GE"/>
              </w:rPr>
            </w:pPr>
            <w:r w:rsidRPr="00542099">
              <w:rPr>
                <w:rFonts w:ascii="Sylfaen" w:eastAsia="Sylfaen" w:hAnsi="Sylfaen"/>
                <w:sz w:val="16"/>
                <w:szCs w:val="16"/>
                <w:lang w:val="ka-GE"/>
              </w:rPr>
              <w:t>დაზღვეული მოსახლეობა (საშუალოდ)</w:t>
            </w:r>
          </w:p>
        </w:tc>
      </w:tr>
      <w:tr w:rsidR="00D86DB3" w:rsidRPr="00542099" w:rsidTr="00D86DB3">
        <w:tc>
          <w:tcPr>
            <w:tcW w:w="615" w:type="dxa"/>
          </w:tcPr>
          <w:p w:rsidR="00D86DB3" w:rsidRPr="00542099" w:rsidRDefault="00D86DB3" w:rsidP="00D86D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16"/>
                <w:szCs w:val="16"/>
                <w:lang w:val="ka-GE"/>
              </w:rPr>
            </w:pPr>
            <w:r w:rsidRPr="00542099">
              <w:rPr>
                <w:rFonts w:ascii="Sylfaen" w:eastAsia="Sylfaen" w:hAnsi="Sylfaen"/>
                <w:sz w:val="16"/>
                <w:szCs w:val="16"/>
                <w:lang w:val="ka-GE"/>
              </w:rPr>
              <w:t xml:space="preserve">2010 </w:t>
            </w:r>
          </w:p>
        </w:tc>
        <w:tc>
          <w:tcPr>
            <w:tcW w:w="1384" w:type="dxa"/>
            <w:vMerge w:val="restart"/>
            <w:vAlign w:val="center"/>
          </w:tcPr>
          <w:p w:rsidR="00D86DB3" w:rsidRPr="00542099" w:rsidRDefault="00D86DB3" w:rsidP="00D86D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ka-GE"/>
              </w:rPr>
            </w:pPr>
            <w:r w:rsidRPr="00542099">
              <w:rPr>
                <w:rFonts w:ascii="Sylfaen" w:eastAsia="Sylfaen" w:hAnsi="Sylfaen"/>
                <w:sz w:val="16"/>
                <w:szCs w:val="16"/>
              </w:rPr>
              <w:t>პროგრამის მოსარგებლეები არიან საქართველოს მოქალაქეები, საქართველოში მუდმივად მცხოვრები პირები და საქართველოს ოკუპირებულ ტერიტორიაზე მცხოვრები პირები</w:t>
            </w:r>
          </w:p>
        </w:tc>
        <w:tc>
          <w:tcPr>
            <w:tcW w:w="2586" w:type="dxa"/>
          </w:tcPr>
          <w:p w:rsidR="00D86DB3" w:rsidRPr="00542099" w:rsidRDefault="00D86DB3" w:rsidP="00D86D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16"/>
                <w:szCs w:val="16"/>
                <w:lang w:val="ka-GE"/>
              </w:rPr>
            </w:pPr>
            <w:r w:rsidRPr="00542099">
              <w:rPr>
                <w:rFonts w:ascii="Sylfaen" w:eastAsia="Sylfaen" w:hAnsi="Sylfaen"/>
                <w:sz w:val="16"/>
                <w:szCs w:val="16"/>
                <w:lang w:val="ka-GE"/>
              </w:rPr>
              <w:t>218 დადგენილებით განსაზღვრული ბენეფიციარებისა</w:t>
            </w:r>
          </w:p>
        </w:tc>
        <w:tc>
          <w:tcPr>
            <w:tcW w:w="1418" w:type="dxa"/>
          </w:tcPr>
          <w:p w:rsidR="00D86DB3" w:rsidRPr="00542099" w:rsidRDefault="00D86DB3" w:rsidP="00D86D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16"/>
                <w:szCs w:val="16"/>
                <w:lang w:val="ka-GE"/>
              </w:rPr>
            </w:pPr>
            <w:r w:rsidRPr="00542099">
              <w:rPr>
                <w:sz w:val="16"/>
                <w:szCs w:val="16"/>
              </w:rPr>
              <w:t>4 4364</w:t>
            </w:r>
            <w:r w:rsidRPr="00542099">
              <w:rPr>
                <w:rFonts w:ascii="Sylfaen" w:hAnsi="Sylfaen"/>
                <w:sz w:val="16"/>
                <w:szCs w:val="16"/>
                <w:lang w:val="ka-GE"/>
              </w:rPr>
              <w:t>00</w:t>
            </w:r>
          </w:p>
        </w:tc>
        <w:tc>
          <w:tcPr>
            <w:tcW w:w="1215" w:type="dxa"/>
          </w:tcPr>
          <w:p w:rsidR="00D86DB3" w:rsidRPr="00542099" w:rsidRDefault="00D86DB3" w:rsidP="00D86DB3">
            <w:pPr>
              <w:jc w:val="center"/>
              <w:rPr>
                <w:rFonts w:cs="Calibri"/>
                <w:color w:val="000000"/>
                <w:sz w:val="16"/>
                <w:szCs w:val="16"/>
              </w:rPr>
            </w:pPr>
            <w:r w:rsidRPr="00542099">
              <w:rPr>
                <w:rFonts w:cs="Calibri"/>
                <w:color w:val="000000"/>
                <w:sz w:val="16"/>
                <w:szCs w:val="16"/>
              </w:rPr>
              <w:t>3,544,921.08</w:t>
            </w:r>
          </w:p>
          <w:p w:rsidR="00D86DB3" w:rsidRPr="00542099" w:rsidRDefault="00D86DB3" w:rsidP="00D86DB3">
            <w:pPr>
              <w:jc w:val="center"/>
              <w:rPr>
                <w:rFonts w:ascii="Geo_Arial" w:hAnsi="Geo_Arial" w:cs="Calibri"/>
                <w:b/>
                <w:bCs/>
                <w:color w:val="000000"/>
                <w:sz w:val="16"/>
                <w:szCs w:val="16"/>
              </w:rPr>
            </w:pPr>
          </w:p>
        </w:tc>
        <w:tc>
          <w:tcPr>
            <w:tcW w:w="1890" w:type="dxa"/>
          </w:tcPr>
          <w:p w:rsidR="00D86DB3" w:rsidRPr="00542099" w:rsidRDefault="00D86DB3" w:rsidP="00D86DB3">
            <w:pPr>
              <w:jc w:val="center"/>
              <w:rPr>
                <w:rFonts w:cs="Calibri"/>
                <w:color w:val="000000"/>
                <w:sz w:val="16"/>
                <w:szCs w:val="16"/>
              </w:rPr>
            </w:pPr>
            <w:r w:rsidRPr="00542099">
              <w:rPr>
                <w:rFonts w:cs="Calibri"/>
                <w:color w:val="000000"/>
                <w:sz w:val="16"/>
                <w:szCs w:val="16"/>
              </w:rPr>
              <w:t>891,478.92</w:t>
            </w:r>
          </w:p>
          <w:p w:rsidR="00D86DB3" w:rsidRPr="00542099" w:rsidRDefault="00D86DB3" w:rsidP="00D86D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sz w:val="16"/>
                <w:szCs w:val="16"/>
              </w:rPr>
            </w:pPr>
          </w:p>
        </w:tc>
      </w:tr>
      <w:tr w:rsidR="00D86DB3" w:rsidRPr="00542099" w:rsidTr="00D86DB3">
        <w:tc>
          <w:tcPr>
            <w:tcW w:w="615" w:type="dxa"/>
          </w:tcPr>
          <w:p w:rsidR="00D86DB3" w:rsidRPr="00542099" w:rsidRDefault="00D86DB3" w:rsidP="00D86D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16"/>
                <w:szCs w:val="16"/>
                <w:lang w:val="ka-GE"/>
              </w:rPr>
            </w:pPr>
            <w:r w:rsidRPr="00542099">
              <w:rPr>
                <w:rFonts w:ascii="Sylfaen" w:eastAsia="Sylfaen" w:hAnsi="Sylfaen"/>
                <w:sz w:val="16"/>
                <w:szCs w:val="16"/>
                <w:lang w:val="ka-GE"/>
              </w:rPr>
              <w:t xml:space="preserve">2011 </w:t>
            </w:r>
          </w:p>
        </w:tc>
        <w:tc>
          <w:tcPr>
            <w:tcW w:w="1384" w:type="dxa"/>
            <w:vMerge/>
          </w:tcPr>
          <w:p w:rsidR="00D86DB3" w:rsidRPr="00542099" w:rsidRDefault="00D86DB3" w:rsidP="00D86D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16"/>
                <w:szCs w:val="16"/>
                <w:lang w:val="ka-GE"/>
              </w:rPr>
            </w:pPr>
          </w:p>
        </w:tc>
        <w:tc>
          <w:tcPr>
            <w:tcW w:w="2586" w:type="dxa"/>
          </w:tcPr>
          <w:p w:rsidR="00D86DB3" w:rsidRPr="00542099" w:rsidRDefault="00D86DB3" w:rsidP="00D86D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16"/>
                <w:szCs w:val="16"/>
                <w:lang w:val="ka-GE"/>
              </w:rPr>
            </w:pPr>
            <w:r w:rsidRPr="00542099">
              <w:rPr>
                <w:rFonts w:ascii="Sylfaen" w:eastAsia="Sylfaen" w:hAnsi="Sylfaen"/>
                <w:sz w:val="16"/>
                <w:szCs w:val="16"/>
                <w:lang w:val="ka-GE"/>
              </w:rPr>
              <w:t>218 დადგენილებით განსაზღვრული ბენეფიციარებისა</w:t>
            </w:r>
          </w:p>
        </w:tc>
        <w:tc>
          <w:tcPr>
            <w:tcW w:w="1418" w:type="dxa"/>
          </w:tcPr>
          <w:p w:rsidR="00D86DB3" w:rsidRPr="00542099" w:rsidRDefault="00D86DB3" w:rsidP="00D86D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16"/>
                <w:szCs w:val="16"/>
                <w:lang w:val="ka-GE"/>
              </w:rPr>
            </w:pPr>
            <w:r w:rsidRPr="00542099">
              <w:rPr>
                <w:sz w:val="16"/>
                <w:szCs w:val="16"/>
              </w:rPr>
              <w:t>4 4692</w:t>
            </w:r>
            <w:r w:rsidRPr="00542099">
              <w:rPr>
                <w:rFonts w:ascii="Sylfaen" w:hAnsi="Sylfaen"/>
                <w:sz w:val="16"/>
                <w:szCs w:val="16"/>
                <w:lang w:val="ka-GE"/>
              </w:rPr>
              <w:t>00</w:t>
            </w:r>
          </w:p>
        </w:tc>
        <w:tc>
          <w:tcPr>
            <w:tcW w:w="1215" w:type="dxa"/>
          </w:tcPr>
          <w:p w:rsidR="00D86DB3" w:rsidRPr="00542099" w:rsidRDefault="00D86DB3" w:rsidP="00D86DB3">
            <w:pPr>
              <w:jc w:val="center"/>
              <w:rPr>
                <w:rFonts w:cs="Calibri"/>
                <w:color w:val="000000"/>
                <w:sz w:val="16"/>
                <w:szCs w:val="16"/>
              </w:rPr>
            </w:pPr>
            <w:r w:rsidRPr="00542099">
              <w:rPr>
                <w:rFonts w:cs="Calibri"/>
                <w:color w:val="000000"/>
                <w:sz w:val="16"/>
                <w:szCs w:val="16"/>
              </w:rPr>
              <w:t>3,560,443.33</w:t>
            </w:r>
          </w:p>
          <w:p w:rsidR="00D86DB3" w:rsidRPr="00542099" w:rsidRDefault="00D86DB3" w:rsidP="00D86DB3">
            <w:pPr>
              <w:jc w:val="center"/>
              <w:rPr>
                <w:rFonts w:ascii="Geo_Arial" w:hAnsi="Geo_Arial" w:cs="Calibri"/>
                <w:b/>
                <w:bCs/>
                <w:color w:val="000000"/>
                <w:sz w:val="16"/>
                <w:szCs w:val="16"/>
              </w:rPr>
            </w:pPr>
          </w:p>
        </w:tc>
        <w:tc>
          <w:tcPr>
            <w:tcW w:w="1890" w:type="dxa"/>
          </w:tcPr>
          <w:p w:rsidR="00D86DB3" w:rsidRPr="00542099" w:rsidRDefault="00D86DB3" w:rsidP="00D86DB3">
            <w:pPr>
              <w:jc w:val="center"/>
              <w:rPr>
                <w:rFonts w:cs="Calibri"/>
                <w:color w:val="000000"/>
                <w:sz w:val="16"/>
                <w:szCs w:val="16"/>
              </w:rPr>
            </w:pPr>
            <w:r w:rsidRPr="00542099">
              <w:rPr>
                <w:rFonts w:cs="Calibri"/>
                <w:color w:val="000000"/>
                <w:sz w:val="16"/>
                <w:szCs w:val="16"/>
              </w:rPr>
              <w:t>908,756.67</w:t>
            </w:r>
          </w:p>
          <w:p w:rsidR="00D86DB3" w:rsidRPr="00542099" w:rsidRDefault="00D86DB3" w:rsidP="00D86D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sz w:val="16"/>
                <w:szCs w:val="16"/>
              </w:rPr>
            </w:pPr>
          </w:p>
        </w:tc>
      </w:tr>
      <w:tr w:rsidR="00D86DB3" w:rsidRPr="00542099" w:rsidTr="00D86DB3">
        <w:tc>
          <w:tcPr>
            <w:tcW w:w="615" w:type="dxa"/>
          </w:tcPr>
          <w:p w:rsidR="00D86DB3" w:rsidRPr="00542099" w:rsidRDefault="00D86DB3" w:rsidP="00D86D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16"/>
                <w:szCs w:val="16"/>
                <w:lang w:val="ka-GE"/>
              </w:rPr>
            </w:pPr>
            <w:r w:rsidRPr="00542099">
              <w:rPr>
                <w:rFonts w:ascii="Sylfaen" w:eastAsia="Sylfaen" w:hAnsi="Sylfaen"/>
                <w:sz w:val="16"/>
                <w:szCs w:val="16"/>
                <w:lang w:val="ka-GE"/>
              </w:rPr>
              <w:t xml:space="preserve">2012 </w:t>
            </w:r>
          </w:p>
        </w:tc>
        <w:tc>
          <w:tcPr>
            <w:tcW w:w="1384" w:type="dxa"/>
            <w:vMerge/>
          </w:tcPr>
          <w:p w:rsidR="00D86DB3" w:rsidRPr="00542099" w:rsidRDefault="00D86DB3" w:rsidP="00D86D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16"/>
                <w:szCs w:val="16"/>
                <w:lang w:val="ka-GE"/>
              </w:rPr>
            </w:pPr>
          </w:p>
        </w:tc>
        <w:tc>
          <w:tcPr>
            <w:tcW w:w="2586" w:type="dxa"/>
          </w:tcPr>
          <w:p w:rsidR="00D86DB3" w:rsidRPr="00542099" w:rsidRDefault="00D86DB3" w:rsidP="00D86D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16"/>
                <w:szCs w:val="16"/>
                <w:lang w:val="ka-GE"/>
              </w:rPr>
            </w:pPr>
            <w:r w:rsidRPr="00542099">
              <w:rPr>
                <w:rFonts w:ascii="Sylfaen" w:eastAsia="Sylfaen" w:hAnsi="Sylfaen"/>
                <w:sz w:val="16"/>
                <w:szCs w:val="16"/>
                <w:lang w:val="ka-GE"/>
              </w:rPr>
              <w:t>218 დადგენილებით და 2012 წლის 1 სექტემბრიდან 165 დადგენილებით განსაზღვრული ბენეფიციარებისა</w:t>
            </w:r>
          </w:p>
        </w:tc>
        <w:tc>
          <w:tcPr>
            <w:tcW w:w="1418" w:type="dxa"/>
          </w:tcPr>
          <w:p w:rsidR="00D86DB3" w:rsidRPr="00542099" w:rsidRDefault="00D86DB3" w:rsidP="00D86D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16"/>
                <w:szCs w:val="16"/>
                <w:lang w:val="ka-GE"/>
              </w:rPr>
            </w:pPr>
            <w:r w:rsidRPr="00542099">
              <w:rPr>
                <w:sz w:val="16"/>
                <w:szCs w:val="16"/>
              </w:rPr>
              <w:t>4 4976</w:t>
            </w:r>
            <w:r w:rsidRPr="00542099">
              <w:rPr>
                <w:rFonts w:ascii="Sylfaen" w:hAnsi="Sylfaen"/>
                <w:sz w:val="16"/>
                <w:szCs w:val="16"/>
                <w:lang w:val="ka-GE"/>
              </w:rPr>
              <w:t>00</w:t>
            </w:r>
          </w:p>
        </w:tc>
        <w:tc>
          <w:tcPr>
            <w:tcW w:w="1215" w:type="dxa"/>
          </w:tcPr>
          <w:p w:rsidR="00D86DB3" w:rsidRPr="00542099" w:rsidRDefault="00D86DB3" w:rsidP="00D86DB3">
            <w:pPr>
              <w:jc w:val="center"/>
              <w:rPr>
                <w:rFonts w:cs="Calibri"/>
                <w:color w:val="000000"/>
                <w:sz w:val="16"/>
                <w:szCs w:val="16"/>
              </w:rPr>
            </w:pPr>
            <w:r w:rsidRPr="00542099">
              <w:rPr>
                <w:rFonts w:cs="Calibri"/>
                <w:color w:val="000000"/>
                <w:sz w:val="16"/>
                <w:szCs w:val="16"/>
              </w:rPr>
              <w:t>3,395,359.58</w:t>
            </w:r>
          </w:p>
          <w:p w:rsidR="00D86DB3" w:rsidRPr="00542099" w:rsidRDefault="00D86DB3" w:rsidP="00D86DB3">
            <w:pPr>
              <w:jc w:val="center"/>
              <w:rPr>
                <w:rFonts w:ascii="Geo_Arial" w:hAnsi="Geo_Arial" w:cs="Calibri"/>
                <w:b/>
                <w:bCs/>
                <w:color w:val="000000"/>
                <w:sz w:val="16"/>
                <w:szCs w:val="16"/>
              </w:rPr>
            </w:pPr>
          </w:p>
        </w:tc>
        <w:tc>
          <w:tcPr>
            <w:tcW w:w="1890" w:type="dxa"/>
          </w:tcPr>
          <w:p w:rsidR="00D86DB3" w:rsidRPr="00542099" w:rsidRDefault="00D86DB3" w:rsidP="00D86DB3">
            <w:pPr>
              <w:jc w:val="center"/>
              <w:rPr>
                <w:rFonts w:cs="Calibri"/>
                <w:color w:val="000000"/>
                <w:sz w:val="16"/>
                <w:szCs w:val="16"/>
              </w:rPr>
            </w:pPr>
            <w:r w:rsidRPr="00542099">
              <w:rPr>
                <w:rFonts w:cs="Calibri"/>
                <w:color w:val="000000"/>
                <w:sz w:val="16"/>
                <w:szCs w:val="16"/>
              </w:rPr>
              <w:t>1,102,240.42</w:t>
            </w:r>
          </w:p>
          <w:p w:rsidR="00D86DB3" w:rsidRPr="00542099" w:rsidRDefault="00D86DB3" w:rsidP="00D86D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sz w:val="16"/>
                <w:szCs w:val="16"/>
              </w:rPr>
            </w:pPr>
          </w:p>
        </w:tc>
      </w:tr>
      <w:tr w:rsidR="00D86DB3" w:rsidRPr="00542099" w:rsidTr="00D86DB3">
        <w:tc>
          <w:tcPr>
            <w:tcW w:w="615" w:type="dxa"/>
          </w:tcPr>
          <w:p w:rsidR="00D86DB3" w:rsidRPr="00542099" w:rsidRDefault="00D86DB3" w:rsidP="00D86D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16"/>
                <w:szCs w:val="16"/>
                <w:lang w:val="ka-GE"/>
              </w:rPr>
            </w:pPr>
            <w:r w:rsidRPr="00542099">
              <w:rPr>
                <w:rFonts w:ascii="Sylfaen" w:eastAsia="Sylfaen" w:hAnsi="Sylfaen"/>
                <w:sz w:val="16"/>
                <w:szCs w:val="16"/>
                <w:lang w:val="ka-GE"/>
              </w:rPr>
              <w:t xml:space="preserve">2013 </w:t>
            </w:r>
          </w:p>
        </w:tc>
        <w:tc>
          <w:tcPr>
            <w:tcW w:w="1384" w:type="dxa"/>
            <w:vMerge/>
          </w:tcPr>
          <w:p w:rsidR="00D86DB3" w:rsidRPr="00542099" w:rsidRDefault="00D86DB3" w:rsidP="00D86D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16"/>
                <w:szCs w:val="16"/>
                <w:lang w:val="ka-GE"/>
              </w:rPr>
            </w:pPr>
          </w:p>
        </w:tc>
        <w:tc>
          <w:tcPr>
            <w:tcW w:w="2586" w:type="dxa"/>
          </w:tcPr>
          <w:p w:rsidR="00D86DB3" w:rsidRPr="00542099" w:rsidRDefault="00D86DB3" w:rsidP="00D86D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16"/>
                <w:szCs w:val="16"/>
                <w:lang w:val="ka-GE"/>
              </w:rPr>
            </w:pPr>
            <w:r>
              <w:rPr>
                <w:rFonts w:ascii="Sylfaen" w:eastAsia="Sylfaen" w:hAnsi="Sylfaen"/>
                <w:sz w:val="16"/>
                <w:szCs w:val="16"/>
                <w:lang w:val="ka-GE"/>
              </w:rPr>
              <w:t>218</w:t>
            </w:r>
            <w:r w:rsidRPr="00542099">
              <w:rPr>
                <w:rFonts w:ascii="Sylfaen" w:eastAsia="Sylfaen" w:hAnsi="Sylfaen"/>
                <w:sz w:val="16"/>
                <w:szCs w:val="16"/>
                <w:lang w:val="ka-GE"/>
              </w:rPr>
              <w:t xml:space="preserve"> და 165 დადგენილებ</w:t>
            </w:r>
            <w:r>
              <w:rPr>
                <w:rFonts w:ascii="Sylfaen" w:eastAsia="Sylfaen" w:hAnsi="Sylfaen"/>
                <w:sz w:val="16"/>
                <w:szCs w:val="16"/>
                <w:lang w:val="ka-GE"/>
              </w:rPr>
              <w:t>ებ</w:t>
            </w:r>
            <w:r w:rsidRPr="00542099">
              <w:rPr>
                <w:rFonts w:ascii="Sylfaen" w:eastAsia="Sylfaen" w:hAnsi="Sylfaen"/>
                <w:sz w:val="16"/>
                <w:szCs w:val="16"/>
                <w:lang w:val="ka-GE"/>
              </w:rPr>
              <w:t>ით განსაზღვრული ბენეფიციარებისა</w:t>
            </w:r>
          </w:p>
        </w:tc>
        <w:tc>
          <w:tcPr>
            <w:tcW w:w="1418" w:type="dxa"/>
          </w:tcPr>
          <w:p w:rsidR="00D86DB3" w:rsidRPr="00542099" w:rsidRDefault="00D86DB3" w:rsidP="00D86D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16"/>
                <w:szCs w:val="16"/>
                <w:lang w:val="ka-GE"/>
              </w:rPr>
            </w:pPr>
            <w:r w:rsidRPr="00542099">
              <w:rPr>
                <w:sz w:val="16"/>
                <w:szCs w:val="16"/>
              </w:rPr>
              <w:t>4 4838</w:t>
            </w:r>
            <w:r w:rsidRPr="00542099">
              <w:rPr>
                <w:rFonts w:ascii="Sylfaen" w:hAnsi="Sylfaen"/>
                <w:sz w:val="16"/>
                <w:szCs w:val="16"/>
                <w:lang w:val="ka-GE"/>
              </w:rPr>
              <w:t>00</w:t>
            </w:r>
          </w:p>
        </w:tc>
        <w:tc>
          <w:tcPr>
            <w:tcW w:w="1215" w:type="dxa"/>
          </w:tcPr>
          <w:p w:rsidR="00D86DB3" w:rsidRPr="00542099" w:rsidRDefault="00D86DB3" w:rsidP="00D86DB3">
            <w:pPr>
              <w:jc w:val="center"/>
              <w:rPr>
                <w:rFonts w:cs="Calibri"/>
                <w:color w:val="000000"/>
                <w:sz w:val="16"/>
                <w:szCs w:val="16"/>
              </w:rPr>
            </w:pPr>
            <w:r w:rsidRPr="00542099">
              <w:rPr>
                <w:rFonts w:cs="Calibri"/>
                <w:color w:val="000000"/>
                <w:sz w:val="16"/>
                <w:szCs w:val="16"/>
              </w:rPr>
              <w:t>2,830,853.25</w:t>
            </w:r>
          </w:p>
          <w:p w:rsidR="00D86DB3" w:rsidRPr="00542099" w:rsidRDefault="00D86DB3" w:rsidP="00D86D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16"/>
                <w:szCs w:val="16"/>
                <w:lang w:val="ka-GE"/>
              </w:rPr>
            </w:pPr>
          </w:p>
        </w:tc>
        <w:tc>
          <w:tcPr>
            <w:tcW w:w="1890" w:type="dxa"/>
          </w:tcPr>
          <w:p w:rsidR="00D86DB3" w:rsidRPr="00542099" w:rsidRDefault="00D86DB3" w:rsidP="00D86DB3">
            <w:pPr>
              <w:jc w:val="center"/>
              <w:rPr>
                <w:rFonts w:cs="Calibri"/>
                <w:color w:val="000000"/>
                <w:sz w:val="16"/>
                <w:szCs w:val="16"/>
              </w:rPr>
            </w:pPr>
            <w:r w:rsidRPr="00542099">
              <w:rPr>
                <w:rFonts w:cs="Calibri"/>
                <w:color w:val="000000"/>
                <w:sz w:val="16"/>
                <w:szCs w:val="16"/>
              </w:rPr>
              <w:t>1,552,946.75</w:t>
            </w:r>
          </w:p>
          <w:p w:rsidR="00D86DB3" w:rsidRPr="00542099" w:rsidRDefault="00D86DB3" w:rsidP="00D86D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sz w:val="16"/>
                <w:szCs w:val="16"/>
              </w:rPr>
            </w:pPr>
          </w:p>
        </w:tc>
      </w:tr>
      <w:tr w:rsidR="00D86DB3" w:rsidRPr="00542099" w:rsidTr="00D86DB3">
        <w:tc>
          <w:tcPr>
            <w:tcW w:w="615" w:type="dxa"/>
          </w:tcPr>
          <w:p w:rsidR="00D86DB3" w:rsidRPr="00542099" w:rsidRDefault="00D86DB3" w:rsidP="00D86D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16"/>
                <w:szCs w:val="16"/>
                <w:lang w:val="ka-GE"/>
              </w:rPr>
            </w:pPr>
            <w:r w:rsidRPr="00542099">
              <w:rPr>
                <w:rFonts w:ascii="Sylfaen" w:eastAsia="Sylfaen" w:hAnsi="Sylfaen"/>
                <w:sz w:val="16"/>
                <w:szCs w:val="16"/>
                <w:lang w:val="ka-GE"/>
              </w:rPr>
              <w:t xml:space="preserve">2014 </w:t>
            </w:r>
          </w:p>
        </w:tc>
        <w:tc>
          <w:tcPr>
            <w:tcW w:w="1384" w:type="dxa"/>
            <w:vMerge/>
          </w:tcPr>
          <w:p w:rsidR="00D86DB3" w:rsidRPr="00542099" w:rsidRDefault="00D86DB3" w:rsidP="00D86D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16"/>
                <w:szCs w:val="16"/>
                <w:lang w:val="ka-GE"/>
              </w:rPr>
            </w:pPr>
          </w:p>
        </w:tc>
        <w:tc>
          <w:tcPr>
            <w:tcW w:w="2586" w:type="dxa"/>
          </w:tcPr>
          <w:p w:rsidR="00D86DB3" w:rsidRPr="00542099" w:rsidRDefault="00D86DB3" w:rsidP="00D86D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16"/>
                <w:szCs w:val="16"/>
                <w:lang w:val="ka-GE"/>
              </w:rPr>
            </w:pPr>
            <w:r w:rsidRPr="00542099">
              <w:rPr>
                <w:rFonts w:ascii="Sylfaen" w:eastAsia="Sylfaen" w:hAnsi="Sylfaen"/>
                <w:sz w:val="16"/>
                <w:szCs w:val="16"/>
                <w:lang w:val="ka-GE"/>
              </w:rPr>
              <w:t xml:space="preserve">218 დადგენილებით  </w:t>
            </w:r>
            <w:r>
              <w:rPr>
                <w:rFonts w:ascii="Sylfaen" w:eastAsia="Sylfaen" w:hAnsi="Sylfaen"/>
                <w:sz w:val="16"/>
                <w:szCs w:val="16"/>
                <w:lang w:val="ka-GE"/>
              </w:rPr>
              <w:t xml:space="preserve">(2014 წლის 1 აპრილამდე) </w:t>
            </w:r>
            <w:r w:rsidRPr="00542099">
              <w:rPr>
                <w:rFonts w:ascii="Sylfaen" w:eastAsia="Sylfaen" w:hAnsi="Sylfaen"/>
                <w:sz w:val="16"/>
                <w:szCs w:val="16"/>
                <w:lang w:val="ka-GE"/>
              </w:rPr>
              <w:t>და 165 დადგენილებით განსაზღვრული ბენეფიციარებისა</w:t>
            </w:r>
            <w:r w:rsidR="00763734">
              <w:rPr>
                <w:rFonts w:ascii="Sylfaen" w:eastAsia="Sylfaen" w:hAnsi="Sylfaen"/>
                <w:sz w:val="16"/>
                <w:szCs w:val="16"/>
                <w:lang w:val="ka-GE"/>
              </w:rPr>
              <w:t xml:space="preserve"> (1 სექტემბრამდე)</w:t>
            </w:r>
          </w:p>
        </w:tc>
        <w:tc>
          <w:tcPr>
            <w:tcW w:w="1418" w:type="dxa"/>
          </w:tcPr>
          <w:p w:rsidR="00D86DB3" w:rsidRPr="00D2156E" w:rsidRDefault="00D86DB3" w:rsidP="00D86D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16"/>
                <w:szCs w:val="16"/>
                <w:lang w:val="ka-GE"/>
              </w:rPr>
            </w:pPr>
            <w:r w:rsidRPr="00542099">
              <w:rPr>
                <w:sz w:val="16"/>
                <w:szCs w:val="16"/>
              </w:rPr>
              <w:t>4 4905</w:t>
            </w:r>
            <w:r>
              <w:rPr>
                <w:rFonts w:ascii="Sylfaen" w:hAnsi="Sylfaen"/>
                <w:sz w:val="16"/>
                <w:szCs w:val="16"/>
                <w:lang w:val="ka-GE"/>
              </w:rPr>
              <w:t>00</w:t>
            </w:r>
          </w:p>
        </w:tc>
        <w:tc>
          <w:tcPr>
            <w:tcW w:w="1215" w:type="dxa"/>
          </w:tcPr>
          <w:p w:rsidR="00D86DB3" w:rsidRPr="00542099" w:rsidRDefault="00D86DB3" w:rsidP="00D86DB3">
            <w:pPr>
              <w:jc w:val="center"/>
              <w:rPr>
                <w:rFonts w:cs="Calibri"/>
                <w:color w:val="000000"/>
                <w:sz w:val="16"/>
                <w:szCs w:val="16"/>
              </w:rPr>
            </w:pPr>
            <w:r w:rsidRPr="00542099">
              <w:rPr>
                <w:rFonts w:cs="Calibri"/>
                <w:color w:val="000000"/>
                <w:sz w:val="16"/>
                <w:szCs w:val="16"/>
              </w:rPr>
              <w:t>3,929,594.00</w:t>
            </w:r>
          </w:p>
          <w:p w:rsidR="00D86DB3" w:rsidRPr="00542099" w:rsidRDefault="00D86DB3" w:rsidP="00D86DB3">
            <w:pPr>
              <w:jc w:val="center"/>
              <w:rPr>
                <w:rFonts w:cs="Calibri"/>
                <w:color w:val="000000"/>
                <w:sz w:val="16"/>
                <w:szCs w:val="16"/>
              </w:rPr>
            </w:pPr>
          </w:p>
          <w:p w:rsidR="00D86DB3" w:rsidRPr="00542099" w:rsidRDefault="00D86DB3" w:rsidP="00D86D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16"/>
                <w:szCs w:val="16"/>
                <w:lang w:val="ka-GE"/>
              </w:rPr>
            </w:pPr>
          </w:p>
        </w:tc>
        <w:tc>
          <w:tcPr>
            <w:tcW w:w="1890" w:type="dxa"/>
          </w:tcPr>
          <w:p w:rsidR="00D86DB3" w:rsidRPr="00542099" w:rsidRDefault="00D86DB3" w:rsidP="00D86DB3">
            <w:pPr>
              <w:jc w:val="center"/>
              <w:rPr>
                <w:rFonts w:cs="Calibri"/>
                <w:color w:val="000000"/>
                <w:sz w:val="16"/>
                <w:szCs w:val="16"/>
              </w:rPr>
            </w:pPr>
            <w:r w:rsidRPr="00542099">
              <w:rPr>
                <w:rFonts w:cs="Calibri"/>
                <w:color w:val="000000"/>
                <w:sz w:val="16"/>
                <w:szCs w:val="16"/>
              </w:rPr>
              <w:t>560,906.00</w:t>
            </w:r>
          </w:p>
          <w:p w:rsidR="00D86DB3" w:rsidRPr="00542099" w:rsidRDefault="00D86DB3" w:rsidP="00D86D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sz w:val="16"/>
                <w:szCs w:val="16"/>
              </w:rPr>
            </w:pPr>
          </w:p>
        </w:tc>
      </w:tr>
      <w:tr w:rsidR="00763734" w:rsidRPr="00542099" w:rsidTr="00D86DB3">
        <w:tc>
          <w:tcPr>
            <w:tcW w:w="615" w:type="dxa"/>
          </w:tcPr>
          <w:p w:rsidR="00763734" w:rsidRPr="00542099" w:rsidRDefault="00763734" w:rsidP="00D86D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16"/>
                <w:szCs w:val="16"/>
                <w:lang w:val="ka-GE"/>
              </w:rPr>
            </w:pPr>
            <w:r>
              <w:rPr>
                <w:rFonts w:ascii="Sylfaen" w:eastAsia="Sylfaen" w:hAnsi="Sylfaen"/>
                <w:sz w:val="16"/>
                <w:szCs w:val="16"/>
                <w:lang w:val="ka-GE"/>
              </w:rPr>
              <w:t>2014</w:t>
            </w:r>
          </w:p>
        </w:tc>
        <w:tc>
          <w:tcPr>
            <w:tcW w:w="1384" w:type="dxa"/>
          </w:tcPr>
          <w:p w:rsidR="00763734" w:rsidRPr="00542099" w:rsidRDefault="00763734" w:rsidP="00D86D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16"/>
                <w:szCs w:val="16"/>
                <w:lang w:val="ka-GE"/>
              </w:rPr>
            </w:pPr>
          </w:p>
        </w:tc>
        <w:tc>
          <w:tcPr>
            <w:tcW w:w="2586" w:type="dxa"/>
          </w:tcPr>
          <w:p w:rsidR="00763734" w:rsidRPr="00542099" w:rsidRDefault="00763734" w:rsidP="00D86D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16"/>
                <w:szCs w:val="16"/>
                <w:lang w:val="ka-GE"/>
              </w:rPr>
            </w:pPr>
            <w:r>
              <w:rPr>
                <w:rFonts w:ascii="Sylfaen" w:eastAsia="Sylfaen" w:hAnsi="Sylfaen"/>
                <w:sz w:val="16"/>
                <w:szCs w:val="16"/>
                <w:lang w:val="ka-GE"/>
              </w:rPr>
              <w:t>1 სექტემბრიდან</w:t>
            </w:r>
          </w:p>
        </w:tc>
        <w:tc>
          <w:tcPr>
            <w:tcW w:w="1418" w:type="dxa"/>
          </w:tcPr>
          <w:p w:rsidR="00763734" w:rsidRPr="00542099" w:rsidRDefault="00763734" w:rsidP="00D86D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sz w:val="16"/>
                <w:szCs w:val="16"/>
              </w:rPr>
            </w:pPr>
            <w:r w:rsidRPr="00542099">
              <w:rPr>
                <w:sz w:val="16"/>
                <w:szCs w:val="16"/>
              </w:rPr>
              <w:t>4 4905</w:t>
            </w:r>
            <w:r>
              <w:rPr>
                <w:rFonts w:ascii="Sylfaen" w:hAnsi="Sylfaen"/>
                <w:sz w:val="16"/>
                <w:szCs w:val="16"/>
                <w:lang w:val="ka-GE"/>
              </w:rPr>
              <w:t>00</w:t>
            </w:r>
          </w:p>
        </w:tc>
        <w:tc>
          <w:tcPr>
            <w:tcW w:w="1215" w:type="dxa"/>
          </w:tcPr>
          <w:p w:rsidR="00763734" w:rsidRPr="00542099" w:rsidRDefault="00763734" w:rsidP="00D86DB3">
            <w:pPr>
              <w:jc w:val="center"/>
              <w:rPr>
                <w:rFonts w:cs="Calibri"/>
                <w:color w:val="000000"/>
                <w:sz w:val="16"/>
                <w:szCs w:val="16"/>
              </w:rPr>
            </w:pPr>
            <w:r w:rsidRPr="00542099">
              <w:rPr>
                <w:sz w:val="16"/>
                <w:szCs w:val="16"/>
              </w:rPr>
              <w:t>4 4905</w:t>
            </w:r>
            <w:r>
              <w:rPr>
                <w:rFonts w:ascii="Sylfaen" w:hAnsi="Sylfaen"/>
                <w:sz w:val="16"/>
                <w:szCs w:val="16"/>
                <w:lang w:val="ka-GE"/>
              </w:rPr>
              <w:t>00</w:t>
            </w:r>
          </w:p>
        </w:tc>
        <w:tc>
          <w:tcPr>
            <w:tcW w:w="1890" w:type="dxa"/>
          </w:tcPr>
          <w:p w:rsidR="00763734" w:rsidRPr="00763734" w:rsidRDefault="00763734" w:rsidP="00D86DB3">
            <w:pPr>
              <w:jc w:val="center"/>
              <w:rPr>
                <w:rFonts w:ascii="Sylfaen" w:hAnsi="Sylfaen" w:cs="Calibri"/>
                <w:color w:val="000000"/>
                <w:sz w:val="16"/>
                <w:szCs w:val="16"/>
                <w:lang w:val="ka-GE"/>
              </w:rPr>
            </w:pPr>
            <w:r>
              <w:rPr>
                <w:rFonts w:ascii="Sylfaen" w:hAnsi="Sylfaen" w:cs="Calibri"/>
                <w:color w:val="000000"/>
                <w:sz w:val="16"/>
                <w:szCs w:val="16"/>
                <w:lang w:val="ka-GE"/>
              </w:rPr>
              <w:t>0</w:t>
            </w:r>
          </w:p>
        </w:tc>
      </w:tr>
    </w:tbl>
    <w:p w:rsidR="00D86DB3" w:rsidRDefault="00D86DB3" w:rsidP="00D86D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ka-GE"/>
        </w:rPr>
      </w:pPr>
    </w:p>
    <w:p w:rsidR="00D86DB3" w:rsidRDefault="00D86DB3" w:rsidP="00D86D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sz w:val="24"/>
          <w:lang w:val="ka-GE"/>
        </w:rPr>
      </w:pPr>
    </w:p>
    <w:p w:rsidR="00D86DB3" w:rsidRDefault="00D86DB3" w:rsidP="00D86D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sz w:val="24"/>
          <w:lang w:val="ka-GE"/>
        </w:rPr>
      </w:pPr>
    </w:p>
    <w:p w:rsidR="00C946F0" w:rsidRDefault="00C946F0" w:rsidP="00C946F0">
      <w:pPr>
        <w:ind w:firstLine="720"/>
        <w:rPr>
          <w:rFonts w:ascii="Sylfaen" w:eastAsia="Sylfaen" w:hAnsi="Sylfaen"/>
          <w:szCs w:val="22"/>
          <w:lang w:val="ka-GE"/>
        </w:rPr>
        <w:sectPr w:rsidR="00C946F0" w:rsidSect="00140951">
          <w:pgSz w:w="12240" w:h="15840"/>
          <w:pgMar w:top="1138" w:right="1354" w:bottom="1138" w:left="806" w:header="720" w:footer="720" w:gutter="0"/>
          <w:cols w:space="720"/>
          <w:docGrid w:linePitch="360"/>
        </w:sectPr>
      </w:pPr>
    </w:p>
    <w:p w:rsidR="00D86DB3" w:rsidRPr="00C946F0" w:rsidRDefault="00D86DB3" w:rsidP="0011613C">
      <w:pPr>
        <w:ind w:firstLine="720"/>
        <w:jc w:val="right"/>
        <w:rPr>
          <w:rFonts w:ascii="Sylfaen" w:eastAsia="Sylfaen" w:hAnsi="Sylfaen"/>
          <w:b/>
          <w:sz w:val="24"/>
          <w:lang w:val="ka-GE"/>
        </w:rPr>
      </w:pPr>
      <w:r>
        <w:rPr>
          <w:rFonts w:ascii="Sylfaen" w:eastAsia="Sylfaen" w:hAnsi="Sylfaen"/>
          <w:szCs w:val="22"/>
          <w:lang w:val="ka-GE"/>
        </w:rPr>
        <w:lastRenderedPageBreak/>
        <w:t xml:space="preserve">ცხრილი N2-ბ </w:t>
      </w:r>
    </w:p>
    <w:p w:rsidR="00D86DB3" w:rsidRDefault="00D86DB3" w:rsidP="00D86DB3">
      <w:pPr>
        <w:jc w:val="center"/>
        <w:rPr>
          <w:rFonts w:ascii="Sylfaen" w:eastAsia="Sylfaen" w:hAnsi="Sylfaen"/>
          <w:szCs w:val="22"/>
          <w:lang w:val="ka-GE"/>
        </w:rPr>
      </w:pPr>
      <w:r>
        <w:rPr>
          <w:rFonts w:ascii="Sylfaen" w:eastAsia="Sylfaen" w:hAnsi="Sylfaen"/>
          <w:szCs w:val="22"/>
          <w:lang w:val="ka-GE"/>
        </w:rPr>
        <w:t>2010-2014 წლებში სამედიცინო ტრანსპორტირების კომპონენტით მოსარგებლეები</w:t>
      </w:r>
      <w:r w:rsidR="00A515E1">
        <w:rPr>
          <w:rFonts w:ascii="Sylfaen" w:eastAsia="Sylfaen" w:hAnsi="Sylfaen"/>
          <w:szCs w:val="22"/>
          <w:lang w:val="ka-GE"/>
        </w:rPr>
        <w:t xml:space="preserve">, </w:t>
      </w:r>
      <w:r w:rsidR="00630A11">
        <w:rPr>
          <w:rFonts w:ascii="Sylfaen" w:eastAsia="Sylfaen" w:hAnsi="Sylfaen"/>
          <w:szCs w:val="22"/>
          <w:lang w:val="ka-GE"/>
        </w:rPr>
        <w:t>რაოდენობის და უტილიზაციის მაჩვენებლები</w:t>
      </w:r>
    </w:p>
    <w:tbl>
      <w:tblPr>
        <w:tblW w:w="13425" w:type="dxa"/>
        <w:tblInd w:w="93" w:type="dxa"/>
        <w:tblLayout w:type="fixed"/>
        <w:tblLook w:val="04A0"/>
      </w:tblPr>
      <w:tblGrid>
        <w:gridCol w:w="680"/>
        <w:gridCol w:w="1260"/>
        <w:gridCol w:w="1233"/>
        <w:gridCol w:w="1418"/>
        <w:gridCol w:w="1262"/>
        <w:gridCol w:w="1262"/>
        <w:gridCol w:w="1201"/>
        <w:gridCol w:w="1201"/>
        <w:gridCol w:w="1208"/>
        <w:gridCol w:w="2700"/>
      </w:tblGrid>
      <w:tr w:rsidR="00B31AA0" w:rsidRPr="00304A7E" w:rsidTr="00A515E1">
        <w:trPr>
          <w:trHeight w:val="300"/>
        </w:trPr>
        <w:tc>
          <w:tcPr>
            <w:tcW w:w="680"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rsidR="00B31AA0" w:rsidRPr="00304A7E" w:rsidRDefault="00B31AA0" w:rsidP="00B31AA0">
            <w:pPr>
              <w:spacing w:after="0" w:line="240" w:lineRule="auto"/>
              <w:jc w:val="center"/>
              <w:rPr>
                <w:rFonts w:eastAsia="Times New Roman" w:cs="Calibri"/>
                <w:color w:val="000000"/>
                <w:sz w:val="16"/>
                <w:szCs w:val="16"/>
              </w:rPr>
            </w:pPr>
            <w:r>
              <w:rPr>
                <w:rFonts w:ascii="Sylfaen" w:eastAsia="Sylfaen" w:hAnsi="Sylfaen"/>
                <w:szCs w:val="22"/>
                <w:lang w:val="ka-GE"/>
              </w:rPr>
              <w:br w:type="page"/>
            </w:r>
            <w:r w:rsidRPr="00304A7E">
              <w:rPr>
                <w:rFonts w:ascii="Sylfaen" w:eastAsia="Times New Roman" w:hAnsi="Sylfaen" w:cs="Sylfaen"/>
                <w:color w:val="000000"/>
                <w:sz w:val="16"/>
                <w:szCs w:val="16"/>
              </w:rPr>
              <w:t>წელი</w:t>
            </w:r>
          </w:p>
        </w:tc>
        <w:tc>
          <w:tcPr>
            <w:tcW w:w="1260"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rsidR="00B31AA0" w:rsidRPr="00304A7E" w:rsidRDefault="00B31AA0" w:rsidP="00B31AA0">
            <w:pPr>
              <w:spacing w:after="0" w:line="240" w:lineRule="auto"/>
              <w:jc w:val="center"/>
              <w:rPr>
                <w:rFonts w:eastAsia="Times New Roman" w:cs="Calibri"/>
                <w:color w:val="000000"/>
                <w:sz w:val="16"/>
                <w:szCs w:val="16"/>
              </w:rPr>
            </w:pPr>
            <w:r w:rsidRPr="00304A7E">
              <w:rPr>
                <w:rFonts w:ascii="Sylfaen" w:eastAsia="Times New Roman" w:hAnsi="Sylfaen" w:cs="Sylfaen"/>
                <w:color w:val="000000"/>
                <w:sz w:val="16"/>
                <w:szCs w:val="16"/>
              </w:rPr>
              <w:t>თვე</w:t>
            </w:r>
          </w:p>
        </w:tc>
        <w:tc>
          <w:tcPr>
            <w:tcW w:w="1233"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B31AA0" w:rsidRPr="00304A7E" w:rsidRDefault="00B31AA0" w:rsidP="00B31AA0">
            <w:pPr>
              <w:spacing w:after="0" w:line="240" w:lineRule="auto"/>
              <w:jc w:val="center"/>
              <w:rPr>
                <w:rFonts w:eastAsia="Times New Roman" w:cs="Calibri"/>
                <w:color w:val="000000"/>
                <w:sz w:val="16"/>
                <w:szCs w:val="16"/>
              </w:rPr>
            </w:pPr>
            <w:r w:rsidRPr="00304A7E">
              <w:rPr>
                <w:rFonts w:ascii="Sylfaen" w:eastAsia="Times New Roman" w:hAnsi="Sylfaen" w:cs="Sylfaen"/>
                <w:color w:val="000000"/>
                <w:sz w:val="16"/>
                <w:szCs w:val="16"/>
              </w:rPr>
              <w:t>მოსახლეობისრაოდენობა</w:t>
            </w:r>
          </w:p>
        </w:tc>
        <w:tc>
          <w:tcPr>
            <w:tcW w:w="1418"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B31AA0" w:rsidRPr="00304A7E" w:rsidRDefault="00B31AA0" w:rsidP="00B31AA0">
            <w:pPr>
              <w:spacing w:after="0" w:line="240" w:lineRule="auto"/>
              <w:jc w:val="center"/>
              <w:rPr>
                <w:rFonts w:eastAsia="Times New Roman" w:cs="Calibri"/>
                <w:color w:val="000000"/>
                <w:sz w:val="16"/>
                <w:szCs w:val="16"/>
              </w:rPr>
            </w:pPr>
            <w:r w:rsidRPr="00304A7E">
              <w:rPr>
                <w:rFonts w:ascii="Sylfaen" w:eastAsia="Times New Roman" w:hAnsi="Sylfaen" w:cs="Sylfaen"/>
                <w:color w:val="000000"/>
                <w:sz w:val="16"/>
                <w:szCs w:val="16"/>
              </w:rPr>
              <w:t>ბენეფიციარებისრაოდენობა</w:t>
            </w:r>
          </w:p>
        </w:tc>
        <w:tc>
          <w:tcPr>
            <w:tcW w:w="3725" w:type="dxa"/>
            <w:gridSpan w:val="3"/>
            <w:tcBorders>
              <w:top w:val="single" w:sz="8" w:space="0" w:color="auto"/>
              <w:left w:val="single" w:sz="4" w:space="0" w:color="auto"/>
              <w:bottom w:val="single" w:sz="4" w:space="0" w:color="auto"/>
              <w:right w:val="single" w:sz="4" w:space="0" w:color="auto"/>
            </w:tcBorders>
            <w:shd w:val="clear" w:color="auto" w:fill="auto"/>
            <w:noWrap/>
            <w:vAlign w:val="center"/>
            <w:hideMark/>
          </w:tcPr>
          <w:p w:rsidR="00B31AA0" w:rsidRPr="00B31AA0" w:rsidRDefault="00B31AA0" w:rsidP="00B31AA0">
            <w:pPr>
              <w:spacing w:after="0" w:line="240" w:lineRule="auto"/>
              <w:jc w:val="center"/>
              <w:rPr>
                <w:rFonts w:eastAsia="Times New Roman" w:cs="Calibri"/>
                <w:color w:val="000000"/>
                <w:sz w:val="16"/>
                <w:szCs w:val="16"/>
              </w:rPr>
            </w:pPr>
            <w:r w:rsidRPr="00B31AA0">
              <w:rPr>
                <w:rFonts w:ascii="Sylfaen" w:eastAsia="Times New Roman" w:hAnsi="Sylfaen" w:cs="Sylfaen"/>
                <w:color w:val="000000"/>
                <w:sz w:val="16"/>
                <w:szCs w:val="16"/>
              </w:rPr>
              <w:t>დაზღვევა</w:t>
            </w:r>
            <w:r w:rsidRPr="00B31AA0">
              <w:rPr>
                <w:rStyle w:val="FootnoteReference"/>
                <w:rFonts w:ascii="Sylfaen" w:eastAsia="Times New Roman" w:hAnsi="Sylfaen" w:cs="Sylfaen"/>
                <w:color w:val="000000"/>
                <w:sz w:val="16"/>
                <w:szCs w:val="16"/>
              </w:rPr>
              <w:footnoteReference w:id="3"/>
            </w:r>
          </w:p>
        </w:tc>
        <w:tc>
          <w:tcPr>
            <w:tcW w:w="1201" w:type="dxa"/>
            <w:vMerge w:val="restart"/>
            <w:tcBorders>
              <w:top w:val="single" w:sz="8" w:space="0" w:color="auto"/>
              <w:left w:val="single" w:sz="4" w:space="0" w:color="auto"/>
              <w:bottom w:val="single" w:sz="4" w:space="0" w:color="auto"/>
              <w:right w:val="single" w:sz="8" w:space="0" w:color="auto"/>
            </w:tcBorders>
            <w:shd w:val="clear" w:color="auto" w:fill="auto"/>
            <w:noWrap/>
            <w:vAlign w:val="center"/>
            <w:hideMark/>
          </w:tcPr>
          <w:p w:rsidR="00B31AA0" w:rsidRPr="00B31AA0" w:rsidRDefault="00B31AA0" w:rsidP="00B31AA0">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მოსარგებლეების რაოდენობის ცვლილება</w:t>
            </w:r>
          </w:p>
        </w:tc>
        <w:tc>
          <w:tcPr>
            <w:tcW w:w="1208" w:type="dxa"/>
            <w:vMerge w:val="restart"/>
            <w:tcBorders>
              <w:top w:val="single" w:sz="8" w:space="0" w:color="auto"/>
              <w:left w:val="single" w:sz="4" w:space="0" w:color="auto"/>
              <w:right w:val="single" w:sz="8" w:space="0" w:color="auto"/>
            </w:tcBorders>
            <w:vAlign w:val="center"/>
          </w:tcPr>
          <w:p w:rsidR="00B31AA0" w:rsidRPr="00B31AA0" w:rsidRDefault="00B31AA0" w:rsidP="00B31AA0">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შესრულება</w:t>
            </w:r>
          </w:p>
        </w:tc>
        <w:tc>
          <w:tcPr>
            <w:tcW w:w="2700" w:type="dxa"/>
            <w:vMerge w:val="restart"/>
            <w:tcBorders>
              <w:top w:val="single" w:sz="8" w:space="0" w:color="auto"/>
              <w:left w:val="single" w:sz="4" w:space="0" w:color="auto"/>
              <w:right w:val="single" w:sz="8" w:space="0" w:color="auto"/>
            </w:tcBorders>
            <w:vAlign w:val="center"/>
          </w:tcPr>
          <w:p w:rsidR="00B31AA0" w:rsidRPr="00B31AA0" w:rsidRDefault="00B31AA0" w:rsidP="00B31AA0">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კომენტარი</w:t>
            </w:r>
          </w:p>
        </w:tc>
      </w:tr>
      <w:tr w:rsidR="00B31AA0" w:rsidRPr="00304A7E" w:rsidTr="00A515E1">
        <w:trPr>
          <w:trHeight w:val="556"/>
        </w:trPr>
        <w:tc>
          <w:tcPr>
            <w:tcW w:w="680" w:type="dxa"/>
            <w:vMerge/>
            <w:tcBorders>
              <w:top w:val="single" w:sz="8" w:space="0" w:color="auto"/>
              <w:left w:val="single" w:sz="8" w:space="0" w:color="auto"/>
              <w:bottom w:val="single" w:sz="4" w:space="0" w:color="auto"/>
              <w:right w:val="single" w:sz="4" w:space="0" w:color="auto"/>
            </w:tcBorders>
            <w:vAlign w:val="center"/>
            <w:hideMark/>
          </w:tcPr>
          <w:p w:rsidR="00B31AA0" w:rsidRPr="00304A7E" w:rsidRDefault="00B31AA0" w:rsidP="00D86DB3">
            <w:pPr>
              <w:spacing w:after="0" w:line="240" w:lineRule="auto"/>
              <w:rPr>
                <w:rFonts w:eastAsia="Times New Roman" w:cs="Calibri"/>
                <w:color w:val="000000"/>
                <w:sz w:val="16"/>
                <w:szCs w:val="16"/>
              </w:rPr>
            </w:pPr>
          </w:p>
        </w:tc>
        <w:tc>
          <w:tcPr>
            <w:tcW w:w="1260" w:type="dxa"/>
            <w:vMerge/>
            <w:tcBorders>
              <w:top w:val="single" w:sz="8" w:space="0" w:color="auto"/>
              <w:left w:val="single" w:sz="4" w:space="0" w:color="auto"/>
              <w:bottom w:val="single" w:sz="4" w:space="0" w:color="auto"/>
              <w:right w:val="single" w:sz="4" w:space="0" w:color="auto"/>
            </w:tcBorders>
            <w:vAlign w:val="center"/>
            <w:hideMark/>
          </w:tcPr>
          <w:p w:rsidR="00B31AA0" w:rsidRPr="00304A7E" w:rsidRDefault="00B31AA0" w:rsidP="00B31AA0">
            <w:pPr>
              <w:spacing w:after="0" w:line="240" w:lineRule="auto"/>
              <w:rPr>
                <w:rFonts w:eastAsia="Times New Roman" w:cs="Calibri"/>
                <w:color w:val="000000"/>
                <w:sz w:val="16"/>
                <w:szCs w:val="16"/>
              </w:rPr>
            </w:pPr>
          </w:p>
        </w:tc>
        <w:tc>
          <w:tcPr>
            <w:tcW w:w="1233" w:type="dxa"/>
            <w:vMerge/>
            <w:tcBorders>
              <w:top w:val="single" w:sz="8" w:space="0" w:color="auto"/>
              <w:left w:val="single" w:sz="4" w:space="0" w:color="auto"/>
              <w:bottom w:val="single" w:sz="4" w:space="0" w:color="auto"/>
              <w:right w:val="single" w:sz="4" w:space="0" w:color="auto"/>
            </w:tcBorders>
            <w:vAlign w:val="center"/>
            <w:hideMark/>
          </w:tcPr>
          <w:p w:rsidR="00B31AA0" w:rsidRPr="00304A7E" w:rsidRDefault="00B31AA0" w:rsidP="00D86DB3">
            <w:pPr>
              <w:spacing w:after="0" w:line="240" w:lineRule="auto"/>
              <w:jc w:val="center"/>
              <w:rPr>
                <w:rFonts w:eastAsia="Times New Roman" w:cs="Calibri"/>
                <w:color w:val="000000"/>
                <w:sz w:val="16"/>
                <w:szCs w:val="16"/>
              </w:rPr>
            </w:pPr>
          </w:p>
        </w:tc>
        <w:tc>
          <w:tcPr>
            <w:tcW w:w="1418" w:type="dxa"/>
            <w:vMerge/>
            <w:tcBorders>
              <w:top w:val="single" w:sz="8" w:space="0" w:color="auto"/>
              <w:left w:val="single" w:sz="4" w:space="0" w:color="auto"/>
              <w:bottom w:val="single" w:sz="4" w:space="0" w:color="auto"/>
              <w:right w:val="single" w:sz="4" w:space="0" w:color="auto"/>
            </w:tcBorders>
            <w:vAlign w:val="center"/>
            <w:hideMark/>
          </w:tcPr>
          <w:p w:rsidR="00B31AA0" w:rsidRPr="00304A7E" w:rsidRDefault="00B31AA0" w:rsidP="00D86DB3">
            <w:pPr>
              <w:spacing w:after="0" w:line="240" w:lineRule="auto"/>
              <w:jc w:val="center"/>
              <w:rPr>
                <w:rFonts w:eastAsia="Times New Roman" w:cs="Calibri"/>
                <w:color w:val="000000"/>
                <w:sz w:val="16"/>
                <w:szCs w:val="16"/>
              </w:rPr>
            </w:pPr>
          </w:p>
        </w:tc>
        <w:tc>
          <w:tcPr>
            <w:tcW w:w="1262" w:type="dxa"/>
            <w:tcBorders>
              <w:top w:val="single" w:sz="4" w:space="0" w:color="auto"/>
              <w:left w:val="nil"/>
              <w:bottom w:val="nil"/>
              <w:right w:val="single" w:sz="4" w:space="0" w:color="auto"/>
            </w:tcBorders>
            <w:shd w:val="clear" w:color="auto" w:fill="auto"/>
            <w:vAlign w:val="center"/>
            <w:hideMark/>
          </w:tcPr>
          <w:p w:rsidR="00B31AA0" w:rsidRPr="00304A7E" w:rsidRDefault="00B31AA0" w:rsidP="00D86DB3">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 xml:space="preserve">218 </w:t>
            </w:r>
            <w:r w:rsidRPr="00304A7E">
              <w:rPr>
                <w:rFonts w:ascii="Sylfaen" w:eastAsia="Times New Roman" w:hAnsi="Sylfaen" w:cs="Sylfaen"/>
                <w:color w:val="000000"/>
                <w:sz w:val="16"/>
                <w:szCs w:val="16"/>
              </w:rPr>
              <w:t>დადგენილება</w:t>
            </w:r>
          </w:p>
        </w:tc>
        <w:tc>
          <w:tcPr>
            <w:tcW w:w="1262" w:type="dxa"/>
            <w:tcBorders>
              <w:top w:val="single" w:sz="4" w:space="0" w:color="auto"/>
              <w:left w:val="nil"/>
              <w:bottom w:val="nil"/>
              <w:right w:val="single" w:sz="4" w:space="0" w:color="auto"/>
            </w:tcBorders>
            <w:shd w:val="clear" w:color="auto" w:fill="auto"/>
            <w:vAlign w:val="center"/>
            <w:hideMark/>
          </w:tcPr>
          <w:p w:rsidR="00B31AA0" w:rsidRPr="00304A7E" w:rsidRDefault="00B31AA0" w:rsidP="00D86DB3">
            <w:pPr>
              <w:spacing w:after="0" w:line="240" w:lineRule="auto"/>
              <w:jc w:val="right"/>
              <w:rPr>
                <w:rFonts w:eastAsia="Times New Roman" w:cs="Calibri"/>
                <w:color w:val="000000"/>
                <w:sz w:val="16"/>
                <w:szCs w:val="16"/>
              </w:rPr>
            </w:pPr>
            <w:r w:rsidRPr="00304A7E">
              <w:rPr>
                <w:rFonts w:eastAsia="Times New Roman" w:cs="Calibri"/>
                <w:color w:val="000000"/>
                <w:sz w:val="16"/>
                <w:szCs w:val="16"/>
              </w:rPr>
              <w:t xml:space="preserve">165 </w:t>
            </w:r>
            <w:r w:rsidRPr="00304A7E">
              <w:rPr>
                <w:rFonts w:ascii="Sylfaen" w:eastAsia="Times New Roman" w:hAnsi="Sylfaen" w:cs="Sylfaen"/>
                <w:color w:val="000000"/>
                <w:sz w:val="16"/>
                <w:szCs w:val="16"/>
              </w:rPr>
              <w:t>დადგენილება</w:t>
            </w:r>
          </w:p>
        </w:tc>
        <w:tc>
          <w:tcPr>
            <w:tcW w:w="1201" w:type="dxa"/>
            <w:tcBorders>
              <w:top w:val="single" w:sz="4" w:space="0" w:color="auto"/>
              <w:left w:val="nil"/>
              <w:bottom w:val="nil"/>
              <w:right w:val="single" w:sz="4" w:space="0" w:color="auto"/>
            </w:tcBorders>
            <w:shd w:val="clear" w:color="auto" w:fill="auto"/>
            <w:noWrap/>
            <w:vAlign w:val="center"/>
            <w:hideMark/>
          </w:tcPr>
          <w:p w:rsidR="00B31AA0" w:rsidRPr="00B31AA0" w:rsidRDefault="00B31AA0" w:rsidP="00D86DB3">
            <w:pPr>
              <w:spacing w:after="0" w:line="240" w:lineRule="auto"/>
              <w:jc w:val="right"/>
              <w:rPr>
                <w:rFonts w:eastAsia="Times New Roman" w:cs="Calibri"/>
                <w:color w:val="000000"/>
                <w:sz w:val="16"/>
                <w:szCs w:val="16"/>
              </w:rPr>
            </w:pPr>
            <w:r w:rsidRPr="00B31AA0">
              <w:rPr>
                <w:rFonts w:ascii="Sylfaen" w:eastAsia="Times New Roman" w:hAnsi="Sylfaen" w:cs="Sylfaen"/>
                <w:color w:val="000000"/>
                <w:sz w:val="16"/>
                <w:szCs w:val="16"/>
              </w:rPr>
              <w:t>სულ</w:t>
            </w:r>
          </w:p>
        </w:tc>
        <w:tc>
          <w:tcPr>
            <w:tcW w:w="1201" w:type="dxa"/>
            <w:vMerge/>
            <w:tcBorders>
              <w:top w:val="single" w:sz="8" w:space="0" w:color="auto"/>
              <w:left w:val="single" w:sz="4" w:space="0" w:color="auto"/>
              <w:bottom w:val="single" w:sz="4" w:space="0" w:color="auto"/>
              <w:right w:val="single" w:sz="8" w:space="0" w:color="auto"/>
            </w:tcBorders>
            <w:vAlign w:val="center"/>
            <w:hideMark/>
          </w:tcPr>
          <w:p w:rsidR="00B31AA0" w:rsidRPr="00B31AA0" w:rsidRDefault="00B31AA0" w:rsidP="00D86DB3">
            <w:pPr>
              <w:spacing w:after="0" w:line="240" w:lineRule="auto"/>
              <w:jc w:val="right"/>
              <w:rPr>
                <w:rFonts w:eastAsia="Times New Roman" w:cs="Calibri"/>
                <w:color w:val="000000"/>
                <w:sz w:val="16"/>
                <w:szCs w:val="16"/>
              </w:rPr>
            </w:pPr>
          </w:p>
        </w:tc>
        <w:tc>
          <w:tcPr>
            <w:tcW w:w="1208" w:type="dxa"/>
            <w:vMerge/>
            <w:tcBorders>
              <w:left w:val="single" w:sz="4" w:space="0" w:color="auto"/>
              <w:bottom w:val="single" w:sz="4" w:space="0" w:color="auto"/>
              <w:right w:val="single" w:sz="8" w:space="0" w:color="auto"/>
            </w:tcBorders>
          </w:tcPr>
          <w:p w:rsidR="00B31AA0" w:rsidRPr="00B31AA0" w:rsidRDefault="00B31AA0" w:rsidP="00D86DB3">
            <w:pPr>
              <w:spacing w:after="0" w:line="240" w:lineRule="auto"/>
              <w:jc w:val="right"/>
              <w:rPr>
                <w:rFonts w:eastAsia="Times New Roman" w:cs="Calibri"/>
                <w:color w:val="000000"/>
                <w:sz w:val="16"/>
                <w:szCs w:val="16"/>
              </w:rPr>
            </w:pPr>
          </w:p>
        </w:tc>
        <w:tc>
          <w:tcPr>
            <w:tcW w:w="2700" w:type="dxa"/>
            <w:vMerge/>
            <w:tcBorders>
              <w:left w:val="single" w:sz="4" w:space="0" w:color="auto"/>
              <w:bottom w:val="single" w:sz="4" w:space="0" w:color="auto"/>
              <w:right w:val="single" w:sz="8" w:space="0" w:color="auto"/>
            </w:tcBorders>
          </w:tcPr>
          <w:p w:rsidR="00B31AA0" w:rsidRPr="00304A7E" w:rsidRDefault="00B31AA0" w:rsidP="00B31AA0">
            <w:pPr>
              <w:spacing w:after="0" w:line="240" w:lineRule="auto"/>
              <w:jc w:val="both"/>
              <w:rPr>
                <w:rFonts w:eastAsia="Times New Roman" w:cs="Calibri"/>
                <w:color w:val="000000"/>
                <w:sz w:val="16"/>
                <w:szCs w:val="16"/>
              </w:rPr>
            </w:pPr>
          </w:p>
        </w:tc>
      </w:tr>
      <w:tr w:rsidR="00C946F0" w:rsidRPr="00304A7E" w:rsidTr="00A515E1">
        <w:trPr>
          <w:trHeight w:val="300"/>
        </w:trPr>
        <w:tc>
          <w:tcPr>
            <w:tcW w:w="680"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2010</w:t>
            </w:r>
          </w:p>
        </w:tc>
        <w:tc>
          <w:tcPr>
            <w:tcW w:w="1260"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rPr>
                <w:rFonts w:eastAsia="Times New Roman" w:cs="Calibri"/>
                <w:color w:val="000000"/>
                <w:sz w:val="16"/>
                <w:szCs w:val="16"/>
              </w:rPr>
            </w:pPr>
            <w:r w:rsidRPr="00304A7E">
              <w:rPr>
                <w:rFonts w:ascii="Sylfaen" w:eastAsia="Times New Roman" w:hAnsi="Sylfaen" w:cs="Sylfaen"/>
                <w:color w:val="000000"/>
                <w:sz w:val="16"/>
                <w:szCs w:val="16"/>
              </w:rPr>
              <w:t>იანვარი</w:t>
            </w:r>
          </w:p>
        </w:tc>
        <w:tc>
          <w:tcPr>
            <w:tcW w:w="1233" w:type="dxa"/>
            <w:tcBorders>
              <w:top w:val="single" w:sz="8" w:space="0" w:color="auto"/>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4,436,400.00</w:t>
            </w:r>
          </w:p>
        </w:tc>
        <w:tc>
          <w:tcPr>
            <w:tcW w:w="1418" w:type="dxa"/>
            <w:tcBorders>
              <w:top w:val="single" w:sz="8" w:space="0" w:color="auto"/>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3,631,008.00</w:t>
            </w:r>
          </w:p>
        </w:tc>
        <w:tc>
          <w:tcPr>
            <w:tcW w:w="1262" w:type="dxa"/>
            <w:tcBorders>
              <w:top w:val="single" w:sz="8" w:space="0" w:color="auto"/>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805,392</w:t>
            </w:r>
          </w:p>
        </w:tc>
        <w:tc>
          <w:tcPr>
            <w:tcW w:w="1262" w:type="dxa"/>
            <w:tcBorders>
              <w:top w:val="single" w:sz="8" w:space="0" w:color="auto"/>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p>
        </w:tc>
        <w:tc>
          <w:tcPr>
            <w:tcW w:w="1201" w:type="dxa"/>
            <w:tcBorders>
              <w:top w:val="single" w:sz="8" w:space="0" w:color="auto"/>
              <w:left w:val="nil"/>
              <w:bottom w:val="single" w:sz="4" w:space="0" w:color="auto"/>
              <w:right w:val="single" w:sz="4" w:space="0" w:color="auto"/>
            </w:tcBorders>
            <w:shd w:val="clear" w:color="auto" w:fill="auto"/>
            <w:noWrap/>
            <w:vAlign w:val="center"/>
            <w:hideMark/>
          </w:tcPr>
          <w:p w:rsidR="00C946F0" w:rsidRPr="00B31AA0" w:rsidRDefault="00C946F0"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805,392.00</w:t>
            </w:r>
          </w:p>
        </w:tc>
        <w:tc>
          <w:tcPr>
            <w:tcW w:w="1201" w:type="dxa"/>
            <w:tcBorders>
              <w:top w:val="single" w:sz="8" w:space="0" w:color="auto"/>
              <w:left w:val="single" w:sz="4" w:space="0" w:color="auto"/>
              <w:bottom w:val="single" w:sz="4" w:space="0" w:color="auto"/>
              <w:right w:val="single" w:sz="8" w:space="0" w:color="auto"/>
            </w:tcBorders>
            <w:shd w:val="clear" w:color="auto" w:fill="auto"/>
            <w:noWrap/>
            <w:vAlign w:val="center"/>
            <w:hideMark/>
          </w:tcPr>
          <w:p w:rsidR="00C946F0" w:rsidRPr="00B31AA0" w:rsidRDefault="00C946F0" w:rsidP="00B31AA0">
            <w:pPr>
              <w:spacing w:after="0" w:line="240" w:lineRule="auto"/>
              <w:jc w:val="center"/>
              <w:rPr>
                <w:rFonts w:eastAsia="Times New Roman" w:cs="Calibri"/>
                <w:color w:val="000000"/>
                <w:sz w:val="16"/>
                <w:szCs w:val="16"/>
              </w:rPr>
            </w:pPr>
          </w:p>
        </w:tc>
        <w:tc>
          <w:tcPr>
            <w:tcW w:w="1208" w:type="dxa"/>
            <w:tcBorders>
              <w:top w:val="single" w:sz="8" w:space="0" w:color="auto"/>
              <w:left w:val="single" w:sz="4" w:space="0" w:color="auto"/>
              <w:bottom w:val="single" w:sz="4" w:space="0" w:color="auto"/>
              <w:right w:val="single" w:sz="8" w:space="0" w:color="auto"/>
            </w:tcBorders>
            <w:vAlign w:val="center"/>
          </w:tcPr>
          <w:p w:rsidR="00C946F0" w:rsidRPr="00B31AA0" w:rsidRDefault="00C946F0" w:rsidP="00C75CC9">
            <w:pPr>
              <w:spacing w:after="0" w:line="240" w:lineRule="auto"/>
              <w:jc w:val="right"/>
              <w:rPr>
                <w:rFonts w:eastAsia="Times New Roman" w:cs="Calibri"/>
                <w:color w:val="000000"/>
                <w:sz w:val="16"/>
                <w:szCs w:val="16"/>
              </w:rPr>
            </w:pPr>
          </w:p>
        </w:tc>
        <w:tc>
          <w:tcPr>
            <w:tcW w:w="2700" w:type="dxa"/>
            <w:tcBorders>
              <w:top w:val="single" w:sz="8" w:space="0" w:color="auto"/>
              <w:left w:val="single" w:sz="4" w:space="0" w:color="auto"/>
              <w:bottom w:val="single" w:sz="4" w:space="0" w:color="auto"/>
              <w:right w:val="single" w:sz="8" w:space="0" w:color="auto"/>
            </w:tcBorders>
            <w:vAlign w:val="center"/>
          </w:tcPr>
          <w:p w:rsidR="00C946F0" w:rsidRPr="00304A7E" w:rsidRDefault="00C946F0" w:rsidP="00B31AA0">
            <w:pPr>
              <w:spacing w:after="0" w:line="240" w:lineRule="auto"/>
              <w:jc w:val="both"/>
              <w:rPr>
                <w:rFonts w:eastAsia="Times New Roman" w:cs="Calibri"/>
                <w:color w:val="000000"/>
                <w:sz w:val="16"/>
                <w:szCs w:val="16"/>
              </w:rPr>
            </w:pPr>
          </w:p>
        </w:tc>
      </w:tr>
      <w:tr w:rsidR="00C946F0" w:rsidRPr="00304A7E" w:rsidTr="00A515E1">
        <w:trPr>
          <w:trHeight w:val="300"/>
        </w:trPr>
        <w:tc>
          <w:tcPr>
            <w:tcW w:w="680" w:type="dxa"/>
            <w:vMerge/>
            <w:tcBorders>
              <w:top w:val="single" w:sz="8" w:space="0" w:color="auto"/>
              <w:left w:val="single" w:sz="8" w:space="0" w:color="auto"/>
              <w:bottom w:val="single" w:sz="8" w:space="0" w:color="000000"/>
              <w:right w:val="single" w:sz="4" w:space="0" w:color="auto"/>
            </w:tcBorders>
            <w:vAlign w:val="center"/>
            <w:hideMark/>
          </w:tcPr>
          <w:p w:rsidR="00C946F0" w:rsidRPr="00304A7E" w:rsidRDefault="00C946F0" w:rsidP="00B31AA0">
            <w:pPr>
              <w:spacing w:after="0" w:line="240" w:lineRule="auto"/>
              <w:jc w:val="center"/>
              <w:rPr>
                <w:rFonts w:eastAsia="Times New Roman" w:cs="Calibri"/>
                <w:color w:val="000000"/>
                <w:sz w:val="16"/>
                <w:szCs w:val="16"/>
              </w:rPr>
            </w:pP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rPr>
                <w:rFonts w:eastAsia="Times New Roman" w:cs="Calibri"/>
                <w:color w:val="000000"/>
                <w:sz w:val="16"/>
                <w:szCs w:val="16"/>
              </w:rPr>
            </w:pPr>
            <w:r w:rsidRPr="00304A7E">
              <w:rPr>
                <w:rFonts w:ascii="Sylfaen" w:eastAsia="Times New Roman" w:hAnsi="Sylfaen" w:cs="Sylfaen"/>
                <w:color w:val="000000"/>
                <w:sz w:val="16"/>
                <w:szCs w:val="16"/>
              </w:rPr>
              <w:t>თებერვალი</w:t>
            </w:r>
          </w:p>
        </w:tc>
        <w:tc>
          <w:tcPr>
            <w:tcW w:w="1233" w:type="dxa"/>
            <w:tcBorders>
              <w:top w:val="single" w:sz="4" w:space="0" w:color="auto"/>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4,436,400.00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3,627,605.00</w:t>
            </w:r>
          </w:p>
        </w:tc>
        <w:tc>
          <w:tcPr>
            <w:tcW w:w="1262" w:type="dxa"/>
            <w:tcBorders>
              <w:top w:val="single" w:sz="4" w:space="0" w:color="auto"/>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808,795</w:t>
            </w:r>
          </w:p>
        </w:tc>
        <w:tc>
          <w:tcPr>
            <w:tcW w:w="1262" w:type="dxa"/>
            <w:tcBorders>
              <w:top w:val="single" w:sz="4" w:space="0" w:color="auto"/>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p>
        </w:tc>
        <w:tc>
          <w:tcPr>
            <w:tcW w:w="1201" w:type="dxa"/>
            <w:tcBorders>
              <w:top w:val="single" w:sz="4" w:space="0" w:color="auto"/>
              <w:left w:val="nil"/>
              <w:bottom w:val="single" w:sz="4" w:space="0" w:color="auto"/>
              <w:right w:val="single" w:sz="4" w:space="0" w:color="auto"/>
            </w:tcBorders>
            <w:shd w:val="clear" w:color="auto" w:fill="auto"/>
            <w:noWrap/>
            <w:vAlign w:val="center"/>
            <w:hideMark/>
          </w:tcPr>
          <w:p w:rsidR="00C946F0" w:rsidRPr="00B31AA0" w:rsidRDefault="00C946F0"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808,795.00</w:t>
            </w:r>
          </w:p>
        </w:tc>
        <w:tc>
          <w:tcPr>
            <w:tcW w:w="1201" w:type="dxa"/>
            <w:tcBorders>
              <w:top w:val="nil"/>
              <w:left w:val="nil"/>
              <w:bottom w:val="single" w:sz="4" w:space="0" w:color="auto"/>
              <w:right w:val="single" w:sz="8" w:space="0" w:color="auto"/>
            </w:tcBorders>
            <w:shd w:val="clear" w:color="auto" w:fill="auto"/>
            <w:noWrap/>
            <w:vAlign w:val="center"/>
            <w:hideMark/>
          </w:tcPr>
          <w:p w:rsidR="00C946F0" w:rsidRPr="00B31AA0" w:rsidRDefault="00C946F0"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(3,403.00)</w:t>
            </w:r>
          </w:p>
        </w:tc>
        <w:tc>
          <w:tcPr>
            <w:tcW w:w="1208" w:type="dxa"/>
            <w:tcBorders>
              <w:top w:val="nil"/>
              <w:left w:val="nil"/>
              <w:bottom w:val="single" w:sz="4" w:space="0" w:color="auto"/>
              <w:right w:val="single" w:sz="8" w:space="0" w:color="auto"/>
            </w:tcBorders>
            <w:vAlign w:val="center"/>
          </w:tcPr>
          <w:p w:rsidR="00C946F0" w:rsidRPr="00B31AA0" w:rsidRDefault="00C946F0" w:rsidP="00C75CC9">
            <w:pPr>
              <w:spacing w:after="0" w:line="240" w:lineRule="auto"/>
              <w:jc w:val="right"/>
              <w:rPr>
                <w:rFonts w:eastAsia="Times New Roman" w:cs="Calibri"/>
                <w:color w:val="000000"/>
                <w:sz w:val="16"/>
                <w:szCs w:val="16"/>
              </w:rPr>
            </w:pPr>
          </w:p>
        </w:tc>
        <w:tc>
          <w:tcPr>
            <w:tcW w:w="2700" w:type="dxa"/>
            <w:tcBorders>
              <w:top w:val="nil"/>
              <w:left w:val="nil"/>
              <w:bottom w:val="single" w:sz="4" w:space="0" w:color="auto"/>
              <w:right w:val="single" w:sz="8" w:space="0" w:color="auto"/>
            </w:tcBorders>
            <w:vAlign w:val="center"/>
          </w:tcPr>
          <w:p w:rsidR="00C946F0" w:rsidRPr="00304A7E" w:rsidRDefault="00C946F0" w:rsidP="00B31AA0">
            <w:pPr>
              <w:spacing w:after="0" w:line="240" w:lineRule="auto"/>
              <w:jc w:val="both"/>
              <w:rPr>
                <w:rFonts w:eastAsia="Times New Roman" w:cs="Calibri"/>
                <w:color w:val="000000"/>
                <w:sz w:val="16"/>
                <w:szCs w:val="16"/>
              </w:rPr>
            </w:pPr>
          </w:p>
        </w:tc>
      </w:tr>
      <w:tr w:rsidR="00C946F0" w:rsidRPr="00304A7E" w:rsidTr="00A515E1">
        <w:trPr>
          <w:trHeight w:val="300"/>
        </w:trPr>
        <w:tc>
          <w:tcPr>
            <w:tcW w:w="680" w:type="dxa"/>
            <w:vMerge/>
            <w:tcBorders>
              <w:top w:val="single" w:sz="8" w:space="0" w:color="auto"/>
              <w:left w:val="single" w:sz="8" w:space="0" w:color="auto"/>
              <w:bottom w:val="single" w:sz="8" w:space="0" w:color="000000"/>
              <w:right w:val="single" w:sz="4" w:space="0" w:color="auto"/>
            </w:tcBorders>
            <w:vAlign w:val="center"/>
            <w:hideMark/>
          </w:tcPr>
          <w:p w:rsidR="00C946F0" w:rsidRPr="00304A7E" w:rsidRDefault="00C946F0" w:rsidP="00B31AA0">
            <w:pPr>
              <w:spacing w:after="0" w:line="240" w:lineRule="auto"/>
              <w:jc w:val="center"/>
              <w:rPr>
                <w:rFonts w:eastAsia="Times New Roman" w:cs="Calibri"/>
                <w:color w:val="000000"/>
                <w:sz w:val="16"/>
                <w:szCs w:val="16"/>
              </w:rPr>
            </w:pPr>
          </w:p>
        </w:tc>
        <w:tc>
          <w:tcPr>
            <w:tcW w:w="1260"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rPr>
                <w:rFonts w:eastAsia="Times New Roman" w:cs="Calibri"/>
                <w:color w:val="000000"/>
                <w:sz w:val="16"/>
                <w:szCs w:val="16"/>
              </w:rPr>
            </w:pPr>
            <w:r w:rsidRPr="00304A7E">
              <w:rPr>
                <w:rFonts w:ascii="Sylfaen" w:eastAsia="Times New Roman" w:hAnsi="Sylfaen" w:cs="Sylfaen"/>
                <w:color w:val="000000"/>
                <w:sz w:val="16"/>
                <w:szCs w:val="16"/>
              </w:rPr>
              <w:t>მარტი</w:t>
            </w:r>
          </w:p>
        </w:tc>
        <w:tc>
          <w:tcPr>
            <w:tcW w:w="1233"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4,436,400.00</w:t>
            </w:r>
          </w:p>
        </w:tc>
        <w:tc>
          <w:tcPr>
            <w:tcW w:w="1418"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3,627,526.00</w:t>
            </w:r>
          </w:p>
        </w:tc>
        <w:tc>
          <w:tcPr>
            <w:tcW w:w="1262"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808,874</w:t>
            </w:r>
          </w:p>
        </w:tc>
        <w:tc>
          <w:tcPr>
            <w:tcW w:w="1262"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p>
        </w:tc>
        <w:tc>
          <w:tcPr>
            <w:tcW w:w="1201" w:type="dxa"/>
            <w:tcBorders>
              <w:top w:val="nil"/>
              <w:left w:val="nil"/>
              <w:bottom w:val="single" w:sz="4" w:space="0" w:color="auto"/>
              <w:right w:val="single" w:sz="4" w:space="0" w:color="auto"/>
            </w:tcBorders>
            <w:shd w:val="clear" w:color="auto" w:fill="auto"/>
            <w:noWrap/>
            <w:vAlign w:val="center"/>
            <w:hideMark/>
          </w:tcPr>
          <w:p w:rsidR="00C946F0" w:rsidRPr="00B31AA0" w:rsidRDefault="00C946F0"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808,874.00</w:t>
            </w:r>
          </w:p>
        </w:tc>
        <w:tc>
          <w:tcPr>
            <w:tcW w:w="1201" w:type="dxa"/>
            <w:tcBorders>
              <w:top w:val="nil"/>
              <w:left w:val="nil"/>
              <w:bottom w:val="single" w:sz="4" w:space="0" w:color="auto"/>
              <w:right w:val="single" w:sz="8" w:space="0" w:color="auto"/>
            </w:tcBorders>
            <w:shd w:val="clear" w:color="auto" w:fill="auto"/>
            <w:noWrap/>
            <w:vAlign w:val="center"/>
            <w:hideMark/>
          </w:tcPr>
          <w:p w:rsidR="00C946F0" w:rsidRPr="00B31AA0" w:rsidRDefault="00C946F0"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(79.00)</w:t>
            </w:r>
          </w:p>
        </w:tc>
        <w:tc>
          <w:tcPr>
            <w:tcW w:w="1208" w:type="dxa"/>
            <w:tcBorders>
              <w:top w:val="nil"/>
              <w:left w:val="nil"/>
              <w:bottom w:val="single" w:sz="4" w:space="0" w:color="auto"/>
              <w:right w:val="single" w:sz="8" w:space="0" w:color="auto"/>
            </w:tcBorders>
            <w:vAlign w:val="center"/>
          </w:tcPr>
          <w:p w:rsidR="00C946F0" w:rsidRPr="00B31AA0" w:rsidRDefault="00C946F0" w:rsidP="00C75CC9">
            <w:pPr>
              <w:spacing w:after="0" w:line="240" w:lineRule="auto"/>
              <w:jc w:val="right"/>
              <w:rPr>
                <w:rFonts w:eastAsia="Times New Roman" w:cs="Calibri"/>
                <w:color w:val="000000"/>
                <w:sz w:val="16"/>
                <w:szCs w:val="16"/>
              </w:rPr>
            </w:pPr>
          </w:p>
        </w:tc>
        <w:tc>
          <w:tcPr>
            <w:tcW w:w="2700" w:type="dxa"/>
            <w:tcBorders>
              <w:top w:val="nil"/>
              <w:left w:val="nil"/>
              <w:bottom w:val="single" w:sz="4" w:space="0" w:color="auto"/>
              <w:right w:val="single" w:sz="8" w:space="0" w:color="auto"/>
            </w:tcBorders>
            <w:vAlign w:val="center"/>
          </w:tcPr>
          <w:p w:rsidR="00C946F0" w:rsidRPr="00304A7E" w:rsidRDefault="00C946F0" w:rsidP="00B31AA0">
            <w:pPr>
              <w:spacing w:after="0" w:line="240" w:lineRule="auto"/>
              <w:jc w:val="both"/>
              <w:rPr>
                <w:rFonts w:eastAsia="Times New Roman" w:cs="Calibri"/>
                <w:color w:val="000000"/>
                <w:sz w:val="16"/>
                <w:szCs w:val="16"/>
              </w:rPr>
            </w:pPr>
          </w:p>
        </w:tc>
      </w:tr>
      <w:tr w:rsidR="00C946F0" w:rsidRPr="00304A7E" w:rsidTr="00A515E1">
        <w:trPr>
          <w:trHeight w:val="300"/>
        </w:trPr>
        <w:tc>
          <w:tcPr>
            <w:tcW w:w="680" w:type="dxa"/>
            <w:vMerge/>
            <w:tcBorders>
              <w:top w:val="single" w:sz="8" w:space="0" w:color="auto"/>
              <w:left w:val="single" w:sz="8" w:space="0" w:color="auto"/>
              <w:bottom w:val="single" w:sz="8" w:space="0" w:color="000000"/>
              <w:right w:val="single" w:sz="4" w:space="0" w:color="auto"/>
            </w:tcBorders>
            <w:vAlign w:val="center"/>
            <w:hideMark/>
          </w:tcPr>
          <w:p w:rsidR="00C946F0" w:rsidRPr="00304A7E" w:rsidRDefault="00C946F0" w:rsidP="00B31AA0">
            <w:pPr>
              <w:spacing w:after="0" w:line="240" w:lineRule="auto"/>
              <w:jc w:val="center"/>
              <w:rPr>
                <w:rFonts w:eastAsia="Times New Roman" w:cs="Calibri"/>
                <w:color w:val="000000"/>
                <w:sz w:val="16"/>
                <w:szCs w:val="16"/>
              </w:rPr>
            </w:pPr>
          </w:p>
        </w:tc>
        <w:tc>
          <w:tcPr>
            <w:tcW w:w="1260"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rPr>
                <w:rFonts w:eastAsia="Times New Roman" w:cs="Calibri"/>
                <w:color w:val="000000"/>
                <w:sz w:val="16"/>
                <w:szCs w:val="16"/>
              </w:rPr>
            </w:pPr>
            <w:r w:rsidRPr="00304A7E">
              <w:rPr>
                <w:rFonts w:ascii="Sylfaen" w:eastAsia="Times New Roman" w:hAnsi="Sylfaen" w:cs="Sylfaen"/>
                <w:color w:val="000000"/>
                <w:sz w:val="16"/>
                <w:szCs w:val="16"/>
              </w:rPr>
              <w:t>აპრილი</w:t>
            </w:r>
          </w:p>
        </w:tc>
        <w:tc>
          <w:tcPr>
            <w:tcW w:w="1233"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4,436,400.00</w:t>
            </w:r>
          </w:p>
        </w:tc>
        <w:tc>
          <w:tcPr>
            <w:tcW w:w="1418"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3,466,109.00</w:t>
            </w:r>
          </w:p>
        </w:tc>
        <w:tc>
          <w:tcPr>
            <w:tcW w:w="1262"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970,291</w:t>
            </w:r>
          </w:p>
        </w:tc>
        <w:tc>
          <w:tcPr>
            <w:tcW w:w="1262"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p>
        </w:tc>
        <w:tc>
          <w:tcPr>
            <w:tcW w:w="1201" w:type="dxa"/>
            <w:tcBorders>
              <w:top w:val="nil"/>
              <w:left w:val="nil"/>
              <w:bottom w:val="single" w:sz="4" w:space="0" w:color="auto"/>
              <w:right w:val="single" w:sz="4" w:space="0" w:color="auto"/>
            </w:tcBorders>
            <w:shd w:val="clear" w:color="auto" w:fill="auto"/>
            <w:noWrap/>
            <w:vAlign w:val="center"/>
            <w:hideMark/>
          </w:tcPr>
          <w:p w:rsidR="00C946F0" w:rsidRPr="00B31AA0" w:rsidRDefault="00C946F0"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970,291.00</w:t>
            </w:r>
          </w:p>
        </w:tc>
        <w:tc>
          <w:tcPr>
            <w:tcW w:w="1201" w:type="dxa"/>
            <w:tcBorders>
              <w:top w:val="nil"/>
              <w:left w:val="nil"/>
              <w:bottom w:val="single" w:sz="4" w:space="0" w:color="auto"/>
              <w:right w:val="single" w:sz="8" w:space="0" w:color="auto"/>
            </w:tcBorders>
            <w:shd w:val="clear" w:color="auto" w:fill="auto"/>
            <w:noWrap/>
            <w:vAlign w:val="center"/>
            <w:hideMark/>
          </w:tcPr>
          <w:p w:rsidR="00C946F0" w:rsidRPr="00B31AA0" w:rsidRDefault="00C946F0"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(161,417.00)</w:t>
            </w:r>
          </w:p>
        </w:tc>
        <w:tc>
          <w:tcPr>
            <w:tcW w:w="1208" w:type="dxa"/>
            <w:tcBorders>
              <w:top w:val="nil"/>
              <w:left w:val="nil"/>
              <w:bottom w:val="single" w:sz="4" w:space="0" w:color="auto"/>
              <w:right w:val="single" w:sz="8" w:space="0" w:color="auto"/>
            </w:tcBorders>
            <w:vAlign w:val="center"/>
          </w:tcPr>
          <w:p w:rsidR="00C946F0" w:rsidRPr="00B31AA0" w:rsidRDefault="00C946F0" w:rsidP="00C75CC9">
            <w:pPr>
              <w:spacing w:after="0" w:line="240" w:lineRule="auto"/>
              <w:jc w:val="right"/>
              <w:rPr>
                <w:rFonts w:eastAsia="Times New Roman" w:cs="Calibri"/>
                <w:color w:val="000000"/>
                <w:sz w:val="16"/>
                <w:szCs w:val="16"/>
              </w:rPr>
            </w:pPr>
          </w:p>
        </w:tc>
        <w:tc>
          <w:tcPr>
            <w:tcW w:w="2700" w:type="dxa"/>
            <w:tcBorders>
              <w:top w:val="nil"/>
              <w:left w:val="nil"/>
              <w:bottom w:val="single" w:sz="4" w:space="0" w:color="auto"/>
              <w:right w:val="single" w:sz="8" w:space="0" w:color="auto"/>
            </w:tcBorders>
            <w:vAlign w:val="center"/>
          </w:tcPr>
          <w:p w:rsidR="00C946F0" w:rsidRPr="00304A7E" w:rsidRDefault="00C946F0" w:rsidP="00B31AA0">
            <w:pPr>
              <w:spacing w:after="0" w:line="240" w:lineRule="auto"/>
              <w:jc w:val="both"/>
              <w:rPr>
                <w:rFonts w:eastAsia="Times New Roman" w:cs="Calibri"/>
                <w:color w:val="000000"/>
                <w:sz w:val="16"/>
                <w:szCs w:val="16"/>
              </w:rPr>
            </w:pPr>
          </w:p>
        </w:tc>
      </w:tr>
      <w:tr w:rsidR="00C946F0" w:rsidRPr="00304A7E" w:rsidTr="00A515E1">
        <w:trPr>
          <w:trHeight w:val="300"/>
        </w:trPr>
        <w:tc>
          <w:tcPr>
            <w:tcW w:w="680" w:type="dxa"/>
            <w:vMerge/>
            <w:tcBorders>
              <w:top w:val="single" w:sz="8" w:space="0" w:color="auto"/>
              <w:left w:val="single" w:sz="8" w:space="0" w:color="auto"/>
              <w:bottom w:val="single" w:sz="8" w:space="0" w:color="000000"/>
              <w:right w:val="single" w:sz="4" w:space="0" w:color="auto"/>
            </w:tcBorders>
            <w:vAlign w:val="center"/>
            <w:hideMark/>
          </w:tcPr>
          <w:p w:rsidR="00C946F0" w:rsidRPr="00304A7E" w:rsidRDefault="00C946F0" w:rsidP="00B31AA0">
            <w:pPr>
              <w:spacing w:after="0" w:line="240" w:lineRule="auto"/>
              <w:jc w:val="center"/>
              <w:rPr>
                <w:rFonts w:eastAsia="Times New Roman" w:cs="Calibri"/>
                <w:color w:val="000000"/>
                <w:sz w:val="16"/>
                <w:szCs w:val="16"/>
              </w:rPr>
            </w:pPr>
          </w:p>
        </w:tc>
        <w:tc>
          <w:tcPr>
            <w:tcW w:w="1260"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rPr>
                <w:rFonts w:eastAsia="Times New Roman" w:cs="Calibri"/>
                <w:color w:val="000000"/>
                <w:sz w:val="16"/>
                <w:szCs w:val="16"/>
              </w:rPr>
            </w:pPr>
            <w:r w:rsidRPr="00304A7E">
              <w:rPr>
                <w:rFonts w:ascii="Sylfaen" w:eastAsia="Times New Roman" w:hAnsi="Sylfaen" w:cs="Sylfaen"/>
                <w:color w:val="000000"/>
                <w:sz w:val="16"/>
                <w:szCs w:val="16"/>
              </w:rPr>
              <w:t>მაისი</w:t>
            </w:r>
          </w:p>
        </w:tc>
        <w:tc>
          <w:tcPr>
            <w:tcW w:w="1233"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4,436,400.00</w:t>
            </w:r>
          </w:p>
        </w:tc>
        <w:tc>
          <w:tcPr>
            <w:tcW w:w="1418"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3,498,092.00</w:t>
            </w:r>
          </w:p>
        </w:tc>
        <w:tc>
          <w:tcPr>
            <w:tcW w:w="1262"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938,308</w:t>
            </w:r>
          </w:p>
        </w:tc>
        <w:tc>
          <w:tcPr>
            <w:tcW w:w="1262"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p>
        </w:tc>
        <w:tc>
          <w:tcPr>
            <w:tcW w:w="1201" w:type="dxa"/>
            <w:tcBorders>
              <w:top w:val="nil"/>
              <w:left w:val="nil"/>
              <w:bottom w:val="single" w:sz="4" w:space="0" w:color="auto"/>
              <w:right w:val="single" w:sz="4" w:space="0" w:color="auto"/>
            </w:tcBorders>
            <w:shd w:val="clear" w:color="auto" w:fill="auto"/>
            <w:noWrap/>
            <w:vAlign w:val="center"/>
            <w:hideMark/>
          </w:tcPr>
          <w:p w:rsidR="00C946F0" w:rsidRPr="00B31AA0" w:rsidRDefault="00C946F0"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938,308.00</w:t>
            </w:r>
          </w:p>
        </w:tc>
        <w:tc>
          <w:tcPr>
            <w:tcW w:w="1201" w:type="dxa"/>
            <w:tcBorders>
              <w:top w:val="nil"/>
              <w:left w:val="nil"/>
              <w:bottom w:val="single" w:sz="4" w:space="0" w:color="auto"/>
              <w:right w:val="single" w:sz="8" w:space="0" w:color="auto"/>
            </w:tcBorders>
            <w:shd w:val="clear" w:color="auto" w:fill="auto"/>
            <w:noWrap/>
            <w:vAlign w:val="center"/>
            <w:hideMark/>
          </w:tcPr>
          <w:p w:rsidR="00C946F0" w:rsidRPr="00B31AA0" w:rsidRDefault="00C946F0"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31,983.00</w:t>
            </w:r>
          </w:p>
        </w:tc>
        <w:tc>
          <w:tcPr>
            <w:tcW w:w="1208" w:type="dxa"/>
            <w:tcBorders>
              <w:top w:val="nil"/>
              <w:left w:val="nil"/>
              <w:bottom w:val="single" w:sz="4" w:space="0" w:color="auto"/>
              <w:right w:val="single" w:sz="8" w:space="0" w:color="auto"/>
            </w:tcBorders>
            <w:vAlign w:val="center"/>
          </w:tcPr>
          <w:p w:rsidR="00C946F0" w:rsidRPr="00B31AA0" w:rsidRDefault="00C946F0" w:rsidP="00C75CC9">
            <w:pPr>
              <w:spacing w:after="0" w:line="240" w:lineRule="auto"/>
              <w:jc w:val="right"/>
              <w:rPr>
                <w:rFonts w:eastAsia="Times New Roman" w:cs="Calibri"/>
                <w:color w:val="000000"/>
                <w:sz w:val="16"/>
                <w:szCs w:val="16"/>
              </w:rPr>
            </w:pPr>
          </w:p>
        </w:tc>
        <w:tc>
          <w:tcPr>
            <w:tcW w:w="2700" w:type="dxa"/>
            <w:tcBorders>
              <w:top w:val="nil"/>
              <w:left w:val="nil"/>
              <w:bottom w:val="single" w:sz="4" w:space="0" w:color="auto"/>
              <w:right w:val="single" w:sz="8" w:space="0" w:color="auto"/>
            </w:tcBorders>
            <w:vAlign w:val="center"/>
          </w:tcPr>
          <w:p w:rsidR="00C946F0" w:rsidRPr="00304A7E" w:rsidRDefault="00C946F0" w:rsidP="00B31AA0">
            <w:pPr>
              <w:spacing w:after="0" w:line="240" w:lineRule="auto"/>
              <w:jc w:val="both"/>
              <w:rPr>
                <w:rFonts w:eastAsia="Times New Roman" w:cs="Calibri"/>
                <w:color w:val="000000"/>
                <w:sz w:val="16"/>
                <w:szCs w:val="16"/>
              </w:rPr>
            </w:pPr>
          </w:p>
        </w:tc>
      </w:tr>
      <w:tr w:rsidR="00C946F0" w:rsidRPr="00304A7E" w:rsidTr="00A515E1">
        <w:trPr>
          <w:trHeight w:val="300"/>
        </w:trPr>
        <w:tc>
          <w:tcPr>
            <w:tcW w:w="680" w:type="dxa"/>
            <w:vMerge/>
            <w:tcBorders>
              <w:top w:val="single" w:sz="8" w:space="0" w:color="auto"/>
              <w:left w:val="single" w:sz="8" w:space="0" w:color="auto"/>
              <w:bottom w:val="single" w:sz="8" w:space="0" w:color="000000"/>
              <w:right w:val="single" w:sz="4" w:space="0" w:color="auto"/>
            </w:tcBorders>
            <w:vAlign w:val="center"/>
            <w:hideMark/>
          </w:tcPr>
          <w:p w:rsidR="00C946F0" w:rsidRPr="00304A7E" w:rsidRDefault="00C946F0" w:rsidP="00B31AA0">
            <w:pPr>
              <w:spacing w:after="0" w:line="240" w:lineRule="auto"/>
              <w:jc w:val="center"/>
              <w:rPr>
                <w:rFonts w:eastAsia="Times New Roman" w:cs="Calibri"/>
                <w:color w:val="000000"/>
                <w:sz w:val="16"/>
                <w:szCs w:val="16"/>
              </w:rPr>
            </w:pPr>
          </w:p>
        </w:tc>
        <w:tc>
          <w:tcPr>
            <w:tcW w:w="1260"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rPr>
                <w:rFonts w:eastAsia="Times New Roman" w:cs="Calibri"/>
                <w:color w:val="000000"/>
                <w:sz w:val="16"/>
                <w:szCs w:val="16"/>
              </w:rPr>
            </w:pPr>
            <w:r w:rsidRPr="00304A7E">
              <w:rPr>
                <w:rFonts w:ascii="Sylfaen" w:eastAsia="Times New Roman" w:hAnsi="Sylfaen" w:cs="Sylfaen"/>
                <w:color w:val="000000"/>
                <w:sz w:val="16"/>
                <w:szCs w:val="16"/>
              </w:rPr>
              <w:t>ივნისი</w:t>
            </w:r>
          </w:p>
        </w:tc>
        <w:tc>
          <w:tcPr>
            <w:tcW w:w="1233"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4,436,400.00</w:t>
            </w:r>
          </w:p>
        </w:tc>
        <w:tc>
          <w:tcPr>
            <w:tcW w:w="1418"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3,508,291.00</w:t>
            </w:r>
          </w:p>
        </w:tc>
        <w:tc>
          <w:tcPr>
            <w:tcW w:w="1262"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928,109</w:t>
            </w:r>
          </w:p>
        </w:tc>
        <w:tc>
          <w:tcPr>
            <w:tcW w:w="1262"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p>
        </w:tc>
        <w:tc>
          <w:tcPr>
            <w:tcW w:w="1201" w:type="dxa"/>
            <w:tcBorders>
              <w:top w:val="nil"/>
              <w:left w:val="nil"/>
              <w:bottom w:val="single" w:sz="4" w:space="0" w:color="auto"/>
              <w:right w:val="single" w:sz="4" w:space="0" w:color="auto"/>
            </w:tcBorders>
            <w:shd w:val="clear" w:color="auto" w:fill="auto"/>
            <w:noWrap/>
            <w:vAlign w:val="center"/>
            <w:hideMark/>
          </w:tcPr>
          <w:p w:rsidR="00C946F0" w:rsidRPr="00B31AA0" w:rsidRDefault="00C946F0"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928,109.00</w:t>
            </w:r>
          </w:p>
        </w:tc>
        <w:tc>
          <w:tcPr>
            <w:tcW w:w="1201" w:type="dxa"/>
            <w:tcBorders>
              <w:top w:val="nil"/>
              <w:left w:val="nil"/>
              <w:bottom w:val="single" w:sz="4" w:space="0" w:color="auto"/>
              <w:right w:val="single" w:sz="8" w:space="0" w:color="auto"/>
            </w:tcBorders>
            <w:shd w:val="clear" w:color="auto" w:fill="auto"/>
            <w:noWrap/>
            <w:vAlign w:val="center"/>
            <w:hideMark/>
          </w:tcPr>
          <w:p w:rsidR="00C946F0" w:rsidRPr="00B31AA0" w:rsidRDefault="00C946F0"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10,199.00</w:t>
            </w:r>
          </w:p>
        </w:tc>
        <w:tc>
          <w:tcPr>
            <w:tcW w:w="1208" w:type="dxa"/>
            <w:tcBorders>
              <w:top w:val="nil"/>
              <w:left w:val="nil"/>
              <w:bottom w:val="single" w:sz="4" w:space="0" w:color="auto"/>
              <w:right w:val="single" w:sz="8" w:space="0" w:color="auto"/>
            </w:tcBorders>
            <w:vAlign w:val="center"/>
          </w:tcPr>
          <w:p w:rsidR="00C946F0" w:rsidRPr="00B31AA0" w:rsidRDefault="00C946F0" w:rsidP="00C75CC9">
            <w:pPr>
              <w:spacing w:after="0" w:line="240" w:lineRule="auto"/>
              <w:jc w:val="right"/>
              <w:rPr>
                <w:rFonts w:eastAsia="Times New Roman" w:cs="Calibri"/>
                <w:color w:val="000000"/>
                <w:sz w:val="16"/>
                <w:szCs w:val="16"/>
              </w:rPr>
            </w:pPr>
          </w:p>
        </w:tc>
        <w:tc>
          <w:tcPr>
            <w:tcW w:w="2700" w:type="dxa"/>
            <w:tcBorders>
              <w:top w:val="nil"/>
              <w:left w:val="nil"/>
              <w:bottom w:val="single" w:sz="4" w:space="0" w:color="auto"/>
              <w:right w:val="single" w:sz="8" w:space="0" w:color="auto"/>
            </w:tcBorders>
            <w:vAlign w:val="center"/>
          </w:tcPr>
          <w:p w:rsidR="00C946F0" w:rsidRPr="00304A7E" w:rsidRDefault="00C946F0" w:rsidP="00B31AA0">
            <w:pPr>
              <w:spacing w:after="0" w:line="240" w:lineRule="auto"/>
              <w:jc w:val="both"/>
              <w:rPr>
                <w:rFonts w:eastAsia="Times New Roman" w:cs="Calibri"/>
                <w:color w:val="000000"/>
                <w:sz w:val="16"/>
                <w:szCs w:val="16"/>
              </w:rPr>
            </w:pPr>
          </w:p>
        </w:tc>
      </w:tr>
      <w:tr w:rsidR="00C946F0" w:rsidRPr="00304A7E" w:rsidTr="00A515E1">
        <w:trPr>
          <w:trHeight w:val="300"/>
        </w:trPr>
        <w:tc>
          <w:tcPr>
            <w:tcW w:w="680" w:type="dxa"/>
            <w:vMerge/>
            <w:tcBorders>
              <w:top w:val="single" w:sz="8" w:space="0" w:color="auto"/>
              <w:left w:val="single" w:sz="8" w:space="0" w:color="auto"/>
              <w:bottom w:val="single" w:sz="8" w:space="0" w:color="000000"/>
              <w:right w:val="single" w:sz="4" w:space="0" w:color="auto"/>
            </w:tcBorders>
            <w:vAlign w:val="center"/>
            <w:hideMark/>
          </w:tcPr>
          <w:p w:rsidR="00C946F0" w:rsidRPr="00304A7E" w:rsidRDefault="00C946F0" w:rsidP="00B31AA0">
            <w:pPr>
              <w:spacing w:after="0" w:line="240" w:lineRule="auto"/>
              <w:jc w:val="center"/>
              <w:rPr>
                <w:rFonts w:eastAsia="Times New Roman" w:cs="Calibri"/>
                <w:color w:val="000000"/>
                <w:sz w:val="16"/>
                <w:szCs w:val="16"/>
              </w:rPr>
            </w:pPr>
          </w:p>
        </w:tc>
        <w:tc>
          <w:tcPr>
            <w:tcW w:w="1260"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rPr>
                <w:rFonts w:eastAsia="Times New Roman" w:cs="Calibri"/>
                <w:color w:val="000000"/>
                <w:sz w:val="16"/>
                <w:szCs w:val="16"/>
              </w:rPr>
            </w:pPr>
            <w:r w:rsidRPr="00304A7E">
              <w:rPr>
                <w:rFonts w:ascii="Sylfaen" w:eastAsia="Times New Roman" w:hAnsi="Sylfaen" w:cs="Sylfaen"/>
                <w:color w:val="000000"/>
                <w:sz w:val="16"/>
                <w:szCs w:val="16"/>
              </w:rPr>
              <w:t>ივლისი</w:t>
            </w:r>
          </w:p>
        </w:tc>
        <w:tc>
          <w:tcPr>
            <w:tcW w:w="1233"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4,436,400.00</w:t>
            </w:r>
          </w:p>
        </w:tc>
        <w:tc>
          <w:tcPr>
            <w:tcW w:w="1418"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3,517,555.00</w:t>
            </w:r>
          </w:p>
        </w:tc>
        <w:tc>
          <w:tcPr>
            <w:tcW w:w="1262"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918,845</w:t>
            </w:r>
          </w:p>
        </w:tc>
        <w:tc>
          <w:tcPr>
            <w:tcW w:w="1262"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p>
        </w:tc>
        <w:tc>
          <w:tcPr>
            <w:tcW w:w="1201" w:type="dxa"/>
            <w:tcBorders>
              <w:top w:val="nil"/>
              <w:left w:val="nil"/>
              <w:bottom w:val="single" w:sz="4" w:space="0" w:color="auto"/>
              <w:right w:val="single" w:sz="4" w:space="0" w:color="auto"/>
            </w:tcBorders>
            <w:shd w:val="clear" w:color="auto" w:fill="auto"/>
            <w:noWrap/>
            <w:vAlign w:val="center"/>
            <w:hideMark/>
          </w:tcPr>
          <w:p w:rsidR="00C946F0" w:rsidRPr="00B31AA0" w:rsidRDefault="00C946F0"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918,845.00</w:t>
            </w:r>
          </w:p>
        </w:tc>
        <w:tc>
          <w:tcPr>
            <w:tcW w:w="1201" w:type="dxa"/>
            <w:tcBorders>
              <w:top w:val="nil"/>
              <w:left w:val="nil"/>
              <w:bottom w:val="single" w:sz="4" w:space="0" w:color="auto"/>
              <w:right w:val="single" w:sz="8" w:space="0" w:color="auto"/>
            </w:tcBorders>
            <w:shd w:val="clear" w:color="auto" w:fill="auto"/>
            <w:noWrap/>
            <w:vAlign w:val="center"/>
            <w:hideMark/>
          </w:tcPr>
          <w:p w:rsidR="00C946F0" w:rsidRPr="00B31AA0" w:rsidRDefault="00C946F0"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9,264.00</w:t>
            </w:r>
          </w:p>
        </w:tc>
        <w:tc>
          <w:tcPr>
            <w:tcW w:w="1208" w:type="dxa"/>
            <w:tcBorders>
              <w:top w:val="nil"/>
              <w:left w:val="nil"/>
              <w:bottom w:val="single" w:sz="4" w:space="0" w:color="auto"/>
              <w:right w:val="single" w:sz="8" w:space="0" w:color="auto"/>
            </w:tcBorders>
            <w:vAlign w:val="center"/>
          </w:tcPr>
          <w:p w:rsidR="00C946F0" w:rsidRPr="00B31AA0" w:rsidRDefault="00C946F0" w:rsidP="00C75CC9">
            <w:pPr>
              <w:spacing w:after="0" w:line="240" w:lineRule="auto"/>
              <w:jc w:val="right"/>
              <w:rPr>
                <w:rFonts w:eastAsia="Times New Roman" w:cs="Calibri"/>
                <w:color w:val="000000"/>
                <w:sz w:val="16"/>
                <w:szCs w:val="16"/>
              </w:rPr>
            </w:pPr>
          </w:p>
        </w:tc>
        <w:tc>
          <w:tcPr>
            <w:tcW w:w="2700" w:type="dxa"/>
            <w:tcBorders>
              <w:top w:val="nil"/>
              <w:left w:val="nil"/>
              <w:bottom w:val="single" w:sz="4" w:space="0" w:color="auto"/>
              <w:right w:val="single" w:sz="8" w:space="0" w:color="auto"/>
            </w:tcBorders>
            <w:vAlign w:val="center"/>
          </w:tcPr>
          <w:p w:rsidR="00C946F0" w:rsidRPr="00304A7E" w:rsidRDefault="00C946F0" w:rsidP="00B31AA0">
            <w:pPr>
              <w:spacing w:after="0" w:line="240" w:lineRule="auto"/>
              <w:jc w:val="both"/>
              <w:rPr>
                <w:rFonts w:eastAsia="Times New Roman" w:cs="Calibri"/>
                <w:color w:val="000000"/>
                <w:sz w:val="16"/>
                <w:szCs w:val="16"/>
              </w:rPr>
            </w:pPr>
          </w:p>
        </w:tc>
      </w:tr>
      <w:tr w:rsidR="00C946F0" w:rsidRPr="00304A7E" w:rsidTr="00A515E1">
        <w:trPr>
          <w:trHeight w:val="300"/>
        </w:trPr>
        <w:tc>
          <w:tcPr>
            <w:tcW w:w="680" w:type="dxa"/>
            <w:vMerge/>
            <w:tcBorders>
              <w:top w:val="single" w:sz="8" w:space="0" w:color="auto"/>
              <w:left w:val="single" w:sz="8" w:space="0" w:color="auto"/>
              <w:bottom w:val="single" w:sz="8" w:space="0" w:color="000000"/>
              <w:right w:val="single" w:sz="4" w:space="0" w:color="auto"/>
            </w:tcBorders>
            <w:vAlign w:val="center"/>
            <w:hideMark/>
          </w:tcPr>
          <w:p w:rsidR="00C946F0" w:rsidRPr="00304A7E" w:rsidRDefault="00C946F0" w:rsidP="00B31AA0">
            <w:pPr>
              <w:spacing w:after="0" w:line="240" w:lineRule="auto"/>
              <w:jc w:val="center"/>
              <w:rPr>
                <w:rFonts w:eastAsia="Times New Roman" w:cs="Calibri"/>
                <w:color w:val="000000"/>
                <w:sz w:val="16"/>
                <w:szCs w:val="16"/>
              </w:rPr>
            </w:pPr>
          </w:p>
        </w:tc>
        <w:tc>
          <w:tcPr>
            <w:tcW w:w="1260"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rPr>
                <w:rFonts w:eastAsia="Times New Roman" w:cs="Calibri"/>
                <w:color w:val="000000"/>
                <w:sz w:val="16"/>
                <w:szCs w:val="16"/>
              </w:rPr>
            </w:pPr>
            <w:r w:rsidRPr="00304A7E">
              <w:rPr>
                <w:rFonts w:ascii="Sylfaen" w:eastAsia="Times New Roman" w:hAnsi="Sylfaen" w:cs="Sylfaen"/>
                <w:color w:val="000000"/>
                <w:sz w:val="16"/>
                <w:szCs w:val="16"/>
              </w:rPr>
              <w:t>აგვისტო</w:t>
            </w:r>
          </w:p>
        </w:tc>
        <w:tc>
          <w:tcPr>
            <w:tcW w:w="1233"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4,436,400.00</w:t>
            </w:r>
          </w:p>
        </w:tc>
        <w:tc>
          <w:tcPr>
            <w:tcW w:w="1418"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3,523,503.00</w:t>
            </w:r>
          </w:p>
        </w:tc>
        <w:tc>
          <w:tcPr>
            <w:tcW w:w="1262"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912,897</w:t>
            </w:r>
          </w:p>
        </w:tc>
        <w:tc>
          <w:tcPr>
            <w:tcW w:w="1262"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p>
        </w:tc>
        <w:tc>
          <w:tcPr>
            <w:tcW w:w="1201" w:type="dxa"/>
            <w:tcBorders>
              <w:top w:val="nil"/>
              <w:left w:val="nil"/>
              <w:bottom w:val="single" w:sz="4" w:space="0" w:color="auto"/>
              <w:right w:val="single" w:sz="4" w:space="0" w:color="auto"/>
            </w:tcBorders>
            <w:shd w:val="clear" w:color="auto" w:fill="auto"/>
            <w:noWrap/>
            <w:vAlign w:val="center"/>
            <w:hideMark/>
          </w:tcPr>
          <w:p w:rsidR="00C946F0" w:rsidRPr="00B31AA0" w:rsidRDefault="00C946F0"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912,897.00</w:t>
            </w:r>
          </w:p>
        </w:tc>
        <w:tc>
          <w:tcPr>
            <w:tcW w:w="1201" w:type="dxa"/>
            <w:tcBorders>
              <w:top w:val="nil"/>
              <w:left w:val="nil"/>
              <w:bottom w:val="single" w:sz="4" w:space="0" w:color="auto"/>
              <w:right w:val="single" w:sz="8" w:space="0" w:color="auto"/>
            </w:tcBorders>
            <w:shd w:val="clear" w:color="auto" w:fill="auto"/>
            <w:noWrap/>
            <w:vAlign w:val="center"/>
            <w:hideMark/>
          </w:tcPr>
          <w:p w:rsidR="00C946F0" w:rsidRPr="00B31AA0" w:rsidRDefault="00C946F0"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5,948.00</w:t>
            </w:r>
          </w:p>
        </w:tc>
        <w:tc>
          <w:tcPr>
            <w:tcW w:w="1208" w:type="dxa"/>
            <w:tcBorders>
              <w:top w:val="nil"/>
              <w:left w:val="nil"/>
              <w:bottom w:val="single" w:sz="4" w:space="0" w:color="auto"/>
              <w:right w:val="single" w:sz="8" w:space="0" w:color="auto"/>
            </w:tcBorders>
            <w:vAlign w:val="center"/>
          </w:tcPr>
          <w:p w:rsidR="00C946F0" w:rsidRPr="00B31AA0" w:rsidRDefault="00C946F0" w:rsidP="00C75CC9">
            <w:pPr>
              <w:spacing w:after="0" w:line="240" w:lineRule="auto"/>
              <w:jc w:val="right"/>
              <w:rPr>
                <w:rFonts w:eastAsia="Times New Roman" w:cs="Calibri"/>
                <w:color w:val="000000"/>
                <w:sz w:val="16"/>
                <w:szCs w:val="16"/>
              </w:rPr>
            </w:pPr>
          </w:p>
        </w:tc>
        <w:tc>
          <w:tcPr>
            <w:tcW w:w="2700" w:type="dxa"/>
            <w:tcBorders>
              <w:top w:val="nil"/>
              <w:left w:val="nil"/>
              <w:bottom w:val="single" w:sz="4" w:space="0" w:color="auto"/>
              <w:right w:val="single" w:sz="8" w:space="0" w:color="auto"/>
            </w:tcBorders>
            <w:vAlign w:val="center"/>
          </w:tcPr>
          <w:p w:rsidR="00C946F0" w:rsidRPr="00304A7E" w:rsidRDefault="00C946F0" w:rsidP="00B31AA0">
            <w:pPr>
              <w:spacing w:after="0" w:line="240" w:lineRule="auto"/>
              <w:jc w:val="both"/>
              <w:rPr>
                <w:rFonts w:eastAsia="Times New Roman" w:cs="Calibri"/>
                <w:color w:val="000000"/>
                <w:sz w:val="16"/>
                <w:szCs w:val="16"/>
              </w:rPr>
            </w:pPr>
          </w:p>
        </w:tc>
      </w:tr>
      <w:tr w:rsidR="00C946F0" w:rsidRPr="00304A7E" w:rsidTr="00A515E1">
        <w:trPr>
          <w:trHeight w:val="300"/>
        </w:trPr>
        <w:tc>
          <w:tcPr>
            <w:tcW w:w="680" w:type="dxa"/>
            <w:vMerge/>
            <w:tcBorders>
              <w:top w:val="single" w:sz="8" w:space="0" w:color="auto"/>
              <w:left w:val="single" w:sz="8" w:space="0" w:color="auto"/>
              <w:bottom w:val="single" w:sz="8" w:space="0" w:color="000000"/>
              <w:right w:val="single" w:sz="4" w:space="0" w:color="auto"/>
            </w:tcBorders>
            <w:vAlign w:val="center"/>
            <w:hideMark/>
          </w:tcPr>
          <w:p w:rsidR="00C946F0" w:rsidRPr="00304A7E" w:rsidRDefault="00C946F0" w:rsidP="00B31AA0">
            <w:pPr>
              <w:spacing w:after="0" w:line="240" w:lineRule="auto"/>
              <w:jc w:val="center"/>
              <w:rPr>
                <w:rFonts w:eastAsia="Times New Roman" w:cs="Calibri"/>
                <w:color w:val="000000"/>
                <w:sz w:val="16"/>
                <w:szCs w:val="16"/>
              </w:rPr>
            </w:pPr>
          </w:p>
        </w:tc>
        <w:tc>
          <w:tcPr>
            <w:tcW w:w="1260"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rPr>
                <w:rFonts w:eastAsia="Times New Roman" w:cs="Calibri"/>
                <w:color w:val="000000"/>
                <w:sz w:val="16"/>
                <w:szCs w:val="16"/>
              </w:rPr>
            </w:pPr>
            <w:r w:rsidRPr="00304A7E">
              <w:rPr>
                <w:rFonts w:ascii="Sylfaen" w:eastAsia="Times New Roman" w:hAnsi="Sylfaen" w:cs="Sylfaen"/>
                <w:color w:val="000000"/>
                <w:sz w:val="16"/>
                <w:szCs w:val="16"/>
              </w:rPr>
              <w:t>სექტემბერი</w:t>
            </w:r>
          </w:p>
        </w:tc>
        <w:tc>
          <w:tcPr>
            <w:tcW w:w="1233"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4,436,400.00</w:t>
            </w:r>
          </w:p>
        </w:tc>
        <w:tc>
          <w:tcPr>
            <w:tcW w:w="1418"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3,529,799.00</w:t>
            </w:r>
          </w:p>
        </w:tc>
        <w:tc>
          <w:tcPr>
            <w:tcW w:w="1262"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906,601</w:t>
            </w:r>
          </w:p>
        </w:tc>
        <w:tc>
          <w:tcPr>
            <w:tcW w:w="1262"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p>
        </w:tc>
        <w:tc>
          <w:tcPr>
            <w:tcW w:w="1201" w:type="dxa"/>
            <w:tcBorders>
              <w:top w:val="nil"/>
              <w:left w:val="nil"/>
              <w:bottom w:val="single" w:sz="4" w:space="0" w:color="auto"/>
              <w:right w:val="single" w:sz="4" w:space="0" w:color="auto"/>
            </w:tcBorders>
            <w:shd w:val="clear" w:color="auto" w:fill="auto"/>
            <w:noWrap/>
            <w:vAlign w:val="center"/>
            <w:hideMark/>
          </w:tcPr>
          <w:p w:rsidR="00C946F0" w:rsidRPr="00B31AA0" w:rsidRDefault="00C946F0"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906,601.00</w:t>
            </w:r>
          </w:p>
        </w:tc>
        <w:tc>
          <w:tcPr>
            <w:tcW w:w="1201" w:type="dxa"/>
            <w:tcBorders>
              <w:top w:val="nil"/>
              <w:left w:val="nil"/>
              <w:bottom w:val="single" w:sz="4" w:space="0" w:color="auto"/>
              <w:right w:val="single" w:sz="8" w:space="0" w:color="auto"/>
            </w:tcBorders>
            <w:shd w:val="clear" w:color="auto" w:fill="auto"/>
            <w:noWrap/>
            <w:vAlign w:val="center"/>
            <w:hideMark/>
          </w:tcPr>
          <w:p w:rsidR="00C946F0" w:rsidRPr="00B31AA0" w:rsidRDefault="00C946F0"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6,296.00</w:t>
            </w:r>
          </w:p>
        </w:tc>
        <w:tc>
          <w:tcPr>
            <w:tcW w:w="1208" w:type="dxa"/>
            <w:tcBorders>
              <w:top w:val="nil"/>
              <w:left w:val="nil"/>
              <w:bottom w:val="single" w:sz="4" w:space="0" w:color="auto"/>
              <w:right w:val="single" w:sz="8" w:space="0" w:color="auto"/>
            </w:tcBorders>
            <w:vAlign w:val="center"/>
          </w:tcPr>
          <w:p w:rsidR="00C946F0" w:rsidRPr="00B31AA0" w:rsidRDefault="00C946F0" w:rsidP="00C75CC9">
            <w:pPr>
              <w:spacing w:after="0" w:line="240" w:lineRule="auto"/>
              <w:jc w:val="right"/>
              <w:rPr>
                <w:rFonts w:eastAsia="Times New Roman" w:cs="Calibri"/>
                <w:color w:val="000000"/>
                <w:sz w:val="16"/>
                <w:szCs w:val="16"/>
              </w:rPr>
            </w:pPr>
          </w:p>
        </w:tc>
        <w:tc>
          <w:tcPr>
            <w:tcW w:w="2700" w:type="dxa"/>
            <w:tcBorders>
              <w:top w:val="nil"/>
              <w:left w:val="nil"/>
              <w:bottom w:val="single" w:sz="4" w:space="0" w:color="auto"/>
              <w:right w:val="single" w:sz="8" w:space="0" w:color="auto"/>
            </w:tcBorders>
            <w:vAlign w:val="center"/>
          </w:tcPr>
          <w:p w:rsidR="00C946F0" w:rsidRPr="00304A7E" w:rsidRDefault="00C946F0" w:rsidP="00B31AA0">
            <w:pPr>
              <w:spacing w:after="0" w:line="240" w:lineRule="auto"/>
              <w:jc w:val="both"/>
              <w:rPr>
                <w:rFonts w:eastAsia="Times New Roman" w:cs="Calibri"/>
                <w:color w:val="000000"/>
                <w:sz w:val="16"/>
                <w:szCs w:val="16"/>
              </w:rPr>
            </w:pPr>
          </w:p>
        </w:tc>
      </w:tr>
      <w:tr w:rsidR="00C946F0" w:rsidRPr="00304A7E" w:rsidTr="00A515E1">
        <w:trPr>
          <w:trHeight w:val="300"/>
        </w:trPr>
        <w:tc>
          <w:tcPr>
            <w:tcW w:w="680" w:type="dxa"/>
            <w:vMerge/>
            <w:tcBorders>
              <w:top w:val="single" w:sz="8" w:space="0" w:color="auto"/>
              <w:left w:val="single" w:sz="8" w:space="0" w:color="auto"/>
              <w:bottom w:val="single" w:sz="8" w:space="0" w:color="000000"/>
              <w:right w:val="single" w:sz="4" w:space="0" w:color="auto"/>
            </w:tcBorders>
            <w:vAlign w:val="center"/>
            <w:hideMark/>
          </w:tcPr>
          <w:p w:rsidR="00C946F0" w:rsidRPr="00304A7E" w:rsidRDefault="00C946F0" w:rsidP="00B31AA0">
            <w:pPr>
              <w:spacing w:after="0" w:line="240" w:lineRule="auto"/>
              <w:jc w:val="center"/>
              <w:rPr>
                <w:rFonts w:eastAsia="Times New Roman" w:cs="Calibri"/>
                <w:color w:val="000000"/>
                <w:sz w:val="16"/>
                <w:szCs w:val="16"/>
              </w:rPr>
            </w:pPr>
          </w:p>
        </w:tc>
        <w:tc>
          <w:tcPr>
            <w:tcW w:w="1260"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rPr>
                <w:rFonts w:eastAsia="Times New Roman" w:cs="Calibri"/>
                <w:color w:val="000000"/>
                <w:sz w:val="16"/>
                <w:szCs w:val="16"/>
              </w:rPr>
            </w:pPr>
            <w:r w:rsidRPr="00304A7E">
              <w:rPr>
                <w:rFonts w:ascii="Sylfaen" w:eastAsia="Times New Roman" w:hAnsi="Sylfaen" w:cs="Sylfaen"/>
                <w:color w:val="000000"/>
                <w:sz w:val="16"/>
                <w:szCs w:val="16"/>
              </w:rPr>
              <w:t>ოქტომბერი</w:t>
            </w:r>
          </w:p>
        </w:tc>
        <w:tc>
          <w:tcPr>
            <w:tcW w:w="1233"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4,436,400.00</w:t>
            </w:r>
          </w:p>
        </w:tc>
        <w:tc>
          <w:tcPr>
            <w:tcW w:w="1418"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3,529,410.00</w:t>
            </w:r>
          </w:p>
        </w:tc>
        <w:tc>
          <w:tcPr>
            <w:tcW w:w="1262"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906,990</w:t>
            </w:r>
          </w:p>
        </w:tc>
        <w:tc>
          <w:tcPr>
            <w:tcW w:w="1262"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p>
        </w:tc>
        <w:tc>
          <w:tcPr>
            <w:tcW w:w="1201" w:type="dxa"/>
            <w:tcBorders>
              <w:top w:val="nil"/>
              <w:left w:val="nil"/>
              <w:bottom w:val="single" w:sz="4" w:space="0" w:color="auto"/>
              <w:right w:val="single" w:sz="4" w:space="0" w:color="auto"/>
            </w:tcBorders>
            <w:shd w:val="clear" w:color="auto" w:fill="auto"/>
            <w:noWrap/>
            <w:vAlign w:val="center"/>
            <w:hideMark/>
          </w:tcPr>
          <w:p w:rsidR="00C946F0" w:rsidRPr="00B31AA0" w:rsidRDefault="00C946F0"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906,990.00</w:t>
            </w:r>
          </w:p>
        </w:tc>
        <w:tc>
          <w:tcPr>
            <w:tcW w:w="1201" w:type="dxa"/>
            <w:tcBorders>
              <w:top w:val="nil"/>
              <w:left w:val="nil"/>
              <w:bottom w:val="single" w:sz="4" w:space="0" w:color="auto"/>
              <w:right w:val="single" w:sz="8" w:space="0" w:color="auto"/>
            </w:tcBorders>
            <w:shd w:val="clear" w:color="auto" w:fill="auto"/>
            <w:noWrap/>
            <w:vAlign w:val="center"/>
            <w:hideMark/>
          </w:tcPr>
          <w:p w:rsidR="00C946F0" w:rsidRPr="00B31AA0" w:rsidRDefault="00C946F0"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(389.00)</w:t>
            </w:r>
          </w:p>
        </w:tc>
        <w:tc>
          <w:tcPr>
            <w:tcW w:w="1208" w:type="dxa"/>
            <w:tcBorders>
              <w:top w:val="nil"/>
              <w:left w:val="nil"/>
              <w:bottom w:val="single" w:sz="4" w:space="0" w:color="auto"/>
              <w:right w:val="single" w:sz="8" w:space="0" w:color="auto"/>
            </w:tcBorders>
            <w:vAlign w:val="center"/>
          </w:tcPr>
          <w:p w:rsidR="00C946F0" w:rsidRPr="00B31AA0" w:rsidRDefault="00C946F0" w:rsidP="00C75CC9">
            <w:pPr>
              <w:spacing w:after="0" w:line="240" w:lineRule="auto"/>
              <w:jc w:val="right"/>
              <w:rPr>
                <w:rFonts w:eastAsia="Times New Roman" w:cs="Calibri"/>
                <w:color w:val="000000"/>
                <w:sz w:val="16"/>
                <w:szCs w:val="16"/>
              </w:rPr>
            </w:pPr>
          </w:p>
        </w:tc>
        <w:tc>
          <w:tcPr>
            <w:tcW w:w="2700" w:type="dxa"/>
            <w:tcBorders>
              <w:top w:val="nil"/>
              <w:left w:val="nil"/>
              <w:bottom w:val="single" w:sz="4" w:space="0" w:color="auto"/>
              <w:right w:val="single" w:sz="8" w:space="0" w:color="auto"/>
            </w:tcBorders>
            <w:vAlign w:val="center"/>
          </w:tcPr>
          <w:p w:rsidR="00C946F0" w:rsidRPr="00304A7E" w:rsidRDefault="00C946F0" w:rsidP="00B31AA0">
            <w:pPr>
              <w:spacing w:after="0" w:line="240" w:lineRule="auto"/>
              <w:jc w:val="both"/>
              <w:rPr>
                <w:rFonts w:eastAsia="Times New Roman" w:cs="Calibri"/>
                <w:color w:val="000000"/>
                <w:sz w:val="16"/>
                <w:szCs w:val="16"/>
              </w:rPr>
            </w:pPr>
          </w:p>
        </w:tc>
      </w:tr>
      <w:tr w:rsidR="00C946F0" w:rsidRPr="00304A7E" w:rsidTr="00A515E1">
        <w:trPr>
          <w:trHeight w:val="300"/>
        </w:trPr>
        <w:tc>
          <w:tcPr>
            <w:tcW w:w="680" w:type="dxa"/>
            <w:vMerge/>
            <w:tcBorders>
              <w:top w:val="single" w:sz="8" w:space="0" w:color="auto"/>
              <w:left w:val="single" w:sz="8" w:space="0" w:color="auto"/>
              <w:bottom w:val="single" w:sz="8" w:space="0" w:color="000000"/>
              <w:right w:val="single" w:sz="4" w:space="0" w:color="auto"/>
            </w:tcBorders>
            <w:vAlign w:val="center"/>
            <w:hideMark/>
          </w:tcPr>
          <w:p w:rsidR="00C946F0" w:rsidRPr="00304A7E" w:rsidRDefault="00C946F0" w:rsidP="00B31AA0">
            <w:pPr>
              <w:spacing w:after="0" w:line="240" w:lineRule="auto"/>
              <w:jc w:val="center"/>
              <w:rPr>
                <w:rFonts w:eastAsia="Times New Roman" w:cs="Calibri"/>
                <w:color w:val="000000"/>
                <w:sz w:val="16"/>
                <w:szCs w:val="16"/>
              </w:rPr>
            </w:pPr>
          </w:p>
        </w:tc>
        <w:tc>
          <w:tcPr>
            <w:tcW w:w="1260"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rPr>
                <w:rFonts w:eastAsia="Times New Roman" w:cs="Calibri"/>
                <w:color w:val="000000"/>
                <w:sz w:val="16"/>
                <w:szCs w:val="16"/>
              </w:rPr>
            </w:pPr>
            <w:r w:rsidRPr="00304A7E">
              <w:rPr>
                <w:rFonts w:ascii="Sylfaen" w:eastAsia="Times New Roman" w:hAnsi="Sylfaen" w:cs="Sylfaen"/>
                <w:color w:val="000000"/>
                <w:sz w:val="16"/>
                <w:szCs w:val="16"/>
              </w:rPr>
              <w:t>ნოემბერი</w:t>
            </w:r>
          </w:p>
        </w:tc>
        <w:tc>
          <w:tcPr>
            <w:tcW w:w="1233"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4,436,400.00</w:t>
            </w:r>
          </w:p>
        </w:tc>
        <w:tc>
          <w:tcPr>
            <w:tcW w:w="1418"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3,545,040.00</w:t>
            </w:r>
          </w:p>
        </w:tc>
        <w:tc>
          <w:tcPr>
            <w:tcW w:w="1262"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891,360</w:t>
            </w:r>
          </w:p>
        </w:tc>
        <w:tc>
          <w:tcPr>
            <w:tcW w:w="1262"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p>
        </w:tc>
        <w:tc>
          <w:tcPr>
            <w:tcW w:w="1201" w:type="dxa"/>
            <w:tcBorders>
              <w:top w:val="nil"/>
              <w:left w:val="nil"/>
              <w:bottom w:val="single" w:sz="4" w:space="0" w:color="auto"/>
              <w:right w:val="single" w:sz="4" w:space="0" w:color="auto"/>
            </w:tcBorders>
            <w:shd w:val="clear" w:color="auto" w:fill="auto"/>
            <w:noWrap/>
            <w:vAlign w:val="center"/>
            <w:hideMark/>
          </w:tcPr>
          <w:p w:rsidR="00C946F0" w:rsidRPr="00B31AA0" w:rsidRDefault="00C946F0"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891,360.00</w:t>
            </w:r>
          </w:p>
        </w:tc>
        <w:tc>
          <w:tcPr>
            <w:tcW w:w="1201" w:type="dxa"/>
            <w:tcBorders>
              <w:top w:val="nil"/>
              <w:left w:val="nil"/>
              <w:bottom w:val="single" w:sz="4" w:space="0" w:color="auto"/>
              <w:right w:val="single" w:sz="8" w:space="0" w:color="auto"/>
            </w:tcBorders>
            <w:shd w:val="clear" w:color="auto" w:fill="auto"/>
            <w:noWrap/>
            <w:vAlign w:val="center"/>
            <w:hideMark/>
          </w:tcPr>
          <w:p w:rsidR="00C946F0" w:rsidRPr="00B31AA0" w:rsidRDefault="00C946F0"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15,630.00</w:t>
            </w:r>
          </w:p>
        </w:tc>
        <w:tc>
          <w:tcPr>
            <w:tcW w:w="1208" w:type="dxa"/>
            <w:tcBorders>
              <w:top w:val="nil"/>
              <w:left w:val="nil"/>
              <w:bottom w:val="single" w:sz="4" w:space="0" w:color="auto"/>
              <w:right w:val="single" w:sz="8" w:space="0" w:color="auto"/>
            </w:tcBorders>
            <w:vAlign w:val="center"/>
          </w:tcPr>
          <w:p w:rsidR="00C946F0" w:rsidRPr="00B31AA0" w:rsidRDefault="00C946F0" w:rsidP="00C75CC9">
            <w:pPr>
              <w:spacing w:after="0" w:line="240" w:lineRule="auto"/>
              <w:jc w:val="right"/>
              <w:rPr>
                <w:rFonts w:eastAsia="Times New Roman" w:cs="Calibri"/>
                <w:color w:val="000000"/>
                <w:sz w:val="16"/>
                <w:szCs w:val="16"/>
              </w:rPr>
            </w:pPr>
          </w:p>
        </w:tc>
        <w:tc>
          <w:tcPr>
            <w:tcW w:w="2700" w:type="dxa"/>
            <w:tcBorders>
              <w:top w:val="nil"/>
              <w:left w:val="nil"/>
              <w:bottom w:val="single" w:sz="4" w:space="0" w:color="auto"/>
              <w:right w:val="single" w:sz="8" w:space="0" w:color="auto"/>
            </w:tcBorders>
            <w:vAlign w:val="center"/>
          </w:tcPr>
          <w:p w:rsidR="00C946F0" w:rsidRPr="00304A7E" w:rsidRDefault="00C946F0" w:rsidP="00B31AA0">
            <w:pPr>
              <w:spacing w:after="0" w:line="240" w:lineRule="auto"/>
              <w:jc w:val="both"/>
              <w:rPr>
                <w:rFonts w:eastAsia="Times New Roman" w:cs="Calibri"/>
                <w:color w:val="000000"/>
                <w:sz w:val="16"/>
                <w:szCs w:val="16"/>
              </w:rPr>
            </w:pPr>
          </w:p>
        </w:tc>
      </w:tr>
      <w:tr w:rsidR="00C946F0" w:rsidRPr="00304A7E" w:rsidTr="00A515E1">
        <w:trPr>
          <w:trHeight w:val="315"/>
        </w:trPr>
        <w:tc>
          <w:tcPr>
            <w:tcW w:w="680" w:type="dxa"/>
            <w:vMerge/>
            <w:tcBorders>
              <w:top w:val="single" w:sz="8" w:space="0" w:color="auto"/>
              <w:left w:val="single" w:sz="8" w:space="0" w:color="auto"/>
              <w:bottom w:val="single" w:sz="8" w:space="0" w:color="000000"/>
              <w:right w:val="single" w:sz="4" w:space="0" w:color="auto"/>
            </w:tcBorders>
            <w:vAlign w:val="center"/>
            <w:hideMark/>
          </w:tcPr>
          <w:p w:rsidR="00C946F0" w:rsidRPr="00304A7E" w:rsidRDefault="00C946F0" w:rsidP="00B31AA0">
            <w:pPr>
              <w:spacing w:after="0" w:line="240" w:lineRule="auto"/>
              <w:jc w:val="center"/>
              <w:rPr>
                <w:rFonts w:eastAsia="Times New Roman" w:cs="Calibri"/>
                <w:color w:val="000000"/>
                <w:sz w:val="16"/>
                <w:szCs w:val="16"/>
              </w:rPr>
            </w:pPr>
          </w:p>
        </w:tc>
        <w:tc>
          <w:tcPr>
            <w:tcW w:w="126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C946F0" w:rsidRPr="00304A7E" w:rsidRDefault="00C946F0" w:rsidP="00B31AA0">
            <w:pPr>
              <w:spacing w:after="0" w:line="240" w:lineRule="auto"/>
              <w:rPr>
                <w:rFonts w:eastAsia="Times New Roman" w:cs="Calibri"/>
                <w:color w:val="000000"/>
                <w:sz w:val="16"/>
                <w:szCs w:val="16"/>
              </w:rPr>
            </w:pPr>
            <w:r w:rsidRPr="00304A7E">
              <w:rPr>
                <w:rFonts w:ascii="Sylfaen" w:eastAsia="Times New Roman" w:hAnsi="Sylfaen" w:cs="Sylfaen"/>
                <w:color w:val="000000"/>
                <w:sz w:val="16"/>
                <w:szCs w:val="16"/>
              </w:rPr>
              <w:t>დეკემბერი</w:t>
            </w:r>
          </w:p>
        </w:tc>
        <w:tc>
          <w:tcPr>
            <w:tcW w:w="1233" w:type="dxa"/>
            <w:tcBorders>
              <w:top w:val="single" w:sz="4" w:space="0" w:color="auto"/>
              <w:left w:val="nil"/>
              <w:bottom w:val="single" w:sz="8"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4,436,400.00</w:t>
            </w:r>
          </w:p>
        </w:tc>
        <w:tc>
          <w:tcPr>
            <w:tcW w:w="1418" w:type="dxa"/>
            <w:tcBorders>
              <w:top w:val="single" w:sz="4" w:space="0" w:color="auto"/>
              <w:left w:val="nil"/>
              <w:bottom w:val="single" w:sz="8"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3,535,115.00</w:t>
            </w:r>
          </w:p>
        </w:tc>
        <w:tc>
          <w:tcPr>
            <w:tcW w:w="1262" w:type="dxa"/>
            <w:tcBorders>
              <w:top w:val="single" w:sz="4" w:space="0" w:color="auto"/>
              <w:left w:val="nil"/>
              <w:bottom w:val="single" w:sz="8"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901,285</w:t>
            </w:r>
          </w:p>
        </w:tc>
        <w:tc>
          <w:tcPr>
            <w:tcW w:w="1262" w:type="dxa"/>
            <w:tcBorders>
              <w:top w:val="single" w:sz="4" w:space="0" w:color="auto"/>
              <w:left w:val="nil"/>
              <w:bottom w:val="single" w:sz="8"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p>
        </w:tc>
        <w:tc>
          <w:tcPr>
            <w:tcW w:w="1201" w:type="dxa"/>
            <w:tcBorders>
              <w:top w:val="single" w:sz="4" w:space="0" w:color="auto"/>
              <w:left w:val="nil"/>
              <w:bottom w:val="single" w:sz="8" w:space="0" w:color="auto"/>
              <w:right w:val="single" w:sz="4" w:space="0" w:color="auto"/>
            </w:tcBorders>
            <w:shd w:val="clear" w:color="auto" w:fill="auto"/>
            <w:noWrap/>
            <w:vAlign w:val="center"/>
            <w:hideMark/>
          </w:tcPr>
          <w:p w:rsidR="00C946F0" w:rsidRPr="00B31AA0" w:rsidRDefault="00C946F0"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901,285.00</w:t>
            </w:r>
          </w:p>
        </w:tc>
        <w:tc>
          <w:tcPr>
            <w:tcW w:w="1201" w:type="dxa"/>
            <w:tcBorders>
              <w:top w:val="nil"/>
              <w:left w:val="single" w:sz="4" w:space="0" w:color="auto"/>
              <w:bottom w:val="single" w:sz="8" w:space="0" w:color="auto"/>
              <w:right w:val="single" w:sz="8" w:space="0" w:color="auto"/>
            </w:tcBorders>
            <w:shd w:val="clear" w:color="auto" w:fill="auto"/>
            <w:noWrap/>
            <w:vAlign w:val="center"/>
            <w:hideMark/>
          </w:tcPr>
          <w:p w:rsidR="00C946F0" w:rsidRPr="00B31AA0" w:rsidRDefault="00C946F0"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(9,925.00)</w:t>
            </w:r>
          </w:p>
        </w:tc>
        <w:tc>
          <w:tcPr>
            <w:tcW w:w="1208" w:type="dxa"/>
            <w:tcBorders>
              <w:top w:val="nil"/>
              <w:left w:val="single" w:sz="4" w:space="0" w:color="auto"/>
              <w:bottom w:val="single" w:sz="8" w:space="0" w:color="auto"/>
              <w:right w:val="single" w:sz="8" w:space="0" w:color="auto"/>
            </w:tcBorders>
            <w:vAlign w:val="center"/>
          </w:tcPr>
          <w:p w:rsidR="00C946F0" w:rsidRPr="00B31AA0" w:rsidRDefault="00C946F0" w:rsidP="00C75CC9">
            <w:pPr>
              <w:spacing w:after="0" w:line="240" w:lineRule="auto"/>
              <w:jc w:val="right"/>
              <w:rPr>
                <w:rFonts w:eastAsia="Times New Roman" w:cs="Calibri"/>
                <w:color w:val="000000"/>
                <w:sz w:val="16"/>
                <w:szCs w:val="16"/>
              </w:rPr>
            </w:pPr>
          </w:p>
        </w:tc>
        <w:tc>
          <w:tcPr>
            <w:tcW w:w="2700" w:type="dxa"/>
            <w:tcBorders>
              <w:top w:val="nil"/>
              <w:left w:val="single" w:sz="4" w:space="0" w:color="auto"/>
              <w:bottom w:val="single" w:sz="8" w:space="0" w:color="auto"/>
              <w:right w:val="single" w:sz="8" w:space="0" w:color="auto"/>
            </w:tcBorders>
            <w:vAlign w:val="center"/>
          </w:tcPr>
          <w:p w:rsidR="00C946F0" w:rsidRPr="00304A7E" w:rsidRDefault="00C946F0" w:rsidP="00B31AA0">
            <w:pPr>
              <w:spacing w:after="0" w:line="240" w:lineRule="auto"/>
              <w:jc w:val="both"/>
              <w:rPr>
                <w:rFonts w:eastAsia="Times New Roman" w:cs="Calibri"/>
                <w:color w:val="000000"/>
                <w:sz w:val="16"/>
                <w:szCs w:val="16"/>
              </w:rPr>
            </w:pPr>
          </w:p>
        </w:tc>
      </w:tr>
      <w:tr w:rsidR="00C75CC9" w:rsidRPr="00304A7E" w:rsidTr="00F35453">
        <w:trPr>
          <w:trHeight w:val="300"/>
        </w:trPr>
        <w:tc>
          <w:tcPr>
            <w:tcW w:w="680"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2011</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rPr>
                <w:rFonts w:eastAsia="Times New Roman" w:cs="Calibri"/>
                <w:color w:val="000000"/>
                <w:sz w:val="16"/>
                <w:szCs w:val="16"/>
              </w:rPr>
            </w:pPr>
            <w:r w:rsidRPr="00304A7E">
              <w:rPr>
                <w:rFonts w:ascii="Sylfaen" w:eastAsia="Times New Roman" w:hAnsi="Sylfaen" w:cs="Sylfaen"/>
                <w:color w:val="000000"/>
                <w:sz w:val="16"/>
                <w:szCs w:val="16"/>
              </w:rPr>
              <w:t>იანვარი</w:t>
            </w:r>
          </w:p>
        </w:tc>
        <w:tc>
          <w:tcPr>
            <w:tcW w:w="1233"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4,469,200.00</w:t>
            </w:r>
          </w:p>
        </w:tc>
        <w:tc>
          <w:tcPr>
            <w:tcW w:w="1418"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3,496,288.00</w:t>
            </w:r>
          </w:p>
        </w:tc>
        <w:tc>
          <w:tcPr>
            <w:tcW w:w="1262"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972,912</w:t>
            </w:r>
          </w:p>
        </w:tc>
        <w:tc>
          <w:tcPr>
            <w:tcW w:w="1262"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p>
        </w:tc>
        <w:tc>
          <w:tcPr>
            <w:tcW w:w="1201" w:type="dxa"/>
            <w:tcBorders>
              <w:top w:val="nil"/>
              <w:left w:val="nil"/>
              <w:bottom w:val="single" w:sz="4" w:space="0" w:color="auto"/>
              <w:right w:val="single" w:sz="4" w:space="0" w:color="auto"/>
            </w:tcBorders>
            <w:shd w:val="clear" w:color="auto" w:fill="auto"/>
            <w:noWrap/>
            <w:vAlign w:val="center"/>
            <w:hideMark/>
          </w:tcPr>
          <w:p w:rsidR="00C75CC9" w:rsidRPr="00B31AA0" w:rsidRDefault="00C75CC9"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972,912.00</w:t>
            </w:r>
          </w:p>
        </w:tc>
        <w:tc>
          <w:tcPr>
            <w:tcW w:w="1201" w:type="dxa"/>
            <w:tcBorders>
              <w:top w:val="nil"/>
              <w:left w:val="single" w:sz="4" w:space="0" w:color="auto"/>
              <w:bottom w:val="single" w:sz="4" w:space="0" w:color="auto"/>
              <w:right w:val="single" w:sz="8" w:space="0" w:color="auto"/>
            </w:tcBorders>
            <w:shd w:val="clear" w:color="auto" w:fill="auto"/>
            <w:noWrap/>
            <w:vAlign w:val="center"/>
            <w:hideMark/>
          </w:tcPr>
          <w:p w:rsidR="00C75CC9" w:rsidRPr="00B31AA0" w:rsidRDefault="00C75CC9"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(38,827.00)</w:t>
            </w:r>
          </w:p>
        </w:tc>
        <w:tc>
          <w:tcPr>
            <w:tcW w:w="1208" w:type="dxa"/>
            <w:tcBorders>
              <w:top w:val="nil"/>
              <w:left w:val="single" w:sz="4" w:space="0" w:color="auto"/>
              <w:bottom w:val="single" w:sz="4" w:space="0" w:color="auto"/>
              <w:right w:val="single" w:sz="8" w:space="0" w:color="auto"/>
            </w:tcBorders>
            <w:vAlign w:val="bottom"/>
          </w:tcPr>
          <w:p w:rsidR="00C75CC9" w:rsidRPr="00C75CC9" w:rsidRDefault="00C75CC9" w:rsidP="00C75CC9">
            <w:pPr>
              <w:spacing w:after="0" w:line="240" w:lineRule="auto"/>
              <w:jc w:val="right"/>
              <w:rPr>
                <w:rFonts w:eastAsia="Times New Roman" w:cs="Calibri"/>
                <w:color w:val="000000"/>
                <w:sz w:val="16"/>
                <w:szCs w:val="16"/>
              </w:rPr>
            </w:pPr>
            <w:r w:rsidRPr="00C75CC9">
              <w:rPr>
                <w:rFonts w:eastAsia="Times New Roman" w:cs="Calibri"/>
                <w:color w:val="000000"/>
                <w:sz w:val="16"/>
                <w:szCs w:val="16"/>
              </w:rPr>
              <w:t xml:space="preserve">         257,049 </w:t>
            </w:r>
          </w:p>
        </w:tc>
        <w:tc>
          <w:tcPr>
            <w:tcW w:w="2700" w:type="dxa"/>
            <w:tcBorders>
              <w:top w:val="nil"/>
              <w:left w:val="single" w:sz="4" w:space="0" w:color="auto"/>
              <w:bottom w:val="single" w:sz="4" w:space="0" w:color="auto"/>
              <w:right w:val="single" w:sz="8" w:space="0" w:color="auto"/>
            </w:tcBorders>
            <w:vAlign w:val="center"/>
          </w:tcPr>
          <w:p w:rsidR="00C75CC9" w:rsidRPr="00304A7E" w:rsidRDefault="00C75CC9" w:rsidP="00B31AA0">
            <w:pPr>
              <w:spacing w:after="0" w:line="240" w:lineRule="auto"/>
              <w:jc w:val="both"/>
              <w:rPr>
                <w:rFonts w:eastAsia="Times New Roman" w:cs="Calibri"/>
                <w:color w:val="000000"/>
                <w:sz w:val="16"/>
                <w:szCs w:val="16"/>
              </w:rPr>
            </w:pPr>
          </w:p>
        </w:tc>
      </w:tr>
      <w:tr w:rsidR="00C75CC9" w:rsidRPr="00304A7E" w:rsidTr="00F35453">
        <w:trPr>
          <w:trHeight w:val="300"/>
        </w:trPr>
        <w:tc>
          <w:tcPr>
            <w:tcW w:w="680" w:type="dxa"/>
            <w:vMerge/>
            <w:tcBorders>
              <w:top w:val="nil"/>
              <w:left w:val="single" w:sz="8" w:space="0" w:color="auto"/>
              <w:bottom w:val="single" w:sz="8" w:space="0" w:color="000000"/>
              <w:right w:val="single" w:sz="4" w:space="0" w:color="auto"/>
            </w:tcBorders>
            <w:vAlign w:val="center"/>
            <w:hideMark/>
          </w:tcPr>
          <w:p w:rsidR="00C75CC9" w:rsidRPr="00304A7E" w:rsidRDefault="00C75CC9" w:rsidP="00B31AA0">
            <w:pPr>
              <w:spacing w:after="0" w:line="240" w:lineRule="auto"/>
              <w:jc w:val="center"/>
              <w:rPr>
                <w:rFonts w:eastAsia="Times New Roman" w:cs="Calibri"/>
                <w:color w:val="000000"/>
                <w:sz w:val="16"/>
                <w:szCs w:val="16"/>
              </w:rPr>
            </w:pP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rPr>
                <w:rFonts w:eastAsia="Times New Roman" w:cs="Calibri"/>
                <w:color w:val="000000"/>
                <w:sz w:val="16"/>
                <w:szCs w:val="16"/>
              </w:rPr>
            </w:pPr>
            <w:r w:rsidRPr="00304A7E">
              <w:rPr>
                <w:rFonts w:ascii="Sylfaen" w:eastAsia="Times New Roman" w:hAnsi="Sylfaen" w:cs="Sylfaen"/>
                <w:color w:val="000000"/>
                <w:sz w:val="16"/>
                <w:szCs w:val="16"/>
              </w:rPr>
              <w:t>თებერვალი</w:t>
            </w:r>
          </w:p>
        </w:tc>
        <w:tc>
          <w:tcPr>
            <w:tcW w:w="1233" w:type="dxa"/>
            <w:tcBorders>
              <w:top w:val="single" w:sz="4" w:space="0" w:color="auto"/>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4,469,200.00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3,487,715.00</w:t>
            </w:r>
          </w:p>
        </w:tc>
        <w:tc>
          <w:tcPr>
            <w:tcW w:w="1262" w:type="dxa"/>
            <w:tcBorders>
              <w:top w:val="single" w:sz="4" w:space="0" w:color="auto"/>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981,485</w:t>
            </w:r>
          </w:p>
        </w:tc>
        <w:tc>
          <w:tcPr>
            <w:tcW w:w="1262" w:type="dxa"/>
            <w:tcBorders>
              <w:top w:val="single" w:sz="4" w:space="0" w:color="auto"/>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p>
        </w:tc>
        <w:tc>
          <w:tcPr>
            <w:tcW w:w="1201" w:type="dxa"/>
            <w:tcBorders>
              <w:top w:val="single" w:sz="4" w:space="0" w:color="auto"/>
              <w:left w:val="nil"/>
              <w:bottom w:val="single" w:sz="4" w:space="0" w:color="auto"/>
              <w:right w:val="single" w:sz="4" w:space="0" w:color="auto"/>
            </w:tcBorders>
            <w:shd w:val="clear" w:color="auto" w:fill="auto"/>
            <w:noWrap/>
            <w:vAlign w:val="center"/>
            <w:hideMark/>
          </w:tcPr>
          <w:p w:rsidR="00C75CC9" w:rsidRPr="00B31AA0" w:rsidRDefault="00C75CC9"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981,485.00</w:t>
            </w:r>
          </w:p>
        </w:tc>
        <w:tc>
          <w:tcPr>
            <w:tcW w:w="1201" w:type="dxa"/>
            <w:tcBorders>
              <w:top w:val="nil"/>
              <w:left w:val="nil"/>
              <w:bottom w:val="single" w:sz="4" w:space="0" w:color="auto"/>
              <w:right w:val="single" w:sz="8" w:space="0" w:color="auto"/>
            </w:tcBorders>
            <w:shd w:val="clear" w:color="auto" w:fill="auto"/>
            <w:noWrap/>
            <w:vAlign w:val="center"/>
            <w:hideMark/>
          </w:tcPr>
          <w:p w:rsidR="00C75CC9" w:rsidRPr="00B31AA0" w:rsidRDefault="00C75CC9"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(8,573.00)</w:t>
            </w:r>
          </w:p>
        </w:tc>
        <w:tc>
          <w:tcPr>
            <w:tcW w:w="1208" w:type="dxa"/>
            <w:tcBorders>
              <w:top w:val="nil"/>
              <w:left w:val="nil"/>
              <w:bottom w:val="single" w:sz="4" w:space="0" w:color="auto"/>
              <w:right w:val="single" w:sz="8" w:space="0" w:color="auto"/>
            </w:tcBorders>
            <w:vAlign w:val="bottom"/>
          </w:tcPr>
          <w:p w:rsidR="00C75CC9" w:rsidRPr="00C75CC9" w:rsidRDefault="00C75CC9" w:rsidP="00C75CC9">
            <w:pPr>
              <w:spacing w:after="0" w:line="240" w:lineRule="auto"/>
              <w:jc w:val="right"/>
              <w:rPr>
                <w:rFonts w:eastAsia="Times New Roman" w:cs="Calibri"/>
                <w:color w:val="000000"/>
                <w:sz w:val="16"/>
                <w:szCs w:val="16"/>
              </w:rPr>
            </w:pPr>
            <w:r w:rsidRPr="00C75CC9">
              <w:rPr>
                <w:rFonts w:eastAsia="Times New Roman" w:cs="Calibri"/>
                <w:color w:val="000000"/>
                <w:sz w:val="16"/>
                <w:szCs w:val="16"/>
              </w:rPr>
              <w:t xml:space="preserve">         291,729 </w:t>
            </w:r>
          </w:p>
        </w:tc>
        <w:tc>
          <w:tcPr>
            <w:tcW w:w="2700" w:type="dxa"/>
            <w:tcBorders>
              <w:top w:val="nil"/>
              <w:left w:val="nil"/>
              <w:bottom w:val="single" w:sz="4" w:space="0" w:color="auto"/>
              <w:right w:val="single" w:sz="8" w:space="0" w:color="auto"/>
            </w:tcBorders>
            <w:vAlign w:val="center"/>
          </w:tcPr>
          <w:p w:rsidR="00C75CC9" w:rsidRPr="00304A7E" w:rsidRDefault="00C75CC9" w:rsidP="00B31AA0">
            <w:pPr>
              <w:spacing w:after="0" w:line="240" w:lineRule="auto"/>
              <w:jc w:val="both"/>
              <w:rPr>
                <w:rFonts w:eastAsia="Times New Roman" w:cs="Calibri"/>
                <w:color w:val="000000"/>
                <w:sz w:val="16"/>
                <w:szCs w:val="16"/>
              </w:rPr>
            </w:pPr>
          </w:p>
        </w:tc>
      </w:tr>
      <w:tr w:rsidR="00C75CC9" w:rsidRPr="00304A7E" w:rsidTr="00F35453">
        <w:trPr>
          <w:trHeight w:val="300"/>
        </w:trPr>
        <w:tc>
          <w:tcPr>
            <w:tcW w:w="680" w:type="dxa"/>
            <w:vMerge/>
            <w:tcBorders>
              <w:top w:val="nil"/>
              <w:left w:val="single" w:sz="8" w:space="0" w:color="auto"/>
              <w:bottom w:val="single" w:sz="8" w:space="0" w:color="000000"/>
              <w:right w:val="single" w:sz="4" w:space="0" w:color="auto"/>
            </w:tcBorders>
            <w:vAlign w:val="center"/>
            <w:hideMark/>
          </w:tcPr>
          <w:p w:rsidR="00C75CC9" w:rsidRPr="00304A7E" w:rsidRDefault="00C75CC9" w:rsidP="00B31AA0">
            <w:pPr>
              <w:spacing w:after="0" w:line="240" w:lineRule="auto"/>
              <w:jc w:val="center"/>
              <w:rPr>
                <w:rFonts w:eastAsia="Times New Roman" w:cs="Calibri"/>
                <w:color w:val="000000"/>
                <w:sz w:val="16"/>
                <w:szCs w:val="16"/>
              </w:rPr>
            </w:pPr>
          </w:p>
        </w:tc>
        <w:tc>
          <w:tcPr>
            <w:tcW w:w="1260"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rPr>
                <w:rFonts w:eastAsia="Times New Roman" w:cs="Calibri"/>
                <w:color w:val="000000"/>
                <w:sz w:val="16"/>
                <w:szCs w:val="16"/>
              </w:rPr>
            </w:pPr>
            <w:r w:rsidRPr="00304A7E">
              <w:rPr>
                <w:rFonts w:ascii="Sylfaen" w:eastAsia="Times New Roman" w:hAnsi="Sylfaen" w:cs="Sylfaen"/>
                <w:color w:val="000000"/>
                <w:sz w:val="16"/>
                <w:szCs w:val="16"/>
              </w:rPr>
              <w:t>მარტი</w:t>
            </w:r>
          </w:p>
        </w:tc>
        <w:tc>
          <w:tcPr>
            <w:tcW w:w="1233"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4,469,200.00</w:t>
            </w:r>
          </w:p>
        </w:tc>
        <w:tc>
          <w:tcPr>
            <w:tcW w:w="1418"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3,475,310.00</w:t>
            </w:r>
          </w:p>
        </w:tc>
        <w:tc>
          <w:tcPr>
            <w:tcW w:w="1262"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993,890</w:t>
            </w:r>
          </w:p>
        </w:tc>
        <w:tc>
          <w:tcPr>
            <w:tcW w:w="1262"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p>
        </w:tc>
        <w:tc>
          <w:tcPr>
            <w:tcW w:w="1201" w:type="dxa"/>
            <w:tcBorders>
              <w:top w:val="nil"/>
              <w:left w:val="nil"/>
              <w:bottom w:val="single" w:sz="4" w:space="0" w:color="auto"/>
              <w:right w:val="single" w:sz="4" w:space="0" w:color="auto"/>
            </w:tcBorders>
            <w:shd w:val="clear" w:color="auto" w:fill="auto"/>
            <w:noWrap/>
            <w:vAlign w:val="center"/>
            <w:hideMark/>
          </w:tcPr>
          <w:p w:rsidR="00C75CC9" w:rsidRPr="00B31AA0" w:rsidRDefault="00C75CC9"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993,890.00</w:t>
            </w:r>
          </w:p>
        </w:tc>
        <w:tc>
          <w:tcPr>
            <w:tcW w:w="1201" w:type="dxa"/>
            <w:tcBorders>
              <w:top w:val="nil"/>
              <w:left w:val="nil"/>
              <w:bottom w:val="single" w:sz="4" w:space="0" w:color="auto"/>
              <w:right w:val="single" w:sz="8" w:space="0" w:color="auto"/>
            </w:tcBorders>
            <w:shd w:val="clear" w:color="auto" w:fill="auto"/>
            <w:noWrap/>
            <w:vAlign w:val="center"/>
            <w:hideMark/>
          </w:tcPr>
          <w:p w:rsidR="00C75CC9" w:rsidRPr="00B31AA0" w:rsidRDefault="00C75CC9"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(12,405.00)</w:t>
            </w:r>
          </w:p>
        </w:tc>
        <w:tc>
          <w:tcPr>
            <w:tcW w:w="1208" w:type="dxa"/>
            <w:tcBorders>
              <w:top w:val="nil"/>
              <w:left w:val="nil"/>
              <w:bottom w:val="single" w:sz="4" w:space="0" w:color="auto"/>
              <w:right w:val="single" w:sz="8" w:space="0" w:color="auto"/>
            </w:tcBorders>
            <w:vAlign w:val="bottom"/>
          </w:tcPr>
          <w:p w:rsidR="00C75CC9" w:rsidRPr="00C75CC9" w:rsidRDefault="00C75CC9" w:rsidP="00C75CC9">
            <w:pPr>
              <w:spacing w:after="0" w:line="240" w:lineRule="auto"/>
              <w:jc w:val="right"/>
              <w:rPr>
                <w:rFonts w:eastAsia="Times New Roman" w:cs="Calibri"/>
                <w:color w:val="000000"/>
                <w:sz w:val="16"/>
                <w:szCs w:val="16"/>
              </w:rPr>
            </w:pPr>
            <w:r w:rsidRPr="00C75CC9">
              <w:rPr>
                <w:rFonts w:eastAsia="Times New Roman" w:cs="Calibri"/>
                <w:color w:val="000000"/>
                <w:sz w:val="16"/>
                <w:szCs w:val="16"/>
              </w:rPr>
              <w:t xml:space="preserve">         266,579 </w:t>
            </w:r>
          </w:p>
        </w:tc>
        <w:tc>
          <w:tcPr>
            <w:tcW w:w="2700" w:type="dxa"/>
            <w:tcBorders>
              <w:top w:val="nil"/>
              <w:left w:val="nil"/>
              <w:bottom w:val="single" w:sz="4" w:space="0" w:color="auto"/>
              <w:right w:val="single" w:sz="8" w:space="0" w:color="auto"/>
            </w:tcBorders>
            <w:vAlign w:val="center"/>
          </w:tcPr>
          <w:p w:rsidR="00C75CC9" w:rsidRPr="00304A7E" w:rsidRDefault="00C75CC9" w:rsidP="00B31AA0">
            <w:pPr>
              <w:spacing w:after="0" w:line="240" w:lineRule="auto"/>
              <w:jc w:val="both"/>
              <w:rPr>
                <w:rFonts w:eastAsia="Times New Roman" w:cs="Calibri"/>
                <w:color w:val="000000"/>
                <w:sz w:val="16"/>
                <w:szCs w:val="16"/>
              </w:rPr>
            </w:pPr>
          </w:p>
        </w:tc>
      </w:tr>
      <w:tr w:rsidR="00C75CC9" w:rsidRPr="00304A7E" w:rsidTr="00F35453">
        <w:trPr>
          <w:trHeight w:val="300"/>
        </w:trPr>
        <w:tc>
          <w:tcPr>
            <w:tcW w:w="680" w:type="dxa"/>
            <w:vMerge/>
            <w:tcBorders>
              <w:top w:val="nil"/>
              <w:left w:val="single" w:sz="8" w:space="0" w:color="auto"/>
              <w:bottom w:val="single" w:sz="8" w:space="0" w:color="000000"/>
              <w:right w:val="single" w:sz="4" w:space="0" w:color="auto"/>
            </w:tcBorders>
            <w:vAlign w:val="center"/>
            <w:hideMark/>
          </w:tcPr>
          <w:p w:rsidR="00C75CC9" w:rsidRPr="00304A7E" w:rsidRDefault="00C75CC9" w:rsidP="00B31AA0">
            <w:pPr>
              <w:spacing w:after="0" w:line="240" w:lineRule="auto"/>
              <w:jc w:val="center"/>
              <w:rPr>
                <w:rFonts w:eastAsia="Times New Roman" w:cs="Calibri"/>
                <w:color w:val="000000"/>
                <w:sz w:val="16"/>
                <w:szCs w:val="16"/>
              </w:rPr>
            </w:pPr>
          </w:p>
        </w:tc>
        <w:tc>
          <w:tcPr>
            <w:tcW w:w="1260"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rPr>
                <w:rFonts w:eastAsia="Times New Roman" w:cs="Calibri"/>
                <w:color w:val="000000"/>
                <w:sz w:val="16"/>
                <w:szCs w:val="16"/>
              </w:rPr>
            </w:pPr>
            <w:r w:rsidRPr="00304A7E">
              <w:rPr>
                <w:rFonts w:ascii="Sylfaen" w:eastAsia="Times New Roman" w:hAnsi="Sylfaen" w:cs="Sylfaen"/>
                <w:color w:val="000000"/>
                <w:sz w:val="16"/>
                <w:szCs w:val="16"/>
              </w:rPr>
              <w:t>აპრილი</w:t>
            </w:r>
          </w:p>
        </w:tc>
        <w:tc>
          <w:tcPr>
            <w:tcW w:w="1233"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4,469,200.00</w:t>
            </w:r>
          </w:p>
        </w:tc>
        <w:tc>
          <w:tcPr>
            <w:tcW w:w="1418"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3,512,179.00</w:t>
            </w:r>
          </w:p>
        </w:tc>
        <w:tc>
          <w:tcPr>
            <w:tcW w:w="1262"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957,021</w:t>
            </w:r>
          </w:p>
        </w:tc>
        <w:tc>
          <w:tcPr>
            <w:tcW w:w="1262"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p>
        </w:tc>
        <w:tc>
          <w:tcPr>
            <w:tcW w:w="1201" w:type="dxa"/>
            <w:tcBorders>
              <w:top w:val="nil"/>
              <w:left w:val="nil"/>
              <w:bottom w:val="single" w:sz="4" w:space="0" w:color="auto"/>
              <w:right w:val="single" w:sz="4" w:space="0" w:color="auto"/>
            </w:tcBorders>
            <w:shd w:val="clear" w:color="auto" w:fill="auto"/>
            <w:noWrap/>
            <w:vAlign w:val="center"/>
            <w:hideMark/>
          </w:tcPr>
          <w:p w:rsidR="00C75CC9" w:rsidRPr="00B31AA0" w:rsidRDefault="00C75CC9"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957,021.00</w:t>
            </w:r>
          </w:p>
        </w:tc>
        <w:tc>
          <w:tcPr>
            <w:tcW w:w="1201" w:type="dxa"/>
            <w:tcBorders>
              <w:top w:val="nil"/>
              <w:left w:val="nil"/>
              <w:bottom w:val="single" w:sz="4" w:space="0" w:color="auto"/>
              <w:right w:val="single" w:sz="8" w:space="0" w:color="auto"/>
            </w:tcBorders>
            <w:shd w:val="clear" w:color="auto" w:fill="auto"/>
            <w:noWrap/>
            <w:vAlign w:val="center"/>
            <w:hideMark/>
          </w:tcPr>
          <w:p w:rsidR="00C75CC9" w:rsidRPr="00B31AA0" w:rsidRDefault="00C75CC9"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36,869.00</w:t>
            </w:r>
          </w:p>
        </w:tc>
        <w:tc>
          <w:tcPr>
            <w:tcW w:w="1208" w:type="dxa"/>
            <w:tcBorders>
              <w:top w:val="nil"/>
              <w:left w:val="nil"/>
              <w:bottom w:val="single" w:sz="4" w:space="0" w:color="auto"/>
              <w:right w:val="single" w:sz="8" w:space="0" w:color="auto"/>
            </w:tcBorders>
            <w:vAlign w:val="bottom"/>
          </w:tcPr>
          <w:p w:rsidR="00C75CC9" w:rsidRPr="00C75CC9" w:rsidRDefault="00C75CC9" w:rsidP="00C75CC9">
            <w:pPr>
              <w:spacing w:after="0" w:line="240" w:lineRule="auto"/>
              <w:jc w:val="right"/>
              <w:rPr>
                <w:rFonts w:eastAsia="Times New Roman" w:cs="Calibri"/>
                <w:color w:val="000000"/>
                <w:sz w:val="16"/>
                <w:szCs w:val="16"/>
              </w:rPr>
            </w:pPr>
            <w:r w:rsidRPr="00C75CC9">
              <w:rPr>
                <w:rFonts w:eastAsia="Times New Roman" w:cs="Calibri"/>
                <w:color w:val="000000"/>
                <w:sz w:val="16"/>
                <w:szCs w:val="16"/>
              </w:rPr>
              <w:t xml:space="preserve">         200,799 </w:t>
            </w:r>
          </w:p>
        </w:tc>
        <w:tc>
          <w:tcPr>
            <w:tcW w:w="2700" w:type="dxa"/>
            <w:tcBorders>
              <w:top w:val="nil"/>
              <w:left w:val="nil"/>
              <w:bottom w:val="single" w:sz="4" w:space="0" w:color="auto"/>
              <w:right w:val="single" w:sz="8" w:space="0" w:color="auto"/>
            </w:tcBorders>
            <w:vAlign w:val="center"/>
          </w:tcPr>
          <w:p w:rsidR="00C75CC9" w:rsidRPr="00304A7E" w:rsidRDefault="00C75CC9" w:rsidP="00B31AA0">
            <w:pPr>
              <w:spacing w:after="0" w:line="240" w:lineRule="auto"/>
              <w:jc w:val="both"/>
              <w:rPr>
                <w:rFonts w:eastAsia="Times New Roman" w:cs="Calibri"/>
                <w:color w:val="000000"/>
                <w:sz w:val="16"/>
                <w:szCs w:val="16"/>
              </w:rPr>
            </w:pPr>
          </w:p>
        </w:tc>
      </w:tr>
      <w:tr w:rsidR="00C75CC9" w:rsidRPr="00304A7E" w:rsidTr="00F35453">
        <w:trPr>
          <w:trHeight w:val="300"/>
        </w:trPr>
        <w:tc>
          <w:tcPr>
            <w:tcW w:w="680" w:type="dxa"/>
            <w:vMerge/>
            <w:tcBorders>
              <w:top w:val="nil"/>
              <w:left w:val="single" w:sz="8" w:space="0" w:color="auto"/>
              <w:bottom w:val="single" w:sz="8" w:space="0" w:color="000000"/>
              <w:right w:val="single" w:sz="4" w:space="0" w:color="auto"/>
            </w:tcBorders>
            <w:vAlign w:val="center"/>
            <w:hideMark/>
          </w:tcPr>
          <w:p w:rsidR="00C75CC9" w:rsidRPr="00304A7E" w:rsidRDefault="00C75CC9" w:rsidP="00B31AA0">
            <w:pPr>
              <w:spacing w:after="0" w:line="240" w:lineRule="auto"/>
              <w:jc w:val="center"/>
              <w:rPr>
                <w:rFonts w:eastAsia="Times New Roman" w:cs="Calibri"/>
                <w:color w:val="000000"/>
                <w:sz w:val="16"/>
                <w:szCs w:val="16"/>
              </w:rPr>
            </w:pPr>
          </w:p>
        </w:tc>
        <w:tc>
          <w:tcPr>
            <w:tcW w:w="1260"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rPr>
                <w:rFonts w:eastAsia="Times New Roman" w:cs="Calibri"/>
                <w:color w:val="000000"/>
                <w:sz w:val="16"/>
                <w:szCs w:val="16"/>
              </w:rPr>
            </w:pPr>
            <w:r w:rsidRPr="00304A7E">
              <w:rPr>
                <w:rFonts w:ascii="Sylfaen" w:eastAsia="Times New Roman" w:hAnsi="Sylfaen" w:cs="Sylfaen"/>
                <w:color w:val="000000"/>
                <w:sz w:val="16"/>
                <w:szCs w:val="16"/>
              </w:rPr>
              <w:t>მაისი</w:t>
            </w:r>
          </w:p>
        </w:tc>
        <w:tc>
          <w:tcPr>
            <w:tcW w:w="1233"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4,469,200.00</w:t>
            </w:r>
          </w:p>
        </w:tc>
        <w:tc>
          <w:tcPr>
            <w:tcW w:w="1418"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3,542,714.00</w:t>
            </w:r>
          </w:p>
        </w:tc>
        <w:tc>
          <w:tcPr>
            <w:tcW w:w="1262"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926,486</w:t>
            </w:r>
          </w:p>
        </w:tc>
        <w:tc>
          <w:tcPr>
            <w:tcW w:w="1262"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p>
        </w:tc>
        <w:tc>
          <w:tcPr>
            <w:tcW w:w="1201" w:type="dxa"/>
            <w:tcBorders>
              <w:top w:val="nil"/>
              <w:left w:val="nil"/>
              <w:bottom w:val="single" w:sz="4" w:space="0" w:color="auto"/>
              <w:right w:val="single" w:sz="4" w:space="0" w:color="auto"/>
            </w:tcBorders>
            <w:shd w:val="clear" w:color="auto" w:fill="auto"/>
            <w:noWrap/>
            <w:vAlign w:val="center"/>
            <w:hideMark/>
          </w:tcPr>
          <w:p w:rsidR="00C75CC9" w:rsidRPr="00B31AA0" w:rsidRDefault="00C75CC9"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926,486.00</w:t>
            </w:r>
          </w:p>
        </w:tc>
        <w:tc>
          <w:tcPr>
            <w:tcW w:w="1201" w:type="dxa"/>
            <w:tcBorders>
              <w:top w:val="nil"/>
              <w:left w:val="nil"/>
              <w:bottom w:val="single" w:sz="4" w:space="0" w:color="auto"/>
              <w:right w:val="single" w:sz="8" w:space="0" w:color="auto"/>
            </w:tcBorders>
            <w:shd w:val="clear" w:color="auto" w:fill="auto"/>
            <w:noWrap/>
            <w:vAlign w:val="center"/>
            <w:hideMark/>
          </w:tcPr>
          <w:p w:rsidR="00C75CC9" w:rsidRPr="00B31AA0" w:rsidRDefault="00C75CC9"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30,535.00</w:t>
            </w:r>
          </w:p>
        </w:tc>
        <w:tc>
          <w:tcPr>
            <w:tcW w:w="1208" w:type="dxa"/>
            <w:tcBorders>
              <w:top w:val="nil"/>
              <w:left w:val="nil"/>
              <w:bottom w:val="single" w:sz="4" w:space="0" w:color="auto"/>
              <w:right w:val="single" w:sz="8" w:space="0" w:color="auto"/>
            </w:tcBorders>
            <w:vAlign w:val="bottom"/>
          </w:tcPr>
          <w:p w:rsidR="00C75CC9" w:rsidRPr="00C75CC9" w:rsidRDefault="00C75CC9" w:rsidP="00C75CC9">
            <w:pPr>
              <w:spacing w:after="0" w:line="240" w:lineRule="auto"/>
              <w:jc w:val="right"/>
              <w:rPr>
                <w:rFonts w:eastAsia="Times New Roman" w:cs="Calibri"/>
                <w:color w:val="000000"/>
                <w:sz w:val="16"/>
                <w:szCs w:val="16"/>
              </w:rPr>
            </w:pPr>
            <w:r w:rsidRPr="00C75CC9">
              <w:rPr>
                <w:rFonts w:eastAsia="Times New Roman" w:cs="Calibri"/>
                <w:color w:val="000000"/>
                <w:sz w:val="16"/>
                <w:szCs w:val="16"/>
              </w:rPr>
              <w:t xml:space="preserve">         269,593 </w:t>
            </w:r>
          </w:p>
        </w:tc>
        <w:tc>
          <w:tcPr>
            <w:tcW w:w="2700" w:type="dxa"/>
            <w:tcBorders>
              <w:top w:val="nil"/>
              <w:left w:val="nil"/>
              <w:bottom w:val="single" w:sz="4" w:space="0" w:color="auto"/>
              <w:right w:val="single" w:sz="8" w:space="0" w:color="auto"/>
            </w:tcBorders>
            <w:vAlign w:val="center"/>
          </w:tcPr>
          <w:p w:rsidR="00C75CC9" w:rsidRPr="00304A7E" w:rsidRDefault="00C75CC9" w:rsidP="00B31AA0">
            <w:pPr>
              <w:spacing w:after="0" w:line="240" w:lineRule="auto"/>
              <w:jc w:val="both"/>
              <w:rPr>
                <w:rFonts w:eastAsia="Times New Roman" w:cs="Calibri"/>
                <w:color w:val="000000"/>
                <w:sz w:val="16"/>
                <w:szCs w:val="16"/>
              </w:rPr>
            </w:pPr>
          </w:p>
        </w:tc>
      </w:tr>
      <w:tr w:rsidR="00C75CC9" w:rsidRPr="00304A7E" w:rsidTr="00F35453">
        <w:trPr>
          <w:trHeight w:val="300"/>
        </w:trPr>
        <w:tc>
          <w:tcPr>
            <w:tcW w:w="680" w:type="dxa"/>
            <w:vMerge/>
            <w:tcBorders>
              <w:top w:val="nil"/>
              <w:left w:val="single" w:sz="8" w:space="0" w:color="auto"/>
              <w:bottom w:val="single" w:sz="8" w:space="0" w:color="000000"/>
              <w:right w:val="single" w:sz="4" w:space="0" w:color="auto"/>
            </w:tcBorders>
            <w:vAlign w:val="center"/>
            <w:hideMark/>
          </w:tcPr>
          <w:p w:rsidR="00C75CC9" w:rsidRPr="00304A7E" w:rsidRDefault="00C75CC9" w:rsidP="00B31AA0">
            <w:pPr>
              <w:spacing w:after="0" w:line="240" w:lineRule="auto"/>
              <w:jc w:val="center"/>
              <w:rPr>
                <w:rFonts w:eastAsia="Times New Roman" w:cs="Calibri"/>
                <w:color w:val="000000"/>
                <w:sz w:val="16"/>
                <w:szCs w:val="16"/>
              </w:rPr>
            </w:pPr>
          </w:p>
        </w:tc>
        <w:tc>
          <w:tcPr>
            <w:tcW w:w="1260"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rPr>
                <w:rFonts w:eastAsia="Times New Roman" w:cs="Calibri"/>
                <w:color w:val="000000"/>
                <w:sz w:val="16"/>
                <w:szCs w:val="16"/>
              </w:rPr>
            </w:pPr>
            <w:r w:rsidRPr="00304A7E">
              <w:rPr>
                <w:rFonts w:ascii="Sylfaen" w:eastAsia="Times New Roman" w:hAnsi="Sylfaen" w:cs="Sylfaen"/>
                <w:color w:val="000000"/>
                <w:sz w:val="16"/>
                <w:szCs w:val="16"/>
              </w:rPr>
              <w:t>ივნისი</w:t>
            </w:r>
          </w:p>
        </w:tc>
        <w:tc>
          <w:tcPr>
            <w:tcW w:w="1233"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4,469,200.00</w:t>
            </w:r>
          </w:p>
        </w:tc>
        <w:tc>
          <w:tcPr>
            <w:tcW w:w="1418"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3,558,567.00</w:t>
            </w:r>
          </w:p>
        </w:tc>
        <w:tc>
          <w:tcPr>
            <w:tcW w:w="1262"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910,633</w:t>
            </w:r>
          </w:p>
        </w:tc>
        <w:tc>
          <w:tcPr>
            <w:tcW w:w="1262"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p>
        </w:tc>
        <w:tc>
          <w:tcPr>
            <w:tcW w:w="1201" w:type="dxa"/>
            <w:tcBorders>
              <w:top w:val="nil"/>
              <w:left w:val="nil"/>
              <w:bottom w:val="single" w:sz="4" w:space="0" w:color="auto"/>
              <w:right w:val="single" w:sz="4" w:space="0" w:color="auto"/>
            </w:tcBorders>
            <w:shd w:val="clear" w:color="auto" w:fill="auto"/>
            <w:noWrap/>
            <w:vAlign w:val="center"/>
            <w:hideMark/>
          </w:tcPr>
          <w:p w:rsidR="00C75CC9" w:rsidRPr="00B31AA0" w:rsidRDefault="00C75CC9"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910,633.00</w:t>
            </w:r>
          </w:p>
        </w:tc>
        <w:tc>
          <w:tcPr>
            <w:tcW w:w="1201" w:type="dxa"/>
            <w:tcBorders>
              <w:top w:val="nil"/>
              <w:left w:val="nil"/>
              <w:bottom w:val="single" w:sz="4" w:space="0" w:color="auto"/>
              <w:right w:val="single" w:sz="8" w:space="0" w:color="auto"/>
            </w:tcBorders>
            <w:shd w:val="clear" w:color="auto" w:fill="auto"/>
            <w:noWrap/>
            <w:vAlign w:val="center"/>
            <w:hideMark/>
          </w:tcPr>
          <w:p w:rsidR="00C75CC9" w:rsidRPr="00B31AA0" w:rsidRDefault="00C75CC9"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15,853.00</w:t>
            </w:r>
          </w:p>
        </w:tc>
        <w:tc>
          <w:tcPr>
            <w:tcW w:w="1208" w:type="dxa"/>
            <w:tcBorders>
              <w:top w:val="nil"/>
              <w:left w:val="nil"/>
              <w:bottom w:val="single" w:sz="4" w:space="0" w:color="auto"/>
              <w:right w:val="single" w:sz="8" w:space="0" w:color="auto"/>
            </w:tcBorders>
            <w:vAlign w:val="bottom"/>
          </w:tcPr>
          <w:p w:rsidR="00C75CC9" w:rsidRPr="00C75CC9" w:rsidRDefault="00C75CC9" w:rsidP="00C75CC9">
            <w:pPr>
              <w:spacing w:after="0" w:line="240" w:lineRule="auto"/>
              <w:jc w:val="right"/>
              <w:rPr>
                <w:rFonts w:eastAsia="Times New Roman" w:cs="Calibri"/>
                <w:color w:val="000000"/>
                <w:sz w:val="16"/>
                <w:szCs w:val="16"/>
              </w:rPr>
            </w:pPr>
            <w:r w:rsidRPr="00C75CC9">
              <w:rPr>
                <w:rFonts w:eastAsia="Times New Roman" w:cs="Calibri"/>
                <w:color w:val="000000"/>
                <w:sz w:val="16"/>
                <w:szCs w:val="16"/>
              </w:rPr>
              <w:t xml:space="preserve">         253,853 </w:t>
            </w:r>
          </w:p>
        </w:tc>
        <w:tc>
          <w:tcPr>
            <w:tcW w:w="2700" w:type="dxa"/>
            <w:tcBorders>
              <w:top w:val="nil"/>
              <w:left w:val="nil"/>
              <w:bottom w:val="single" w:sz="4" w:space="0" w:color="auto"/>
              <w:right w:val="single" w:sz="8" w:space="0" w:color="auto"/>
            </w:tcBorders>
            <w:vAlign w:val="center"/>
          </w:tcPr>
          <w:p w:rsidR="00C75CC9" w:rsidRPr="00304A7E" w:rsidRDefault="00C75CC9" w:rsidP="00B31AA0">
            <w:pPr>
              <w:spacing w:after="0" w:line="240" w:lineRule="auto"/>
              <w:jc w:val="both"/>
              <w:rPr>
                <w:rFonts w:eastAsia="Times New Roman" w:cs="Calibri"/>
                <w:color w:val="000000"/>
                <w:sz w:val="16"/>
                <w:szCs w:val="16"/>
              </w:rPr>
            </w:pPr>
          </w:p>
        </w:tc>
      </w:tr>
      <w:tr w:rsidR="00C75CC9" w:rsidRPr="00304A7E" w:rsidTr="00F35453">
        <w:trPr>
          <w:trHeight w:val="300"/>
        </w:trPr>
        <w:tc>
          <w:tcPr>
            <w:tcW w:w="680" w:type="dxa"/>
            <w:vMerge/>
            <w:tcBorders>
              <w:top w:val="nil"/>
              <w:left w:val="single" w:sz="8" w:space="0" w:color="auto"/>
              <w:bottom w:val="single" w:sz="8" w:space="0" w:color="000000"/>
              <w:right w:val="single" w:sz="4" w:space="0" w:color="auto"/>
            </w:tcBorders>
            <w:vAlign w:val="center"/>
            <w:hideMark/>
          </w:tcPr>
          <w:p w:rsidR="00C75CC9" w:rsidRPr="00304A7E" w:rsidRDefault="00C75CC9" w:rsidP="00B31AA0">
            <w:pPr>
              <w:spacing w:after="0" w:line="240" w:lineRule="auto"/>
              <w:jc w:val="center"/>
              <w:rPr>
                <w:rFonts w:eastAsia="Times New Roman" w:cs="Calibri"/>
                <w:color w:val="000000"/>
                <w:sz w:val="16"/>
                <w:szCs w:val="16"/>
              </w:rPr>
            </w:pPr>
          </w:p>
        </w:tc>
        <w:tc>
          <w:tcPr>
            <w:tcW w:w="1260"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rPr>
                <w:rFonts w:eastAsia="Times New Roman" w:cs="Calibri"/>
                <w:color w:val="000000"/>
                <w:sz w:val="16"/>
                <w:szCs w:val="16"/>
              </w:rPr>
            </w:pPr>
            <w:r w:rsidRPr="00304A7E">
              <w:rPr>
                <w:rFonts w:ascii="Sylfaen" w:eastAsia="Times New Roman" w:hAnsi="Sylfaen" w:cs="Sylfaen"/>
                <w:color w:val="000000"/>
                <w:sz w:val="16"/>
                <w:szCs w:val="16"/>
              </w:rPr>
              <w:t>ივლისი</w:t>
            </w:r>
          </w:p>
        </w:tc>
        <w:tc>
          <w:tcPr>
            <w:tcW w:w="1233"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4,469,200.00</w:t>
            </w:r>
          </w:p>
        </w:tc>
        <w:tc>
          <w:tcPr>
            <w:tcW w:w="1418"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3,580,809.00</w:t>
            </w:r>
          </w:p>
        </w:tc>
        <w:tc>
          <w:tcPr>
            <w:tcW w:w="1262"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888,391</w:t>
            </w:r>
          </w:p>
        </w:tc>
        <w:tc>
          <w:tcPr>
            <w:tcW w:w="1262"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p>
        </w:tc>
        <w:tc>
          <w:tcPr>
            <w:tcW w:w="1201" w:type="dxa"/>
            <w:tcBorders>
              <w:top w:val="nil"/>
              <w:left w:val="nil"/>
              <w:bottom w:val="single" w:sz="4" w:space="0" w:color="auto"/>
              <w:right w:val="single" w:sz="4" w:space="0" w:color="auto"/>
            </w:tcBorders>
            <w:shd w:val="clear" w:color="auto" w:fill="auto"/>
            <w:noWrap/>
            <w:vAlign w:val="center"/>
            <w:hideMark/>
          </w:tcPr>
          <w:p w:rsidR="00C75CC9" w:rsidRPr="00B31AA0" w:rsidRDefault="00C75CC9"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888,391.00</w:t>
            </w:r>
          </w:p>
        </w:tc>
        <w:tc>
          <w:tcPr>
            <w:tcW w:w="1201" w:type="dxa"/>
            <w:tcBorders>
              <w:top w:val="nil"/>
              <w:left w:val="nil"/>
              <w:bottom w:val="single" w:sz="4" w:space="0" w:color="auto"/>
              <w:right w:val="single" w:sz="8" w:space="0" w:color="auto"/>
            </w:tcBorders>
            <w:shd w:val="clear" w:color="auto" w:fill="auto"/>
            <w:noWrap/>
            <w:vAlign w:val="center"/>
            <w:hideMark/>
          </w:tcPr>
          <w:p w:rsidR="00C75CC9" w:rsidRPr="00B31AA0" w:rsidRDefault="00C75CC9"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22,242.00</w:t>
            </w:r>
          </w:p>
        </w:tc>
        <w:tc>
          <w:tcPr>
            <w:tcW w:w="1208" w:type="dxa"/>
            <w:tcBorders>
              <w:top w:val="nil"/>
              <w:left w:val="nil"/>
              <w:bottom w:val="single" w:sz="4" w:space="0" w:color="auto"/>
              <w:right w:val="single" w:sz="8" w:space="0" w:color="auto"/>
            </w:tcBorders>
            <w:vAlign w:val="bottom"/>
          </w:tcPr>
          <w:p w:rsidR="00C75CC9" w:rsidRPr="00C75CC9" w:rsidRDefault="00C75CC9" w:rsidP="00C75CC9">
            <w:pPr>
              <w:spacing w:after="0" w:line="240" w:lineRule="auto"/>
              <w:jc w:val="right"/>
              <w:rPr>
                <w:rFonts w:eastAsia="Times New Roman" w:cs="Calibri"/>
                <w:color w:val="000000"/>
                <w:sz w:val="16"/>
                <w:szCs w:val="16"/>
              </w:rPr>
            </w:pPr>
            <w:r w:rsidRPr="00C75CC9">
              <w:rPr>
                <w:rFonts w:eastAsia="Times New Roman" w:cs="Calibri"/>
                <w:color w:val="000000"/>
                <w:sz w:val="16"/>
                <w:szCs w:val="16"/>
              </w:rPr>
              <w:t xml:space="preserve">         267,873 </w:t>
            </w:r>
          </w:p>
        </w:tc>
        <w:tc>
          <w:tcPr>
            <w:tcW w:w="2700" w:type="dxa"/>
            <w:tcBorders>
              <w:top w:val="nil"/>
              <w:left w:val="nil"/>
              <w:bottom w:val="single" w:sz="4" w:space="0" w:color="auto"/>
              <w:right w:val="single" w:sz="8" w:space="0" w:color="auto"/>
            </w:tcBorders>
            <w:vAlign w:val="center"/>
          </w:tcPr>
          <w:p w:rsidR="00C75CC9" w:rsidRPr="00304A7E" w:rsidRDefault="00C75CC9" w:rsidP="00B31AA0">
            <w:pPr>
              <w:spacing w:after="0" w:line="240" w:lineRule="auto"/>
              <w:jc w:val="both"/>
              <w:rPr>
                <w:rFonts w:eastAsia="Times New Roman" w:cs="Calibri"/>
                <w:color w:val="000000"/>
                <w:sz w:val="16"/>
                <w:szCs w:val="16"/>
              </w:rPr>
            </w:pPr>
          </w:p>
        </w:tc>
      </w:tr>
      <w:tr w:rsidR="00C75CC9" w:rsidRPr="00304A7E" w:rsidTr="00F35453">
        <w:trPr>
          <w:trHeight w:val="300"/>
        </w:trPr>
        <w:tc>
          <w:tcPr>
            <w:tcW w:w="680" w:type="dxa"/>
            <w:vMerge/>
            <w:tcBorders>
              <w:top w:val="nil"/>
              <w:left w:val="single" w:sz="8" w:space="0" w:color="auto"/>
              <w:bottom w:val="single" w:sz="8" w:space="0" w:color="000000"/>
              <w:right w:val="single" w:sz="4" w:space="0" w:color="auto"/>
            </w:tcBorders>
            <w:vAlign w:val="center"/>
            <w:hideMark/>
          </w:tcPr>
          <w:p w:rsidR="00C75CC9" w:rsidRPr="00304A7E" w:rsidRDefault="00C75CC9" w:rsidP="00B31AA0">
            <w:pPr>
              <w:spacing w:after="0" w:line="240" w:lineRule="auto"/>
              <w:jc w:val="center"/>
              <w:rPr>
                <w:rFonts w:eastAsia="Times New Roman" w:cs="Calibri"/>
                <w:color w:val="000000"/>
                <w:sz w:val="16"/>
                <w:szCs w:val="16"/>
              </w:rPr>
            </w:pPr>
          </w:p>
        </w:tc>
        <w:tc>
          <w:tcPr>
            <w:tcW w:w="1260"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rPr>
                <w:rFonts w:eastAsia="Times New Roman" w:cs="Calibri"/>
                <w:color w:val="000000"/>
                <w:sz w:val="16"/>
                <w:szCs w:val="16"/>
              </w:rPr>
            </w:pPr>
            <w:r w:rsidRPr="00304A7E">
              <w:rPr>
                <w:rFonts w:ascii="Sylfaen" w:eastAsia="Times New Roman" w:hAnsi="Sylfaen" w:cs="Sylfaen"/>
                <w:color w:val="000000"/>
                <w:sz w:val="16"/>
                <w:szCs w:val="16"/>
              </w:rPr>
              <w:t>აგვისტო</w:t>
            </w:r>
          </w:p>
        </w:tc>
        <w:tc>
          <w:tcPr>
            <w:tcW w:w="1233"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4,469,200.00</w:t>
            </w:r>
          </w:p>
        </w:tc>
        <w:tc>
          <w:tcPr>
            <w:tcW w:w="1418"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3,594,939.00</w:t>
            </w:r>
          </w:p>
        </w:tc>
        <w:tc>
          <w:tcPr>
            <w:tcW w:w="1262"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874,261</w:t>
            </w:r>
          </w:p>
        </w:tc>
        <w:tc>
          <w:tcPr>
            <w:tcW w:w="1262"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p>
        </w:tc>
        <w:tc>
          <w:tcPr>
            <w:tcW w:w="1201" w:type="dxa"/>
            <w:tcBorders>
              <w:top w:val="nil"/>
              <w:left w:val="nil"/>
              <w:bottom w:val="single" w:sz="4" w:space="0" w:color="auto"/>
              <w:right w:val="single" w:sz="4" w:space="0" w:color="auto"/>
            </w:tcBorders>
            <w:shd w:val="clear" w:color="auto" w:fill="auto"/>
            <w:noWrap/>
            <w:vAlign w:val="center"/>
            <w:hideMark/>
          </w:tcPr>
          <w:p w:rsidR="00C75CC9" w:rsidRPr="00B31AA0" w:rsidRDefault="00C75CC9"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874,261.00</w:t>
            </w:r>
          </w:p>
        </w:tc>
        <w:tc>
          <w:tcPr>
            <w:tcW w:w="1201" w:type="dxa"/>
            <w:tcBorders>
              <w:top w:val="nil"/>
              <w:left w:val="nil"/>
              <w:bottom w:val="single" w:sz="4" w:space="0" w:color="auto"/>
              <w:right w:val="single" w:sz="8" w:space="0" w:color="auto"/>
            </w:tcBorders>
            <w:shd w:val="clear" w:color="auto" w:fill="auto"/>
            <w:noWrap/>
            <w:vAlign w:val="center"/>
            <w:hideMark/>
          </w:tcPr>
          <w:p w:rsidR="00C75CC9" w:rsidRPr="00B31AA0" w:rsidRDefault="00C75CC9"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14,130.00</w:t>
            </w:r>
          </w:p>
        </w:tc>
        <w:tc>
          <w:tcPr>
            <w:tcW w:w="1208" w:type="dxa"/>
            <w:tcBorders>
              <w:top w:val="nil"/>
              <w:left w:val="nil"/>
              <w:bottom w:val="single" w:sz="4" w:space="0" w:color="auto"/>
              <w:right w:val="single" w:sz="8" w:space="0" w:color="auto"/>
            </w:tcBorders>
            <w:vAlign w:val="bottom"/>
          </w:tcPr>
          <w:p w:rsidR="00C75CC9" w:rsidRPr="00C75CC9" w:rsidRDefault="00C75CC9" w:rsidP="00C75CC9">
            <w:pPr>
              <w:spacing w:after="0" w:line="240" w:lineRule="auto"/>
              <w:jc w:val="right"/>
              <w:rPr>
                <w:rFonts w:eastAsia="Times New Roman" w:cs="Calibri"/>
                <w:color w:val="000000"/>
                <w:sz w:val="16"/>
                <w:szCs w:val="16"/>
              </w:rPr>
            </w:pPr>
            <w:r w:rsidRPr="00C75CC9">
              <w:rPr>
                <w:rFonts w:eastAsia="Times New Roman" w:cs="Calibri"/>
                <w:color w:val="000000"/>
                <w:sz w:val="16"/>
                <w:szCs w:val="16"/>
              </w:rPr>
              <w:t xml:space="preserve">         263,430 </w:t>
            </w:r>
          </w:p>
        </w:tc>
        <w:tc>
          <w:tcPr>
            <w:tcW w:w="2700" w:type="dxa"/>
            <w:tcBorders>
              <w:top w:val="nil"/>
              <w:left w:val="nil"/>
              <w:bottom w:val="single" w:sz="4" w:space="0" w:color="auto"/>
              <w:right w:val="single" w:sz="8" w:space="0" w:color="auto"/>
            </w:tcBorders>
            <w:vAlign w:val="center"/>
          </w:tcPr>
          <w:p w:rsidR="00C75CC9" w:rsidRPr="00304A7E" w:rsidRDefault="00C75CC9" w:rsidP="00B31AA0">
            <w:pPr>
              <w:spacing w:after="0" w:line="240" w:lineRule="auto"/>
              <w:jc w:val="both"/>
              <w:rPr>
                <w:rFonts w:eastAsia="Times New Roman" w:cs="Calibri"/>
                <w:color w:val="000000"/>
                <w:sz w:val="16"/>
                <w:szCs w:val="16"/>
              </w:rPr>
            </w:pPr>
          </w:p>
        </w:tc>
      </w:tr>
      <w:tr w:rsidR="00C75CC9" w:rsidRPr="00304A7E" w:rsidTr="00F35453">
        <w:trPr>
          <w:trHeight w:val="300"/>
        </w:trPr>
        <w:tc>
          <w:tcPr>
            <w:tcW w:w="680" w:type="dxa"/>
            <w:vMerge/>
            <w:tcBorders>
              <w:top w:val="nil"/>
              <w:left w:val="single" w:sz="8" w:space="0" w:color="auto"/>
              <w:bottom w:val="single" w:sz="8" w:space="0" w:color="000000"/>
              <w:right w:val="single" w:sz="4" w:space="0" w:color="auto"/>
            </w:tcBorders>
            <w:vAlign w:val="center"/>
            <w:hideMark/>
          </w:tcPr>
          <w:p w:rsidR="00C75CC9" w:rsidRPr="00304A7E" w:rsidRDefault="00C75CC9" w:rsidP="00B31AA0">
            <w:pPr>
              <w:spacing w:after="0" w:line="240" w:lineRule="auto"/>
              <w:jc w:val="center"/>
              <w:rPr>
                <w:rFonts w:eastAsia="Times New Roman" w:cs="Calibri"/>
                <w:color w:val="000000"/>
                <w:sz w:val="16"/>
                <w:szCs w:val="16"/>
              </w:rPr>
            </w:pPr>
          </w:p>
        </w:tc>
        <w:tc>
          <w:tcPr>
            <w:tcW w:w="1260"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rPr>
                <w:rFonts w:eastAsia="Times New Roman" w:cs="Calibri"/>
                <w:color w:val="000000"/>
                <w:sz w:val="16"/>
                <w:szCs w:val="16"/>
              </w:rPr>
            </w:pPr>
            <w:r w:rsidRPr="00304A7E">
              <w:rPr>
                <w:rFonts w:ascii="Sylfaen" w:eastAsia="Times New Roman" w:hAnsi="Sylfaen" w:cs="Sylfaen"/>
                <w:color w:val="000000"/>
                <w:sz w:val="16"/>
                <w:szCs w:val="16"/>
              </w:rPr>
              <w:t>სექტემბერი</w:t>
            </w:r>
          </w:p>
        </w:tc>
        <w:tc>
          <w:tcPr>
            <w:tcW w:w="1233"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4,469,200.00</w:t>
            </w:r>
          </w:p>
        </w:tc>
        <w:tc>
          <w:tcPr>
            <w:tcW w:w="1418"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3,612,058.00</w:t>
            </w:r>
          </w:p>
        </w:tc>
        <w:tc>
          <w:tcPr>
            <w:tcW w:w="1262"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857,142</w:t>
            </w:r>
          </w:p>
        </w:tc>
        <w:tc>
          <w:tcPr>
            <w:tcW w:w="1262"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p>
        </w:tc>
        <w:tc>
          <w:tcPr>
            <w:tcW w:w="1201" w:type="dxa"/>
            <w:tcBorders>
              <w:top w:val="nil"/>
              <w:left w:val="nil"/>
              <w:bottom w:val="single" w:sz="4" w:space="0" w:color="auto"/>
              <w:right w:val="single" w:sz="4" w:space="0" w:color="auto"/>
            </w:tcBorders>
            <w:shd w:val="clear" w:color="auto" w:fill="auto"/>
            <w:noWrap/>
            <w:vAlign w:val="center"/>
            <w:hideMark/>
          </w:tcPr>
          <w:p w:rsidR="00C75CC9" w:rsidRPr="00B31AA0" w:rsidRDefault="00C75CC9"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857,142.00</w:t>
            </w:r>
          </w:p>
        </w:tc>
        <w:tc>
          <w:tcPr>
            <w:tcW w:w="1201" w:type="dxa"/>
            <w:tcBorders>
              <w:top w:val="nil"/>
              <w:left w:val="nil"/>
              <w:bottom w:val="single" w:sz="4" w:space="0" w:color="auto"/>
              <w:right w:val="single" w:sz="8" w:space="0" w:color="auto"/>
            </w:tcBorders>
            <w:shd w:val="clear" w:color="auto" w:fill="auto"/>
            <w:noWrap/>
            <w:vAlign w:val="center"/>
            <w:hideMark/>
          </w:tcPr>
          <w:p w:rsidR="00C75CC9" w:rsidRPr="00B31AA0" w:rsidRDefault="00C75CC9"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17,119.00</w:t>
            </w:r>
          </w:p>
        </w:tc>
        <w:tc>
          <w:tcPr>
            <w:tcW w:w="1208" w:type="dxa"/>
            <w:tcBorders>
              <w:top w:val="nil"/>
              <w:left w:val="nil"/>
              <w:bottom w:val="single" w:sz="4" w:space="0" w:color="auto"/>
              <w:right w:val="single" w:sz="8" w:space="0" w:color="auto"/>
            </w:tcBorders>
            <w:vAlign w:val="bottom"/>
          </w:tcPr>
          <w:p w:rsidR="00C75CC9" w:rsidRPr="00C75CC9" w:rsidRDefault="00C75CC9" w:rsidP="00C75CC9">
            <w:pPr>
              <w:spacing w:after="0" w:line="240" w:lineRule="auto"/>
              <w:jc w:val="right"/>
              <w:rPr>
                <w:rFonts w:eastAsia="Times New Roman" w:cs="Calibri"/>
                <w:color w:val="000000"/>
                <w:sz w:val="16"/>
                <w:szCs w:val="16"/>
              </w:rPr>
            </w:pPr>
            <w:r w:rsidRPr="00C75CC9">
              <w:rPr>
                <w:rFonts w:eastAsia="Times New Roman" w:cs="Calibri"/>
                <w:color w:val="000000"/>
                <w:sz w:val="16"/>
                <w:szCs w:val="16"/>
              </w:rPr>
              <w:t xml:space="preserve">         227,816 </w:t>
            </w:r>
          </w:p>
        </w:tc>
        <w:tc>
          <w:tcPr>
            <w:tcW w:w="2700" w:type="dxa"/>
            <w:tcBorders>
              <w:top w:val="nil"/>
              <w:left w:val="nil"/>
              <w:bottom w:val="single" w:sz="4" w:space="0" w:color="auto"/>
              <w:right w:val="single" w:sz="8" w:space="0" w:color="auto"/>
            </w:tcBorders>
            <w:vAlign w:val="center"/>
          </w:tcPr>
          <w:p w:rsidR="00C75CC9" w:rsidRPr="00304A7E" w:rsidRDefault="00C75CC9" w:rsidP="00B31AA0">
            <w:pPr>
              <w:spacing w:after="0" w:line="240" w:lineRule="auto"/>
              <w:jc w:val="both"/>
              <w:rPr>
                <w:rFonts w:eastAsia="Times New Roman" w:cs="Calibri"/>
                <w:color w:val="000000"/>
                <w:sz w:val="16"/>
                <w:szCs w:val="16"/>
              </w:rPr>
            </w:pPr>
          </w:p>
        </w:tc>
      </w:tr>
      <w:tr w:rsidR="00C75CC9" w:rsidRPr="00304A7E" w:rsidTr="00F35453">
        <w:trPr>
          <w:trHeight w:val="300"/>
        </w:trPr>
        <w:tc>
          <w:tcPr>
            <w:tcW w:w="680" w:type="dxa"/>
            <w:vMerge/>
            <w:tcBorders>
              <w:top w:val="nil"/>
              <w:left w:val="single" w:sz="8" w:space="0" w:color="auto"/>
              <w:bottom w:val="single" w:sz="8" w:space="0" w:color="000000"/>
              <w:right w:val="single" w:sz="4" w:space="0" w:color="auto"/>
            </w:tcBorders>
            <w:vAlign w:val="center"/>
            <w:hideMark/>
          </w:tcPr>
          <w:p w:rsidR="00C75CC9" w:rsidRPr="00304A7E" w:rsidRDefault="00C75CC9" w:rsidP="00B31AA0">
            <w:pPr>
              <w:spacing w:after="0" w:line="240" w:lineRule="auto"/>
              <w:jc w:val="center"/>
              <w:rPr>
                <w:rFonts w:eastAsia="Times New Roman" w:cs="Calibri"/>
                <w:color w:val="000000"/>
                <w:sz w:val="16"/>
                <w:szCs w:val="16"/>
              </w:rPr>
            </w:pPr>
          </w:p>
        </w:tc>
        <w:tc>
          <w:tcPr>
            <w:tcW w:w="1260"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rPr>
                <w:rFonts w:eastAsia="Times New Roman" w:cs="Calibri"/>
                <w:color w:val="000000"/>
                <w:sz w:val="16"/>
                <w:szCs w:val="16"/>
              </w:rPr>
            </w:pPr>
            <w:r w:rsidRPr="00304A7E">
              <w:rPr>
                <w:rFonts w:ascii="Sylfaen" w:eastAsia="Times New Roman" w:hAnsi="Sylfaen" w:cs="Sylfaen"/>
                <w:color w:val="000000"/>
                <w:sz w:val="16"/>
                <w:szCs w:val="16"/>
              </w:rPr>
              <w:t>ოქტომბერი</w:t>
            </w:r>
          </w:p>
        </w:tc>
        <w:tc>
          <w:tcPr>
            <w:tcW w:w="1233"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4,469,200.00</w:t>
            </w:r>
          </w:p>
        </w:tc>
        <w:tc>
          <w:tcPr>
            <w:tcW w:w="1418"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3,619,505.00</w:t>
            </w:r>
          </w:p>
        </w:tc>
        <w:tc>
          <w:tcPr>
            <w:tcW w:w="1262"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849,695</w:t>
            </w:r>
          </w:p>
        </w:tc>
        <w:tc>
          <w:tcPr>
            <w:tcW w:w="1262"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p>
        </w:tc>
        <w:tc>
          <w:tcPr>
            <w:tcW w:w="1201" w:type="dxa"/>
            <w:tcBorders>
              <w:top w:val="nil"/>
              <w:left w:val="nil"/>
              <w:bottom w:val="single" w:sz="4" w:space="0" w:color="auto"/>
              <w:right w:val="single" w:sz="4" w:space="0" w:color="auto"/>
            </w:tcBorders>
            <w:shd w:val="clear" w:color="auto" w:fill="auto"/>
            <w:noWrap/>
            <w:vAlign w:val="center"/>
            <w:hideMark/>
          </w:tcPr>
          <w:p w:rsidR="00C75CC9" w:rsidRPr="00B31AA0" w:rsidRDefault="00C75CC9"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849,695.00</w:t>
            </w:r>
          </w:p>
        </w:tc>
        <w:tc>
          <w:tcPr>
            <w:tcW w:w="1201" w:type="dxa"/>
            <w:tcBorders>
              <w:top w:val="nil"/>
              <w:left w:val="nil"/>
              <w:bottom w:val="single" w:sz="4" w:space="0" w:color="auto"/>
              <w:right w:val="single" w:sz="8" w:space="0" w:color="auto"/>
            </w:tcBorders>
            <w:shd w:val="clear" w:color="auto" w:fill="auto"/>
            <w:noWrap/>
            <w:vAlign w:val="center"/>
            <w:hideMark/>
          </w:tcPr>
          <w:p w:rsidR="00C75CC9" w:rsidRPr="00B31AA0" w:rsidRDefault="00C75CC9"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7,447.00</w:t>
            </w:r>
          </w:p>
        </w:tc>
        <w:tc>
          <w:tcPr>
            <w:tcW w:w="1208" w:type="dxa"/>
            <w:tcBorders>
              <w:top w:val="nil"/>
              <w:left w:val="nil"/>
              <w:bottom w:val="single" w:sz="4" w:space="0" w:color="auto"/>
              <w:right w:val="single" w:sz="8" w:space="0" w:color="auto"/>
            </w:tcBorders>
            <w:vAlign w:val="bottom"/>
          </w:tcPr>
          <w:p w:rsidR="00C75CC9" w:rsidRPr="00C75CC9" w:rsidRDefault="00C75CC9" w:rsidP="00C75CC9">
            <w:pPr>
              <w:spacing w:after="0" w:line="240" w:lineRule="auto"/>
              <w:jc w:val="right"/>
              <w:rPr>
                <w:rFonts w:eastAsia="Times New Roman" w:cs="Calibri"/>
                <w:color w:val="000000"/>
                <w:sz w:val="16"/>
                <w:szCs w:val="16"/>
              </w:rPr>
            </w:pPr>
            <w:r w:rsidRPr="00C75CC9">
              <w:rPr>
                <w:rFonts w:eastAsia="Times New Roman" w:cs="Calibri"/>
                <w:color w:val="000000"/>
                <w:sz w:val="16"/>
                <w:szCs w:val="16"/>
              </w:rPr>
              <w:t xml:space="preserve">         226,404 </w:t>
            </w:r>
          </w:p>
        </w:tc>
        <w:tc>
          <w:tcPr>
            <w:tcW w:w="2700" w:type="dxa"/>
            <w:tcBorders>
              <w:top w:val="nil"/>
              <w:left w:val="nil"/>
              <w:bottom w:val="single" w:sz="4" w:space="0" w:color="auto"/>
              <w:right w:val="single" w:sz="8" w:space="0" w:color="auto"/>
            </w:tcBorders>
            <w:vAlign w:val="center"/>
          </w:tcPr>
          <w:p w:rsidR="00C75CC9" w:rsidRPr="00304A7E" w:rsidRDefault="00C75CC9" w:rsidP="00B31AA0">
            <w:pPr>
              <w:spacing w:after="0" w:line="240" w:lineRule="auto"/>
              <w:jc w:val="both"/>
              <w:rPr>
                <w:rFonts w:eastAsia="Times New Roman" w:cs="Calibri"/>
                <w:color w:val="000000"/>
                <w:sz w:val="16"/>
                <w:szCs w:val="16"/>
              </w:rPr>
            </w:pPr>
          </w:p>
        </w:tc>
      </w:tr>
      <w:tr w:rsidR="00C75CC9" w:rsidRPr="00304A7E" w:rsidTr="00F35453">
        <w:trPr>
          <w:trHeight w:val="300"/>
        </w:trPr>
        <w:tc>
          <w:tcPr>
            <w:tcW w:w="680" w:type="dxa"/>
            <w:vMerge/>
            <w:tcBorders>
              <w:top w:val="nil"/>
              <w:left w:val="single" w:sz="8" w:space="0" w:color="auto"/>
              <w:bottom w:val="single" w:sz="8" w:space="0" w:color="000000"/>
              <w:right w:val="single" w:sz="4" w:space="0" w:color="auto"/>
            </w:tcBorders>
            <w:vAlign w:val="center"/>
            <w:hideMark/>
          </w:tcPr>
          <w:p w:rsidR="00C75CC9" w:rsidRPr="00304A7E" w:rsidRDefault="00C75CC9" w:rsidP="00B31AA0">
            <w:pPr>
              <w:spacing w:after="0" w:line="240" w:lineRule="auto"/>
              <w:jc w:val="center"/>
              <w:rPr>
                <w:rFonts w:eastAsia="Times New Roman" w:cs="Calibri"/>
                <w:color w:val="000000"/>
                <w:sz w:val="16"/>
                <w:szCs w:val="16"/>
              </w:rPr>
            </w:pPr>
          </w:p>
        </w:tc>
        <w:tc>
          <w:tcPr>
            <w:tcW w:w="1260"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rPr>
                <w:rFonts w:eastAsia="Times New Roman" w:cs="Calibri"/>
                <w:color w:val="000000"/>
                <w:sz w:val="16"/>
                <w:szCs w:val="16"/>
              </w:rPr>
            </w:pPr>
            <w:r w:rsidRPr="00304A7E">
              <w:rPr>
                <w:rFonts w:ascii="Sylfaen" w:eastAsia="Times New Roman" w:hAnsi="Sylfaen" w:cs="Sylfaen"/>
                <w:color w:val="000000"/>
                <w:sz w:val="16"/>
                <w:szCs w:val="16"/>
              </w:rPr>
              <w:t>ნოემბერი</w:t>
            </w:r>
          </w:p>
        </w:tc>
        <w:tc>
          <w:tcPr>
            <w:tcW w:w="1233"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4,469,200.00</w:t>
            </w:r>
          </w:p>
        </w:tc>
        <w:tc>
          <w:tcPr>
            <w:tcW w:w="1418"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3,625,760.00</w:t>
            </w:r>
          </w:p>
        </w:tc>
        <w:tc>
          <w:tcPr>
            <w:tcW w:w="1262"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843,440</w:t>
            </w:r>
          </w:p>
        </w:tc>
        <w:tc>
          <w:tcPr>
            <w:tcW w:w="1262"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p>
        </w:tc>
        <w:tc>
          <w:tcPr>
            <w:tcW w:w="1201" w:type="dxa"/>
            <w:tcBorders>
              <w:top w:val="nil"/>
              <w:left w:val="nil"/>
              <w:bottom w:val="single" w:sz="4" w:space="0" w:color="auto"/>
              <w:right w:val="single" w:sz="4" w:space="0" w:color="auto"/>
            </w:tcBorders>
            <w:shd w:val="clear" w:color="auto" w:fill="auto"/>
            <w:noWrap/>
            <w:vAlign w:val="center"/>
            <w:hideMark/>
          </w:tcPr>
          <w:p w:rsidR="00C75CC9" w:rsidRPr="00B31AA0" w:rsidRDefault="00C75CC9"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843,440.00</w:t>
            </w:r>
          </w:p>
        </w:tc>
        <w:tc>
          <w:tcPr>
            <w:tcW w:w="1201" w:type="dxa"/>
            <w:tcBorders>
              <w:top w:val="nil"/>
              <w:left w:val="nil"/>
              <w:bottom w:val="single" w:sz="4" w:space="0" w:color="auto"/>
              <w:right w:val="single" w:sz="8" w:space="0" w:color="auto"/>
            </w:tcBorders>
            <w:shd w:val="clear" w:color="auto" w:fill="auto"/>
            <w:noWrap/>
            <w:vAlign w:val="center"/>
            <w:hideMark/>
          </w:tcPr>
          <w:p w:rsidR="00C75CC9" w:rsidRPr="00B31AA0" w:rsidRDefault="00C75CC9"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6,255.00</w:t>
            </w:r>
          </w:p>
        </w:tc>
        <w:tc>
          <w:tcPr>
            <w:tcW w:w="1208" w:type="dxa"/>
            <w:tcBorders>
              <w:top w:val="nil"/>
              <w:left w:val="nil"/>
              <w:bottom w:val="single" w:sz="4" w:space="0" w:color="auto"/>
              <w:right w:val="single" w:sz="8" w:space="0" w:color="auto"/>
            </w:tcBorders>
            <w:vAlign w:val="bottom"/>
          </w:tcPr>
          <w:p w:rsidR="00C75CC9" w:rsidRPr="00C75CC9" w:rsidRDefault="00C75CC9" w:rsidP="00C75CC9">
            <w:pPr>
              <w:spacing w:after="0" w:line="240" w:lineRule="auto"/>
              <w:jc w:val="right"/>
              <w:rPr>
                <w:rFonts w:eastAsia="Times New Roman" w:cs="Calibri"/>
                <w:color w:val="000000"/>
                <w:sz w:val="16"/>
                <w:szCs w:val="16"/>
              </w:rPr>
            </w:pPr>
            <w:r w:rsidRPr="00C75CC9">
              <w:rPr>
                <w:rFonts w:eastAsia="Times New Roman" w:cs="Calibri"/>
                <w:color w:val="000000"/>
                <w:sz w:val="16"/>
                <w:szCs w:val="16"/>
              </w:rPr>
              <w:t xml:space="preserve">         263,354 </w:t>
            </w:r>
          </w:p>
        </w:tc>
        <w:tc>
          <w:tcPr>
            <w:tcW w:w="2700" w:type="dxa"/>
            <w:tcBorders>
              <w:top w:val="nil"/>
              <w:left w:val="nil"/>
              <w:bottom w:val="single" w:sz="4" w:space="0" w:color="auto"/>
              <w:right w:val="single" w:sz="8" w:space="0" w:color="auto"/>
            </w:tcBorders>
            <w:vAlign w:val="center"/>
          </w:tcPr>
          <w:p w:rsidR="00C75CC9" w:rsidRPr="00304A7E" w:rsidRDefault="00C75CC9" w:rsidP="00B31AA0">
            <w:pPr>
              <w:spacing w:after="0" w:line="240" w:lineRule="auto"/>
              <w:jc w:val="both"/>
              <w:rPr>
                <w:rFonts w:eastAsia="Times New Roman" w:cs="Calibri"/>
                <w:color w:val="000000"/>
                <w:sz w:val="16"/>
                <w:szCs w:val="16"/>
              </w:rPr>
            </w:pPr>
          </w:p>
        </w:tc>
      </w:tr>
      <w:tr w:rsidR="00C75CC9" w:rsidRPr="00304A7E" w:rsidTr="00F35453">
        <w:trPr>
          <w:trHeight w:val="315"/>
        </w:trPr>
        <w:tc>
          <w:tcPr>
            <w:tcW w:w="680" w:type="dxa"/>
            <w:vMerge/>
            <w:tcBorders>
              <w:top w:val="nil"/>
              <w:left w:val="single" w:sz="8" w:space="0" w:color="auto"/>
              <w:bottom w:val="single" w:sz="8" w:space="0" w:color="000000"/>
              <w:right w:val="single" w:sz="4" w:space="0" w:color="auto"/>
            </w:tcBorders>
            <w:vAlign w:val="center"/>
            <w:hideMark/>
          </w:tcPr>
          <w:p w:rsidR="00C75CC9" w:rsidRPr="00304A7E" w:rsidRDefault="00C75CC9" w:rsidP="00B31AA0">
            <w:pPr>
              <w:spacing w:after="0" w:line="240" w:lineRule="auto"/>
              <w:jc w:val="center"/>
              <w:rPr>
                <w:rFonts w:eastAsia="Times New Roman" w:cs="Calibri"/>
                <w:color w:val="000000"/>
                <w:sz w:val="16"/>
                <w:szCs w:val="16"/>
              </w:rPr>
            </w:pPr>
          </w:p>
        </w:tc>
        <w:tc>
          <w:tcPr>
            <w:tcW w:w="126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C75CC9" w:rsidRPr="00304A7E" w:rsidRDefault="00C75CC9" w:rsidP="00B31AA0">
            <w:pPr>
              <w:spacing w:after="0" w:line="240" w:lineRule="auto"/>
              <w:rPr>
                <w:rFonts w:eastAsia="Times New Roman" w:cs="Calibri"/>
                <w:color w:val="000000"/>
                <w:sz w:val="16"/>
                <w:szCs w:val="16"/>
              </w:rPr>
            </w:pPr>
            <w:r w:rsidRPr="00304A7E">
              <w:rPr>
                <w:rFonts w:ascii="Sylfaen" w:eastAsia="Times New Roman" w:hAnsi="Sylfaen" w:cs="Sylfaen"/>
                <w:color w:val="000000"/>
                <w:sz w:val="16"/>
                <w:szCs w:val="16"/>
              </w:rPr>
              <w:t>დეკემბერი</w:t>
            </w:r>
          </w:p>
        </w:tc>
        <w:tc>
          <w:tcPr>
            <w:tcW w:w="1233" w:type="dxa"/>
            <w:tcBorders>
              <w:top w:val="single" w:sz="4" w:space="0" w:color="auto"/>
              <w:left w:val="nil"/>
              <w:bottom w:val="single" w:sz="8"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4,469,200.00</w:t>
            </w:r>
          </w:p>
        </w:tc>
        <w:tc>
          <w:tcPr>
            <w:tcW w:w="1418" w:type="dxa"/>
            <w:tcBorders>
              <w:top w:val="single" w:sz="4" w:space="0" w:color="auto"/>
              <w:left w:val="nil"/>
              <w:bottom w:val="single" w:sz="8"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3,619,476.00</w:t>
            </w:r>
          </w:p>
        </w:tc>
        <w:tc>
          <w:tcPr>
            <w:tcW w:w="1262" w:type="dxa"/>
            <w:tcBorders>
              <w:top w:val="single" w:sz="4" w:space="0" w:color="auto"/>
              <w:left w:val="nil"/>
              <w:bottom w:val="single" w:sz="8"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849,724</w:t>
            </w:r>
          </w:p>
        </w:tc>
        <w:tc>
          <w:tcPr>
            <w:tcW w:w="1262" w:type="dxa"/>
            <w:tcBorders>
              <w:top w:val="single" w:sz="4" w:space="0" w:color="auto"/>
              <w:left w:val="nil"/>
              <w:bottom w:val="single" w:sz="8"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p>
        </w:tc>
        <w:tc>
          <w:tcPr>
            <w:tcW w:w="1201" w:type="dxa"/>
            <w:tcBorders>
              <w:top w:val="single" w:sz="4" w:space="0" w:color="auto"/>
              <w:left w:val="nil"/>
              <w:bottom w:val="single" w:sz="8" w:space="0" w:color="auto"/>
              <w:right w:val="single" w:sz="4" w:space="0" w:color="auto"/>
            </w:tcBorders>
            <w:shd w:val="clear" w:color="auto" w:fill="auto"/>
            <w:noWrap/>
            <w:vAlign w:val="center"/>
            <w:hideMark/>
          </w:tcPr>
          <w:p w:rsidR="00C75CC9" w:rsidRPr="00B31AA0" w:rsidRDefault="00C75CC9"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849,724.00</w:t>
            </w:r>
          </w:p>
        </w:tc>
        <w:tc>
          <w:tcPr>
            <w:tcW w:w="1201" w:type="dxa"/>
            <w:tcBorders>
              <w:top w:val="nil"/>
              <w:left w:val="single" w:sz="4" w:space="0" w:color="auto"/>
              <w:bottom w:val="single" w:sz="8" w:space="0" w:color="auto"/>
              <w:right w:val="single" w:sz="8" w:space="0" w:color="auto"/>
            </w:tcBorders>
            <w:shd w:val="clear" w:color="auto" w:fill="auto"/>
            <w:noWrap/>
            <w:vAlign w:val="center"/>
            <w:hideMark/>
          </w:tcPr>
          <w:p w:rsidR="00C75CC9" w:rsidRPr="00B31AA0" w:rsidRDefault="00C75CC9"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(6,284.00)</w:t>
            </w:r>
          </w:p>
        </w:tc>
        <w:tc>
          <w:tcPr>
            <w:tcW w:w="1208" w:type="dxa"/>
            <w:tcBorders>
              <w:top w:val="nil"/>
              <w:left w:val="single" w:sz="4" w:space="0" w:color="auto"/>
              <w:bottom w:val="single" w:sz="8" w:space="0" w:color="auto"/>
              <w:right w:val="single" w:sz="8" w:space="0" w:color="auto"/>
            </w:tcBorders>
            <w:vAlign w:val="bottom"/>
          </w:tcPr>
          <w:p w:rsidR="00C75CC9" w:rsidRPr="00C75CC9" w:rsidRDefault="00C75CC9" w:rsidP="00C75CC9">
            <w:pPr>
              <w:spacing w:after="0" w:line="240" w:lineRule="auto"/>
              <w:jc w:val="right"/>
              <w:rPr>
                <w:rFonts w:eastAsia="Times New Roman" w:cs="Calibri"/>
                <w:color w:val="000000"/>
                <w:sz w:val="16"/>
                <w:szCs w:val="16"/>
              </w:rPr>
            </w:pPr>
            <w:r w:rsidRPr="00C75CC9">
              <w:rPr>
                <w:rFonts w:eastAsia="Times New Roman" w:cs="Calibri"/>
                <w:color w:val="000000"/>
                <w:sz w:val="16"/>
                <w:szCs w:val="16"/>
              </w:rPr>
              <w:t xml:space="preserve">         275,484 </w:t>
            </w:r>
          </w:p>
        </w:tc>
        <w:tc>
          <w:tcPr>
            <w:tcW w:w="2700" w:type="dxa"/>
            <w:tcBorders>
              <w:top w:val="nil"/>
              <w:left w:val="single" w:sz="4" w:space="0" w:color="auto"/>
              <w:bottom w:val="single" w:sz="8" w:space="0" w:color="auto"/>
              <w:right w:val="single" w:sz="8" w:space="0" w:color="auto"/>
            </w:tcBorders>
            <w:vAlign w:val="center"/>
          </w:tcPr>
          <w:p w:rsidR="00C75CC9" w:rsidRPr="00304A7E" w:rsidRDefault="00C75CC9" w:rsidP="00B31AA0">
            <w:pPr>
              <w:spacing w:after="0" w:line="240" w:lineRule="auto"/>
              <w:jc w:val="both"/>
              <w:rPr>
                <w:rFonts w:eastAsia="Times New Roman" w:cs="Calibri"/>
                <w:color w:val="000000"/>
                <w:sz w:val="16"/>
                <w:szCs w:val="16"/>
              </w:rPr>
            </w:pPr>
          </w:p>
        </w:tc>
      </w:tr>
      <w:tr w:rsidR="00C75CC9" w:rsidRPr="00304A7E" w:rsidTr="00F35453">
        <w:trPr>
          <w:trHeight w:val="300"/>
        </w:trPr>
        <w:tc>
          <w:tcPr>
            <w:tcW w:w="680"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2012</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rPr>
                <w:rFonts w:eastAsia="Times New Roman" w:cs="Calibri"/>
                <w:color w:val="000000"/>
                <w:sz w:val="16"/>
                <w:szCs w:val="16"/>
              </w:rPr>
            </w:pPr>
            <w:r w:rsidRPr="00304A7E">
              <w:rPr>
                <w:rFonts w:ascii="Sylfaen" w:eastAsia="Times New Roman" w:hAnsi="Sylfaen" w:cs="Sylfaen"/>
                <w:color w:val="000000"/>
                <w:sz w:val="16"/>
                <w:szCs w:val="16"/>
              </w:rPr>
              <w:t>იანვარი</w:t>
            </w:r>
          </w:p>
        </w:tc>
        <w:tc>
          <w:tcPr>
            <w:tcW w:w="1233"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4,497,600.00</w:t>
            </w:r>
          </w:p>
        </w:tc>
        <w:tc>
          <w:tcPr>
            <w:tcW w:w="1418"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3,659,138.00</w:t>
            </w:r>
          </w:p>
        </w:tc>
        <w:tc>
          <w:tcPr>
            <w:tcW w:w="1262"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838,462</w:t>
            </w:r>
          </w:p>
        </w:tc>
        <w:tc>
          <w:tcPr>
            <w:tcW w:w="1262"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p>
        </w:tc>
        <w:tc>
          <w:tcPr>
            <w:tcW w:w="1201" w:type="dxa"/>
            <w:tcBorders>
              <w:top w:val="nil"/>
              <w:left w:val="nil"/>
              <w:bottom w:val="single" w:sz="4" w:space="0" w:color="auto"/>
              <w:right w:val="single" w:sz="4" w:space="0" w:color="auto"/>
            </w:tcBorders>
            <w:shd w:val="clear" w:color="auto" w:fill="auto"/>
            <w:noWrap/>
            <w:vAlign w:val="center"/>
            <w:hideMark/>
          </w:tcPr>
          <w:p w:rsidR="00C75CC9" w:rsidRPr="00B31AA0" w:rsidRDefault="00C75CC9"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838,462.00</w:t>
            </w:r>
          </w:p>
        </w:tc>
        <w:tc>
          <w:tcPr>
            <w:tcW w:w="1201" w:type="dxa"/>
            <w:tcBorders>
              <w:top w:val="nil"/>
              <w:left w:val="single" w:sz="4" w:space="0" w:color="auto"/>
              <w:bottom w:val="single" w:sz="4" w:space="0" w:color="auto"/>
              <w:right w:val="single" w:sz="8" w:space="0" w:color="auto"/>
            </w:tcBorders>
            <w:shd w:val="clear" w:color="auto" w:fill="auto"/>
            <w:noWrap/>
            <w:vAlign w:val="center"/>
            <w:hideMark/>
          </w:tcPr>
          <w:p w:rsidR="00C75CC9" w:rsidRPr="00B31AA0" w:rsidRDefault="00C75CC9"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39,662.00</w:t>
            </w:r>
          </w:p>
        </w:tc>
        <w:tc>
          <w:tcPr>
            <w:tcW w:w="1208" w:type="dxa"/>
            <w:tcBorders>
              <w:top w:val="nil"/>
              <w:left w:val="single" w:sz="4" w:space="0" w:color="auto"/>
              <w:bottom w:val="single" w:sz="4" w:space="0" w:color="auto"/>
              <w:right w:val="single" w:sz="8" w:space="0" w:color="auto"/>
            </w:tcBorders>
            <w:vAlign w:val="bottom"/>
          </w:tcPr>
          <w:p w:rsidR="00C75CC9" w:rsidRPr="00C75CC9" w:rsidRDefault="00C75CC9" w:rsidP="00C75CC9">
            <w:pPr>
              <w:spacing w:after="0" w:line="240" w:lineRule="auto"/>
              <w:jc w:val="right"/>
              <w:rPr>
                <w:rFonts w:eastAsia="Times New Roman" w:cs="Calibri"/>
                <w:color w:val="000000"/>
                <w:sz w:val="16"/>
                <w:szCs w:val="16"/>
              </w:rPr>
            </w:pPr>
            <w:r w:rsidRPr="00C75CC9">
              <w:rPr>
                <w:rFonts w:eastAsia="Times New Roman" w:cs="Calibri"/>
                <w:color w:val="000000"/>
                <w:sz w:val="16"/>
                <w:szCs w:val="16"/>
              </w:rPr>
              <w:t xml:space="preserve">         279,830 </w:t>
            </w:r>
          </w:p>
        </w:tc>
        <w:tc>
          <w:tcPr>
            <w:tcW w:w="2700" w:type="dxa"/>
            <w:tcBorders>
              <w:top w:val="nil"/>
              <w:left w:val="single" w:sz="4" w:space="0" w:color="auto"/>
              <w:bottom w:val="single" w:sz="4" w:space="0" w:color="auto"/>
              <w:right w:val="single" w:sz="8" w:space="0" w:color="auto"/>
            </w:tcBorders>
            <w:vAlign w:val="center"/>
          </w:tcPr>
          <w:p w:rsidR="00C75CC9" w:rsidRPr="00304A7E" w:rsidRDefault="00C75CC9" w:rsidP="00B31AA0">
            <w:pPr>
              <w:spacing w:after="0" w:line="240" w:lineRule="auto"/>
              <w:jc w:val="both"/>
              <w:rPr>
                <w:rFonts w:eastAsia="Times New Roman" w:cs="Calibri"/>
                <w:color w:val="000000"/>
                <w:sz w:val="16"/>
                <w:szCs w:val="16"/>
              </w:rPr>
            </w:pPr>
          </w:p>
        </w:tc>
      </w:tr>
      <w:tr w:rsidR="00C75CC9" w:rsidRPr="00304A7E" w:rsidTr="00F35453">
        <w:trPr>
          <w:trHeight w:val="300"/>
        </w:trPr>
        <w:tc>
          <w:tcPr>
            <w:tcW w:w="680" w:type="dxa"/>
            <w:vMerge/>
            <w:tcBorders>
              <w:top w:val="nil"/>
              <w:left w:val="single" w:sz="8" w:space="0" w:color="auto"/>
              <w:bottom w:val="single" w:sz="8" w:space="0" w:color="000000"/>
              <w:right w:val="single" w:sz="4" w:space="0" w:color="auto"/>
            </w:tcBorders>
            <w:vAlign w:val="center"/>
            <w:hideMark/>
          </w:tcPr>
          <w:p w:rsidR="00C75CC9" w:rsidRPr="00304A7E" w:rsidRDefault="00C75CC9" w:rsidP="00B31AA0">
            <w:pPr>
              <w:spacing w:after="0" w:line="240" w:lineRule="auto"/>
              <w:jc w:val="center"/>
              <w:rPr>
                <w:rFonts w:eastAsia="Times New Roman" w:cs="Calibri"/>
                <w:color w:val="000000"/>
                <w:sz w:val="16"/>
                <w:szCs w:val="16"/>
              </w:rPr>
            </w:pP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rPr>
                <w:rFonts w:eastAsia="Times New Roman" w:cs="Calibri"/>
                <w:color w:val="000000"/>
                <w:sz w:val="16"/>
                <w:szCs w:val="16"/>
              </w:rPr>
            </w:pPr>
            <w:r w:rsidRPr="00304A7E">
              <w:rPr>
                <w:rFonts w:ascii="Sylfaen" w:eastAsia="Times New Roman" w:hAnsi="Sylfaen" w:cs="Sylfaen"/>
                <w:color w:val="000000"/>
                <w:sz w:val="16"/>
                <w:szCs w:val="16"/>
              </w:rPr>
              <w:t>თებერვალი</w:t>
            </w:r>
          </w:p>
        </w:tc>
        <w:tc>
          <w:tcPr>
            <w:tcW w:w="1233" w:type="dxa"/>
            <w:tcBorders>
              <w:top w:val="single" w:sz="4" w:space="0" w:color="auto"/>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4,497,600.00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3,655,292.00</w:t>
            </w:r>
          </w:p>
        </w:tc>
        <w:tc>
          <w:tcPr>
            <w:tcW w:w="1262" w:type="dxa"/>
            <w:tcBorders>
              <w:top w:val="single" w:sz="4" w:space="0" w:color="auto"/>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842,308</w:t>
            </w:r>
          </w:p>
        </w:tc>
        <w:tc>
          <w:tcPr>
            <w:tcW w:w="1262" w:type="dxa"/>
            <w:tcBorders>
              <w:top w:val="single" w:sz="4" w:space="0" w:color="auto"/>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p>
        </w:tc>
        <w:tc>
          <w:tcPr>
            <w:tcW w:w="1201" w:type="dxa"/>
            <w:tcBorders>
              <w:top w:val="single" w:sz="4" w:space="0" w:color="auto"/>
              <w:left w:val="nil"/>
              <w:bottom w:val="single" w:sz="4" w:space="0" w:color="auto"/>
              <w:right w:val="single" w:sz="4" w:space="0" w:color="auto"/>
            </w:tcBorders>
            <w:shd w:val="clear" w:color="auto" w:fill="auto"/>
            <w:noWrap/>
            <w:vAlign w:val="center"/>
            <w:hideMark/>
          </w:tcPr>
          <w:p w:rsidR="00C75CC9" w:rsidRPr="00B31AA0" w:rsidRDefault="00C75CC9"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842,308.00</w:t>
            </w:r>
          </w:p>
        </w:tc>
        <w:tc>
          <w:tcPr>
            <w:tcW w:w="1201" w:type="dxa"/>
            <w:tcBorders>
              <w:top w:val="nil"/>
              <w:left w:val="nil"/>
              <w:bottom w:val="single" w:sz="4" w:space="0" w:color="auto"/>
              <w:right w:val="single" w:sz="8" w:space="0" w:color="auto"/>
            </w:tcBorders>
            <w:shd w:val="clear" w:color="auto" w:fill="auto"/>
            <w:noWrap/>
            <w:vAlign w:val="center"/>
            <w:hideMark/>
          </w:tcPr>
          <w:p w:rsidR="00C75CC9" w:rsidRPr="00B31AA0" w:rsidRDefault="00C75CC9"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(3,846.00)</w:t>
            </w:r>
          </w:p>
        </w:tc>
        <w:tc>
          <w:tcPr>
            <w:tcW w:w="1208" w:type="dxa"/>
            <w:tcBorders>
              <w:top w:val="nil"/>
              <w:left w:val="nil"/>
              <w:bottom w:val="single" w:sz="4" w:space="0" w:color="auto"/>
              <w:right w:val="single" w:sz="8" w:space="0" w:color="auto"/>
            </w:tcBorders>
            <w:vAlign w:val="bottom"/>
          </w:tcPr>
          <w:p w:rsidR="00C75CC9" w:rsidRPr="00C75CC9" w:rsidRDefault="00C75CC9" w:rsidP="00C75CC9">
            <w:pPr>
              <w:spacing w:after="0" w:line="240" w:lineRule="auto"/>
              <w:jc w:val="right"/>
              <w:rPr>
                <w:rFonts w:eastAsia="Times New Roman" w:cs="Calibri"/>
                <w:color w:val="000000"/>
                <w:sz w:val="16"/>
                <w:szCs w:val="16"/>
              </w:rPr>
            </w:pPr>
            <w:r>
              <w:rPr>
                <w:rFonts w:eastAsia="Times New Roman" w:cs="Calibri"/>
                <w:color w:val="000000"/>
                <w:sz w:val="16"/>
                <w:szCs w:val="16"/>
              </w:rPr>
              <w:t xml:space="preserve">         270,05</w:t>
            </w:r>
            <w:r>
              <w:rPr>
                <w:rFonts w:ascii="Sylfaen" w:eastAsia="Times New Roman" w:hAnsi="Sylfaen" w:cs="Calibri"/>
                <w:color w:val="000000"/>
                <w:sz w:val="16"/>
                <w:szCs w:val="16"/>
                <w:lang w:val="ka-GE"/>
              </w:rPr>
              <w:t>3</w:t>
            </w:r>
          </w:p>
        </w:tc>
        <w:tc>
          <w:tcPr>
            <w:tcW w:w="2700" w:type="dxa"/>
            <w:tcBorders>
              <w:top w:val="nil"/>
              <w:left w:val="nil"/>
              <w:bottom w:val="single" w:sz="4" w:space="0" w:color="auto"/>
              <w:right w:val="single" w:sz="8" w:space="0" w:color="auto"/>
            </w:tcBorders>
            <w:vAlign w:val="center"/>
          </w:tcPr>
          <w:p w:rsidR="00C75CC9" w:rsidRPr="00304A7E" w:rsidRDefault="00C75CC9" w:rsidP="00B31AA0">
            <w:pPr>
              <w:spacing w:after="0" w:line="240" w:lineRule="auto"/>
              <w:jc w:val="both"/>
              <w:rPr>
                <w:rFonts w:eastAsia="Times New Roman" w:cs="Calibri"/>
                <w:color w:val="000000"/>
                <w:sz w:val="16"/>
                <w:szCs w:val="16"/>
              </w:rPr>
            </w:pPr>
          </w:p>
        </w:tc>
      </w:tr>
      <w:tr w:rsidR="00C75CC9" w:rsidRPr="00304A7E" w:rsidTr="00A86520">
        <w:trPr>
          <w:trHeight w:val="300"/>
        </w:trPr>
        <w:tc>
          <w:tcPr>
            <w:tcW w:w="680" w:type="dxa"/>
            <w:vMerge/>
            <w:tcBorders>
              <w:top w:val="nil"/>
              <w:left w:val="single" w:sz="8" w:space="0" w:color="auto"/>
              <w:bottom w:val="single" w:sz="8" w:space="0" w:color="000000"/>
              <w:right w:val="single" w:sz="4" w:space="0" w:color="auto"/>
            </w:tcBorders>
            <w:vAlign w:val="center"/>
            <w:hideMark/>
          </w:tcPr>
          <w:p w:rsidR="00C75CC9" w:rsidRPr="00304A7E" w:rsidRDefault="00C75CC9" w:rsidP="00B31AA0">
            <w:pPr>
              <w:spacing w:after="0" w:line="240" w:lineRule="auto"/>
              <w:jc w:val="center"/>
              <w:rPr>
                <w:rFonts w:eastAsia="Times New Roman" w:cs="Calibri"/>
                <w:color w:val="000000"/>
                <w:sz w:val="16"/>
                <w:szCs w:val="16"/>
              </w:rPr>
            </w:pPr>
          </w:p>
        </w:tc>
        <w:tc>
          <w:tcPr>
            <w:tcW w:w="1260"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rPr>
                <w:rFonts w:eastAsia="Times New Roman" w:cs="Calibri"/>
                <w:color w:val="000000"/>
                <w:sz w:val="16"/>
                <w:szCs w:val="16"/>
              </w:rPr>
            </w:pPr>
            <w:r w:rsidRPr="00304A7E">
              <w:rPr>
                <w:rFonts w:ascii="Sylfaen" w:eastAsia="Times New Roman" w:hAnsi="Sylfaen" w:cs="Sylfaen"/>
                <w:color w:val="000000"/>
                <w:sz w:val="16"/>
                <w:szCs w:val="16"/>
              </w:rPr>
              <w:t>მარტი</w:t>
            </w:r>
          </w:p>
        </w:tc>
        <w:tc>
          <w:tcPr>
            <w:tcW w:w="1233"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4,497,600.00</w:t>
            </w:r>
          </w:p>
        </w:tc>
        <w:tc>
          <w:tcPr>
            <w:tcW w:w="1418"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3,651,788.00</w:t>
            </w:r>
          </w:p>
        </w:tc>
        <w:tc>
          <w:tcPr>
            <w:tcW w:w="1262"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845,812</w:t>
            </w:r>
          </w:p>
        </w:tc>
        <w:tc>
          <w:tcPr>
            <w:tcW w:w="1262"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p>
        </w:tc>
        <w:tc>
          <w:tcPr>
            <w:tcW w:w="1201" w:type="dxa"/>
            <w:tcBorders>
              <w:top w:val="nil"/>
              <w:left w:val="nil"/>
              <w:bottom w:val="single" w:sz="4" w:space="0" w:color="auto"/>
              <w:right w:val="single" w:sz="4" w:space="0" w:color="auto"/>
            </w:tcBorders>
            <w:shd w:val="clear" w:color="auto" w:fill="auto"/>
            <w:noWrap/>
            <w:vAlign w:val="center"/>
            <w:hideMark/>
          </w:tcPr>
          <w:p w:rsidR="00C75CC9" w:rsidRPr="00B31AA0" w:rsidRDefault="00C75CC9"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845,812.00</w:t>
            </w:r>
          </w:p>
        </w:tc>
        <w:tc>
          <w:tcPr>
            <w:tcW w:w="1201" w:type="dxa"/>
            <w:tcBorders>
              <w:top w:val="nil"/>
              <w:left w:val="nil"/>
              <w:bottom w:val="single" w:sz="4" w:space="0" w:color="auto"/>
              <w:right w:val="single" w:sz="8" w:space="0" w:color="auto"/>
            </w:tcBorders>
            <w:shd w:val="clear" w:color="auto" w:fill="auto"/>
            <w:noWrap/>
            <w:vAlign w:val="center"/>
            <w:hideMark/>
          </w:tcPr>
          <w:p w:rsidR="00C75CC9" w:rsidRPr="00B31AA0" w:rsidRDefault="00C75CC9"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(3,504.00)</w:t>
            </w:r>
          </w:p>
        </w:tc>
        <w:tc>
          <w:tcPr>
            <w:tcW w:w="1208" w:type="dxa"/>
            <w:tcBorders>
              <w:top w:val="nil"/>
              <w:left w:val="nil"/>
              <w:bottom w:val="single" w:sz="4" w:space="0" w:color="auto"/>
              <w:right w:val="single" w:sz="8" w:space="0" w:color="auto"/>
            </w:tcBorders>
            <w:shd w:val="clear" w:color="auto" w:fill="95B3D7" w:themeFill="accent1" w:themeFillTint="99"/>
            <w:vAlign w:val="bottom"/>
          </w:tcPr>
          <w:p w:rsidR="00C75CC9" w:rsidRPr="00C75CC9" w:rsidRDefault="00C75CC9" w:rsidP="00C75CC9">
            <w:pPr>
              <w:spacing w:after="0" w:line="240" w:lineRule="auto"/>
              <w:jc w:val="right"/>
              <w:rPr>
                <w:rFonts w:eastAsia="Times New Roman" w:cs="Calibri"/>
                <w:color w:val="000000"/>
                <w:sz w:val="16"/>
                <w:szCs w:val="16"/>
              </w:rPr>
            </w:pPr>
            <w:r w:rsidRPr="00C75CC9">
              <w:rPr>
                <w:rFonts w:eastAsia="Times New Roman" w:cs="Calibri"/>
                <w:color w:val="000000"/>
                <w:sz w:val="16"/>
                <w:szCs w:val="16"/>
              </w:rPr>
              <w:t xml:space="preserve">         312,672 </w:t>
            </w:r>
          </w:p>
        </w:tc>
        <w:tc>
          <w:tcPr>
            <w:tcW w:w="2700" w:type="dxa"/>
            <w:tcBorders>
              <w:top w:val="nil"/>
              <w:left w:val="nil"/>
              <w:bottom w:val="single" w:sz="4" w:space="0" w:color="auto"/>
              <w:right w:val="single" w:sz="8" w:space="0" w:color="auto"/>
            </w:tcBorders>
            <w:vAlign w:val="center"/>
          </w:tcPr>
          <w:p w:rsidR="00C75CC9" w:rsidRPr="00304A7E" w:rsidRDefault="00C75CC9" w:rsidP="00B31AA0">
            <w:pPr>
              <w:spacing w:after="0" w:line="240" w:lineRule="auto"/>
              <w:jc w:val="both"/>
              <w:rPr>
                <w:rFonts w:eastAsia="Times New Roman" w:cs="Calibri"/>
                <w:color w:val="000000"/>
                <w:sz w:val="16"/>
                <w:szCs w:val="16"/>
              </w:rPr>
            </w:pPr>
          </w:p>
        </w:tc>
      </w:tr>
      <w:tr w:rsidR="00C75CC9" w:rsidRPr="00304A7E" w:rsidTr="00F35453">
        <w:trPr>
          <w:trHeight w:val="300"/>
        </w:trPr>
        <w:tc>
          <w:tcPr>
            <w:tcW w:w="680" w:type="dxa"/>
            <w:vMerge/>
            <w:tcBorders>
              <w:top w:val="nil"/>
              <w:left w:val="single" w:sz="8" w:space="0" w:color="auto"/>
              <w:bottom w:val="single" w:sz="8" w:space="0" w:color="000000"/>
              <w:right w:val="single" w:sz="4" w:space="0" w:color="auto"/>
            </w:tcBorders>
            <w:vAlign w:val="center"/>
            <w:hideMark/>
          </w:tcPr>
          <w:p w:rsidR="00C75CC9" w:rsidRPr="00304A7E" w:rsidRDefault="00C75CC9" w:rsidP="00B31AA0">
            <w:pPr>
              <w:spacing w:after="0" w:line="240" w:lineRule="auto"/>
              <w:jc w:val="center"/>
              <w:rPr>
                <w:rFonts w:eastAsia="Times New Roman" w:cs="Calibri"/>
                <w:color w:val="000000"/>
                <w:sz w:val="16"/>
                <w:szCs w:val="16"/>
              </w:rPr>
            </w:pPr>
          </w:p>
        </w:tc>
        <w:tc>
          <w:tcPr>
            <w:tcW w:w="1260"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rPr>
                <w:rFonts w:eastAsia="Times New Roman" w:cs="Calibri"/>
                <w:color w:val="000000"/>
                <w:sz w:val="16"/>
                <w:szCs w:val="16"/>
              </w:rPr>
            </w:pPr>
            <w:r w:rsidRPr="00304A7E">
              <w:rPr>
                <w:rFonts w:ascii="Sylfaen" w:eastAsia="Times New Roman" w:hAnsi="Sylfaen" w:cs="Sylfaen"/>
                <w:color w:val="000000"/>
                <w:sz w:val="16"/>
                <w:szCs w:val="16"/>
              </w:rPr>
              <w:t>აპრილი</w:t>
            </w:r>
          </w:p>
        </w:tc>
        <w:tc>
          <w:tcPr>
            <w:tcW w:w="1233"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4,497,600.00</w:t>
            </w:r>
          </w:p>
        </w:tc>
        <w:tc>
          <w:tcPr>
            <w:tcW w:w="1418"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3,681,951.00</w:t>
            </w:r>
          </w:p>
        </w:tc>
        <w:tc>
          <w:tcPr>
            <w:tcW w:w="1262"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815,649</w:t>
            </w:r>
          </w:p>
        </w:tc>
        <w:tc>
          <w:tcPr>
            <w:tcW w:w="1262"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p>
        </w:tc>
        <w:tc>
          <w:tcPr>
            <w:tcW w:w="1201" w:type="dxa"/>
            <w:tcBorders>
              <w:top w:val="nil"/>
              <w:left w:val="nil"/>
              <w:bottom w:val="single" w:sz="4" w:space="0" w:color="auto"/>
              <w:right w:val="single" w:sz="4" w:space="0" w:color="auto"/>
            </w:tcBorders>
            <w:shd w:val="clear" w:color="auto" w:fill="auto"/>
            <w:noWrap/>
            <w:vAlign w:val="center"/>
            <w:hideMark/>
          </w:tcPr>
          <w:p w:rsidR="00C75CC9" w:rsidRPr="00B31AA0" w:rsidRDefault="00C75CC9"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815,649.00</w:t>
            </w:r>
          </w:p>
        </w:tc>
        <w:tc>
          <w:tcPr>
            <w:tcW w:w="1201" w:type="dxa"/>
            <w:tcBorders>
              <w:top w:val="nil"/>
              <w:left w:val="nil"/>
              <w:bottom w:val="single" w:sz="4" w:space="0" w:color="auto"/>
              <w:right w:val="single" w:sz="8" w:space="0" w:color="auto"/>
            </w:tcBorders>
            <w:shd w:val="clear" w:color="auto" w:fill="auto"/>
            <w:noWrap/>
            <w:vAlign w:val="center"/>
            <w:hideMark/>
          </w:tcPr>
          <w:p w:rsidR="00C75CC9" w:rsidRPr="00B31AA0" w:rsidRDefault="00C75CC9"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30,163.00</w:t>
            </w:r>
          </w:p>
        </w:tc>
        <w:tc>
          <w:tcPr>
            <w:tcW w:w="1208" w:type="dxa"/>
            <w:tcBorders>
              <w:top w:val="nil"/>
              <w:left w:val="nil"/>
              <w:bottom w:val="single" w:sz="4" w:space="0" w:color="auto"/>
              <w:right w:val="single" w:sz="8" w:space="0" w:color="auto"/>
            </w:tcBorders>
            <w:vAlign w:val="bottom"/>
          </w:tcPr>
          <w:p w:rsidR="00C75CC9" w:rsidRPr="00C75CC9" w:rsidRDefault="00C75CC9" w:rsidP="00C75CC9">
            <w:pPr>
              <w:spacing w:after="0" w:line="240" w:lineRule="auto"/>
              <w:jc w:val="right"/>
              <w:rPr>
                <w:rFonts w:eastAsia="Times New Roman" w:cs="Calibri"/>
                <w:color w:val="000000"/>
                <w:sz w:val="16"/>
                <w:szCs w:val="16"/>
              </w:rPr>
            </w:pPr>
            <w:r w:rsidRPr="00C75CC9">
              <w:rPr>
                <w:rFonts w:eastAsia="Times New Roman" w:cs="Calibri"/>
                <w:color w:val="000000"/>
                <w:sz w:val="16"/>
                <w:szCs w:val="16"/>
              </w:rPr>
              <w:t xml:space="preserve">         308,680 </w:t>
            </w:r>
          </w:p>
        </w:tc>
        <w:tc>
          <w:tcPr>
            <w:tcW w:w="2700" w:type="dxa"/>
            <w:tcBorders>
              <w:top w:val="nil"/>
              <w:left w:val="nil"/>
              <w:bottom w:val="single" w:sz="4" w:space="0" w:color="auto"/>
              <w:right w:val="single" w:sz="8" w:space="0" w:color="auto"/>
            </w:tcBorders>
            <w:vAlign w:val="center"/>
          </w:tcPr>
          <w:p w:rsidR="00C75CC9" w:rsidRPr="00304A7E" w:rsidRDefault="00C75CC9" w:rsidP="00B31AA0">
            <w:pPr>
              <w:spacing w:after="0" w:line="240" w:lineRule="auto"/>
              <w:jc w:val="both"/>
              <w:rPr>
                <w:rFonts w:eastAsia="Times New Roman" w:cs="Calibri"/>
                <w:color w:val="000000"/>
                <w:sz w:val="16"/>
                <w:szCs w:val="16"/>
              </w:rPr>
            </w:pPr>
          </w:p>
        </w:tc>
      </w:tr>
      <w:tr w:rsidR="00C75CC9" w:rsidRPr="00304A7E" w:rsidTr="00F35453">
        <w:trPr>
          <w:trHeight w:val="300"/>
        </w:trPr>
        <w:tc>
          <w:tcPr>
            <w:tcW w:w="680" w:type="dxa"/>
            <w:vMerge/>
            <w:tcBorders>
              <w:top w:val="nil"/>
              <w:left w:val="single" w:sz="8" w:space="0" w:color="auto"/>
              <w:bottom w:val="single" w:sz="8" w:space="0" w:color="000000"/>
              <w:right w:val="single" w:sz="4" w:space="0" w:color="auto"/>
            </w:tcBorders>
            <w:vAlign w:val="center"/>
            <w:hideMark/>
          </w:tcPr>
          <w:p w:rsidR="00C75CC9" w:rsidRPr="00304A7E" w:rsidRDefault="00C75CC9" w:rsidP="00B31AA0">
            <w:pPr>
              <w:spacing w:after="0" w:line="240" w:lineRule="auto"/>
              <w:jc w:val="center"/>
              <w:rPr>
                <w:rFonts w:eastAsia="Times New Roman" w:cs="Calibri"/>
                <w:color w:val="000000"/>
                <w:sz w:val="16"/>
                <w:szCs w:val="16"/>
              </w:rPr>
            </w:pPr>
          </w:p>
        </w:tc>
        <w:tc>
          <w:tcPr>
            <w:tcW w:w="1260"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rPr>
                <w:rFonts w:eastAsia="Times New Roman" w:cs="Calibri"/>
                <w:color w:val="000000"/>
                <w:sz w:val="16"/>
                <w:szCs w:val="16"/>
              </w:rPr>
            </w:pPr>
            <w:r w:rsidRPr="00304A7E">
              <w:rPr>
                <w:rFonts w:ascii="Sylfaen" w:eastAsia="Times New Roman" w:hAnsi="Sylfaen" w:cs="Sylfaen"/>
                <w:color w:val="000000"/>
                <w:sz w:val="16"/>
                <w:szCs w:val="16"/>
              </w:rPr>
              <w:t>მაისი</w:t>
            </w:r>
          </w:p>
        </w:tc>
        <w:tc>
          <w:tcPr>
            <w:tcW w:w="1233"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4,497,600.00</w:t>
            </w:r>
          </w:p>
        </w:tc>
        <w:tc>
          <w:tcPr>
            <w:tcW w:w="1418"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3,706,018.00</w:t>
            </w:r>
          </w:p>
        </w:tc>
        <w:tc>
          <w:tcPr>
            <w:tcW w:w="1262"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791,582</w:t>
            </w:r>
          </w:p>
        </w:tc>
        <w:tc>
          <w:tcPr>
            <w:tcW w:w="1262"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p>
        </w:tc>
        <w:tc>
          <w:tcPr>
            <w:tcW w:w="1201" w:type="dxa"/>
            <w:tcBorders>
              <w:top w:val="nil"/>
              <w:left w:val="nil"/>
              <w:bottom w:val="single" w:sz="4" w:space="0" w:color="auto"/>
              <w:right w:val="single" w:sz="4" w:space="0" w:color="auto"/>
            </w:tcBorders>
            <w:shd w:val="clear" w:color="auto" w:fill="auto"/>
            <w:noWrap/>
            <w:vAlign w:val="center"/>
            <w:hideMark/>
          </w:tcPr>
          <w:p w:rsidR="00C75CC9" w:rsidRPr="00B31AA0" w:rsidRDefault="00C75CC9"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791,582.00</w:t>
            </w:r>
          </w:p>
        </w:tc>
        <w:tc>
          <w:tcPr>
            <w:tcW w:w="1201" w:type="dxa"/>
            <w:tcBorders>
              <w:top w:val="nil"/>
              <w:left w:val="nil"/>
              <w:bottom w:val="single" w:sz="4" w:space="0" w:color="auto"/>
              <w:right w:val="single" w:sz="8" w:space="0" w:color="auto"/>
            </w:tcBorders>
            <w:shd w:val="clear" w:color="auto" w:fill="auto"/>
            <w:noWrap/>
            <w:vAlign w:val="center"/>
            <w:hideMark/>
          </w:tcPr>
          <w:p w:rsidR="00C75CC9" w:rsidRPr="00B31AA0" w:rsidRDefault="00C75CC9"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24,067.00</w:t>
            </w:r>
          </w:p>
        </w:tc>
        <w:tc>
          <w:tcPr>
            <w:tcW w:w="1208" w:type="dxa"/>
            <w:tcBorders>
              <w:top w:val="nil"/>
              <w:left w:val="nil"/>
              <w:bottom w:val="single" w:sz="4" w:space="0" w:color="auto"/>
              <w:right w:val="single" w:sz="8" w:space="0" w:color="auto"/>
            </w:tcBorders>
            <w:vAlign w:val="bottom"/>
          </w:tcPr>
          <w:p w:rsidR="00C75CC9" w:rsidRPr="00C75CC9" w:rsidRDefault="00C75CC9" w:rsidP="00C75CC9">
            <w:pPr>
              <w:spacing w:after="0" w:line="240" w:lineRule="auto"/>
              <w:jc w:val="right"/>
              <w:rPr>
                <w:rFonts w:eastAsia="Times New Roman" w:cs="Calibri"/>
                <w:color w:val="000000"/>
                <w:sz w:val="16"/>
                <w:szCs w:val="16"/>
              </w:rPr>
            </w:pPr>
            <w:r w:rsidRPr="00C75CC9">
              <w:rPr>
                <w:rFonts w:eastAsia="Times New Roman" w:cs="Calibri"/>
                <w:color w:val="000000"/>
                <w:sz w:val="16"/>
                <w:szCs w:val="16"/>
              </w:rPr>
              <w:t xml:space="preserve">         344,307 </w:t>
            </w:r>
          </w:p>
        </w:tc>
        <w:tc>
          <w:tcPr>
            <w:tcW w:w="2700" w:type="dxa"/>
            <w:tcBorders>
              <w:top w:val="nil"/>
              <w:left w:val="nil"/>
              <w:bottom w:val="single" w:sz="4" w:space="0" w:color="auto"/>
              <w:right w:val="single" w:sz="8" w:space="0" w:color="auto"/>
            </w:tcBorders>
            <w:vAlign w:val="center"/>
          </w:tcPr>
          <w:p w:rsidR="00C75CC9" w:rsidRPr="00304A7E" w:rsidRDefault="00C75CC9" w:rsidP="00B31AA0">
            <w:pPr>
              <w:spacing w:after="0" w:line="240" w:lineRule="auto"/>
              <w:jc w:val="both"/>
              <w:rPr>
                <w:rFonts w:eastAsia="Times New Roman" w:cs="Calibri"/>
                <w:color w:val="000000"/>
                <w:sz w:val="16"/>
                <w:szCs w:val="16"/>
              </w:rPr>
            </w:pPr>
          </w:p>
        </w:tc>
      </w:tr>
      <w:tr w:rsidR="00C75CC9" w:rsidRPr="00304A7E" w:rsidTr="00F35453">
        <w:trPr>
          <w:trHeight w:val="300"/>
        </w:trPr>
        <w:tc>
          <w:tcPr>
            <w:tcW w:w="680" w:type="dxa"/>
            <w:vMerge/>
            <w:tcBorders>
              <w:top w:val="nil"/>
              <w:left w:val="single" w:sz="8" w:space="0" w:color="auto"/>
              <w:bottom w:val="single" w:sz="8" w:space="0" w:color="000000"/>
              <w:right w:val="single" w:sz="4" w:space="0" w:color="auto"/>
            </w:tcBorders>
            <w:vAlign w:val="center"/>
            <w:hideMark/>
          </w:tcPr>
          <w:p w:rsidR="00C75CC9" w:rsidRPr="00304A7E" w:rsidRDefault="00C75CC9" w:rsidP="00B31AA0">
            <w:pPr>
              <w:spacing w:after="0" w:line="240" w:lineRule="auto"/>
              <w:jc w:val="center"/>
              <w:rPr>
                <w:rFonts w:eastAsia="Times New Roman" w:cs="Calibri"/>
                <w:color w:val="000000"/>
                <w:sz w:val="16"/>
                <w:szCs w:val="16"/>
              </w:rPr>
            </w:pPr>
          </w:p>
        </w:tc>
        <w:tc>
          <w:tcPr>
            <w:tcW w:w="1260"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rPr>
                <w:rFonts w:eastAsia="Times New Roman" w:cs="Calibri"/>
                <w:color w:val="000000"/>
                <w:sz w:val="16"/>
                <w:szCs w:val="16"/>
              </w:rPr>
            </w:pPr>
            <w:r w:rsidRPr="00304A7E">
              <w:rPr>
                <w:rFonts w:ascii="Sylfaen" w:eastAsia="Times New Roman" w:hAnsi="Sylfaen" w:cs="Sylfaen"/>
                <w:color w:val="000000"/>
                <w:sz w:val="16"/>
                <w:szCs w:val="16"/>
              </w:rPr>
              <w:t>ივნისი</w:t>
            </w:r>
          </w:p>
        </w:tc>
        <w:tc>
          <w:tcPr>
            <w:tcW w:w="1233"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4,497,600.00</w:t>
            </w:r>
          </w:p>
        </w:tc>
        <w:tc>
          <w:tcPr>
            <w:tcW w:w="1418"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3,716,677.00</w:t>
            </w:r>
          </w:p>
        </w:tc>
        <w:tc>
          <w:tcPr>
            <w:tcW w:w="1262"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780,923</w:t>
            </w:r>
          </w:p>
        </w:tc>
        <w:tc>
          <w:tcPr>
            <w:tcW w:w="1262"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p>
        </w:tc>
        <w:tc>
          <w:tcPr>
            <w:tcW w:w="1201" w:type="dxa"/>
            <w:tcBorders>
              <w:top w:val="nil"/>
              <w:left w:val="nil"/>
              <w:bottom w:val="single" w:sz="4" w:space="0" w:color="auto"/>
              <w:right w:val="single" w:sz="4" w:space="0" w:color="auto"/>
            </w:tcBorders>
            <w:shd w:val="clear" w:color="auto" w:fill="auto"/>
            <w:noWrap/>
            <w:vAlign w:val="center"/>
            <w:hideMark/>
          </w:tcPr>
          <w:p w:rsidR="00C75CC9" w:rsidRPr="00B31AA0" w:rsidRDefault="00C75CC9"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780,923.00</w:t>
            </w:r>
          </w:p>
        </w:tc>
        <w:tc>
          <w:tcPr>
            <w:tcW w:w="1201" w:type="dxa"/>
            <w:tcBorders>
              <w:top w:val="nil"/>
              <w:left w:val="nil"/>
              <w:bottom w:val="single" w:sz="4" w:space="0" w:color="auto"/>
              <w:right w:val="single" w:sz="8" w:space="0" w:color="auto"/>
            </w:tcBorders>
            <w:shd w:val="clear" w:color="auto" w:fill="auto"/>
            <w:noWrap/>
            <w:vAlign w:val="center"/>
            <w:hideMark/>
          </w:tcPr>
          <w:p w:rsidR="00C75CC9" w:rsidRPr="00B31AA0" w:rsidRDefault="00C75CC9"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10,659.00</w:t>
            </w:r>
          </w:p>
        </w:tc>
        <w:tc>
          <w:tcPr>
            <w:tcW w:w="1208" w:type="dxa"/>
            <w:tcBorders>
              <w:top w:val="nil"/>
              <w:left w:val="nil"/>
              <w:bottom w:val="single" w:sz="4" w:space="0" w:color="auto"/>
              <w:right w:val="single" w:sz="8" w:space="0" w:color="auto"/>
            </w:tcBorders>
            <w:vAlign w:val="bottom"/>
          </w:tcPr>
          <w:p w:rsidR="00C75CC9" w:rsidRPr="00C75CC9" w:rsidRDefault="00C75CC9" w:rsidP="00C75CC9">
            <w:pPr>
              <w:spacing w:after="0" w:line="240" w:lineRule="auto"/>
              <w:jc w:val="right"/>
              <w:rPr>
                <w:rFonts w:eastAsia="Times New Roman" w:cs="Calibri"/>
                <w:color w:val="000000"/>
                <w:sz w:val="16"/>
                <w:szCs w:val="16"/>
              </w:rPr>
            </w:pPr>
            <w:r w:rsidRPr="00C75CC9">
              <w:rPr>
                <w:rFonts w:eastAsia="Times New Roman" w:cs="Calibri"/>
                <w:color w:val="000000"/>
                <w:sz w:val="16"/>
                <w:szCs w:val="16"/>
              </w:rPr>
              <w:t xml:space="preserve">         354,027 </w:t>
            </w:r>
          </w:p>
        </w:tc>
        <w:tc>
          <w:tcPr>
            <w:tcW w:w="2700" w:type="dxa"/>
            <w:tcBorders>
              <w:top w:val="nil"/>
              <w:left w:val="nil"/>
              <w:bottom w:val="single" w:sz="4" w:space="0" w:color="auto"/>
              <w:right w:val="single" w:sz="8" w:space="0" w:color="auto"/>
            </w:tcBorders>
            <w:vAlign w:val="center"/>
          </w:tcPr>
          <w:p w:rsidR="00C75CC9" w:rsidRPr="00304A7E" w:rsidRDefault="00C75CC9" w:rsidP="00B31AA0">
            <w:pPr>
              <w:spacing w:after="0" w:line="240" w:lineRule="auto"/>
              <w:jc w:val="both"/>
              <w:rPr>
                <w:rFonts w:eastAsia="Times New Roman" w:cs="Calibri"/>
                <w:color w:val="000000"/>
                <w:sz w:val="16"/>
                <w:szCs w:val="16"/>
              </w:rPr>
            </w:pPr>
          </w:p>
        </w:tc>
      </w:tr>
      <w:tr w:rsidR="00C75CC9" w:rsidRPr="00304A7E" w:rsidTr="00F35453">
        <w:trPr>
          <w:trHeight w:val="300"/>
        </w:trPr>
        <w:tc>
          <w:tcPr>
            <w:tcW w:w="680" w:type="dxa"/>
            <w:vMerge/>
            <w:tcBorders>
              <w:top w:val="nil"/>
              <w:left w:val="single" w:sz="8" w:space="0" w:color="auto"/>
              <w:bottom w:val="single" w:sz="8" w:space="0" w:color="000000"/>
              <w:right w:val="single" w:sz="4" w:space="0" w:color="auto"/>
            </w:tcBorders>
            <w:vAlign w:val="center"/>
            <w:hideMark/>
          </w:tcPr>
          <w:p w:rsidR="00C75CC9" w:rsidRPr="00304A7E" w:rsidRDefault="00C75CC9" w:rsidP="00B31AA0">
            <w:pPr>
              <w:spacing w:after="0" w:line="240" w:lineRule="auto"/>
              <w:jc w:val="center"/>
              <w:rPr>
                <w:rFonts w:eastAsia="Times New Roman" w:cs="Calibri"/>
                <w:color w:val="000000"/>
                <w:sz w:val="16"/>
                <w:szCs w:val="16"/>
              </w:rPr>
            </w:pPr>
          </w:p>
        </w:tc>
        <w:tc>
          <w:tcPr>
            <w:tcW w:w="1260"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rPr>
                <w:rFonts w:eastAsia="Times New Roman" w:cs="Calibri"/>
                <w:color w:val="000000"/>
                <w:sz w:val="16"/>
                <w:szCs w:val="16"/>
              </w:rPr>
            </w:pPr>
            <w:r w:rsidRPr="00304A7E">
              <w:rPr>
                <w:rFonts w:ascii="Sylfaen" w:eastAsia="Times New Roman" w:hAnsi="Sylfaen" w:cs="Sylfaen"/>
                <w:color w:val="000000"/>
                <w:sz w:val="16"/>
                <w:szCs w:val="16"/>
              </w:rPr>
              <w:t>ივლისი</w:t>
            </w:r>
          </w:p>
        </w:tc>
        <w:tc>
          <w:tcPr>
            <w:tcW w:w="1233"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4,497,600.00</w:t>
            </w:r>
          </w:p>
        </w:tc>
        <w:tc>
          <w:tcPr>
            <w:tcW w:w="1418"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3,698,924.00</w:t>
            </w:r>
          </w:p>
        </w:tc>
        <w:tc>
          <w:tcPr>
            <w:tcW w:w="1262"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798,676</w:t>
            </w:r>
          </w:p>
        </w:tc>
        <w:tc>
          <w:tcPr>
            <w:tcW w:w="1262"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p>
        </w:tc>
        <w:tc>
          <w:tcPr>
            <w:tcW w:w="1201" w:type="dxa"/>
            <w:tcBorders>
              <w:top w:val="nil"/>
              <w:left w:val="nil"/>
              <w:bottom w:val="single" w:sz="4" w:space="0" w:color="auto"/>
              <w:right w:val="single" w:sz="4" w:space="0" w:color="auto"/>
            </w:tcBorders>
            <w:shd w:val="clear" w:color="auto" w:fill="auto"/>
            <w:noWrap/>
            <w:vAlign w:val="center"/>
            <w:hideMark/>
          </w:tcPr>
          <w:p w:rsidR="00C75CC9" w:rsidRPr="00B31AA0" w:rsidRDefault="00C75CC9"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798,676.00</w:t>
            </w:r>
          </w:p>
        </w:tc>
        <w:tc>
          <w:tcPr>
            <w:tcW w:w="1201" w:type="dxa"/>
            <w:tcBorders>
              <w:top w:val="nil"/>
              <w:left w:val="nil"/>
              <w:bottom w:val="single" w:sz="4" w:space="0" w:color="auto"/>
              <w:right w:val="single" w:sz="8" w:space="0" w:color="auto"/>
            </w:tcBorders>
            <w:shd w:val="clear" w:color="auto" w:fill="auto"/>
            <w:noWrap/>
            <w:vAlign w:val="center"/>
            <w:hideMark/>
          </w:tcPr>
          <w:p w:rsidR="00C75CC9" w:rsidRPr="00B31AA0" w:rsidRDefault="00C75CC9"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(17,753.00)</w:t>
            </w:r>
          </w:p>
        </w:tc>
        <w:tc>
          <w:tcPr>
            <w:tcW w:w="1208" w:type="dxa"/>
            <w:tcBorders>
              <w:top w:val="nil"/>
              <w:left w:val="nil"/>
              <w:bottom w:val="single" w:sz="4" w:space="0" w:color="auto"/>
              <w:right w:val="single" w:sz="8" w:space="0" w:color="auto"/>
            </w:tcBorders>
            <w:vAlign w:val="bottom"/>
          </w:tcPr>
          <w:p w:rsidR="00C75CC9" w:rsidRPr="00C75CC9" w:rsidRDefault="00C75CC9" w:rsidP="00C75CC9">
            <w:pPr>
              <w:spacing w:after="0" w:line="240" w:lineRule="auto"/>
              <w:jc w:val="right"/>
              <w:rPr>
                <w:rFonts w:eastAsia="Times New Roman" w:cs="Calibri"/>
                <w:color w:val="000000"/>
                <w:sz w:val="16"/>
                <w:szCs w:val="16"/>
              </w:rPr>
            </w:pPr>
            <w:r w:rsidRPr="00C75CC9">
              <w:rPr>
                <w:rFonts w:eastAsia="Times New Roman" w:cs="Calibri"/>
                <w:color w:val="000000"/>
                <w:sz w:val="16"/>
                <w:szCs w:val="16"/>
              </w:rPr>
              <w:t xml:space="preserve">         441,213 </w:t>
            </w:r>
          </w:p>
        </w:tc>
        <w:tc>
          <w:tcPr>
            <w:tcW w:w="2700" w:type="dxa"/>
            <w:tcBorders>
              <w:top w:val="nil"/>
              <w:left w:val="nil"/>
              <w:bottom w:val="single" w:sz="4" w:space="0" w:color="auto"/>
              <w:right w:val="single" w:sz="8" w:space="0" w:color="auto"/>
            </w:tcBorders>
            <w:vAlign w:val="center"/>
          </w:tcPr>
          <w:p w:rsidR="00C75CC9" w:rsidRPr="00304A7E" w:rsidRDefault="00C75CC9" w:rsidP="00B31AA0">
            <w:pPr>
              <w:spacing w:after="0" w:line="240" w:lineRule="auto"/>
              <w:jc w:val="both"/>
              <w:rPr>
                <w:rFonts w:eastAsia="Times New Roman" w:cs="Calibri"/>
                <w:color w:val="000000"/>
                <w:sz w:val="16"/>
                <w:szCs w:val="16"/>
              </w:rPr>
            </w:pPr>
          </w:p>
        </w:tc>
      </w:tr>
      <w:tr w:rsidR="00C75CC9" w:rsidRPr="00304A7E" w:rsidTr="00F35453">
        <w:trPr>
          <w:trHeight w:val="300"/>
        </w:trPr>
        <w:tc>
          <w:tcPr>
            <w:tcW w:w="680" w:type="dxa"/>
            <w:vMerge/>
            <w:tcBorders>
              <w:top w:val="nil"/>
              <w:left w:val="single" w:sz="8" w:space="0" w:color="auto"/>
              <w:bottom w:val="single" w:sz="8" w:space="0" w:color="000000"/>
              <w:right w:val="single" w:sz="4" w:space="0" w:color="auto"/>
            </w:tcBorders>
            <w:vAlign w:val="center"/>
            <w:hideMark/>
          </w:tcPr>
          <w:p w:rsidR="00C75CC9" w:rsidRPr="00304A7E" w:rsidRDefault="00C75CC9" w:rsidP="00B31AA0">
            <w:pPr>
              <w:spacing w:after="0" w:line="240" w:lineRule="auto"/>
              <w:jc w:val="center"/>
              <w:rPr>
                <w:rFonts w:eastAsia="Times New Roman" w:cs="Calibri"/>
                <w:color w:val="000000"/>
                <w:sz w:val="16"/>
                <w:szCs w:val="16"/>
              </w:rPr>
            </w:pPr>
          </w:p>
        </w:tc>
        <w:tc>
          <w:tcPr>
            <w:tcW w:w="1260"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rPr>
                <w:rFonts w:eastAsia="Times New Roman" w:cs="Calibri"/>
                <w:color w:val="000000"/>
                <w:sz w:val="16"/>
                <w:szCs w:val="16"/>
              </w:rPr>
            </w:pPr>
            <w:r w:rsidRPr="00304A7E">
              <w:rPr>
                <w:rFonts w:ascii="Sylfaen" w:eastAsia="Times New Roman" w:hAnsi="Sylfaen" w:cs="Sylfaen"/>
                <w:color w:val="000000"/>
                <w:sz w:val="16"/>
                <w:szCs w:val="16"/>
              </w:rPr>
              <w:t>აგვისტო</w:t>
            </w:r>
          </w:p>
        </w:tc>
        <w:tc>
          <w:tcPr>
            <w:tcW w:w="1233"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4,497,600.00</w:t>
            </w:r>
          </w:p>
        </w:tc>
        <w:tc>
          <w:tcPr>
            <w:tcW w:w="1418"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3,700,446.00</w:t>
            </w:r>
          </w:p>
        </w:tc>
        <w:tc>
          <w:tcPr>
            <w:tcW w:w="1262"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797,154</w:t>
            </w:r>
          </w:p>
        </w:tc>
        <w:tc>
          <w:tcPr>
            <w:tcW w:w="1262"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p>
        </w:tc>
        <w:tc>
          <w:tcPr>
            <w:tcW w:w="1201" w:type="dxa"/>
            <w:tcBorders>
              <w:top w:val="nil"/>
              <w:left w:val="nil"/>
              <w:bottom w:val="single" w:sz="4" w:space="0" w:color="auto"/>
              <w:right w:val="single" w:sz="4" w:space="0" w:color="auto"/>
            </w:tcBorders>
            <w:shd w:val="clear" w:color="auto" w:fill="auto"/>
            <w:noWrap/>
            <w:vAlign w:val="center"/>
            <w:hideMark/>
          </w:tcPr>
          <w:p w:rsidR="00C75CC9" w:rsidRPr="00B31AA0" w:rsidRDefault="00C75CC9"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797,154.00</w:t>
            </w:r>
          </w:p>
        </w:tc>
        <w:tc>
          <w:tcPr>
            <w:tcW w:w="1201" w:type="dxa"/>
            <w:tcBorders>
              <w:top w:val="nil"/>
              <w:left w:val="nil"/>
              <w:bottom w:val="single" w:sz="4" w:space="0" w:color="auto"/>
              <w:right w:val="single" w:sz="8" w:space="0" w:color="auto"/>
            </w:tcBorders>
            <w:shd w:val="clear" w:color="auto" w:fill="auto"/>
            <w:noWrap/>
            <w:vAlign w:val="center"/>
            <w:hideMark/>
          </w:tcPr>
          <w:p w:rsidR="00C75CC9" w:rsidRPr="00B31AA0" w:rsidRDefault="00C75CC9"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1,522.00</w:t>
            </w:r>
          </w:p>
        </w:tc>
        <w:tc>
          <w:tcPr>
            <w:tcW w:w="1208" w:type="dxa"/>
            <w:tcBorders>
              <w:top w:val="nil"/>
              <w:left w:val="nil"/>
              <w:bottom w:val="single" w:sz="4" w:space="0" w:color="auto"/>
              <w:right w:val="single" w:sz="8" w:space="0" w:color="auto"/>
            </w:tcBorders>
            <w:vAlign w:val="bottom"/>
          </w:tcPr>
          <w:p w:rsidR="00C75CC9" w:rsidRPr="00C75CC9" w:rsidRDefault="00C75CC9" w:rsidP="00C75CC9">
            <w:pPr>
              <w:spacing w:after="0" w:line="240" w:lineRule="auto"/>
              <w:jc w:val="right"/>
              <w:rPr>
                <w:rFonts w:eastAsia="Times New Roman" w:cs="Calibri"/>
                <w:color w:val="000000"/>
                <w:sz w:val="16"/>
                <w:szCs w:val="16"/>
              </w:rPr>
            </w:pPr>
            <w:r w:rsidRPr="00C75CC9">
              <w:rPr>
                <w:rFonts w:eastAsia="Times New Roman" w:cs="Calibri"/>
                <w:color w:val="000000"/>
                <w:sz w:val="16"/>
                <w:szCs w:val="16"/>
              </w:rPr>
              <w:t xml:space="preserve">         422,309 </w:t>
            </w:r>
          </w:p>
        </w:tc>
        <w:tc>
          <w:tcPr>
            <w:tcW w:w="2700" w:type="dxa"/>
            <w:tcBorders>
              <w:top w:val="nil"/>
              <w:left w:val="nil"/>
              <w:bottom w:val="single" w:sz="4" w:space="0" w:color="auto"/>
              <w:right w:val="single" w:sz="8" w:space="0" w:color="auto"/>
            </w:tcBorders>
            <w:vAlign w:val="center"/>
          </w:tcPr>
          <w:p w:rsidR="00C75CC9" w:rsidRPr="00304A7E" w:rsidRDefault="00C75CC9" w:rsidP="00B31AA0">
            <w:pPr>
              <w:spacing w:after="0" w:line="240" w:lineRule="auto"/>
              <w:jc w:val="both"/>
              <w:rPr>
                <w:rFonts w:eastAsia="Times New Roman" w:cs="Calibri"/>
                <w:color w:val="000000"/>
                <w:sz w:val="16"/>
                <w:szCs w:val="16"/>
              </w:rPr>
            </w:pPr>
          </w:p>
        </w:tc>
      </w:tr>
      <w:tr w:rsidR="00C75CC9" w:rsidRPr="00304A7E" w:rsidTr="00F35453">
        <w:trPr>
          <w:trHeight w:val="300"/>
        </w:trPr>
        <w:tc>
          <w:tcPr>
            <w:tcW w:w="680" w:type="dxa"/>
            <w:vMerge/>
            <w:tcBorders>
              <w:top w:val="nil"/>
              <w:left w:val="single" w:sz="8" w:space="0" w:color="auto"/>
              <w:bottom w:val="single" w:sz="8" w:space="0" w:color="000000"/>
              <w:right w:val="single" w:sz="4" w:space="0" w:color="auto"/>
            </w:tcBorders>
            <w:vAlign w:val="center"/>
            <w:hideMark/>
          </w:tcPr>
          <w:p w:rsidR="00C75CC9" w:rsidRPr="00304A7E" w:rsidRDefault="00C75CC9" w:rsidP="00B31AA0">
            <w:pPr>
              <w:spacing w:after="0" w:line="240" w:lineRule="auto"/>
              <w:jc w:val="center"/>
              <w:rPr>
                <w:rFonts w:eastAsia="Times New Roman" w:cs="Calibri"/>
                <w:color w:val="000000"/>
                <w:sz w:val="16"/>
                <w:szCs w:val="16"/>
              </w:rPr>
            </w:pPr>
          </w:p>
        </w:tc>
        <w:tc>
          <w:tcPr>
            <w:tcW w:w="1260"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rPr>
                <w:rFonts w:eastAsia="Times New Roman" w:cs="Calibri"/>
                <w:color w:val="000000"/>
                <w:sz w:val="16"/>
                <w:szCs w:val="16"/>
              </w:rPr>
            </w:pPr>
            <w:r w:rsidRPr="00304A7E">
              <w:rPr>
                <w:rFonts w:ascii="Sylfaen" w:eastAsia="Times New Roman" w:hAnsi="Sylfaen" w:cs="Sylfaen"/>
                <w:color w:val="000000"/>
                <w:sz w:val="16"/>
                <w:szCs w:val="16"/>
              </w:rPr>
              <w:t>სექტემბერი</w:t>
            </w:r>
          </w:p>
        </w:tc>
        <w:tc>
          <w:tcPr>
            <w:tcW w:w="1233"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4,497,600.00</w:t>
            </w:r>
          </w:p>
        </w:tc>
        <w:tc>
          <w:tcPr>
            <w:tcW w:w="1418"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2,758,203.00</w:t>
            </w:r>
          </w:p>
        </w:tc>
        <w:tc>
          <w:tcPr>
            <w:tcW w:w="1262"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808,268</w:t>
            </w:r>
          </w:p>
        </w:tc>
        <w:tc>
          <w:tcPr>
            <w:tcW w:w="1262"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931,129</w:t>
            </w:r>
          </w:p>
        </w:tc>
        <w:tc>
          <w:tcPr>
            <w:tcW w:w="1201" w:type="dxa"/>
            <w:tcBorders>
              <w:top w:val="nil"/>
              <w:left w:val="nil"/>
              <w:bottom w:val="single" w:sz="4" w:space="0" w:color="auto"/>
              <w:right w:val="single" w:sz="4" w:space="0" w:color="auto"/>
            </w:tcBorders>
            <w:shd w:val="clear" w:color="auto" w:fill="auto"/>
            <w:noWrap/>
            <w:vAlign w:val="center"/>
            <w:hideMark/>
          </w:tcPr>
          <w:p w:rsidR="00C75CC9" w:rsidRPr="00B31AA0" w:rsidRDefault="00C75CC9"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1,739,397.00</w:t>
            </w:r>
          </w:p>
        </w:tc>
        <w:tc>
          <w:tcPr>
            <w:tcW w:w="1201" w:type="dxa"/>
            <w:tcBorders>
              <w:top w:val="nil"/>
              <w:left w:val="nil"/>
              <w:bottom w:val="single" w:sz="4" w:space="0" w:color="auto"/>
              <w:right w:val="single" w:sz="8" w:space="0" w:color="auto"/>
            </w:tcBorders>
            <w:shd w:val="clear" w:color="000000" w:fill="C5D9F1"/>
            <w:noWrap/>
            <w:vAlign w:val="center"/>
            <w:hideMark/>
          </w:tcPr>
          <w:p w:rsidR="00C75CC9" w:rsidRPr="00B31AA0" w:rsidRDefault="00C75CC9"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(942,243.00)</w:t>
            </w:r>
          </w:p>
        </w:tc>
        <w:tc>
          <w:tcPr>
            <w:tcW w:w="1208" w:type="dxa"/>
            <w:tcBorders>
              <w:top w:val="nil"/>
              <w:left w:val="nil"/>
              <w:bottom w:val="single" w:sz="4" w:space="0" w:color="auto"/>
              <w:right w:val="single" w:sz="8" w:space="0" w:color="auto"/>
            </w:tcBorders>
            <w:shd w:val="clear" w:color="auto" w:fill="auto"/>
            <w:vAlign w:val="bottom"/>
          </w:tcPr>
          <w:p w:rsidR="00C75CC9" w:rsidRPr="00C75CC9" w:rsidRDefault="00C75CC9" w:rsidP="00C75CC9">
            <w:pPr>
              <w:spacing w:after="0" w:line="240" w:lineRule="auto"/>
              <w:jc w:val="right"/>
              <w:rPr>
                <w:rFonts w:eastAsia="Times New Roman" w:cs="Calibri"/>
                <w:color w:val="000000"/>
                <w:sz w:val="16"/>
                <w:szCs w:val="16"/>
              </w:rPr>
            </w:pPr>
            <w:r w:rsidRPr="00C75CC9">
              <w:rPr>
                <w:rFonts w:eastAsia="Times New Roman" w:cs="Calibri"/>
                <w:color w:val="000000"/>
                <w:sz w:val="16"/>
                <w:szCs w:val="16"/>
              </w:rPr>
              <w:t xml:space="preserve">         215,399 </w:t>
            </w:r>
          </w:p>
        </w:tc>
        <w:tc>
          <w:tcPr>
            <w:tcW w:w="2700" w:type="dxa"/>
            <w:tcBorders>
              <w:top w:val="nil"/>
              <w:left w:val="nil"/>
              <w:bottom w:val="single" w:sz="4" w:space="0" w:color="auto"/>
              <w:right w:val="single" w:sz="8" w:space="0" w:color="auto"/>
            </w:tcBorders>
            <w:shd w:val="clear" w:color="auto" w:fill="auto"/>
            <w:vAlign w:val="center"/>
          </w:tcPr>
          <w:p w:rsidR="00C75CC9" w:rsidRPr="00630A11" w:rsidRDefault="00C75CC9" w:rsidP="00B31AA0">
            <w:pPr>
              <w:spacing w:after="0" w:line="240" w:lineRule="auto"/>
              <w:jc w:val="both"/>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საქართველოს მთავრობის 2012 წლის 7 მაისის N165 დადგენილება</w:t>
            </w:r>
          </w:p>
        </w:tc>
      </w:tr>
      <w:tr w:rsidR="00C75CC9" w:rsidRPr="00304A7E" w:rsidTr="00F35453">
        <w:trPr>
          <w:trHeight w:val="300"/>
        </w:trPr>
        <w:tc>
          <w:tcPr>
            <w:tcW w:w="680" w:type="dxa"/>
            <w:vMerge/>
            <w:tcBorders>
              <w:top w:val="nil"/>
              <w:left w:val="single" w:sz="8" w:space="0" w:color="auto"/>
              <w:bottom w:val="single" w:sz="8" w:space="0" w:color="000000"/>
              <w:right w:val="single" w:sz="4" w:space="0" w:color="auto"/>
            </w:tcBorders>
            <w:vAlign w:val="center"/>
            <w:hideMark/>
          </w:tcPr>
          <w:p w:rsidR="00C75CC9" w:rsidRPr="00304A7E" w:rsidRDefault="00C75CC9" w:rsidP="00B31AA0">
            <w:pPr>
              <w:spacing w:after="0" w:line="240" w:lineRule="auto"/>
              <w:jc w:val="center"/>
              <w:rPr>
                <w:rFonts w:eastAsia="Times New Roman" w:cs="Calibri"/>
                <w:color w:val="000000"/>
                <w:sz w:val="16"/>
                <w:szCs w:val="16"/>
              </w:rPr>
            </w:pPr>
          </w:p>
        </w:tc>
        <w:tc>
          <w:tcPr>
            <w:tcW w:w="1260"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rPr>
                <w:rFonts w:eastAsia="Times New Roman" w:cs="Calibri"/>
                <w:color w:val="000000"/>
                <w:sz w:val="16"/>
                <w:szCs w:val="16"/>
              </w:rPr>
            </w:pPr>
            <w:r w:rsidRPr="00304A7E">
              <w:rPr>
                <w:rFonts w:ascii="Sylfaen" w:eastAsia="Times New Roman" w:hAnsi="Sylfaen" w:cs="Sylfaen"/>
                <w:color w:val="000000"/>
                <w:sz w:val="16"/>
                <w:szCs w:val="16"/>
              </w:rPr>
              <w:t>ოქტომბერი</w:t>
            </w:r>
          </w:p>
        </w:tc>
        <w:tc>
          <w:tcPr>
            <w:tcW w:w="1233"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4,497,600.00</w:t>
            </w:r>
          </w:p>
        </w:tc>
        <w:tc>
          <w:tcPr>
            <w:tcW w:w="1418"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2,753,726.00</w:t>
            </w:r>
          </w:p>
        </w:tc>
        <w:tc>
          <w:tcPr>
            <w:tcW w:w="1262"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816,858</w:t>
            </w:r>
          </w:p>
        </w:tc>
        <w:tc>
          <w:tcPr>
            <w:tcW w:w="1262"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927,016</w:t>
            </w:r>
          </w:p>
        </w:tc>
        <w:tc>
          <w:tcPr>
            <w:tcW w:w="1201" w:type="dxa"/>
            <w:tcBorders>
              <w:top w:val="nil"/>
              <w:left w:val="nil"/>
              <w:bottom w:val="single" w:sz="4" w:space="0" w:color="auto"/>
              <w:right w:val="single" w:sz="4" w:space="0" w:color="auto"/>
            </w:tcBorders>
            <w:shd w:val="clear" w:color="auto" w:fill="auto"/>
            <w:noWrap/>
            <w:vAlign w:val="center"/>
            <w:hideMark/>
          </w:tcPr>
          <w:p w:rsidR="00C75CC9" w:rsidRPr="00B31AA0" w:rsidRDefault="00C75CC9"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1,743,874.00</w:t>
            </w:r>
          </w:p>
        </w:tc>
        <w:tc>
          <w:tcPr>
            <w:tcW w:w="1201" w:type="dxa"/>
            <w:tcBorders>
              <w:top w:val="nil"/>
              <w:left w:val="nil"/>
              <w:bottom w:val="single" w:sz="4" w:space="0" w:color="auto"/>
              <w:right w:val="single" w:sz="8" w:space="0" w:color="auto"/>
            </w:tcBorders>
            <w:shd w:val="clear" w:color="auto" w:fill="auto"/>
            <w:noWrap/>
            <w:vAlign w:val="center"/>
            <w:hideMark/>
          </w:tcPr>
          <w:p w:rsidR="00C75CC9" w:rsidRPr="00B31AA0" w:rsidRDefault="00C75CC9"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(4,477.00)</w:t>
            </w:r>
          </w:p>
        </w:tc>
        <w:tc>
          <w:tcPr>
            <w:tcW w:w="1208" w:type="dxa"/>
            <w:tcBorders>
              <w:top w:val="nil"/>
              <w:left w:val="nil"/>
              <w:bottom w:val="single" w:sz="4" w:space="0" w:color="auto"/>
              <w:right w:val="single" w:sz="8" w:space="0" w:color="auto"/>
            </w:tcBorders>
            <w:shd w:val="clear" w:color="auto" w:fill="auto"/>
            <w:vAlign w:val="bottom"/>
          </w:tcPr>
          <w:p w:rsidR="00C75CC9" w:rsidRPr="00C75CC9" w:rsidRDefault="00C75CC9" w:rsidP="00C75CC9">
            <w:pPr>
              <w:spacing w:after="0" w:line="240" w:lineRule="auto"/>
              <w:jc w:val="right"/>
              <w:rPr>
                <w:rFonts w:eastAsia="Times New Roman" w:cs="Calibri"/>
                <w:color w:val="000000"/>
                <w:sz w:val="16"/>
                <w:szCs w:val="16"/>
              </w:rPr>
            </w:pPr>
            <w:r w:rsidRPr="00C75CC9">
              <w:rPr>
                <w:rFonts w:eastAsia="Times New Roman" w:cs="Calibri"/>
                <w:color w:val="000000"/>
                <w:sz w:val="16"/>
                <w:szCs w:val="16"/>
              </w:rPr>
              <w:t xml:space="preserve">         196,889 </w:t>
            </w:r>
          </w:p>
        </w:tc>
        <w:tc>
          <w:tcPr>
            <w:tcW w:w="2700" w:type="dxa"/>
            <w:tcBorders>
              <w:top w:val="nil"/>
              <w:left w:val="nil"/>
              <w:bottom w:val="single" w:sz="4" w:space="0" w:color="auto"/>
              <w:right w:val="single" w:sz="8" w:space="0" w:color="auto"/>
            </w:tcBorders>
            <w:shd w:val="clear" w:color="auto" w:fill="auto"/>
            <w:vAlign w:val="center"/>
          </w:tcPr>
          <w:p w:rsidR="00C75CC9" w:rsidRPr="00304A7E" w:rsidRDefault="00C75CC9" w:rsidP="00B31AA0">
            <w:pPr>
              <w:spacing w:after="0" w:line="240" w:lineRule="auto"/>
              <w:jc w:val="both"/>
              <w:rPr>
                <w:rFonts w:eastAsia="Times New Roman" w:cs="Calibri"/>
                <w:color w:val="000000"/>
                <w:sz w:val="16"/>
                <w:szCs w:val="16"/>
              </w:rPr>
            </w:pPr>
          </w:p>
        </w:tc>
      </w:tr>
      <w:tr w:rsidR="00C75CC9" w:rsidRPr="00304A7E" w:rsidTr="00F35453">
        <w:trPr>
          <w:trHeight w:val="300"/>
        </w:trPr>
        <w:tc>
          <w:tcPr>
            <w:tcW w:w="680" w:type="dxa"/>
            <w:vMerge/>
            <w:tcBorders>
              <w:top w:val="nil"/>
              <w:left w:val="single" w:sz="8" w:space="0" w:color="auto"/>
              <w:bottom w:val="single" w:sz="8" w:space="0" w:color="000000"/>
              <w:right w:val="single" w:sz="4" w:space="0" w:color="auto"/>
            </w:tcBorders>
            <w:vAlign w:val="center"/>
            <w:hideMark/>
          </w:tcPr>
          <w:p w:rsidR="00C75CC9" w:rsidRPr="00304A7E" w:rsidRDefault="00C75CC9" w:rsidP="00B31AA0">
            <w:pPr>
              <w:spacing w:after="0" w:line="240" w:lineRule="auto"/>
              <w:jc w:val="center"/>
              <w:rPr>
                <w:rFonts w:eastAsia="Times New Roman" w:cs="Calibri"/>
                <w:color w:val="000000"/>
                <w:sz w:val="16"/>
                <w:szCs w:val="16"/>
              </w:rPr>
            </w:pPr>
          </w:p>
        </w:tc>
        <w:tc>
          <w:tcPr>
            <w:tcW w:w="1260"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rPr>
                <w:rFonts w:eastAsia="Times New Roman" w:cs="Calibri"/>
                <w:color w:val="000000"/>
                <w:sz w:val="16"/>
                <w:szCs w:val="16"/>
              </w:rPr>
            </w:pPr>
            <w:r w:rsidRPr="00304A7E">
              <w:rPr>
                <w:rFonts w:ascii="Sylfaen" w:eastAsia="Times New Roman" w:hAnsi="Sylfaen" w:cs="Sylfaen"/>
                <w:color w:val="000000"/>
                <w:sz w:val="16"/>
                <w:szCs w:val="16"/>
              </w:rPr>
              <w:t>ნოემბერი</w:t>
            </w:r>
          </w:p>
        </w:tc>
        <w:tc>
          <w:tcPr>
            <w:tcW w:w="1233"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4,497,600.00</w:t>
            </w:r>
          </w:p>
        </w:tc>
        <w:tc>
          <w:tcPr>
            <w:tcW w:w="1418"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2,899,769.00</w:t>
            </w:r>
          </w:p>
        </w:tc>
        <w:tc>
          <w:tcPr>
            <w:tcW w:w="1262"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832,427</w:t>
            </w:r>
          </w:p>
        </w:tc>
        <w:tc>
          <w:tcPr>
            <w:tcW w:w="1262"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765,404</w:t>
            </w:r>
          </w:p>
        </w:tc>
        <w:tc>
          <w:tcPr>
            <w:tcW w:w="1201" w:type="dxa"/>
            <w:tcBorders>
              <w:top w:val="nil"/>
              <w:left w:val="nil"/>
              <w:bottom w:val="single" w:sz="4" w:space="0" w:color="auto"/>
              <w:right w:val="single" w:sz="4" w:space="0" w:color="auto"/>
            </w:tcBorders>
            <w:shd w:val="clear" w:color="auto" w:fill="auto"/>
            <w:noWrap/>
            <w:vAlign w:val="center"/>
            <w:hideMark/>
          </w:tcPr>
          <w:p w:rsidR="00C75CC9" w:rsidRPr="00B31AA0" w:rsidRDefault="00C75CC9"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1,597,831.00</w:t>
            </w:r>
          </w:p>
        </w:tc>
        <w:tc>
          <w:tcPr>
            <w:tcW w:w="1201" w:type="dxa"/>
            <w:tcBorders>
              <w:top w:val="nil"/>
              <w:left w:val="nil"/>
              <w:bottom w:val="single" w:sz="4" w:space="0" w:color="auto"/>
              <w:right w:val="single" w:sz="8" w:space="0" w:color="auto"/>
            </w:tcBorders>
            <w:shd w:val="clear" w:color="000000" w:fill="C5D9F1"/>
            <w:noWrap/>
            <w:vAlign w:val="center"/>
            <w:hideMark/>
          </w:tcPr>
          <w:p w:rsidR="00C75CC9" w:rsidRPr="00B31AA0" w:rsidRDefault="00C75CC9"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146,043.00</w:t>
            </w:r>
          </w:p>
        </w:tc>
        <w:tc>
          <w:tcPr>
            <w:tcW w:w="1208" w:type="dxa"/>
            <w:tcBorders>
              <w:top w:val="nil"/>
              <w:left w:val="nil"/>
              <w:bottom w:val="single" w:sz="4" w:space="0" w:color="auto"/>
              <w:right w:val="single" w:sz="8" w:space="0" w:color="auto"/>
            </w:tcBorders>
            <w:shd w:val="clear" w:color="auto" w:fill="auto"/>
            <w:vAlign w:val="bottom"/>
          </w:tcPr>
          <w:p w:rsidR="00C75CC9" w:rsidRPr="00C75CC9" w:rsidRDefault="00C75CC9" w:rsidP="00C75CC9">
            <w:pPr>
              <w:spacing w:after="0" w:line="240" w:lineRule="auto"/>
              <w:jc w:val="right"/>
              <w:rPr>
                <w:rFonts w:eastAsia="Times New Roman" w:cs="Calibri"/>
                <w:color w:val="000000"/>
                <w:sz w:val="16"/>
                <w:szCs w:val="16"/>
              </w:rPr>
            </w:pPr>
            <w:r w:rsidRPr="00C75CC9">
              <w:rPr>
                <w:rFonts w:eastAsia="Times New Roman" w:cs="Calibri"/>
                <w:color w:val="000000"/>
                <w:sz w:val="16"/>
                <w:szCs w:val="16"/>
              </w:rPr>
              <w:t xml:space="preserve">         203,448 </w:t>
            </w:r>
          </w:p>
        </w:tc>
        <w:tc>
          <w:tcPr>
            <w:tcW w:w="2700" w:type="dxa"/>
            <w:tcBorders>
              <w:top w:val="nil"/>
              <w:left w:val="nil"/>
              <w:bottom w:val="single" w:sz="4" w:space="0" w:color="auto"/>
              <w:right w:val="single" w:sz="8" w:space="0" w:color="auto"/>
            </w:tcBorders>
            <w:shd w:val="clear" w:color="auto" w:fill="auto"/>
            <w:vAlign w:val="center"/>
          </w:tcPr>
          <w:p w:rsidR="00C75CC9" w:rsidRPr="00304A7E" w:rsidRDefault="00C75CC9" w:rsidP="00B31AA0">
            <w:pPr>
              <w:spacing w:after="0" w:line="240" w:lineRule="auto"/>
              <w:jc w:val="both"/>
              <w:rPr>
                <w:rFonts w:eastAsia="Times New Roman" w:cs="Calibri"/>
                <w:color w:val="000000"/>
                <w:sz w:val="16"/>
                <w:szCs w:val="16"/>
              </w:rPr>
            </w:pPr>
          </w:p>
        </w:tc>
      </w:tr>
      <w:tr w:rsidR="00C75CC9" w:rsidRPr="00304A7E" w:rsidTr="00F35453">
        <w:trPr>
          <w:trHeight w:val="315"/>
        </w:trPr>
        <w:tc>
          <w:tcPr>
            <w:tcW w:w="680" w:type="dxa"/>
            <w:vMerge/>
            <w:tcBorders>
              <w:top w:val="nil"/>
              <w:left w:val="single" w:sz="8" w:space="0" w:color="auto"/>
              <w:bottom w:val="single" w:sz="8" w:space="0" w:color="000000"/>
              <w:right w:val="single" w:sz="4" w:space="0" w:color="auto"/>
            </w:tcBorders>
            <w:vAlign w:val="center"/>
            <w:hideMark/>
          </w:tcPr>
          <w:p w:rsidR="00C75CC9" w:rsidRPr="00304A7E" w:rsidRDefault="00C75CC9" w:rsidP="00B31AA0">
            <w:pPr>
              <w:spacing w:after="0" w:line="240" w:lineRule="auto"/>
              <w:jc w:val="center"/>
              <w:rPr>
                <w:rFonts w:eastAsia="Times New Roman" w:cs="Calibri"/>
                <w:color w:val="000000"/>
                <w:sz w:val="16"/>
                <w:szCs w:val="16"/>
              </w:rPr>
            </w:pPr>
          </w:p>
        </w:tc>
        <w:tc>
          <w:tcPr>
            <w:tcW w:w="126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C75CC9" w:rsidRPr="00304A7E" w:rsidRDefault="00C75CC9" w:rsidP="00B31AA0">
            <w:pPr>
              <w:spacing w:after="0" w:line="240" w:lineRule="auto"/>
              <w:rPr>
                <w:rFonts w:eastAsia="Times New Roman" w:cs="Calibri"/>
                <w:color w:val="000000"/>
                <w:sz w:val="16"/>
                <w:szCs w:val="16"/>
              </w:rPr>
            </w:pPr>
            <w:r w:rsidRPr="00304A7E">
              <w:rPr>
                <w:rFonts w:ascii="Sylfaen" w:eastAsia="Times New Roman" w:hAnsi="Sylfaen" w:cs="Sylfaen"/>
                <w:color w:val="000000"/>
                <w:sz w:val="16"/>
                <w:szCs w:val="16"/>
              </w:rPr>
              <w:t>დეკემბერი</w:t>
            </w:r>
          </w:p>
        </w:tc>
        <w:tc>
          <w:tcPr>
            <w:tcW w:w="1233" w:type="dxa"/>
            <w:tcBorders>
              <w:top w:val="single" w:sz="4" w:space="0" w:color="auto"/>
              <w:left w:val="nil"/>
              <w:bottom w:val="single" w:sz="8"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4,497,600.00</w:t>
            </w:r>
          </w:p>
        </w:tc>
        <w:tc>
          <w:tcPr>
            <w:tcW w:w="1418" w:type="dxa"/>
            <w:tcBorders>
              <w:top w:val="single" w:sz="4" w:space="0" w:color="auto"/>
              <w:left w:val="nil"/>
              <w:bottom w:val="single" w:sz="8"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2,862,383.00</w:t>
            </w:r>
          </w:p>
        </w:tc>
        <w:tc>
          <w:tcPr>
            <w:tcW w:w="1262" w:type="dxa"/>
            <w:tcBorders>
              <w:top w:val="single" w:sz="4" w:space="0" w:color="auto"/>
              <w:left w:val="nil"/>
              <w:bottom w:val="single" w:sz="8"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843,442</w:t>
            </w:r>
          </w:p>
        </w:tc>
        <w:tc>
          <w:tcPr>
            <w:tcW w:w="1262" w:type="dxa"/>
            <w:tcBorders>
              <w:top w:val="single" w:sz="4" w:space="0" w:color="auto"/>
              <w:left w:val="nil"/>
              <w:bottom w:val="single" w:sz="8"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791,775</w:t>
            </w:r>
          </w:p>
        </w:tc>
        <w:tc>
          <w:tcPr>
            <w:tcW w:w="1201" w:type="dxa"/>
            <w:tcBorders>
              <w:top w:val="single" w:sz="4" w:space="0" w:color="auto"/>
              <w:left w:val="nil"/>
              <w:bottom w:val="single" w:sz="8" w:space="0" w:color="auto"/>
              <w:right w:val="single" w:sz="4" w:space="0" w:color="auto"/>
            </w:tcBorders>
            <w:shd w:val="clear" w:color="auto" w:fill="auto"/>
            <w:noWrap/>
            <w:vAlign w:val="center"/>
            <w:hideMark/>
          </w:tcPr>
          <w:p w:rsidR="00C75CC9" w:rsidRPr="00B31AA0" w:rsidRDefault="00C75CC9"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1,635,217.00</w:t>
            </w:r>
          </w:p>
        </w:tc>
        <w:tc>
          <w:tcPr>
            <w:tcW w:w="1201" w:type="dxa"/>
            <w:tcBorders>
              <w:top w:val="nil"/>
              <w:left w:val="single" w:sz="4" w:space="0" w:color="auto"/>
              <w:bottom w:val="single" w:sz="8" w:space="0" w:color="auto"/>
              <w:right w:val="single" w:sz="8" w:space="0" w:color="auto"/>
            </w:tcBorders>
            <w:shd w:val="clear" w:color="auto" w:fill="auto"/>
            <w:noWrap/>
            <w:vAlign w:val="center"/>
            <w:hideMark/>
          </w:tcPr>
          <w:p w:rsidR="00C75CC9" w:rsidRPr="00B31AA0" w:rsidRDefault="00C75CC9"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(37,386.00)</w:t>
            </w:r>
          </w:p>
        </w:tc>
        <w:tc>
          <w:tcPr>
            <w:tcW w:w="1208" w:type="dxa"/>
            <w:tcBorders>
              <w:top w:val="nil"/>
              <w:left w:val="single" w:sz="4" w:space="0" w:color="auto"/>
              <w:bottom w:val="single" w:sz="8" w:space="0" w:color="auto"/>
              <w:right w:val="single" w:sz="8" w:space="0" w:color="auto"/>
            </w:tcBorders>
            <w:shd w:val="clear" w:color="auto" w:fill="auto"/>
            <w:vAlign w:val="bottom"/>
          </w:tcPr>
          <w:p w:rsidR="00C75CC9" w:rsidRPr="00C75CC9" w:rsidRDefault="00C75CC9" w:rsidP="00C75CC9">
            <w:pPr>
              <w:spacing w:after="0" w:line="240" w:lineRule="auto"/>
              <w:jc w:val="right"/>
              <w:rPr>
                <w:rFonts w:eastAsia="Times New Roman" w:cs="Calibri"/>
                <w:color w:val="000000"/>
                <w:sz w:val="16"/>
                <w:szCs w:val="16"/>
              </w:rPr>
            </w:pPr>
            <w:r w:rsidRPr="00C75CC9">
              <w:rPr>
                <w:rFonts w:eastAsia="Times New Roman" w:cs="Calibri"/>
                <w:color w:val="000000"/>
                <w:sz w:val="16"/>
                <w:szCs w:val="16"/>
              </w:rPr>
              <w:t xml:space="preserve">         201,097 </w:t>
            </w:r>
          </w:p>
        </w:tc>
        <w:tc>
          <w:tcPr>
            <w:tcW w:w="2700" w:type="dxa"/>
            <w:tcBorders>
              <w:top w:val="nil"/>
              <w:left w:val="single" w:sz="4" w:space="0" w:color="auto"/>
              <w:bottom w:val="single" w:sz="8" w:space="0" w:color="auto"/>
              <w:right w:val="single" w:sz="8" w:space="0" w:color="auto"/>
            </w:tcBorders>
            <w:shd w:val="clear" w:color="auto" w:fill="auto"/>
            <w:vAlign w:val="center"/>
          </w:tcPr>
          <w:p w:rsidR="00C75CC9" w:rsidRPr="00304A7E" w:rsidRDefault="00C75CC9" w:rsidP="00B31AA0">
            <w:pPr>
              <w:spacing w:after="0" w:line="240" w:lineRule="auto"/>
              <w:jc w:val="both"/>
              <w:rPr>
                <w:rFonts w:eastAsia="Times New Roman" w:cs="Calibri"/>
                <w:color w:val="000000"/>
                <w:sz w:val="16"/>
                <w:szCs w:val="16"/>
              </w:rPr>
            </w:pPr>
          </w:p>
        </w:tc>
      </w:tr>
      <w:tr w:rsidR="00C946F0" w:rsidRPr="00304A7E" w:rsidTr="00A515E1">
        <w:trPr>
          <w:trHeight w:val="300"/>
        </w:trPr>
        <w:tc>
          <w:tcPr>
            <w:tcW w:w="680"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2013</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rPr>
                <w:rFonts w:eastAsia="Times New Roman" w:cs="Calibri"/>
                <w:color w:val="000000"/>
                <w:sz w:val="16"/>
                <w:szCs w:val="16"/>
              </w:rPr>
            </w:pPr>
            <w:r w:rsidRPr="00304A7E">
              <w:rPr>
                <w:rFonts w:ascii="Sylfaen" w:eastAsia="Times New Roman" w:hAnsi="Sylfaen" w:cs="Sylfaen"/>
                <w:color w:val="000000"/>
                <w:sz w:val="16"/>
                <w:szCs w:val="16"/>
              </w:rPr>
              <w:t>იანვარი</w:t>
            </w:r>
          </w:p>
        </w:tc>
        <w:tc>
          <w:tcPr>
            <w:tcW w:w="1233"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4,383,800.00</w:t>
            </w:r>
          </w:p>
        </w:tc>
        <w:tc>
          <w:tcPr>
            <w:tcW w:w="1418"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2,731,449.00</w:t>
            </w:r>
          </w:p>
        </w:tc>
        <w:tc>
          <w:tcPr>
            <w:tcW w:w="1262"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847,794</w:t>
            </w:r>
          </w:p>
        </w:tc>
        <w:tc>
          <w:tcPr>
            <w:tcW w:w="1262"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804,557</w:t>
            </w:r>
          </w:p>
        </w:tc>
        <w:tc>
          <w:tcPr>
            <w:tcW w:w="1201" w:type="dxa"/>
            <w:tcBorders>
              <w:top w:val="nil"/>
              <w:left w:val="nil"/>
              <w:bottom w:val="single" w:sz="4" w:space="0" w:color="auto"/>
              <w:right w:val="single" w:sz="4" w:space="0" w:color="auto"/>
            </w:tcBorders>
            <w:shd w:val="clear" w:color="auto" w:fill="auto"/>
            <w:noWrap/>
            <w:vAlign w:val="center"/>
            <w:hideMark/>
          </w:tcPr>
          <w:p w:rsidR="00C946F0" w:rsidRPr="00B31AA0" w:rsidRDefault="00C946F0"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1,652,351.00</w:t>
            </w:r>
          </w:p>
        </w:tc>
        <w:tc>
          <w:tcPr>
            <w:tcW w:w="1201" w:type="dxa"/>
            <w:tcBorders>
              <w:top w:val="nil"/>
              <w:left w:val="single" w:sz="4" w:space="0" w:color="auto"/>
              <w:bottom w:val="single" w:sz="4" w:space="0" w:color="auto"/>
              <w:right w:val="single" w:sz="8" w:space="0" w:color="auto"/>
            </w:tcBorders>
            <w:shd w:val="clear" w:color="000000" w:fill="C5D9F1"/>
            <w:noWrap/>
            <w:vAlign w:val="center"/>
            <w:hideMark/>
          </w:tcPr>
          <w:p w:rsidR="00C946F0" w:rsidRPr="00B31AA0" w:rsidRDefault="00C946F0"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(130,934.00)</w:t>
            </w:r>
          </w:p>
        </w:tc>
        <w:tc>
          <w:tcPr>
            <w:tcW w:w="1208" w:type="dxa"/>
            <w:tcBorders>
              <w:top w:val="nil"/>
              <w:left w:val="single" w:sz="4" w:space="0" w:color="auto"/>
              <w:bottom w:val="single" w:sz="4" w:space="0" w:color="auto"/>
              <w:right w:val="single" w:sz="8" w:space="0" w:color="auto"/>
            </w:tcBorders>
            <w:shd w:val="clear" w:color="auto" w:fill="auto"/>
            <w:vAlign w:val="center"/>
          </w:tcPr>
          <w:p w:rsidR="00C946F0" w:rsidRPr="00B31AA0" w:rsidRDefault="00C946F0" w:rsidP="00C75CC9">
            <w:pPr>
              <w:spacing w:after="0" w:line="240" w:lineRule="auto"/>
              <w:jc w:val="right"/>
              <w:outlineLvl w:val="0"/>
              <w:rPr>
                <w:rFonts w:eastAsia="Times New Roman" w:cs="Times New Roman"/>
                <w:color w:val="000000"/>
                <w:sz w:val="16"/>
                <w:szCs w:val="16"/>
                <w:lang w:val="ru-RU" w:eastAsia="ru-RU"/>
              </w:rPr>
            </w:pPr>
            <w:r w:rsidRPr="00B31AA0">
              <w:rPr>
                <w:rFonts w:eastAsia="Times New Roman" w:cs="Times New Roman"/>
                <w:color w:val="000000"/>
                <w:sz w:val="16"/>
                <w:szCs w:val="16"/>
                <w:lang w:val="ru-RU" w:eastAsia="ru-RU"/>
              </w:rPr>
              <w:t>214</w:t>
            </w:r>
            <w:r w:rsidR="00B31AA0">
              <w:rPr>
                <w:rFonts w:ascii="Sylfaen" w:eastAsia="Times New Roman" w:hAnsi="Sylfaen" w:cs="Times New Roman"/>
                <w:color w:val="000000"/>
                <w:sz w:val="16"/>
                <w:szCs w:val="16"/>
                <w:lang w:val="ka-GE" w:eastAsia="ru-RU"/>
              </w:rPr>
              <w:t>,</w:t>
            </w:r>
            <w:r w:rsidRPr="00B31AA0">
              <w:rPr>
                <w:rFonts w:eastAsia="Times New Roman" w:cs="Times New Roman"/>
                <w:color w:val="000000"/>
                <w:sz w:val="16"/>
                <w:szCs w:val="16"/>
                <w:lang w:val="ru-RU" w:eastAsia="ru-RU"/>
              </w:rPr>
              <w:t>568</w:t>
            </w:r>
          </w:p>
        </w:tc>
        <w:tc>
          <w:tcPr>
            <w:tcW w:w="2700" w:type="dxa"/>
            <w:tcBorders>
              <w:top w:val="nil"/>
              <w:left w:val="single" w:sz="4" w:space="0" w:color="auto"/>
              <w:bottom w:val="single" w:sz="4" w:space="0" w:color="auto"/>
              <w:right w:val="single" w:sz="8" w:space="0" w:color="auto"/>
            </w:tcBorders>
            <w:shd w:val="clear" w:color="auto" w:fill="auto"/>
            <w:vAlign w:val="center"/>
          </w:tcPr>
          <w:p w:rsidR="00C946F0" w:rsidRPr="00076CF8" w:rsidRDefault="00C946F0" w:rsidP="00B31AA0">
            <w:pPr>
              <w:spacing w:after="0" w:line="240" w:lineRule="auto"/>
              <w:jc w:val="both"/>
              <w:outlineLvl w:val="0"/>
              <w:rPr>
                <w:rFonts w:eastAsia="Times New Roman" w:cs="Times New Roman"/>
                <w:color w:val="000000"/>
                <w:sz w:val="16"/>
                <w:szCs w:val="16"/>
                <w:lang w:val="ru-RU" w:eastAsia="ru-RU"/>
              </w:rPr>
            </w:pPr>
          </w:p>
        </w:tc>
      </w:tr>
      <w:tr w:rsidR="00C946F0" w:rsidRPr="00304A7E" w:rsidTr="00A515E1">
        <w:trPr>
          <w:trHeight w:val="300"/>
        </w:trPr>
        <w:tc>
          <w:tcPr>
            <w:tcW w:w="680" w:type="dxa"/>
            <w:vMerge/>
            <w:tcBorders>
              <w:top w:val="nil"/>
              <w:left w:val="single" w:sz="8" w:space="0" w:color="auto"/>
              <w:bottom w:val="single" w:sz="8" w:space="0" w:color="000000"/>
              <w:right w:val="single" w:sz="4" w:space="0" w:color="auto"/>
            </w:tcBorders>
            <w:vAlign w:val="center"/>
            <w:hideMark/>
          </w:tcPr>
          <w:p w:rsidR="00C946F0" w:rsidRPr="00304A7E" w:rsidRDefault="00C946F0" w:rsidP="00B31AA0">
            <w:pPr>
              <w:spacing w:after="0" w:line="240" w:lineRule="auto"/>
              <w:jc w:val="center"/>
              <w:rPr>
                <w:rFonts w:eastAsia="Times New Roman" w:cs="Calibri"/>
                <w:color w:val="000000"/>
                <w:sz w:val="16"/>
                <w:szCs w:val="16"/>
              </w:rPr>
            </w:pP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rPr>
                <w:rFonts w:eastAsia="Times New Roman" w:cs="Calibri"/>
                <w:color w:val="000000"/>
                <w:sz w:val="16"/>
                <w:szCs w:val="16"/>
              </w:rPr>
            </w:pPr>
            <w:r w:rsidRPr="00304A7E">
              <w:rPr>
                <w:rFonts w:ascii="Sylfaen" w:eastAsia="Times New Roman" w:hAnsi="Sylfaen" w:cs="Sylfaen"/>
                <w:color w:val="000000"/>
                <w:sz w:val="16"/>
                <w:szCs w:val="16"/>
              </w:rPr>
              <w:t>თებერვალი</w:t>
            </w:r>
          </w:p>
        </w:tc>
        <w:tc>
          <w:tcPr>
            <w:tcW w:w="1233" w:type="dxa"/>
            <w:tcBorders>
              <w:top w:val="single" w:sz="4" w:space="0" w:color="auto"/>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4,383,800.00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2,726,293.00</w:t>
            </w:r>
          </w:p>
        </w:tc>
        <w:tc>
          <w:tcPr>
            <w:tcW w:w="1262" w:type="dxa"/>
            <w:tcBorders>
              <w:top w:val="single" w:sz="4" w:space="0" w:color="auto"/>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848,488</w:t>
            </w:r>
          </w:p>
        </w:tc>
        <w:tc>
          <w:tcPr>
            <w:tcW w:w="1262" w:type="dxa"/>
            <w:tcBorders>
              <w:top w:val="single" w:sz="4" w:space="0" w:color="auto"/>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809,019</w:t>
            </w:r>
          </w:p>
        </w:tc>
        <w:tc>
          <w:tcPr>
            <w:tcW w:w="1201" w:type="dxa"/>
            <w:tcBorders>
              <w:top w:val="single" w:sz="4" w:space="0" w:color="auto"/>
              <w:left w:val="nil"/>
              <w:bottom w:val="single" w:sz="4" w:space="0" w:color="auto"/>
              <w:right w:val="single" w:sz="4" w:space="0" w:color="auto"/>
            </w:tcBorders>
            <w:shd w:val="clear" w:color="auto" w:fill="auto"/>
            <w:noWrap/>
            <w:vAlign w:val="center"/>
            <w:hideMark/>
          </w:tcPr>
          <w:p w:rsidR="00C946F0" w:rsidRPr="00B31AA0" w:rsidRDefault="00C946F0"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1,657,507.00</w:t>
            </w:r>
          </w:p>
        </w:tc>
        <w:tc>
          <w:tcPr>
            <w:tcW w:w="1201" w:type="dxa"/>
            <w:tcBorders>
              <w:top w:val="nil"/>
              <w:left w:val="nil"/>
              <w:bottom w:val="single" w:sz="4" w:space="0" w:color="auto"/>
              <w:right w:val="single" w:sz="8" w:space="0" w:color="auto"/>
            </w:tcBorders>
            <w:shd w:val="clear" w:color="auto" w:fill="auto"/>
            <w:noWrap/>
            <w:vAlign w:val="center"/>
            <w:hideMark/>
          </w:tcPr>
          <w:p w:rsidR="00C946F0" w:rsidRPr="00B31AA0" w:rsidRDefault="00C946F0"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(5,156.00)</w:t>
            </w:r>
          </w:p>
        </w:tc>
        <w:tc>
          <w:tcPr>
            <w:tcW w:w="1208" w:type="dxa"/>
            <w:tcBorders>
              <w:top w:val="nil"/>
              <w:left w:val="nil"/>
              <w:bottom w:val="single" w:sz="4" w:space="0" w:color="auto"/>
              <w:right w:val="single" w:sz="8" w:space="0" w:color="auto"/>
            </w:tcBorders>
            <w:shd w:val="clear" w:color="auto" w:fill="auto"/>
            <w:vAlign w:val="center"/>
          </w:tcPr>
          <w:p w:rsidR="00C946F0" w:rsidRPr="00B31AA0" w:rsidRDefault="00C946F0" w:rsidP="00C75CC9">
            <w:pPr>
              <w:spacing w:after="0" w:line="240" w:lineRule="auto"/>
              <w:jc w:val="right"/>
              <w:outlineLvl w:val="0"/>
              <w:rPr>
                <w:rFonts w:eastAsia="Times New Roman" w:cs="Times New Roman"/>
                <w:color w:val="000000"/>
                <w:sz w:val="16"/>
                <w:szCs w:val="16"/>
                <w:lang w:val="ru-RU" w:eastAsia="ru-RU"/>
              </w:rPr>
            </w:pPr>
            <w:r w:rsidRPr="00B31AA0">
              <w:rPr>
                <w:rFonts w:eastAsia="Times New Roman" w:cs="Times New Roman"/>
                <w:color w:val="000000"/>
                <w:sz w:val="16"/>
                <w:szCs w:val="16"/>
                <w:lang w:val="ru-RU" w:eastAsia="ru-RU"/>
              </w:rPr>
              <w:t>222</w:t>
            </w:r>
            <w:r w:rsidR="00B31AA0">
              <w:rPr>
                <w:rFonts w:ascii="Sylfaen" w:eastAsia="Times New Roman" w:hAnsi="Sylfaen" w:cs="Times New Roman"/>
                <w:color w:val="000000"/>
                <w:sz w:val="16"/>
                <w:szCs w:val="16"/>
                <w:lang w:val="ka-GE" w:eastAsia="ru-RU"/>
              </w:rPr>
              <w:t>,</w:t>
            </w:r>
            <w:r w:rsidRPr="00B31AA0">
              <w:rPr>
                <w:rFonts w:eastAsia="Times New Roman" w:cs="Times New Roman"/>
                <w:color w:val="000000"/>
                <w:sz w:val="16"/>
                <w:szCs w:val="16"/>
                <w:lang w:val="ru-RU" w:eastAsia="ru-RU"/>
              </w:rPr>
              <w:t>998</w:t>
            </w:r>
          </w:p>
        </w:tc>
        <w:tc>
          <w:tcPr>
            <w:tcW w:w="2700" w:type="dxa"/>
            <w:tcBorders>
              <w:top w:val="nil"/>
              <w:left w:val="nil"/>
              <w:bottom w:val="single" w:sz="4" w:space="0" w:color="auto"/>
              <w:right w:val="single" w:sz="8" w:space="0" w:color="auto"/>
            </w:tcBorders>
            <w:shd w:val="clear" w:color="auto" w:fill="auto"/>
            <w:vAlign w:val="center"/>
          </w:tcPr>
          <w:p w:rsidR="00C946F0" w:rsidRPr="00076CF8" w:rsidRDefault="00C946F0" w:rsidP="00B31AA0">
            <w:pPr>
              <w:spacing w:after="0" w:line="240" w:lineRule="auto"/>
              <w:jc w:val="both"/>
              <w:outlineLvl w:val="0"/>
              <w:rPr>
                <w:rFonts w:eastAsia="Times New Roman" w:cs="Times New Roman"/>
                <w:color w:val="000000"/>
                <w:sz w:val="16"/>
                <w:szCs w:val="16"/>
                <w:lang w:val="ru-RU" w:eastAsia="ru-RU"/>
              </w:rPr>
            </w:pPr>
          </w:p>
        </w:tc>
      </w:tr>
      <w:tr w:rsidR="00C946F0" w:rsidRPr="00304A7E" w:rsidTr="00A515E1">
        <w:trPr>
          <w:trHeight w:val="1150"/>
        </w:trPr>
        <w:tc>
          <w:tcPr>
            <w:tcW w:w="680" w:type="dxa"/>
            <w:vMerge/>
            <w:tcBorders>
              <w:top w:val="nil"/>
              <w:left w:val="single" w:sz="8" w:space="0" w:color="auto"/>
              <w:bottom w:val="single" w:sz="8" w:space="0" w:color="000000"/>
              <w:right w:val="single" w:sz="4" w:space="0" w:color="auto"/>
            </w:tcBorders>
            <w:vAlign w:val="center"/>
            <w:hideMark/>
          </w:tcPr>
          <w:p w:rsidR="00C946F0" w:rsidRPr="00304A7E" w:rsidRDefault="00C946F0" w:rsidP="00B31AA0">
            <w:pPr>
              <w:spacing w:after="0" w:line="240" w:lineRule="auto"/>
              <w:jc w:val="center"/>
              <w:rPr>
                <w:rFonts w:eastAsia="Times New Roman" w:cs="Calibri"/>
                <w:color w:val="000000"/>
                <w:sz w:val="16"/>
                <w:szCs w:val="16"/>
              </w:rPr>
            </w:pPr>
          </w:p>
        </w:tc>
        <w:tc>
          <w:tcPr>
            <w:tcW w:w="1260"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rPr>
                <w:rFonts w:eastAsia="Times New Roman" w:cs="Calibri"/>
                <w:color w:val="000000"/>
                <w:sz w:val="16"/>
                <w:szCs w:val="16"/>
              </w:rPr>
            </w:pPr>
            <w:r w:rsidRPr="00304A7E">
              <w:rPr>
                <w:rFonts w:ascii="Sylfaen" w:eastAsia="Times New Roman" w:hAnsi="Sylfaen" w:cs="Sylfaen"/>
                <w:color w:val="000000"/>
                <w:sz w:val="16"/>
                <w:szCs w:val="16"/>
              </w:rPr>
              <w:t>მარტი</w:t>
            </w:r>
          </w:p>
        </w:tc>
        <w:tc>
          <w:tcPr>
            <w:tcW w:w="1233"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4,383,800.00</w:t>
            </w:r>
          </w:p>
        </w:tc>
        <w:tc>
          <w:tcPr>
            <w:tcW w:w="1418"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2,715,878.00</w:t>
            </w:r>
          </w:p>
        </w:tc>
        <w:tc>
          <w:tcPr>
            <w:tcW w:w="1262"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854,739</w:t>
            </w:r>
          </w:p>
        </w:tc>
        <w:tc>
          <w:tcPr>
            <w:tcW w:w="1262"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813,183</w:t>
            </w:r>
          </w:p>
        </w:tc>
        <w:tc>
          <w:tcPr>
            <w:tcW w:w="1201" w:type="dxa"/>
            <w:tcBorders>
              <w:top w:val="nil"/>
              <w:left w:val="nil"/>
              <w:bottom w:val="single" w:sz="4" w:space="0" w:color="auto"/>
              <w:right w:val="single" w:sz="4" w:space="0" w:color="auto"/>
            </w:tcBorders>
            <w:shd w:val="clear" w:color="auto" w:fill="auto"/>
            <w:noWrap/>
            <w:vAlign w:val="center"/>
            <w:hideMark/>
          </w:tcPr>
          <w:p w:rsidR="00C946F0" w:rsidRPr="00B31AA0" w:rsidRDefault="00C946F0"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1,667,922.00</w:t>
            </w:r>
          </w:p>
        </w:tc>
        <w:tc>
          <w:tcPr>
            <w:tcW w:w="1201" w:type="dxa"/>
            <w:tcBorders>
              <w:top w:val="nil"/>
              <w:left w:val="nil"/>
              <w:bottom w:val="single" w:sz="4" w:space="0" w:color="auto"/>
              <w:right w:val="single" w:sz="8" w:space="0" w:color="auto"/>
            </w:tcBorders>
            <w:shd w:val="clear" w:color="auto" w:fill="auto"/>
            <w:noWrap/>
            <w:vAlign w:val="center"/>
            <w:hideMark/>
          </w:tcPr>
          <w:p w:rsidR="00C946F0" w:rsidRPr="00B31AA0" w:rsidRDefault="00C946F0"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(10,415.00)</w:t>
            </w:r>
          </w:p>
        </w:tc>
        <w:tc>
          <w:tcPr>
            <w:tcW w:w="1208" w:type="dxa"/>
            <w:tcBorders>
              <w:top w:val="nil"/>
              <w:left w:val="nil"/>
              <w:bottom w:val="single" w:sz="4" w:space="0" w:color="auto"/>
              <w:right w:val="single" w:sz="8" w:space="0" w:color="auto"/>
            </w:tcBorders>
            <w:shd w:val="clear" w:color="auto" w:fill="auto"/>
            <w:vAlign w:val="center"/>
          </w:tcPr>
          <w:p w:rsidR="00C946F0" w:rsidRPr="00B31AA0" w:rsidRDefault="00C946F0" w:rsidP="00C75CC9">
            <w:pPr>
              <w:spacing w:after="0" w:line="240" w:lineRule="auto"/>
              <w:jc w:val="right"/>
              <w:outlineLvl w:val="0"/>
              <w:rPr>
                <w:rFonts w:eastAsia="Times New Roman" w:cs="Times New Roman"/>
                <w:color w:val="000000"/>
                <w:sz w:val="16"/>
                <w:szCs w:val="16"/>
                <w:lang w:val="ru-RU" w:eastAsia="ru-RU"/>
              </w:rPr>
            </w:pPr>
            <w:r w:rsidRPr="00B31AA0">
              <w:rPr>
                <w:rFonts w:eastAsia="Times New Roman" w:cs="Times New Roman"/>
                <w:color w:val="000000"/>
                <w:sz w:val="16"/>
                <w:szCs w:val="16"/>
                <w:lang w:val="ru-RU" w:eastAsia="ru-RU"/>
              </w:rPr>
              <w:t>308</w:t>
            </w:r>
            <w:r w:rsidR="00B31AA0">
              <w:rPr>
                <w:rFonts w:ascii="Sylfaen" w:eastAsia="Times New Roman" w:hAnsi="Sylfaen" w:cs="Times New Roman"/>
                <w:color w:val="000000"/>
                <w:sz w:val="16"/>
                <w:szCs w:val="16"/>
                <w:lang w:val="ka-GE" w:eastAsia="ru-RU"/>
              </w:rPr>
              <w:t>,</w:t>
            </w:r>
            <w:r w:rsidRPr="00B31AA0">
              <w:rPr>
                <w:rFonts w:eastAsia="Times New Roman" w:cs="Times New Roman"/>
                <w:color w:val="000000"/>
                <w:sz w:val="16"/>
                <w:szCs w:val="16"/>
                <w:lang w:val="ru-RU" w:eastAsia="ru-RU"/>
              </w:rPr>
              <w:t>460</w:t>
            </w:r>
          </w:p>
        </w:tc>
        <w:tc>
          <w:tcPr>
            <w:tcW w:w="2700" w:type="dxa"/>
            <w:tcBorders>
              <w:top w:val="nil"/>
              <w:left w:val="nil"/>
              <w:bottom w:val="single" w:sz="4" w:space="0" w:color="auto"/>
              <w:right w:val="single" w:sz="8" w:space="0" w:color="auto"/>
            </w:tcBorders>
            <w:shd w:val="clear" w:color="auto" w:fill="auto"/>
            <w:vAlign w:val="center"/>
          </w:tcPr>
          <w:p w:rsidR="00C946F0" w:rsidRPr="00B0223F" w:rsidRDefault="00B31AA0" w:rsidP="00B31AA0">
            <w:pPr>
              <w:spacing w:after="0" w:line="240" w:lineRule="auto"/>
              <w:jc w:val="both"/>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 xml:space="preserve">უტილიზაციის </w:t>
            </w:r>
            <w:r w:rsidR="00C946F0" w:rsidRPr="00B0223F">
              <w:rPr>
                <w:rFonts w:ascii="Sylfaen" w:eastAsia="Times New Roman" w:hAnsi="Sylfaen" w:cs="Calibri"/>
                <w:color w:val="000000"/>
                <w:sz w:val="16"/>
                <w:szCs w:val="16"/>
                <w:lang w:val="ka-GE"/>
              </w:rPr>
              <w:t>ზრდ</w:t>
            </w:r>
            <w:r>
              <w:rPr>
                <w:rFonts w:ascii="Sylfaen" w:eastAsia="Times New Roman" w:hAnsi="Sylfaen" w:cs="Calibri"/>
                <w:color w:val="000000"/>
                <w:sz w:val="16"/>
                <w:szCs w:val="16"/>
                <w:lang w:val="ka-GE"/>
              </w:rPr>
              <w:t>ა</w:t>
            </w:r>
            <w:r w:rsidR="00C946F0" w:rsidRPr="00B0223F">
              <w:rPr>
                <w:rFonts w:ascii="Sylfaen" w:eastAsia="Times New Roman" w:hAnsi="Sylfaen" w:cs="Calibri"/>
                <w:color w:val="000000"/>
                <w:sz w:val="16"/>
                <w:szCs w:val="16"/>
                <w:lang w:val="ka-GE"/>
              </w:rPr>
              <w:t xml:space="preserve"> გამოწვეული</w:t>
            </w:r>
            <w:r w:rsidR="00C946F0">
              <w:rPr>
                <w:rFonts w:ascii="Sylfaen" w:eastAsia="Times New Roman" w:hAnsi="Sylfaen" w:cs="Calibri"/>
                <w:color w:val="000000"/>
                <w:sz w:val="16"/>
                <w:szCs w:val="16"/>
                <w:lang w:val="ka-GE"/>
              </w:rPr>
              <w:t>ა</w:t>
            </w:r>
            <w:r w:rsidR="00C946F0" w:rsidRPr="00B0223F">
              <w:rPr>
                <w:rFonts w:ascii="Sylfaen" w:eastAsia="Times New Roman" w:hAnsi="Sylfaen" w:cs="Calibri"/>
                <w:color w:val="000000"/>
                <w:sz w:val="16"/>
                <w:szCs w:val="16"/>
                <w:lang w:val="ka-GE"/>
              </w:rPr>
              <w:t xml:space="preserve"> სასჯელაღსრულების სისტემაში განვითარებულ</w:t>
            </w:r>
            <w:r>
              <w:rPr>
                <w:rFonts w:ascii="Sylfaen" w:eastAsia="Times New Roman" w:hAnsi="Sylfaen" w:cs="Calibri"/>
                <w:color w:val="000000"/>
                <w:sz w:val="16"/>
                <w:szCs w:val="16"/>
                <w:lang w:val="ka-GE"/>
              </w:rPr>
              <w:t>ი</w:t>
            </w:r>
            <w:r w:rsidR="00C946F0" w:rsidRPr="00B0223F">
              <w:rPr>
                <w:rFonts w:ascii="Sylfaen" w:eastAsia="Times New Roman" w:hAnsi="Sylfaen" w:cs="Calibri"/>
                <w:color w:val="000000"/>
                <w:sz w:val="16"/>
                <w:szCs w:val="16"/>
                <w:lang w:val="ka-GE"/>
              </w:rPr>
              <w:t xml:space="preserve"> მოვლენებ</w:t>
            </w:r>
            <w:r>
              <w:rPr>
                <w:rFonts w:ascii="Sylfaen" w:eastAsia="Times New Roman" w:hAnsi="Sylfaen" w:cs="Calibri"/>
                <w:color w:val="000000"/>
                <w:sz w:val="16"/>
                <w:szCs w:val="16"/>
                <w:lang w:val="ka-GE"/>
              </w:rPr>
              <w:t>ით</w:t>
            </w:r>
          </w:p>
        </w:tc>
      </w:tr>
      <w:tr w:rsidR="00C946F0" w:rsidRPr="00304A7E" w:rsidTr="00A515E1">
        <w:trPr>
          <w:trHeight w:val="300"/>
        </w:trPr>
        <w:tc>
          <w:tcPr>
            <w:tcW w:w="680" w:type="dxa"/>
            <w:vMerge/>
            <w:tcBorders>
              <w:top w:val="nil"/>
              <w:left w:val="single" w:sz="8" w:space="0" w:color="auto"/>
              <w:bottom w:val="single" w:sz="8" w:space="0" w:color="000000"/>
              <w:right w:val="single" w:sz="4" w:space="0" w:color="auto"/>
            </w:tcBorders>
            <w:vAlign w:val="center"/>
            <w:hideMark/>
          </w:tcPr>
          <w:p w:rsidR="00C946F0" w:rsidRPr="00304A7E" w:rsidRDefault="00C946F0" w:rsidP="00B31AA0">
            <w:pPr>
              <w:spacing w:after="0" w:line="240" w:lineRule="auto"/>
              <w:jc w:val="center"/>
              <w:rPr>
                <w:rFonts w:eastAsia="Times New Roman" w:cs="Calibri"/>
                <w:color w:val="000000"/>
                <w:sz w:val="16"/>
                <w:szCs w:val="16"/>
              </w:rPr>
            </w:pPr>
          </w:p>
        </w:tc>
        <w:tc>
          <w:tcPr>
            <w:tcW w:w="1260"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rPr>
                <w:rFonts w:eastAsia="Times New Roman" w:cs="Calibri"/>
                <w:color w:val="000000"/>
                <w:sz w:val="16"/>
                <w:szCs w:val="16"/>
              </w:rPr>
            </w:pPr>
            <w:r w:rsidRPr="00304A7E">
              <w:rPr>
                <w:rFonts w:ascii="Sylfaen" w:eastAsia="Times New Roman" w:hAnsi="Sylfaen" w:cs="Sylfaen"/>
                <w:color w:val="000000"/>
                <w:sz w:val="16"/>
                <w:szCs w:val="16"/>
              </w:rPr>
              <w:t>აპრილი</w:t>
            </w:r>
          </w:p>
        </w:tc>
        <w:tc>
          <w:tcPr>
            <w:tcW w:w="1233"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4,383,800.00</w:t>
            </w:r>
          </w:p>
        </w:tc>
        <w:tc>
          <w:tcPr>
            <w:tcW w:w="1418"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2,719,908.00</w:t>
            </w:r>
          </w:p>
        </w:tc>
        <w:tc>
          <w:tcPr>
            <w:tcW w:w="1262"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846,032</w:t>
            </w:r>
          </w:p>
        </w:tc>
        <w:tc>
          <w:tcPr>
            <w:tcW w:w="1262"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817,860</w:t>
            </w:r>
          </w:p>
        </w:tc>
        <w:tc>
          <w:tcPr>
            <w:tcW w:w="1201" w:type="dxa"/>
            <w:tcBorders>
              <w:top w:val="nil"/>
              <w:left w:val="nil"/>
              <w:bottom w:val="single" w:sz="4" w:space="0" w:color="auto"/>
              <w:right w:val="single" w:sz="4" w:space="0" w:color="auto"/>
            </w:tcBorders>
            <w:shd w:val="clear" w:color="auto" w:fill="auto"/>
            <w:noWrap/>
            <w:vAlign w:val="center"/>
            <w:hideMark/>
          </w:tcPr>
          <w:p w:rsidR="00C946F0" w:rsidRPr="00B31AA0" w:rsidRDefault="00C946F0"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1,663,892.00</w:t>
            </w:r>
          </w:p>
        </w:tc>
        <w:tc>
          <w:tcPr>
            <w:tcW w:w="1201" w:type="dxa"/>
            <w:tcBorders>
              <w:top w:val="nil"/>
              <w:left w:val="nil"/>
              <w:bottom w:val="single" w:sz="4" w:space="0" w:color="auto"/>
              <w:right w:val="single" w:sz="8" w:space="0" w:color="auto"/>
            </w:tcBorders>
            <w:shd w:val="clear" w:color="auto" w:fill="auto"/>
            <w:noWrap/>
            <w:vAlign w:val="center"/>
            <w:hideMark/>
          </w:tcPr>
          <w:p w:rsidR="00C946F0" w:rsidRPr="00B31AA0" w:rsidRDefault="00C946F0"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4,030.00</w:t>
            </w:r>
          </w:p>
        </w:tc>
        <w:tc>
          <w:tcPr>
            <w:tcW w:w="1208" w:type="dxa"/>
            <w:tcBorders>
              <w:top w:val="nil"/>
              <w:left w:val="nil"/>
              <w:bottom w:val="single" w:sz="4" w:space="0" w:color="auto"/>
              <w:right w:val="single" w:sz="8" w:space="0" w:color="auto"/>
            </w:tcBorders>
            <w:shd w:val="clear" w:color="auto" w:fill="auto"/>
            <w:vAlign w:val="center"/>
          </w:tcPr>
          <w:p w:rsidR="00C946F0" w:rsidRPr="00B31AA0" w:rsidRDefault="00C946F0" w:rsidP="00C75CC9">
            <w:pPr>
              <w:spacing w:after="0" w:line="240" w:lineRule="auto"/>
              <w:jc w:val="right"/>
              <w:outlineLvl w:val="0"/>
              <w:rPr>
                <w:rFonts w:eastAsia="Times New Roman" w:cs="Times New Roman"/>
                <w:color w:val="000000"/>
                <w:sz w:val="16"/>
                <w:szCs w:val="16"/>
                <w:lang w:val="ru-RU" w:eastAsia="ru-RU"/>
              </w:rPr>
            </w:pPr>
            <w:r w:rsidRPr="00B31AA0">
              <w:rPr>
                <w:rFonts w:eastAsia="Times New Roman" w:cs="Times New Roman"/>
                <w:color w:val="000000"/>
                <w:sz w:val="16"/>
                <w:szCs w:val="16"/>
                <w:lang w:val="ru-RU" w:eastAsia="ru-RU"/>
              </w:rPr>
              <w:t>235</w:t>
            </w:r>
            <w:r w:rsidR="00B31AA0">
              <w:rPr>
                <w:rFonts w:ascii="Sylfaen" w:eastAsia="Times New Roman" w:hAnsi="Sylfaen" w:cs="Times New Roman"/>
                <w:color w:val="000000"/>
                <w:sz w:val="16"/>
                <w:szCs w:val="16"/>
                <w:lang w:val="ka-GE" w:eastAsia="ru-RU"/>
              </w:rPr>
              <w:t>,</w:t>
            </w:r>
            <w:r w:rsidRPr="00B31AA0">
              <w:rPr>
                <w:rFonts w:eastAsia="Times New Roman" w:cs="Times New Roman"/>
                <w:color w:val="000000"/>
                <w:sz w:val="16"/>
                <w:szCs w:val="16"/>
                <w:lang w:val="ru-RU" w:eastAsia="ru-RU"/>
              </w:rPr>
              <w:t>941</w:t>
            </w:r>
          </w:p>
        </w:tc>
        <w:tc>
          <w:tcPr>
            <w:tcW w:w="2700" w:type="dxa"/>
            <w:tcBorders>
              <w:top w:val="nil"/>
              <w:left w:val="nil"/>
              <w:bottom w:val="single" w:sz="4" w:space="0" w:color="auto"/>
              <w:right w:val="single" w:sz="8" w:space="0" w:color="auto"/>
            </w:tcBorders>
            <w:shd w:val="clear" w:color="auto" w:fill="auto"/>
            <w:vAlign w:val="center"/>
          </w:tcPr>
          <w:p w:rsidR="00C946F0" w:rsidRPr="00076CF8" w:rsidRDefault="00C946F0" w:rsidP="00B31AA0">
            <w:pPr>
              <w:spacing w:after="0" w:line="240" w:lineRule="auto"/>
              <w:jc w:val="both"/>
              <w:outlineLvl w:val="0"/>
              <w:rPr>
                <w:rFonts w:eastAsia="Times New Roman" w:cs="Times New Roman"/>
                <w:color w:val="000000"/>
                <w:sz w:val="16"/>
                <w:szCs w:val="16"/>
                <w:lang w:val="ru-RU" w:eastAsia="ru-RU"/>
              </w:rPr>
            </w:pPr>
          </w:p>
        </w:tc>
      </w:tr>
      <w:tr w:rsidR="00C946F0" w:rsidRPr="00304A7E" w:rsidTr="00A515E1">
        <w:trPr>
          <w:trHeight w:val="300"/>
        </w:trPr>
        <w:tc>
          <w:tcPr>
            <w:tcW w:w="680" w:type="dxa"/>
            <w:vMerge/>
            <w:tcBorders>
              <w:top w:val="nil"/>
              <w:left w:val="single" w:sz="8" w:space="0" w:color="auto"/>
              <w:bottom w:val="single" w:sz="8" w:space="0" w:color="000000"/>
              <w:right w:val="single" w:sz="4" w:space="0" w:color="auto"/>
            </w:tcBorders>
            <w:vAlign w:val="center"/>
            <w:hideMark/>
          </w:tcPr>
          <w:p w:rsidR="00C946F0" w:rsidRPr="00304A7E" w:rsidRDefault="00C946F0" w:rsidP="00B31AA0">
            <w:pPr>
              <w:spacing w:after="0" w:line="240" w:lineRule="auto"/>
              <w:jc w:val="center"/>
              <w:rPr>
                <w:rFonts w:eastAsia="Times New Roman" w:cs="Calibri"/>
                <w:color w:val="000000"/>
                <w:sz w:val="16"/>
                <w:szCs w:val="16"/>
              </w:rPr>
            </w:pPr>
          </w:p>
        </w:tc>
        <w:tc>
          <w:tcPr>
            <w:tcW w:w="1260"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rPr>
                <w:rFonts w:eastAsia="Times New Roman" w:cs="Calibri"/>
                <w:color w:val="000000"/>
                <w:sz w:val="16"/>
                <w:szCs w:val="16"/>
              </w:rPr>
            </w:pPr>
            <w:r w:rsidRPr="00304A7E">
              <w:rPr>
                <w:rFonts w:ascii="Sylfaen" w:eastAsia="Times New Roman" w:hAnsi="Sylfaen" w:cs="Sylfaen"/>
                <w:color w:val="000000"/>
                <w:sz w:val="16"/>
                <w:szCs w:val="16"/>
              </w:rPr>
              <w:t>მაისი</w:t>
            </w:r>
          </w:p>
        </w:tc>
        <w:tc>
          <w:tcPr>
            <w:tcW w:w="1233"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4,383,800.00</w:t>
            </w:r>
          </w:p>
        </w:tc>
        <w:tc>
          <w:tcPr>
            <w:tcW w:w="1418"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2,718,365.00</w:t>
            </w:r>
          </w:p>
        </w:tc>
        <w:tc>
          <w:tcPr>
            <w:tcW w:w="1262"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844,864</w:t>
            </w:r>
          </w:p>
        </w:tc>
        <w:tc>
          <w:tcPr>
            <w:tcW w:w="1262"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820,571</w:t>
            </w:r>
          </w:p>
        </w:tc>
        <w:tc>
          <w:tcPr>
            <w:tcW w:w="1201" w:type="dxa"/>
            <w:tcBorders>
              <w:top w:val="nil"/>
              <w:left w:val="nil"/>
              <w:bottom w:val="single" w:sz="4" w:space="0" w:color="auto"/>
              <w:right w:val="single" w:sz="4" w:space="0" w:color="auto"/>
            </w:tcBorders>
            <w:shd w:val="clear" w:color="auto" w:fill="auto"/>
            <w:noWrap/>
            <w:vAlign w:val="center"/>
            <w:hideMark/>
          </w:tcPr>
          <w:p w:rsidR="00C946F0" w:rsidRPr="00B31AA0" w:rsidRDefault="00C946F0"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1,665,435.00</w:t>
            </w:r>
          </w:p>
        </w:tc>
        <w:tc>
          <w:tcPr>
            <w:tcW w:w="1201" w:type="dxa"/>
            <w:tcBorders>
              <w:top w:val="nil"/>
              <w:left w:val="nil"/>
              <w:bottom w:val="single" w:sz="4" w:space="0" w:color="auto"/>
              <w:right w:val="single" w:sz="8" w:space="0" w:color="auto"/>
            </w:tcBorders>
            <w:shd w:val="clear" w:color="auto" w:fill="auto"/>
            <w:noWrap/>
            <w:vAlign w:val="center"/>
            <w:hideMark/>
          </w:tcPr>
          <w:p w:rsidR="00C946F0" w:rsidRPr="00B31AA0" w:rsidRDefault="00C946F0"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(1,543.00)</w:t>
            </w:r>
          </w:p>
        </w:tc>
        <w:tc>
          <w:tcPr>
            <w:tcW w:w="1208" w:type="dxa"/>
            <w:tcBorders>
              <w:top w:val="nil"/>
              <w:left w:val="nil"/>
              <w:bottom w:val="single" w:sz="4" w:space="0" w:color="auto"/>
              <w:right w:val="single" w:sz="8" w:space="0" w:color="auto"/>
            </w:tcBorders>
            <w:shd w:val="clear" w:color="auto" w:fill="auto"/>
            <w:vAlign w:val="center"/>
          </w:tcPr>
          <w:p w:rsidR="00C946F0" w:rsidRPr="00B31AA0" w:rsidRDefault="00C946F0" w:rsidP="00C75CC9">
            <w:pPr>
              <w:spacing w:after="0" w:line="240" w:lineRule="auto"/>
              <w:jc w:val="right"/>
              <w:outlineLvl w:val="0"/>
              <w:rPr>
                <w:rFonts w:eastAsia="Times New Roman" w:cs="Times New Roman"/>
                <w:color w:val="000000"/>
                <w:sz w:val="16"/>
                <w:szCs w:val="16"/>
                <w:lang w:val="ru-RU" w:eastAsia="ru-RU"/>
              </w:rPr>
            </w:pPr>
            <w:r w:rsidRPr="00B31AA0">
              <w:rPr>
                <w:rFonts w:eastAsia="Times New Roman" w:cs="Times New Roman"/>
                <w:color w:val="000000"/>
                <w:sz w:val="16"/>
                <w:szCs w:val="16"/>
                <w:lang w:val="ru-RU" w:eastAsia="ru-RU"/>
              </w:rPr>
              <w:t>272</w:t>
            </w:r>
            <w:r w:rsidR="00B31AA0">
              <w:rPr>
                <w:rFonts w:ascii="Sylfaen" w:eastAsia="Times New Roman" w:hAnsi="Sylfaen" w:cs="Times New Roman"/>
                <w:color w:val="000000"/>
                <w:sz w:val="16"/>
                <w:szCs w:val="16"/>
                <w:lang w:val="ka-GE" w:eastAsia="ru-RU"/>
              </w:rPr>
              <w:t>,</w:t>
            </w:r>
            <w:r w:rsidRPr="00B31AA0">
              <w:rPr>
                <w:rFonts w:eastAsia="Times New Roman" w:cs="Times New Roman"/>
                <w:color w:val="000000"/>
                <w:sz w:val="16"/>
                <w:szCs w:val="16"/>
                <w:lang w:val="ru-RU" w:eastAsia="ru-RU"/>
              </w:rPr>
              <w:t>137</w:t>
            </w:r>
          </w:p>
        </w:tc>
        <w:tc>
          <w:tcPr>
            <w:tcW w:w="2700" w:type="dxa"/>
            <w:tcBorders>
              <w:top w:val="nil"/>
              <w:left w:val="nil"/>
              <w:bottom w:val="single" w:sz="4" w:space="0" w:color="auto"/>
              <w:right w:val="single" w:sz="8" w:space="0" w:color="auto"/>
            </w:tcBorders>
            <w:shd w:val="clear" w:color="auto" w:fill="auto"/>
            <w:vAlign w:val="center"/>
          </w:tcPr>
          <w:p w:rsidR="00C946F0" w:rsidRPr="00076CF8" w:rsidRDefault="00C946F0" w:rsidP="00B31AA0">
            <w:pPr>
              <w:spacing w:after="0" w:line="240" w:lineRule="auto"/>
              <w:jc w:val="both"/>
              <w:outlineLvl w:val="0"/>
              <w:rPr>
                <w:rFonts w:ascii="Sylfaen" w:eastAsia="Times New Roman" w:hAnsi="Sylfaen" w:cs="Times New Roman"/>
                <w:color w:val="000000"/>
                <w:sz w:val="16"/>
                <w:szCs w:val="16"/>
                <w:lang w:val="ka-GE" w:eastAsia="ru-RU"/>
              </w:rPr>
            </w:pPr>
          </w:p>
        </w:tc>
      </w:tr>
      <w:tr w:rsidR="00C946F0" w:rsidRPr="00304A7E" w:rsidTr="00A515E1">
        <w:trPr>
          <w:trHeight w:val="300"/>
        </w:trPr>
        <w:tc>
          <w:tcPr>
            <w:tcW w:w="680" w:type="dxa"/>
            <w:vMerge/>
            <w:tcBorders>
              <w:top w:val="nil"/>
              <w:left w:val="single" w:sz="8" w:space="0" w:color="auto"/>
              <w:bottom w:val="single" w:sz="8" w:space="0" w:color="000000"/>
              <w:right w:val="single" w:sz="4" w:space="0" w:color="auto"/>
            </w:tcBorders>
            <w:vAlign w:val="center"/>
            <w:hideMark/>
          </w:tcPr>
          <w:p w:rsidR="00C946F0" w:rsidRPr="00304A7E" w:rsidRDefault="00C946F0" w:rsidP="00B31AA0">
            <w:pPr>
              <w:spacing w:after="0" w:line="240" w:lineRule="auto"/>
              <w:jc w:val="center"/>
              <w:rPr>
                <w:rFonts w:eastAsia="Times New Roman" w:cs="Calibri"/>
                <w:color w:val="000000"/>
                <w:sz w:val="16"/>
                <w:szCs w:val="16"/>
              </w:rPr>
            </w:pPr>
          </w:p>
        </w:tc>
        <w:tc>
          <w:tcPr>
            <w:tcW w:w="1260"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rPr>
                <w:rFonts w:eastAsia="Times New Roman" w:cs="Calibri"/>
                <w:color w:val="000000"/>
                <w:sz w:val="16"/>
                <w:szCs w:val="16"/>
              </w:rPr>
            </w:pPr>
            <w:r w:rsidRPr="00304A7E">
              <w:rPr>
                <w:rFonts w:ascii="Sylfaen" w:eastAsia="Times New Roman" w:hAnsi="Sylfaen" w:cs="Sylfaen"/>
                <w:color w:val="000000"/>
                <w:sz w:val="16"/>
                <w:szCs w:val="16"/>
              </w:rPr>
              <w:t>ივნისი</w:t>
            </w:r>
          </w:p>
        </w:tc>
        <w:tc>
          <w:tcPr>
            <w:tcW w:w="1233"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4,383,800.00</w:t>
            </w:r>
          </w:p>
        </w:tc>
        <w:tc>
          <w:tcPr>
            <w:tcW w:w="1418"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2,943,059.00</w:t>
            </w:r>
          </w:p>
        </w:tc>
        <w:tc>
          <w:tcPr>
            <w:tcW w:w="1262"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621,064</w:t>
            </w:r>
          </w:p>
        </w:tc>
        <w:tc>
          <w:tcPr>
            <w:tcW w:w="1262"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819,677</w:t>
            </w:r>
          </w:p>
        </w:tc>
        <w:tc>
          <w:tcPr>
            <w:tcW w:w="1201" w:type="dxa"/>
            <w:tcBorders>
              <w:top w:val="nil"/>
              <w:left w:val="nil"/>
              <w:bottom w:val="single" w:sz="4" w:space="0" w:color="auto"/>
              <w:right w:val="single" w:sz="4" w:space="0" w:color="auto"/>
            </w:tcBorders>
            <w:shd w:val="clear" w:color="auto" w:fill="auto"/>
            <w:noWrap/>
            <w:vAlign w:val="center"/>
            <w:hideMark/>
          </w:tcPr>
          <w:p w:rsidR="00C946F0" w:rsidRPr="00B31AA0" w:rsidRDefault="00C946F0"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1,440,741.00</w:t>
            </w:r>
          </w:p>
        </w:tc>
        <w:tc>
          <w:tcPr>
            <w:tcW w:w="1201" w:type="dxa"/>
            <w:tcBorders>
              <w:top w:val="nil"/>
              <w:left w:val="nil"/>
              <w:bottom w:val="single" w:sz="4" w:space="0" w:color="auto"/>
              <w:right w:val="single" w:sz="8" w:space="0" w:color="auto"/>
            </w:tcBorders>
            <w:shd w:val="clear" w:color="000000" w:fill="C5D9F1"/>
            <w:noWrap/>
            <w:vAlign w:val="center"/>
            <w:hideMark/>
          </w:tcPr>
          <w:p w:rsidR="00C946F0" w:rsidRPr="00B31AA0" w:rsidRDefault="00C946F0"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224,694.00</w:t>
            </w:r>
          </w:p>
        </w:tc>
        <w:tc>
          <w:tcPr>
            <w:tcW w:w="1208" w:type="dxa"/>
            <w:tcBorders>
              <w:top w:val="nil"/>
              <w:left w:val="nil"/>
              <w:bottom w:val="single" w:sz="4" w:space="0" w:color="auto"/>
              <w:right w:val="single" w:sz="8" w:space="0" w:color="auto"/>
            </w:tcBorders>
            <w:shd w:val="clear" w:color="auto" w:fill="auto"/>
            <w:vAlign w:val="center"/>
          </w:tcPr>
          <w:p w:rsidR="00C946F0" w:rsidRPr="00B31AA0" w:rsidRDefault="00C946F0" w:rsidP="00C75CC9">
            <w:pPr>
              <w:spacing w:after="0" w:line="240" w:lineRule="auto"/>
              <w:jc w:val="right"/>
              <w:outlineLvl w:val="0"/>
              <w:rPr>
                <w:rFonts w:eastAsia="Times New Roman" w:cs="Times New Roman"/>
                <w:color w:val="000000"/>
                <w:sz w:val="16"/>
                <w:szCs w:val="16"/>
                <w:lang w:val="ru-RU" w:eastAsia="ru-RU"/>
              </w:rPr>
            </w:pPr>
            <w:r w:rsidRPr="00B31AA0">
              <w:rPr>
                <w:rFonts w:eastAsia="Times New Roman" w:cs="Times New Roman"/>
                <w:color w:val="000000"/>
                <w:sz w:val="16"/>
                <w:szCs w:val="16"/>
                <w:lang w:val="ru-RU" w:eastAsia="ru-RU"/>
              </w:rPr>
              <w:t>277</w:t>
            </w:r>
            <w:r w:rsidR="00B31AA0">
              <w:rPr>
                <w:rFonts w:ascii="Sylfaen" w:eastAsia="Times New Roman" w:hAnsi="Sylfaen" w:cs="Times New Roman"/>
                <w:color w:val="000000"/>
                <w:sz w:val="16"/>
                <w:szCs w:val="16"/>
                <w:lang w:val="ka-GE" w:eastAsia="ru-RU"/>
              </w:rPr>
              <w:t>,</w:t>
            </w:r>
            <w:r w:rsidRPr="00B31AA0">
              <w:rPr>
                <w:rFonts w:eastAsia="Times New Roman" w:cs="Times New Roman"/>
                <w:color w:val="000000"/>
                <w:sz w:val="16"/>
                <w:szCs w:val="16"/>
                <w:lang w:val="ru-RU" w:eastAsia="ru-RU"/>
              </w:rPr>
              <w:t>804</w:t>
            </w:r>
          </w:p>
        </w:tc>
        <w:tc>
          <w:tcPr>
            <w:tcW w:w="2700" w:type="dxa"/>
            <w:tcBorders>
              <w:top w:val="nil"/>
              <w:left w:val="nil"/>
              <w:bottom w:val="single" w:sz="4" w:space="0" w:color="auto"/>
              <w:right w:val="single" w:sz="8" w:space="0" w:color="auto"/>
            </w:tcBorders>
            <w:shd w:val="clear" w:color="auto" w:fill="auto"/>
            <w:vAlign w:val="center"/>
          </w:tcPr>
          <w:p w:rsidR="00C946F0" w:rsidRPr="00076CF8" w:rsidRDefault="00B31AA0" w:rsidP="00A515E1">
            <w:pPr>
              <w:spacing w:after="0" w:line="240" w:lineRule="auto"/>
              <w:jc w:val="both"/>
              <w:outlineLvl w:val="0"/>
              <w:rPr>
                <w:rFonts w:eastAsia="Times New Roman" w:cs="Times New Roman"/>
                <w:color w:val="000000"/>
                <w:sz w:val="16"/>
                <w:szCs w:val="16"/>
                <w:lang w:val="ru-RU" w:eastAsia="ru-RU"/>
              </w:rPr>
            </w:pPr>
            <w:r w:rsidRPr="00B0223F">
              <w:rPr>
                <w:rFonts w:ascii="Sylfaen" w:eastAsia="Times New Roman" w:hAnsi="Sylfaen" w:cs="Times New Roman"/>
                <w:color w:val="000000"/>
                <w:sz w:val="16"/>
                <w:szCs w:val="16"/>
                <w:lang w:val="ka-GE" w:eastAsia="ru-RU"/>
              </w:rPr>
              <w:t xml:space="preserve">საქართველოს მთავრობის 2009 წლის 9 დეკემბრის N218 დადგენილებიდან სადაზღვევო კომპანია „ალფას“ </w:t>
            </w:r>
            <w:r>
              <w:rPr>
                <w:rFonts w:ascii="Sylfaen" w:eastAsia="Times New Roman" w:hAnsi="Sylfaen" w:cs="Times New Roman"/>
                <w:color w:val="000000"/>
                <w:sz w:val="16"/>
                <w:szCs w:val="16"/>
                <w:lang w:val="ka-GE" w:eastAsia="ru-RU"/>
              </w:rPr>
              <w:t xml:space="preserve">2014 წლის მაისიდან </w:t>
            </w:r>
            <w:r w:rsidRPr="00B0223F">
              <w:rPr>
                <w:rFonts w:ascii="Sylfaen" w:eastAsia="Times New Roman" w:hAnsi="Sylfaen" w:cs="Times New Roman"/>
                <w:color w:val="000000"/>
                <w:sz w:val="16"/>
                <w:szCs w:val="16"/>
                <w:lang w:val="ka-GE" w:eastAsia="ru-RU"/>
              </w:rPr>
              <w:t>გასვლა, რის შედეგადაც საყოველთაო ჯანდაცვის პროგრამაში ინტეგრირდ</w:t>
            </w:r>
            <w:r>
              <w:rPr>
                <w:rFonts w:ascii="Sylfaen" w:eastAsia="Times New Roman" w:hAnsi="Sylfaen" w:cs="Times New Roman"/>
                <w:color w:val="000000"/>
                <w:sz w:val="16"/>
                <w:szCs w:val="16"/>
                <w:lang w:val="ka-GE" w:eastAsia="ru-RU"/>
              </w:rPr>
              <w:t>ა  225 ათას</w:t>
            </w:r>
            <w:r w:rsidR="00A515E1">
              <w:rPr>
                <w:rFonts w:ascii="Sylfaen" w:eastAsia="Times New Roman" w:hAnsi="Sylfaen" w:cs="Times New Roman"/>
                <w:color w:val="000000"/>
                <w:sz w:val="16"/>
                <w:szCs w:val="16"/>
                <w:lang w:val="ka-GE" w:eastAsia="ru-RU"/>
              </w:rPr>
              <w:t>ამდე</w:t>
            </w:r>
            <w:r>
              <w:rPr>
                <w:rFonts w:ascii="Sylfaen" w:eastAsia="Times New Roman" w:hAnsi="Sylfaen" w:cs="Times New Roman"/>
                <w:color w:val="000000"/>
                <w:sz w:val="16"/>
                <w:szCs w:val="16"/>
                <w:lang w:val="ka-GE" w:eastAsia="ru-RU"/>
              </w:rPr>
              <w:t xml:space="preserve"> ადამიანი</w:t>
            </w:r>
          </w:p>
        </w:tc>
      </w:tr>
      <w:tr w:rsidR="00C946F0" w:rsidRPr="00304A7E" w:rsidTr="00A515E1">
        <w:trPr>
          <w:trHeight w:val="300"/>
        </w:trPr>
        <w:tc>
          <w:tcPr>
            <w:tcW w:w="680" w:type="dxa"/>
            <w:vMerge/>
            <w:tcBorders>
              <w:top w:val="nil"/>
              <w:left w:val="single" w:sz="8" w:space="0" w:color="auto"/>
              <w:bottom w:val="single" w:sz="8" w:space="0" w:color="000000"/>
              <w:right w:val="single" w:sz="4" w:space="0" w:color="auto"/>
            </w:tcBorders>
            <w:vAlign w:val="center"/>
            <w:hideMark/>
          </w:tcPr>
          <w:p w:rsidR="00C946F0" w:rsidRPr="00304A7E" w:rsidRDefault="00C946F0" w:rsidP="00B31AA0">
            <w:pPr>
              <w:spacing w:after="0" w:line="240" w:lineRule="auto"/>
              <w:jc w:val="center"/>
              <w:rPr>
                <w:rFonts w:eastAsia="Times New Roman" w:cs="Calibri"/>
                <w:color w:val="000000"/>
                <w:sz w:val="16"/>
                <w:szCs w:val="16"/>
              </w:rPr>
            </w:pPr>
          </w:p>
        </w:tc>
        <w:tc>
          <w:tcPr>
            <w:tcW w:w="1260"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rPr>
                <w:rFonts w:eastAsia="Times New Roman" w:cs="Calibri"/>
                <w:color w:val="000000"/>
                <w:sz w:val="16"/>
                <w:szCs w:val="16"/>
              </w:rPr>
            </w:pPr>
            <w:r w:rsidRPr="00304A7E">
              <w:rPr>
                <w:rFonts w:ascii="Sylfaen" w:eastAsia="Times New Roman" w:hAnsi="Sylfaen" w:cs="Sylfaen"/>
                <w:color w:val="000000"/>
                <w:sz w:val="16"/>
                <w:szCs w:val="16"/>
              </w:rPr>
              <w:t>ივლისი</w:t>
            </w:r>
          </w:p>
        </w:tc>
        <w:tc>
          <w:tcPr>
            <w:tcW w:w="1233"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4,383,800.00</w:t>
            </w:r>
          </w:p>
        </w:tc>
        <w:tc>
          <w:tcPr>
            <w:tcW w:w="1418"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2,947,696.00</w:t>
            </w:r>
          </w:p>
        </w:tc>
        <w:tc>
          <w:tcPr>
            <w:tcW w:w="1262"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616,153</w:t>
            </w:r>
          </w:p>
        </w:tc>
        <w:tc>
          <w:tcPr>
            <w:tcW w:w="1262"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819,951</w:t>
            </w:r>
          </w:p>
        </w:tc>
        <w:tc>
          <w:tcPr>
            <w:tcW w:w="1201" w:type="dxa"/>
            <w:tcBorders>
              <w:top w:val="nil"/>
              <w:left w:val="nil"/>
              <w:bottom w:val="single" w:sz="4" w:space="0" w:color="auto"/>
              <w:right w:val="single" w:sz="4" w:space="0" w:color="auto"/>
            </w:tcBorders>
            <w:shd w:val="clear" w:color="auto" w:fill="auto"/>
            <w:noWrap/>
            <w:vAlign w:val="center"/>
            <w:hideMark/>
          </w:tcPr>
          <w:p w:rsidR="00C946F0" w:rsidRPr="00B31AA0" w:rsidRDefault="00C946F0"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1,436,104.00</w:t>
            </w:r>
          </w:p>
        </w:tc>
        <w:tc>
          <w:tcPr>
            <w:tcW w:w="1201" w:type="dxa"/>
            <w:tcBorders>
              <w:top w:val="nil"/>
              <w:left w:val="nil"/>
              <w:bottom w:val="single" w:sz="4" w:space="0" w:color="auto"/>
              <w:right w:val="single" w:sz="8" w:space="0" w:color="auto"/>
            </w:tcBorders>
            <w:shd w:val="clear" w:color="auto" w:fill="auto"/>
            <w:noWrap/>
            <w:vAlign w:val="center"/>
            <w:hideMark/>
          </w:tcPr>
          <w:p w:rsidR="00C946F0" w:rsidRPr="00B31AA0" w:rsidRDefault="00C946F0"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4,637.00</w:t>
            </w:r>
          </w:p>
        </w:tc>
        <w:tc>
          <w:tcPr>
            <w:tcW w:w="1208" w:type="dxa"/>
            <w:tcBorders>
              <w:top w:val="nil"/>
              <w:left w:val="nil"/>
              <w:bottom w:val="single" w:sz="4" w:space="0" w:color="auto"/>
              <w:right w:val="single" w:sz="8" w:space="0" w:color="auto"/>
            </w:tcBorders>
            <w:shd w:val="clear" w:color="auto" w:fill="auto"/>
            <w:vAlign w:val="center"/>
          </w:tcPr>
          <w:p w:rsidR="00C946F0" w:rsidRPr="00B31AA0" w:rsidRDefault="00C946F0" w:rsidP="00C75CC9">
            <w:pPr>
              <w:spacing w:after="0" w:line="240" w:lineRule="auto"/>
              <w:jc w:val="right"/>
              <w:outlineLvl w:val="0"/>
              <w:rPr>
                <w:rFonts w:eastAsia="Times New Roman" w:cs="Times New Roman"/>
                <w:color w:val="000000"/>
                <w:sz w:val="16"/>
                <w:szCs w:val="16"/>
                <w:lang w:val="ru-RU" w:eastAsia="ru-RU"/>
              </w:rPr>
            </w:pPr>
            <w:r w:rsidRPr="00B31AA0">
              <w:rPr>
                <w:rFonts w:eastAsia="Times New Roman" w:cs="Times New Roman"/>
                <w:color w:val="000000"/>
                <w:sz w:val="16"/>
                <w:szCs w:val="16"/>
                <w:lang w:val="ru-RU" w:eastAsia="ru-RU"/>
              </w:rPr>
              <w:t>311</w:t>
            </w:r>
            <w:r w:rsidR="00B31AA0">
              <w:rPr>
                <w:rFonts w:ascii="Sylfaen" w:eastAsia="Times New Roman" w:hAnsi="Sylfaen" w:cs="Times New Roman"/>
                <w:color w:val="000000"/>
                <w:sz w:val="16"/>
                <w:szCs w:val="16"/>
                <w:lang w:val="ka-GE" w:eastAsia="ru-RU"/>
              </w:rPr>
              <w:t>,</w:t>
            </w:r>
            <w:r w:rsidRPr="00B31AA0">
              <w:rPr>
                <w:rFonts w:eastAsia="Times New Roman" w:cs="Times New Roman"/>
                <w:color w:val="000000"/>
                <w:sz w:val="16"/>
                <w:szCs w:val="16"/>
                <w:lang w:val="ru-RU" w:eastAsia="ru-RU"/>
              </w:rPr>
              <w:t>758</w:t>
            </w:r>
          </w:p>
        </w:tc>
        <w:tc>
          <w:tcPr>
            <w:tcW w:w="2700" w:type="dxa"/>
            <w:tcBorders>
              <w:top w:val="nil"/>
              <w:left w:val="nil"/>
              <w:bottom w:val="single" w:sz="4" w:space="0" w:color="auto"/>
              <w:right w:val="single" w:sz="8" w:space="0" w:color="auto"/>
            </w:tcBorders>
            <w:shd w:val="clear" w:color="auto" w:fill="auto"/>
            <w:vAlign w:val="center"/>
          </w:tcPr>
          <w:p w:rsidR="00C946F0" w:rsidRPr="00F91BCB" w:rsidRDefault="00C946F0" w:rsidP="00A515E1">
            <w:pPr>
              <w:spacing w:after="0" w:line="240" w:lineRule="auto"/>
              <w:jc w:val="both"/>
              <w:outlineLvl w:val="0"/>
              <w:rPr>
                <w:rFonts w:ascii="Sylfaen" w:eastAsia="Times New Roman" w:hAnsi="Sylfaen" w:cs="Times New Roman"/>
                <w:color w:val="000000"/>
                <w:sz w:val="16"/>
                <w:szCs w:val="16"/>
                <w:lang w:val="ka-GE" w:eastAsia="ru-RU"/>
              </w:rPr>
            </w:pPr>
            <w:r>
              <w:rPr>
                <w:rFonts w:ascii="Sylfaen" w:eastAsia="Times New Roman" w:hAnsi="Sylfaen" w:cs="Times New Roman"/>
                <w:color w:val="000000"/>
                <w:sz w:val="16"/>
                <w:szCs w:val="16"/>
                <w:lang w:val="ka-GE" w:eastAsia="ru-RU"/>
              </w:rPr>
              <w:t>2013 წლის ივლისიდან გაიზარდა საყოველთაო ჯანდაცვის პროგრამით გათვალისწინებული მომსახურების მოცულობა, რამა</w:t>
            </w:r>
            <w:r w:rsidR="00A515E1">
              <w:rPr>
                <w:rFonts w:ascii="Sylfaen" w:eastAsia="Times New Roman" w:hAnsi="Sylfaen" w:cs="Times New Roman"/>
                <w:color w:val="000000"/>
                <w:sz w:val="16"/>
                <w:szCs w:val="16"/>
                <w:lang w:val="ka-GE" w:eastAsia="ru-RU"/>
              </w:rPr>
              <w:t xml:space="preserve">ც გამოიწვია რეფერალური </w:t>
            </w:r>
            <w:r w:rsidR="00A515E1">
              <w:rPr>
                <w:rFonts w:ascii="Sylfaen" w:eastAsia="Times New Roman" w:hAnsi="Sylfaen" w:cs="Times New Roman"/>
                <w:color w:val="000000"/>
                <w:sz w:val="16"/>
                <w:szCs w:val="16"/>
                <w:lang w:val="ka-GE" w:eastAsia="ru-RU"/>
              </w:rPr>
              <w:lastRenderedPageBreak/>
              <w:t>დახმარების კომპონენტის უტილიზაციის გაზრდა</w:t>
            </w:r>
          </w:p>
        </w:tc>
      </w:tr>
      <w:tr w:rsidR="00C946F0" w:rsidRPr="00304A7E" w:rsidTr="00A515E1">
        <w:trPr>
          <w:trHeight w:val="300"/>
        </w:trPr>
        <w:tc>
          <w:tcPr>
            <w:tcW w:w="680" w:type="dxa"/>
            <w:vMerge/>
            <w:tcBorders>
              <w:top w:val="nil"/>
              <w:left w:val="single" w:sz="8" w:space="0" w:color="auto"/>
              <w:bottom w:val="single" w:sz="8" w:space="0" w:color="000000"/>
              <w:right w:val="single" w:sz="4" w:space="0" w:color="auto"/>
            </w:tcBorders>
            <w:vAlign w:val="center"/>
            <w:hideMark/>
          </w:tcPr>
          <w:p w:rsidR="00C946F0" w:rsidRPr="00304A7E" w:rsidRDefault="00C946F0" w:rsidP="00B31AA0">
            <w:pPr>
              <w:spacing w:after="0" w:line="240" w:lineRule="auto"/>
              <w:jc w:val="center"/>
              <w:rPr>
                <w:rFonts w:eastAsia="Times New Roman" w:cs="Calibri"/>
                <w:color w:val="000000"/>
                <w:sz w:val="16"/>
                <w:szCs w:val="16"/>
              </w:rPr>
            </w:pPr>
          </w:p>
        </w:tc>
        <w:tc>
          <w:tcPr>
            <w:tcW w:w="1260"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rPr>
                <w:rFonts w:eastAsia="Times New Roman" w:cs="Calibri"/>
                <w:color w:val="000000"/>
                <w:sz w:val="16"/>
                <w:szCs w:val="16"/>
              </w:rPr>
            </w:pPr>
            <w:r w:rsidRPr="00304A7E">
              <w:rPr>
                <w:rFonts w:ascii="Sylfaen" w:eastAsia="Times New Roman" w:hAnsi="Sylfaen" w:cs="Sylfaen"/>
                <w:color w:val="000000"/>
                <w:sz w:val="16"/>
                <w:szCs w:val="16"/>
              </w:rPr>
              <w:t>აგვისტო</w:t>
            </w:r>
          </w:p>
        </w:tc>
        <w:tc>
          <w:tcPr>
            <w:tcW w:w="1233"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4,383,800.00</w:t>
            </w:r>
          </w:p>
        </w:tc>
        <w:tc>
          <w:tcPr>
            <w:tcW w:w="1418"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2,946,533.00</w:t>
            </w:r>
          </w:p>
        </w:tc>
        <w:tc>
          <w:tcPr>
            <w:tcW w:w="1262"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615,999</w:t>
            </w:r>
          </w:p>
        </w:tc>
        <w:tc>
          <w:tcPr>
            <w:tcW w:w="1262"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821,268</w:t>
            </w:r>
          </w:p>
        </w:tc>
        <w:tc>
          <w:tcPr>
            <w:tcW w:w="1201" w:type="dxa"/>
            <w:tcBorders>
              <w:top w:val="nil"/>
              <w:left w:val="nil"/>
              <w:bottom w:val="single" w:sz="4" w:space="0" w:color="auto"/>
              <w:right w:val="single" w:sz="4" w:space="0" w:color="auto"/>
            </w:tcBorders>
            <w:shd w:val="clear" w:color="auto" w:fill="auto"/>
            <w:noWrap/>
            <w:vAlign w:val="center"/>
            <w:hideMark/>
          </w:tcPr>
          <w:p w:rsidR="00C946F0" w:rsidRPr="00B31AA0" w:rsidRDefault="00C946F0"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1,437,267.00</w:t>
            </w:r>
          </w:p>
        </w:tc>
        <w:tc>
          <w:tcPr>
            <w:tcW w:w="1201" w:type="dxa"/>
            <w:tcBorders>
              <w:top w:val="nil"/>
              <w:left w:val="nil"/>
              <w:bottom w:val="single" w:sz="4" w:space="0" w:color="auto"/>
              <w:right w:val="single" w:sz="8" w:space="0" w:color="auto"/>
            </w:tcBorders>
            <w:shd w:val="clear" w:color="auto" w:fill="auto"/>
            <w:noWrap/>
            <w:vAlign w:val="center"/>
            <w:hideMark/>
          </w:tcPr>
          <w:p w:rsidR="00C946F0" w:rsidRPr="00B31AA0" w:rsidRDefault="00C946F0"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(1,163.00)</w:t>
            </w:r>
          </w:p>
        </w:tc>
        <w:tc>
          <w:tcPr>
            <w:tcW w:w="1208" w:type="dxa"/>
            <w:tcBorders>
              <w:top w:val="nil"/>
              <w:left w:val="nil"/>
              <w:bottom w:val="single" w:sz="4" w:space="0" w:color="auto"/>
              <w:right w:val="single" w:sz="8" w:space="0" w:color="auto"/>
            </w:tcBorders>
            <w:vAlign w:val="center"/>
          </w:tcPr>
          <w:p w:rsidR="00C946F0" w:rsidRPr="00B31AA0" w:rsidRDefault="00C946F0" w:rsidP="00C75CC9">
            <w:pPr>
              <w:spacing w:after="0" w:line="240" w:lineRule="auto"/>
              <w:jc w:val="right"/>
              <w:outlineLvl w:val="0"/>
              <w:rPr>
                <w:rFonts w:eastAsia="Times New Roman" w:cs="Times New Roman"/>
                <w:color w:val="000000"/>
                <w:sz w:val="16"/>
                <w:szCs w:val="16"/>
                <w:lang w:val="ru-RU" w:eastAsia="ru-RU"/>
              </w:rPr>
            </w:pPr>
            <w:r w:rsidRPr="00B31AA0">
              <w:rPr>
                <w:rFonts w:eastAsia="Times New Roman" w:cs="Times New Roman"/>
                <w:color w:val="000000"/>
                <w:sz w:val="16"/>
                <w:szCs w:val="16"/>
                <w:lang w:val="ru-RU" w:eastAsia="ru-RU"/>
              </w:rPr>
              <w:t>318</w:t>
            </w:r>
            <w:r w:rsidR="00B31AA0">
              <w:rPr>
                <w:rFonts w:ascii="Sylfaen" w:eastAsia="Times New Roman" w:hAnsi="Sylfaen" w:cs="Times New Roman"/>
                <w:color w:val="000000"/>
                <w:sz w:val="16"/>
                <w:szCs w:val="16"/>
                <w:lang w:val="ka-GE" w:eastAsia="ru-RU"/>
              </w:rPr>
              <w:t>,</w:t>
            </w:r>
            <w:r w:rsidRPr="00B31AA0">
              <w:rPr>
                <w:rFonts w:eastAsia="Times New Roman" w:cs="Times New Roman"/>
                <w:color w:val="000000"/>
                <w:sz w:val="16"/>
                <w:szCs w:val="16"/>
                <w:lang w:val="ru-RU" w:eastAsia="ru-RU"/>
              </w:rPr>
              <w:t>157</w:t>
            </w:r>
          </w:p>
        </w:tc>
        <w:tc>
          <w:tcPr>
            <w:tcW w:w="2700" w:type="dxa"/>
            <w:tcBorders>
              <w:top w:val="nil"/>
              <w:left w:val="nil"/>
              <w:bottom w:val="single" w:sz="4" w:space="0" w:color="auto"/>
              <w:right w:val="single" w:sz="8" w:space="0" w:color="auto"/>
            </w:tcBorders>
            <w:vAlign w:val="center"/>
          </w:tcPr>
          <w:p w:rsidR="00C946F0" w:rsidRPr="00076CF8" w:rsidRDefault="00C946F0" w:rsidP="00B31AA0">
            <w:pPr>
              <w:spacing w:after="0" w:line="240" w:lineRule="auto"/>
              <w:jc w:val="both"/>
              <w:outlineLvl w:val="0"/>
              <w:rPr>
                <w:rFonts w:eastAsia="Times New Roman" w:cs="Times New Roman"/>
                <w:color w:val="000000"/>
                <w:sz w:val="16"/>
                <w:szCs w:val="16"/>
                <w:lang w:val="ru-RU" w:eastAsia="ru-RU"/>
              </w:rPr>
            </w:pPr>
          </w:p>
        </w:tc>
      </w:tr>
      <w:tr w:rsidR="00C946F0" w:rsidRPr="00304A7E" w:rsidTr="00A515E1">
        <w:trPr>
          <w:trHeight w:val="300"/>
        </w:trPr>
        <w:tc>
          <w:tcPr>
            <w:tcW w:w="680" w:type="dxa"/>
            <w:vMerge/>
            <w:tcBorders>
              <w:top w:val="nil"/>
              <w:left w:val="single" w:sz="8" w:space="0" w:color="auto"/>
              <w:bottom w:val="single" w:sz="8" w:space="0" w:color="000000"/>
              <w:right w:val="single" w:sz="4" w:space="0" w:color="auto"/>
            </w:tcBorders>
            <w:vAlign w:val="center"/>
            <w:hideMark/>
          </w:tcPr>
          <w:p w:rsidR="00C946F0" w:rsidRPr="00304A7E" w:rsidRDefault="00C946F0" w:rsidP="00B31AA0">
            <w:pPr>
              <w:spacing w:after="0" w:line="240" w:lineRule="auto"/>
              <w:jc w:val="center"/>
              <w:rPr>
                <w:rFonts w:eastAsia="Times New Roman" w:cs="Calibri"/>
                <w:color w:val="000000"/>
                <w:sz w:val="16"/>
                <w:szCs w:val="16"/>
              </w:rPr>
            </w:pPr>
          </w:p>
        </w:tc>
        <w:tc>
          <w:tcPr>
            <w:tcW w:w="1260"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rPr>
                <w:rFonts w:eastAsia="Times New Roman" w:cs="Calibri"/>
                <w:color w:val="000000"/>
                <w:sz w:val="16"/>
                <w:szCs w:val="16"/>
              </w:rPr>
            </w:pPr>
            <w:r w:rsidRPr="00304A7E">
              <w:rPr>
                <w:rFonts w:ascii="Sylfaen" w:eastAsia="Times New Roman" w:hAnsi="Sylfaen" w:cs="Sylfaen"/>
                <w:color w:val="000000"/>
                <w:sz w:val="16"/>
                <w:szCs w:val="16"/>
              </w:rPr>
              <w:t>სექტემბერი</w:t>
            </w:r>
          </w:p>
        </w:tc>
        <w:tc>
          <w:tcPr>
            <w:tcW w:w="1233"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4,383,800.00</w:t>
            </w:r>
          </w:p>
        </w:tc>
        <w:tc>
          <w:tcPr>
            <w:tcW w:w="1418"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2,831,283.00</w:t>
            </w:r>
          </w:p>
        </w:tc>
        <w:tc>
          <w:tcPr>
            <w:tcW w:w="1262"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612,562</w:t>
            </w:r>
          </w:p>
        </w:tc>
        <w:tc>
          <w:tcPr>
            <w:tcW w:w="1262"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939,955</w:t>
            </w:r>
          </w:p>
        </w:tc>
        <w:tc>
          <w:tcPr>
            <w:tcW w:w="1201" w:type="dxa"/>
            <w:tcBorders>
              <w:top w:val="nil"/>
              <w:left w:val="nil"/>
              <w:bottom w:val="single" w:sz="4" w:space="0" w:color="auto"/>
              <w:right w:val="single" w:sz="4" w:space="0" w:color="auto"/>
            </w:tcBorders>
            <w:shd w:val="clear" w:color="auto" w:fill="auto"/>
            <w:noWrap/>
            <w:vAlign w:val="center"/>
            <w:hideMark/>
          </w:tcPr>
          <w:p w:rsidR="00C946F0" w:rsidRPr="00B31AA0" w:rsidRDefault="00C946F0"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1,552,517.00</w:t>
            </w:r>
          </w:p>
        </w:tc>
        <w:tc>
          <w:tcPr>
            <w:tcW w:w="1201" w:type="dxa"/>
            <w:tcBorders>
              <w:top w:val="nil"/>
              <w:left w:val="nil"/>
              <w:bottom w:val="single" w:sz="4" w:space="0" w:color="auto"/>
              <w:right w:val="single" w:sz="8" w:space="0" w:color="auto"/>
            </w:tcBorders>
            <w:shd w:val="clear" w:color="000000" w:fill="C5D9F1"/>
            <w:noWrap/>
            <w:vAlign w:val="center"/>
            <w:hideMark/>
          </w:tcPr>
          <w:p w:rsidR="00C946F0" w:rsidRPr="00B31AA0" w:rsidRDefault="00C946F0"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(115,250.00)</w:t>
            </w:r>
          </w:p>
        </w:tc>
        <w:tc>
          <w:tcPr>
            <w:tcW w:w="1208" w:type="dxa"/>
            <w:tcBorders>
              <w:top w:val="nil"/>
              <w:left w:val="nil"/>
              <w:bottom w:val="single" w:sz="4" w:space="0" w:color="auto"/>
              <w:right w:val="single" w:sz="8" w:space="0" w:color="auto"/>
            </w:tcBorders>
            <w:shd w:val="clear" w:color="auto" w:fill="auto"/>
            <w:vAlign w:val="center"/>
          </w:tcPr>
          <w:p w:rsidR="00C946F0" w:rsidRPr="00B31AA0" w:rsidRDefault="00C946F0" w:rsidP="00C75CC9">
            <w:pPr>
              <w:spacing w:after="0" w:line="240" w:lineRule="auto"/>
              <w:jc w:val="right"/>
              <w:outlineLvl w:val="0"/>
              <w:rPr>
                <w:rFonts w:eastAsia="Times New Roman" w:cs="Times New Roman"/>
                <w:color w:val="000000"/>
                <w:sz w:val="16"/>
                <w:szCs w:val="16"/>
                <w:lang w:val="ru-RU" w:eastAsia="ru-RU"/>
              </w:rPr>
            </w:pPr>
            <w:r w:rsidRPr="00B31AA0">
              <w:rPr>
                <w:rFonts w:eastAsia="Times New Roman" w:cs="Times New Roman"/>
                <w:color w:val="000000"/>
                <w:sz w:val="16"/>
                <w:szCs w:val="16"/>
                <w:lang w:val="ru-RU" w:eastAsia="ru-RU"/>
              </w:rPr>
              <w:t>283</w:t>
            </w:r>
            <w:r w:rsidR="00B31AA0">
              <w:rPr>
                <w:rFonts w:ascii="Sylfaen" w:eastAsia="Times New Roman" w:hAnsi="Sylfaen" w:cs="Times New Roman"/>
                <w:color w:val="000000"/>
                <w:sz w:val="16"/>
                <w:szCs w:val="16"/>
                <w:lang w:val="ka-GE" w:eastAsia="ru-RU"/>
              </w:rPr>
              <w:t>,</w:t>
            </w:r>
            <w:r w:rsidRPr="00B31AA0">
              <w:rPr>
                <w:rFonts w:eastAsia="Times New Roman" w:cs="Times New Roman"/>
                <w:color w:val="000000"/>
                <w:sz w:val="16"/>
                <w:szCs w:val="16"/>
                <w:lang w:val="ru-RU" w:eastAsia="ru-RU"/>
              </w:rPr>
              <w:t>410</w:t>
            </w:r>
          </w:p>
        </w:tc>
        <w:tc>
          <w:tcPr>
            <w:tcW w:w="2700" w:type="dxa"/>
            <w:tcBorders>
              <w:top w:val="nil"/>
              <w:left w:val="nil"/>
              <w:bottom w:val="single" w:sz="4" w:space="0" w:color="auto"/>
              <w:right w:val="single" w:sz="8" w:space="0" w:color="auto"/>
            </w:tcBorders>
            <w:shd w:val="clear" w:color="auto" w:fill="auto"/>
            <w:vAlign w:val="center"/>
          </w:tcPr>
          <w:p w:rsidR="00C946F0" w:rsidRPr="00076CF8" w:rsidRDefault="00C946F0" w:rsidP="00A515E1">
            <w:pPr>
              <w:spacing w:after="0" w:line="240" w:lineRule="auto"/>
              <w:outlineLvl w:val="0"/>
              <w:rPr>
                <w:rFonts w:ascii="Sylfaen" w:eastAsia="Times New Roman" w:hAnsi="Sylfaen" w:cs="Times New Roman"/>
                <w:color w:val="000000"/>
                <w:sz w:val="16"/>
                <w:szCs w:val="16"/>
                <w:lang w:val="ka-GE" w:eastAsia="ru-RU"/>
              </w:rPr>
            </w:pPr>
            <w:r w:rsidRPr="00B0223F">
              <w:rPr>
                <w:rFonts w:ascii="Sylfaen" w:eastAsia="Times New Roman" w:hAnsi="Sylfaen" w:cs="Times New Roman"/>
                <w:color w:val="000000"/>
                <w:sz w:val="16"/>
                <w:szCs w:val="16"/>
                <w:lang w:val="ka-GE" w:eastAsia="ru-RU"/>
              </w:rPr>
              <w:t>უტილიზაციის შემცირება, რაც განაპირობა 115 ათასზე მეტი ადამიანის საქართველოს მთავრობის 2012 წლის 7 მა</w:t>
            </w:r>
            <w:r>
              <w:rPr>
                <w:rFonts w:ascii="Sylfaen" w:eastAsia="Times New Roman" w:hAnsi="Sylfaen" w:cs="Times New Roman"/>
                <w:color w:val="000000"/>
                <w:sz w:val="16"/>
                <w:szCs w:val="16"/>
                <w:lang w:val="ka-GE" w:eastAsia="ru-RU"/>
              </w:rPr>
              <w:t>ისის N165 დადგენილებაში ჩართვამ</w:t>
            </w:r>
          </w:p>
        </w:tc>
      </w:tr>
      <w:tr w:rsidR="00C946F0" w:rsidRPr="00304A7E" w:rsidTr="00A515E1">
        <w:trPr>
          <w:trHeight w:val="300"/>
        </w:trPr>
        <w:tc>
          <w:tcPr>
            <w:tcW w:w="680" w:type="dxa"/>
            <w:vMerge/>
            <w:tcBorders>
              <w:top w:val="nil"/>
              <w:left w:val="single" w:sz="8" w:space="0" w:color="auto"/>
              <w:bottom w:val="single" w:sz="8" w:space="0" w:color="000000"/>
              <w:right w:val="single" w:sz="4" w:space="0" w:color="auto"/>
            </w:tcBorders>
            <w:vAlign w:val="center"/>
            <w:hideMark/>
          </w:tcPr>
          <w:p w:rsidR="00C946F0" w:rsidRPr="00304A7E" w:rsidRDefault="00C946F0" w:rsidP="00B31AA0">
            <w:pPr>
              <w:spacing w:after="0" w:line="240" w:lineRule="auto"/>
              <w:jc w:val="center"/>
              <w:rPr>
                <w:rFonts w:eastAsia="Times New Roman" w:cs="Calibri"/>
                <w:color w:val="000000"/>
                <w:sz w:val="16"/>
                <w:szCs w:val="16"/>
              </w:rPr>
            </w:pPr>
          </w:p>
        </w:tc>
        <w:tc>
          <w:tcPr>
            <w:tcW w:w="1260"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rPr>
                <w:rFonts w:eastAsia="Times New Roman" w:cs="Calibri"/>
                <w:color w:val="000000"/>
                <w:sz w:val="16"/>
                <w:szCs w:val="16"/>
              </w:rPr>
            </w:pPr>
            <w:r w:rsidRPr="00304A7E">
              <w:rPr>
                <w:rFonts w:ascii="Sylfaen" w:eastAsia="Times New Roman" w:hAnsi="Sylfaen" w:cs="Sylfaen"/>
                <w:color w:val="000000"/>
                <w:sz w:val="16"/>
                <w:szCs w:val="16"/>
              </w:rPr>
              <w:t>ოქტომბერი</w:t>
            </w:r>
          </w:p>
        </w:tc>
        <w:tc>
          <w:tcPr>
            <w:tcW w:w="1233"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4,383,800.00</w:t>
            </w:r>
          </w:p>
        </w:tc>
        <w:tc>
          <w:tcPr>
            <w:tcW w:w="1418"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2,850,093.00</w:t>
            </w:r>
          </w:p>
        </w:tc>
        <w:tc>
          <w:tcPr>
            <w:tcW w:w="1262"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610,414</w:t>
            </w:r>
          </w:p>
        </w:tc>
        <w:tc>
          <w:tcPr>
            <w:tcW w:w="1262"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923,293</w:t>
            </w:r>
          </w:p>
        </w:tc>
        <w:tc>
          <w:tcPr>
            <w:tcW w:w="1201" w:type="dxa"/>
            <w:tcBorders>
              <w:top w:val="nil"/>
              <w:left w:val="nil"/>
              <w:bottom w:val="single" w:sz="4" w:space="0" w:color="auto"/>
              <w:right w:val="single" w:sz="4" w:space="0" w:color="auto"/>
            </w:tcBorders>
            <w:shd w:val="clear" w:color="auto" w:fill="auto"/>
            <w:noWrap/>
            <w:vAlign w:val="center"/>
            <w:hideMark/>
          </w:tcPr>
          <w:p w:rsidR="00C946F0" w:rsidRPr="00B31AA0" w:rsidRDefault="00C946F0"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1,533,707.00</w:t>
            </w:r>
          </w:p>
        </w:tc>
        <w:tc>
          <w:tcPr>
            <w:tcW w:w="1201" w:type="dxa"/>
            <w:tcBorders>
              <w:top w:val="nil"/>
              <w:left w:val="nil"/>
              <w:bottom w:val="single" w:sz="4" w:space="0" w:color="auto"/>
              <w:right w:val="single" w:sz="8" w:space="0" w:color="auto"/>
            </w:tcBorders>
            <w:shd w:val="clear" w:color="auto" w:fill="auto"/>
            <w:noWrap/>
            <w:vAlign w:val="center"/>
            <w:hideMark/>
          </w:tcPr>
          <w:p w:rsidR="00C946F0" w:rsidRPr="00B31AA0" w:rsidRDefault="00C946F0"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18,810.00</w:t>
            </w:r>
          </w:p>
        </w:tc>
        <w:tc>
          <w:tcPr>
            <w:tcW w:w="1208" w:type="dxa"/>
            <w:tcBorders>
              <w:top w:val="nil"/>
              <w:left w:val="nil"/>
              <w:bottom w:val="single" w:sz="4" w:space="0" w:color="auto"/>
              <w:right w:val="single" w:sz="8" w:space="0" w:color="auto"/>
            </w:tcBorders>
            <w:shd w:val="clear" w:color="auto" w:fill="auto"/>
            <w:vAlign w:val="center"/>
          </w:tcPr>
          <w:p w:rsidR="00C946F0" w:rsidRPr="00B31AA0" w:rsidRDefault="00C946F0" w:rsidP="00C75CC9">
            <w:pPr>
              <w:spacing w:after="0" w:line="240" w:lineRule="auto"/>
              <w:jc w:val="right"/>
              <w:outlineLvl w:val="0"/>
              <w:rPr>
                <w:rFonts w:eastAsia="Times New Roman" w:cs="Times New Roman"/>
                <w:color w:val="000000"/>
                <w:sz w:val="16"/>
                <w:szCs w:val="16"/>
                <w:lang w:val="ru-RU" w:eastAsia="ru-RU"/>
              </w:rPr>
            </w:pPr>
            <w:r w:rsidRPr="00B31AA0">
              <w:rPr>
                <w:rFonts w:eastAsia="Times New Roman" w:cs="Times New Roman"/>
                <w:color w:val="000000"/>
                <w:sz w:val="16"/>
                <w:szCs w:val="16"/>
                <w:lang w:val="ru-RU" w:eastAsia="ru-RU"/>
              </w:rPr>
              <w:t>303</w:t>
            </w:r>
            <w:r w:rsidR="00B31AA0">
              <w:rPr>
                <w:rFonts w:ascii="Sylfaen" w:eastAsia="Times New Roman" w:hAnsi="Sylfaen" w:cs="Times New Roman"/>
                <w:color w:val="000000"/>
                <w:sz w:val="16"/>
                <w:szCs w:val="16"/>
                <w:lang w:val="ka-GE" w:eastAsia="ru-RU"/>
              </w:rPr>
              <w:t>,</w:t>
            </w:r>
            <w:r w:rsidRPr="00B31AA0">
              <w:rPr>
                <w:rFonts w:eastAsia="Times New Roman" w:cs="Times New Roman"/>
                <w:color w:val="000000"/>
                <w:sz w:val="16"/>
                <w:szCs w:val="16"/>
                <w:lang w:val="ru-RU" w:eastAsia="ru-RU"/>
              </w:rPr>
              <w:t>949</w:t>
            </w:r>
          </w:p>
        </w:tc>
        <w:tc>
          <w:tcPr>
            <w:tcW w:w="2700" w:type="dxa"/>
            <w:tcBorders>
              <w:top w:val="nil"/>
              <w:left w:val="nil"/>
              <w:bottom w:val="single" w:sz="4" w:space="0" w:color="auto"/>
              <w:right w:val="single" w:sz="8" w:space="0" w:color="auto"/>
            </w:tcBorders>
            <w:shd w:val="clear" w:color="auto" w:fill="auto"/>
            <w:vAlign w:val="center"/>
          </w:tcPr>
          <w:p w:rsidR="00C946F0" w:rsidRPr="00076CF8" w:rsidRDefault="00C946F0" w:rsidP="00B31AA0">
            <w:pPr>
              <w:spacing w:after="0" w:line="240" w:lineRule="auto"/>
              <w:jc w:val="both"/>
              <w:outlineLvl w:val="0"/>
              <w:rPr>
                <w:rFonts w:eastAsia="Times New Roman" w:cs="Times New Roman"/>
                <w:color w:val="000000"/>
                <w:sz w:val="16"/>
                <w:szCs w:val="16"/>
                <w:lang w:val="ru-RU" w:eastAsia="ru-RU"/>
              </w:rPr>
            </w:pPr>
          </w:p>
        </w:tc>
      </w:tr>
      <w:tr w:rsidR="00B31AA0" w:rsidRPr="00304A7E" w:rsidTr="00A515E1">
        <w:trPr>
          <w:trHeight w:val="907"/>
        </w:trPr>
        <w:tc>
          <w:tcPr>
            <w:tcW w:w="680" w:type="dxa"/>
            <w:vMerge/>
            <w:tcBorders>
              <w:top w:val="nil"/>
              <w:left w:val="single" w:sz="8" w:space="0" w:color="auto"/>
              <w:bottom w:val="single" w:sz="8" w:space="0" w:color="000000"/>
              <w:right w:val="single" w:sz="4" w:space="0" w:color="auto"/>
            </w:tcBorders>
            <w:vAlign w:val="center"/>
            <w:hideMark/>
          </w:tcPr>
          <w:p w:rsidR="00B31AA0" w:rsidRPr="00304A7E" w:rsidRDefault="00B31AA0" w:rsidP="00B31AA0">
            <w:pPr>
              <w:spacing w:after="0" w:line="240" w:lineRule="auto"/>
              <w:jc w:val="center"/>
              <w:rPr>
                <w:rFonts w:eastAsia="Times New Roman" w:cs="Calibri"/>
                <w:color w:val="000000"/>
                <w:sz w:val="16"/>
                <w:szCs w:val="16"/>
              </w:rPr>
            </w:pPr>
          </w:p>
        </w:tc>
        <w:tc>
          <w:tcPr>
            <w:tcW w:w="1260" w:type="dxa"/>
            <w:tcBorders>
              <w:top w:val="nil"/>
              <w:left w:val="nil"/>
              <w:bottom w:val="single" w:sz="4" w:space="0" w:color="auto"/>
              <w:right w:val="single" w:sz="4" w:space="0" w:color="auto"/>
            </w:tcBorders>
            <w:shd w:val="clear" w:color="auto" w:fill="auto"/>
            <w:noWrap/>
            <w:vAlign w:val="center"/>
            <w:hideMark/>
          </w:tcPr>
          <w:p w:rsidR="00B31AA0" w:rsidRPr="00304A7E" w:rsidRDefault="00B31AA0" w:rsidP="00B31AA0">
            <w:pPr>
              <w:spacing w:after="0" w:line="240" w:lineRule="auto"/>
              <w:rPr>
                <w:rFonts w:eastAsia="Times New Roman" w:cs="Calibri"/>
                <w:color w:val="000000"/>
                <w:sz w:val="16"/>
                <w:szCs w:val="16"/>
              </w:rPr>
            </w:pPr>
            <w:r w:rsidRPr="00304A7E">
              <w:rPr>
                <w:rFonts w:ascii="Sylfaen" w:eastAsia="Times New Roman" w:hAnsi="Sylfaen" w:cs="Sylfaen"/>
                <w:color w:val="000000"/>
                <w:sz w:val="16"/>
                <w:szCs w:val="16"/>
              </w:rPr>
              <w:t>ნოემბერი</w:t>
            </w:r>
          </w:p>
        </w:tc>
        <w:tc>
          <w:tcPr>
            <w:tcW w:w="1233" w:type="dxa"/>
            <w:tcBorders>
              <w:top w:val="nil"/>
              <w:left w:val="nil"/>
              <w:bottom w:val="single" w:sz="4" w:space="0" w:color="auto"/>
              <w:right w:val="single" w:sz="4" w:space="0" w:color="auto"/>
            </w:tcBorders>
            <w:shd w:val="clear" w:color="auto" w:fill="auto"/>
            <w:noWrap/>
            <w:vAlign w:val="center"/>
            <w:hideMark/>
          </w:tcPr>
          <w:p w:rsidR="00B31AA0" w:rsidRPr="00304A7E" w:rsidRDefault="00B31AA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4,383,800.00</w:t>
            </w:r>
          </w:p>
        </w:tc>
        <w:tc>
          <w:tcPr>
            <w:tcW w:w="1418" w:type="dxa"/>
            <w:tcBorders>
              <w:top w:val="nil"/>
              <w:left w:val="nil"/>
              <w:bottom w:val="single" w:sz="4" w:space="0" w:color="auto"/>
              <w:right w:val="single" w:sz="4" w:space="0" w:color="auto"/>
            </w:tcBorders>
            <w:shd w:val="clear" w:color="auto" w:fill="auto"/>
            <w:noWrap/>
            <w:vAlign w:val="center"/>
            <w:hideMark/>
          </w:tcPr>
          <w:p w:rsidR="00B31AA0" w:rsidRPr="00304A7E" w:rsidRDefault="00B31AA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2,927,322.00</w:t>
            </w:r>
          </w:p>
        </w:tc>
        <w:tc>
          <w:tcPr>
            <w:tcW w:w="1262" w:type="dxa"/>
            <w:tcBorders>
              <w:top w:val="nil"/>
              <w:left w:val="nil"/>
              <w:bottom w:val="single" w:sz="4" w:space="0" w:color="auto"/>
              <w:right w:val="single" w:sz="4" w:space="0" w:color="auto"/>
            </w:tcBorders>
            <w:shd w:val="clear" w:color="auto" w:fill="auto"/>
            <w:noWrap/>
            <w:vAlign w:val="center"/>
            <w:hideMark/>
          </w:tcPr>
          <w:p w:rsidR="00B31AA0" w:rsidRPr="00304A7E" w:rsidRDefault="00B31AA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607,701</w:t>
            </w:r>
          </w:p>
        </w:tc>
        <w:tc>
          <w:tcPr>
            <w:tcW w:w="1262" w:type="dxa"/>
            <w:tcBorders>
              <w:top w:val="nil"/>
              <w:left w:val="nil"/>
              <w:bottom w:val="single" w:sz="4" w:space="0" w:color="auto"/>
              <w:right w:val="single" w:sz="4" w:space="0" w:color="auto"/>
            </w:tcBorders>
            <w:shd w:val="clear" w:color="auto" w:fill="auto"/>
            <w:noWrap/>
            <w:vAlign w:val="center"/>
            <w:hideMark/>
          </w:tcPr>
          <w:p w:rsidR="00B31AA0" w:rsidRPr="00304A7E" w:rsidRDefault="00B31AA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848,777</w:t>
            </w:r>
          </w:p>
        </w:tc>
        <w:tc>
          <w:tcPr>
            <w:tcW w:w="1201" w:type="dxa"/>
            <w:tcBorders>
              <w:top w:val="nil"/>
              <w:left w:val="nil"/>
              <w:bottom w:val="single" w:sz="4" w:space="0" w:color="auto"/>
              <w:right w:val="single" w:sz="4" w:space="0" w:color="auto"/>
            </w:tcBorders>
            <w:shd w:val="clear" w:color="auto" w:fill="auto"/>
            <w:noWrap/>
            <w:vAlign w:val="center"/>
            <w:hideMark/>
          </w:tcPr>
          <w:p w:rsidR="00B31AA0" w:rsidRPr="00B31AA0" w:rsidRDefault="00B31AA0"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1,456,478.00</w:t>
            </w:r>
          </w:p>
        </w:tc>
        <w:tc>
          <w:tcPr>
            <w:tcW w:w="1201" w:type="dxa"/>
            <w:tcBorders>
              <w:top w:val="nil"/>
              <w:left w:val="nil"/>
              <w:bottom w:val="single" w:sz="4" w:space="0" w:color="auto"/>
              <w:right w:val="single" w:sz="8" w:space="0" w:color="auto"/>
            </w:tcBorders>
            <w:shd w:val="clear" w:color="auto" w:fill="auto"/>
            <w:noWrap/>
            <w:vAlign w:val="center"/>
            <w:hideMark/>
          </w:tcPr>
          <w:p w:rsidR="00B31AA0" w:rsidRPr="00B31AA0" w:rsidRDefault="00B31AA0"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77,229.00</w:t>
            </w:r>
          </w:p>
        </w:tc>
        <w:tc>
          <w:tcPr>
            <w:tcW w:w="1208" w:type="dxa"/>
            <w:tcBorders>
              <w:top w:val="nil"/>
              <w:left w:val="nil"/>
              <w:bottom w:val="single" w:sz="4" w:space="0" w:color="auto"/>
              <w:right w:val="single" w:sz="8" w:space="0" w:color="auto"/>
            </w:tcBorders>
            <w:shd w:val="clear" w:color="auto" w:fill="auto"/>
            <w:vAlign w:val="center"/>
          </w:tcPr>
          <w:p w:rsidR="00B31AA0" w:rsidRPr="00B31AA0" w:rsidRDefault="00B31AA0" w:rsidP="00C75CC9">
            <w:pPr>
              <w:spacing w:after="0" w:line="240" w:lineRule="auto"/>
              <w:jc w:val="right"/>
              <w:outlineLvl w:val="0"/>
              <w:rPr>
                <w:rFonts w:eastAsia="Times New Roman" w:cs="Times New Roman"/>
                <w:color w:val="000000"/>
                <w:sz w:val="16"/>
                <w:szCs w:val="16"/>
                <w:lang w:val="ru-RU" w:eastAsia="ru-RU"/>
              </w:rPr>
            </w:pPr>
            <w:r>
              <w:rPr>
                <w:rFonts w:eastAsia="Times New Roman" w:cs="Times New Roman"/>
                <w:color w:val="000000"/>
                <w:sz w:val="16"/>
                <w:szCs w:val="16"/>
                <w:lang w:val="ru-RU" w:eastAsia="ru-RU"/>
              </w:rPr>
              <w:t>324</w:t>
            </w:r>
            <w:r>
              <w:rPr>
                <w:rFonts w:ascii="Sylfaen" w:eastAsia="Times New Roman" w:hAnsi="Sylfaen" w:cs="Times New Roman"/>
                <w:color w:val="000000"/>
                <w:sz w:val="16"/>
                <w:szCs w:val="16"/>
                <w:lang w:val="ka-GE" w:eastAsia="ru-RU"/>
              </w:rPr>
              <w:t>,</w:t>
            </w:r>
            <w:r w:rsidRPr="00B31AA0">
              <w:rPr>
                <w:rFonts w:eastAsia="Times New Roman" w:cs="Times New Roman"/>
                <w:color w:val="000000"/>
                <w:sz w:val="16"/>
                <w:szCs w:val="16"/>
                <w:lang w:val="ru-RU" w:eastAsia="ru-RU"/>
              </w:rPr>
              <w:t>953</w:t>
            </w:r>
          </w:p>
        </w:tc>
        <w:tc>
          <w:tcPr>
            <w:tcW w:w="2700" w:type="dxa"/>
            <w:vMerge w:val="restart"/>
            <w:tcBorders>
              <w:top w:val="nil"/>
              <w:left w:val="nil"/>
              <w:right w:val="single" w:sz="8" w:space="0" w:color="auto"/>
            </w:tcBorders>
            <w:shd w:val="clear" w:color="auto" w:fill="auto"/>
            <w:vAlign w:val="center"/>
          </w:tcPr>
          <w:p w:rsidR="00B31AA0" w:rsidRPr="00B0223F" w:rsidRDefault="00B31AA0" w:rsidP="00B31AA0">
            <w:pPr>
              <w:spacing w:after="0" w:line="240" w:lineRule="auto"/>
              <w:jc w:val="both"/>
              <w:outlineLvl w:val="0"/>
              <w:rPr>
                <w:rFonts w:ascii="Sylfaen" w:eastAsia="Times New Roman" w:hAnsi="Sylfaen" w:cs="Times New Roman"/>
                <w:color w:val="000000"/>
                <w:sz w:val="16"/>
                <w:szCs w:val="16"/>
                <w:lang w:val="ka-GE" w:eastAsia="ru-RU"/>
              </w:rPr>
            </w:pPr>
            <w:r w:rsidRPr="00B0223F">
              <w:rPr>
                <w:rFonts w:ascii="Sylfaen" w:eastAsia="Times New Roman" w:hAnsi="Sylfaen" w:cs="Sylfaen"/>
                <w:color w:val="000000"/>
                <w:sz w:val="16"/>
                <w:szCs w:val="16"/>
                <w:lang w:val="ru-RU" w:eastAsia="ru-RU"/>
              </w:rPr>
              <w:t>საყოველთაოჯანდაცვისპროგრამაშისადაზღვევოპროგრამებიდანინტეგრირდა</w:t>
            </w:r>
            <w:r w:rsidRPr="00B0223F">
              <w:rPr>
                <w:rFonts w:eastAsia="Times New Roman" w:cs="Times New Roman"/>
                <w:color w:val="000000"/>
                <w:sz w:val="16"/>
                <w:szCs w:val="16"/>
                <w:lang w:val="ru-RU" w:eastAsia="ru-RU"/>
              </w:rPr>
              <w:t xml:space="preserve"> 77 </w:t>
            </w:r>
            <w:r w:rsidRPr="00B0223F">
              <w:rPr>
                <w:rFonts w:ascii="Sylfaen" w:eastAsia="Times New Roman" w:hAnsi="Sylfaen" w:cs="Sylfaen"/>
                <w:color w:val="000000"/>
                <w:sz w:val="16"/>
                <w:szCs w:val="16"/>
                <w:lang w:val="ru-RU" w:eastAsia="ru-RU"/>
              </w:rPr>
              <w:t>ათასზემეტიბენეფიციარი</w:t>
            </w:r>
            <w:r w:rsidRPr="00B0223F">
              <w:rPr>
                <w:rFonts w:eastAsia="Times New Roman" w:cs="Times New Roman"/>
                <w:color w:val="000000"/>
                <w:sz w:val="16"/>
                <w:szCs w:val="16"/>
                <w:lang w:val="ru-RU" w:eastAsia="ru-RU"/>
              </w:rPr>
              <w:t xml:space="preserve"> (</w:t>
            </w:r>
            <w:r w:rsidRPr="00B0223F">
              <w:rPr>
                <w:rFonts w:ascii="Sylfaen" w:eastAsia="Times New Roman" w:hAnsi="Sylfaen" w:cs="Sylfaen"/>
                <w:color w:val="000000"/>
                <w:sz w:val="16"/>
                <w:szCs w:val="16"/>
                <w:lang w:val="ru-RU" w:eastAsia="ru-RU"/>
              </w:rPr>
              <w:t>რომლებმაცდაკარგესსადაზღვევოპროგრამითსარგებლობისუფლებაპოლისისჩაუბარებლობისგამო</w:t>
            </w:r>
            <w:r w:rsidRPr="00B0223F">
              <w:rPr>
                <w:rFonts w:eastAsia="Times New Roman" w:cs="Times New Roman"/>
                <w:color w:val="000000"/>
                <w:sz w:val="16"/>
                <w:szCs w:val="16"/>
                <w:lang w:val="ru-RU" w:eastAsia="ru-RU"/>
              </w:rPr>
              <w:t xml:space="preserve">), </w:t>
            </w:r>
            <w:r w:rsidRPr="00B0223F">
              <w:rPr>
                <w:rFonts w:ascii="Sylfaen" w:eastAsia="Times New Roman" w:hAnsi="Sylfaen" w:cs="Sylfaen"/>
                <w:color w:val="000000"/>
                <w:sz w:val="16"/>
                <w:szCs w:val="16"/>
                <w:lang w:val="ru-RU" w:eastAsia="ru-RU"/>
              </w:rPr>
              <w:t>რამაცგამოიწვიაუტილიზაციისზრდა</w:t>
            </w:r>
          </w:p>
        </w:tc>
      </w:tr>
      <w:tr w:rsidR="00B31AA0" w:rsidRPr="00304A7E" w:rsidTr="00A515E1">
        <w:trPr>
          <w:trHeight w:val="315"/>
        </w:trPr>
        <w:tc>
          <w:tcPr>
            <w:tcW w:w="680" w:type="dxa"/>
            <w:vMerge/>
            <w:tcBorders>
              <w:top w:val="nil"/>
              <w:left w:val="single" w:sz="8" w:space="0" w:color="auto"/>
              <w:bottom w:val="single" w:sz="8" w:space="0" w:color="000000"/>
              <w:right w:val="single" w:sz="4" w:space="0" w:color="auto"/>
            </w:tcBorders>
            <w:vAlign w:val="center"/>
            <w:hideMark/>
          </w:tcPr>
          <w:p w:rsidR="00B31AA0" w:rsidRPr="00304A7E" w:rsidRDefault="00B31AA0" w:rsidP="00B31AA0">
            <w:pPr>
              <w:spacing w:after="0" w:line="240" w:lineRule="auto"/>
              <w:jc w:val="center"/>
              <w:rPr>
                <w:rFonts w:eastAsia="Times New Roman" w:cs="Calibri"/>
                <w:color w:val="000000"/>
                <w:sz w:val="16"/>
                <w:szCs w:val="16"/>
              </w:rPr>
            </w:pPr>
          </w:p>
        </w:tc>
        <w:tc>
          <w:tcPr>
            <w:tcW w:w="126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B31AA0" w:rsidRPr="00304A7E" w:rsidRDefault="00B31AA0" w:rsidP="00B31AA0">
            <w:pPr>
              <w:spacing w:after="0" w:line="240" w:lineRule="auto"/>
              <w:rPr>
                <w:rFonts w:eastAsia="Times New Roman" w:cs="Calibri"/>
                <w:color w:val="000000"/>
                <w:sz w:val="16"/>
                <w:szCs w:val="16"/>
              </w:rPr>
            </w:pPr>
            <w:r w:rsidRPr="00304A7E">
              <w:rPr>
                <w:rFonts w:ascii="Sylfaen" w:eastAsia="Times New Roman" w:hAnsi="Sylfaen" w:cs="Sylfaen"/>
                <w:color w:val="000000"/>
                <w:sz w:val="16"/>
                <w:szCs w:val="16"/>
              </w:rPr>
              <w:t>დეკემბერი</w:t>
            </w:r>
          </w:p>
        </w:tc>
        <w:tc>
          <w:tcPr>
            <w:tcW w:w="1233" w:type="dxa"/>
            <w:tcBorders>
              <w:top w:val="single" w:sz="4" w:space="0" w:color="auto"/>
              <w:left w:val="nil"/>
              <w:bottom w:val="single" w:sz="8" w:space="0" w:color="auto"/>
              <w:right w:val="single" w:sz="4" w:space="0" w:color="auto"/>
            </w:tcBorders>
            <w:shd w:val="clear" w:color="auto" w:fill="auto"/>
            <w:noWrap/>
            <w:vAlign w:val="center"/>
            <w:hideMark/>
          </w:tcPr>
          <w:p w:rsidR="00B31AA0" w:rsidRPr="00304A7E" w:rsidRDefault="00B31AA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4,383,800.00</w:t>
            </w:r>
          </w:p>
        </w:tc>
        <w:tc>
          <w:tcPr>
            <w:tcW w:w="1418" w:type="dxa"/>
            <w:tcBorders>
              <w:top w:val="single" w:sz="4" w:space="0" w:color="auto"/>
              <w:left w:val="nil"/>
              <w:bottom w:val="single" w:sz="8" w:space="0" w:color="auto"/>
              <w:right w:val="single" w:sz="4" w:space="0" w:color="auto"/>
            </w:tcBorders>
            <w:shd w:val="clear" w:color="auto" w:fill="auto"/>
            <w:noWrap/>
            <w:vAlign w:val="center"/>
            <w:hideMark/>
          </w:tcPr>
          <w:p w:rsidR="00B31AA0" w:rsidRPr="00304A7E" w:rsidRDefault="00B31AA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2,912,360.00</w:t>
            </w:r>
          </w:p>
        </w:tc>
        <w:tc>
          <w:tcPr>
            <w:tcW w:w="1262" w:type="dxa"/>
            <w:tcBorders>
              <w:top w:val="single" w:sz="4" w:space="0" w:color="auto"/>
              <w:left w:val="nil"/>
              <w:bottom w:val="single" w:sz="8" w:space="0" w:color="auto"/>
              <w:right w:val="single" w:sz="4" w:space="0" w:color="auto"/>
            </w:tcBorders>
            <w:shd w:val="clear" w:color="auto" w:fill="auto"/>
            <w:noWrap/>
            <w:vAlign w:val="center"/>
            <w:hideMark/>
          </w:tcPr>
          <w:p w:rsidR="00B31AA0" w:rsidRPr="00304A7E" w:rsidRDefault="00B31AA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606,385</w:t>
            </w:r>
          </w:p>
        </w:tc>
        <w:tc>
          <w:tcPr>
            <w:tcW w:w="1262" w:type="dxa"/>
            <w:tcBorders>
              <w:top w:val="single" w:sz="4" w:space="0" w:color="auto"/>
              <w:left w:val="nil"/>
              <w:bottom w:val="single" w:sz="8" w:space="0" w:color="auto"/>
              <w:right w:val="single" w:sz="4" w:space="0" w:color="auto"/>
            </w:tcBorders>
            <w:shd w:val="clear" w:color="auto" w:fill="auto"/>
            <w:noWrap/>
            <w:vAlign w:val="center"/>
            <w:hideMark/>
          </w:tcPr>
          <w:p w:rsidR="00B31AA0" w:rsidRPr="00304A7E" w:rsidRDefault="00B31AA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865,055</w:t>
            </w:r>
          </w:p>
        </w:tc>
        <w:tc>
          <w:tcPr>
            <w:tcW w:w="1201" w:type="dxa"/>
            <w:tcBorders>
              <w:top w:val="single" w:sz="4" w:space="0" w:color="auto"/>
              <w:left w:val="nil"/>
              <w:bottom w:val="single" w:sz="8" w:space="0" w:color="auto"/>
              <w:right w:val="single" w:sz="4" w:space="0" w:color="auto"/>
            </w:tcBorders>
            <w:shd w:val="clear" w:color="auto" w:fill="auto"/>
            <w:noWrap/>
            <w:vAlign w:val="center"/>
            <w:hideMark/>
          </w:tcPr>
          <w:p w:rsidR="00B31AA0" w:rsidRPr="00B31AA0" w:rsidRDefault="00B31AA0"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1,471,440.00</w:t>
            </w:r>
          </w:p>
        </w:tc>
        <w:tc>
          <w:tcPr>
            <w:tcW w:w="1201" w:type="dxa"/>
            <w:tcBorders>
              <w:top w:val="nil"/>
              <w:left w:val="single" w:sz="4" w:space="0" w:color="auto"/>
              <w:bottom w:val="single" w:sz="8" w:space="0" w:color="auto"/>
              <w:right w:val="single" w:sz="8" w:space="0" w:color="auto"/>
            </w:tcBorders>
            <w:shd w:val="clear" w:color="auto" w:fill="auto"/>
            <w:noWrap/>
            <w:vAlign w:val="center"/>
            <w:hideMark/>
          </w:tcPr>
          <w:p w:rsidR="00B31AA0" w:rsidRPr="00B31AA0" w:rsidRDefault="00B31AA0"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(14,962.00)</w:t>
            </w:r>
          </w:p>
        </w:tc>
        <w:tc>
          <w:tcPr>
            <w:tcW w:w="1208" w:type="dxa"/>
            <w:tcBorders>
              <w:top w:val="nil"/>
              <w:left w:val="single" w:sz="4" w:space="0" w:color="auto"/>
              <w:bottom w:val="single" w:sz="8" w:space="0" w:color="auto"/>
              <w:right w:val="single" w:sz="8" w:space="0" w:color="auto"/>
            </w:tcBorders>
            <w:shd w:val="clear" w:color="auto" w:fill="auto"/>
            <w:vAlign w:val="center"/>
          </w:tcPr>
          <w:p w:rsidR="00B31AA0" w:rsidRPr="00B31AA0" w:rsidRDefault="00B31AA0" w:rsidP="00C75CC9">
            <w:pPr>
              <w:spacing w:after="0" w:line="240" w:lineRule="auto"/>
              <w:jc w:val="right"/>
              <w:outlineLvl w:val="0"/>
              <w:rPr>
                <w:rFonts w:eastAsia="Times New Roman" w:cs="Times New Roman"/>
                <w:color w:val="000000"/>
                <w:sz w:val="16"/>
                <w:szCs w:val="16"/>
                <w:lang w:val="ru-RU" w:eastAsia="ru-RU"/>
              </w:rPr>
            </w:pPr>
            <w:r w:rsidRPr="00B31AA0">
              <w:rPr>
                <w:rFonts w:eastAsia="Times New Roman" w:cs="Times New Roman"/>
                <w:color w:val="000000"/>
                <w:sz w:val="16"/>
                <w:szCs w:val="16"/>
                <w:lang w:val="ru-RU" w:eastAsia="ru-RU"/>
              </w:rPr>
              <w:t>321</w:t>
            </w:r>
            <w:r>
              <w:rPr>
                <w:rFonts w:ascii="Sylfaen" w:eastAsia="Times New Roman" w:hAnsi="Sylfaen" w:cs="Times New Roman"/>
                <w:color w:val="000000"/>
                <w:sz w:val="16"/>
                <w:szCs w:val="16"/>
                <w:lang w:val="ka-GE" w:eastAsia="ru-RU"/>
              </w:rPr>
              <w:t>,</w:t>
            </w:r>
            <w:r w:rsidRPr="00B31AA0">
              <w:rPr>
                <w:rFonts w:eastAsia="Times New Roman" w:cs="Times New Roman"/>
                <w:color w:val="000000"/>
                <w:sz w:val="16"/>
                <w:szCs w:val="16"/>
                <w:lang w:val="ru-RU" w:eastAsia="ru-RU"/>
              </w:rPr>
              <w:t>026</w:t>
            </w:r>
          </w:p>
        </w:tc>
        <w:tc>
          <w:tcPr>
            <w:tcW w:w="2700" w:type="dxa"/>
            <w:vMerge/>
            <w:tcBorders>
              <w:left w:val="single" w:sz="4" w:space="0" w:color="auto"/>
              <w:bottom w:val="single" w:sz="8" w:space="0" w:color="auto"/>
              <w:right w:val="single" w:sz="8" w:space="0" w:color="auto"/>
            </w:tcBorders>
            <w:shd w:val="clear" w:color="auto" w:fill="auto"/>
            <w:vAlign w:val="center"/>
          </w:tcPr>
          <w:p w:rsidR="00B31AA0" w:rsidRPr="00076CF8" w:rsidRDefault="00B31AA0" w:rsidP="00B31AA0">
            <w:pPr>
              <w:spacing w:after="0" w:line="240" w:lineRule="auto"/>
              <w:jc w:val="both"/>
              <w:outlineLvl w:val="0"/>
              <w:rPr>
                <w:rFonts w:eastAsia="Times New Roman" w:cs="Times New Roman"/>
                <w:color w:val="000000"/>
                <w:sz w:val="16"/>
                <w:szCs w:val="16"/>
                <w:lang w:val="ru-RU" w:eastAsia="ru-RU"/>
              </w:rPr>
            </w:pPr>
          </w:p>
        </w:tc>
      </w:tr>
      <w:tr w:rsidR="00B31AA0" w:rsidRPr="00304A7E" w:rsidTr="00A515E1">
        <w:trPr>
          <w:trHeight w:val="300"/>
        </w:trPr>
        <w:tc>
          <w:tcPr>
            <w:tcW w:w="680"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B31AA0" w:rsidRPr="00304A7E" w:rsidRDefault="00B31AA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2014</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B31AA0" w:rsidRPr="00304A7E" w:rsidRDefault="00B31AA0" w:rsidP="00B31AA0">
            <w:pPr>
              <w:spacing w:after="0" w:line="240" w:lineRule="auto"/>
              <w:rPr>
                <w:rFonts w:eastAsia="Times New Roman" w:cs="Calibri"/>
                <w:color w:val="000000"/>
                <w:sz w:val="16"/>
                <w:szCs w:val="16"/>
              </w:rPr>
            </w:pPr>
            <w:r w:rsidRPr="00304A7E">
              <w:rPr>
                <w:rFonts w:ascii="Sylfaen" w:eastAsia="Times New Roman" w:hAnsi="Sylfaen" w:cs="Sylfaen"/>
                <w:color w:val="000000"/>
                <w:sz w:val="16"/>
                <w:szCs w:val="16"/>
              </w:rPr>
              <w:t>იანვარი</w:t>
            </w:r>
          </w:p>
        </w:tc>
        <w:tc>
          <w:tcPr>
            <w:tcW w:w="1233" w:type="dxa"/>
            <w:tcBorders>
              <w:top w:val="nil"/>
              <w:left w:val="nil"/>
              <w:bottom w:val="single" w:sz="4" w:space="0" w:color="auto"/>
              <w:right w:val="single" w:sz="4" w:space="0" w:color="auto"/>
            </w:tcBorders>
            <w:shd w:val="clear" w:color="auto" w:fill="auto"/>
            <w:noWrap/>
            <w:vAlign w:val="center"/>
            <w:hideMark/>
          </w:tcPr>
          <w:p w:rsidR="00B31AA0" w:rsidRPr="00304A7E" w:rsidRDefault="00B31AA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4,490,500.00</w:t>
            </w:r>
          </w:p>
        </w:tc>
        <w:tc>
          <w:tcPr>
            <w:tcW w:w="1418" w:type="dxa"/>
            <w:tcBorders>
              <w:top w:val="nil"/>
              <w:left w:val="nil"/>
              <w:bottom w:val="single" w:sz="4" w:space="0" w:color="auto"/>
              <w:right w:val="single" w:sz="4" w:space="0" w:color="auto"/>
            </w:tcBorders>
            <w:shd w:val="clear" w:color="auto" w:fill="auto"/>
            <w:noWrap/>
            <w:vAlign w:val="center"/>
            <w:hideMark/>
          </w:tcPr>
          <w:p w:rsidR="00B31AA0" w:rsidRPr="00304A7E" w:rsidRDefault="00B31AA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3,481,780.00</w:t>
            </w:r>
          </w:p>
        </w:tc>
        <w:tc>
          <w:tcPr>
            <w:tcW w:w="1262" w:type="dxa"/>
            <w:tcBorders>
              <w:top w:val="nil"/>
              <w:left w:val="nil"/>
              <w:bottom w:val="single" w:sz="4" w:space="0" w:color="auto"/>
              <w:right w:val="single" w:sz="4" w:space="0" w:color="auto"/>
            </w:tcBorders>
            <w:shd w:val="clear" w:color="auto" w:fill="auto"/>
            <w:noWrap/>
            <w:vAlign w:val="center"/>
            <w:hideMark/>
          </w:tcPr>
          <w:p w:rsidR="00B31AA0" w:rsidRPr="00304A7E" w:rsidRDefault="00B31AA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464,802</w:t>
            </w:r>
          </w:p>
        </w:tc>
        <w:tc>
          <w:tcPr>
            <w:tcW w:w="1262" w:type="dxa"/>
            <w:tcBorders>
              <w:top w:val="nil"/>
              <w:left w:val="nil"/>
              <w:bottom w:val="single" w:sz="4" w:space="0" w:color="auto"/>
              <w:right w:val="single" w:sz="4" w:space="0" w:color="auto"/>
            </w:tcBorders>
            <w:shd w:val="clear" w:color="auto" w:fill="auto"/>
            <w:noWrap/>
            <w:vAlign w:val="center"/>
            <w:hideMark/>
          </w:tcPr>
          <w:p w:rsidR="00B31AA0" w:rsidRPr="00304A7E" w:rsidRDefault="00B31AA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543,918</w:t>
            </w:r>
          </w:p>
        </w:tc>
        <w:tc>
          <w:tcPr>
            <w:tcW w:w="1201" w:type="dxa"/>
            <w:tcBorders>
              <w:top w:val="nil"/>
              <w:left w:val="nil"/>
              <w:bottom w:val="single" w:sz="4" w:space="0" w:color="auto"/>
              <w:right w:val="single" w:sz="4" w:space="0" w:color="auto"/>
            </w:tcBorders>
            <w:shd w:val="clear" w:color="auto" w:fill="auto"/>
            <w:noWrap/>
            <w:vAlign w:val="center"/>
            <w:hideMark/>
          </w:tcPr>
          <w:p w:rsidR="00B31AA0" w:rsidRPr="00B31AA0" w:rsidRDefault="00B31AA0"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1,008,720.00</w:t>
            </w:r>
          </w:p>
        </w:tc>
        <w:tc>
          <w:tcPr>
            <w:tcW w:w="1201" w:type="dxa"/>
            <w:tcBorders>
              <w:top w:val="nil"/>
              <w:left w:val="single" w:sz="4" w:space="0" w:color="auto"/>
              <w:bottom w:val="single" w:sz="4" w:space="0" w:color="auto"/>
              <w:right w:val="single" w:sz="8" w:space="0" w:color="auto"/>
            </w:tcBorders>
            <w:shd w:val="clear" w:color="000000" w:fill="C5D9F1"/>
            <w:noWrap/>
            <w:vAlign w:val="center"/>
            <w:hideMark/>
          </w:tcPr>
          <w:p w:rsidR="00B31AA0" w:rsidRPr="00B31AA0" w:rsidRDefault="00B31AA0"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569,420.00</w:t>
            </w:r>
          </w:p>
        </w:tc>
        <w:tc>
          <w:tcPr>
            <w:tcW w:w="1208" w:type="dxa"/>
            <w:tcBorders>
              <w:top w:val="nil"/>
              <w:left w:val="single" w:sz="4" w:space="0" w:color="auto"/>
              <w:bottom w:val="single" w:sz="4" w:space="0" w:color="auto"/>
              <w:right w:val="single" w:sz="8" w:space="0" w:color="auto"/>
            </w:tcBorders>
            <w:shd w:val="clear" w:color="auto" w:fill="auto"/>
            <w:vAlign w:val="center"/>
          </w:tcPr>
          <w:p w:rsidR="00B31AA0" w:rsidRPr="00B31AA0" w:rsidRDefault="00B31AA0" w:rsidP="00C75CC9">
            <w:pPr>
              <w:jc w:val="right"/>
              <w:outlineLvl w:val="0"/>
              <w:rPr>
                <w:rFonts w:ascii="Sylfaen" w:hAnsi="Sylfaen" w:cs="Calibri"/>
                <w:color w:val="000000"/>
                <w:sz w:val="16"/>
                <w:szCs w:val="16"/>
                <w:lang w:val="ka-GE"/>
              </w:rPr>
            </w:pPr>
            <w:r w:rsidRPr="00B31AA0">
              <w:rPr>
                <w:rFonts w:cs="Calibri"/>
                <w:color w:val="000000"/>
                <w:sz w:val="16"/>
                <w:szCs w:val="16"/>
              </w:rPr>
              <w:t>454</w:t>
            </w:r>
            <w:r>
              <w:rPr>
                <w:rFonts w:ascii="Sylfaen" w:hAnsi="Sylfaen" w:cs="Calibri"/>
                <w:color w:val="000000"/>
                <w:sz w:val="16"/>
                <w:szCs w:val="16"/>
                <w:lang w:val="ka-GE"/>
              </w:rPr>
              <w:t>,</w:t>
            </w:r>
            <w:r w:rsidRPr="00B31AA0">
              <w:rPr>
                <w:rFonts w:cs="Calibri"/>
                <w:color w:val="000000"/>
                <w:sz w:val="16"/>
                <w:szCs w:val="16"/>
              </w:rPr>
              <w:t>329</w:t>
            </w:r>
          </w:p>
        </w:tc>
        <w:tc>
          <w:tcPr>
            <w:tcW w:w="2700" w:type="dxa"/>
            <w:tcBorders>
              <w:top w:val="nil"/>
              <w:left w:val="single" w:sz="4" w:space="0" w:color="auto"/>
              <w:bottom w:val="single" w:sz="4" w:space="0" w:color="auto"/>
              <w:right w:val="single" w:sz="8" w:space="0" w:color="auto"/>
            </w:tcBorders>
            <w:shd w:val="clear" w:color="auto" w:fill="auto"/>
            <w:vAlign w:val="center"/>
          </w:tcPr>
          <w:p w:rsidR="00B31AA0" w:rsidRPr="00076CF8" w:rsidRDefault="00B31AA0" w:rsidP="00A515E1">
            <w:pPr>
              <w:spacing w:after="0" w:line="240" w:lineRule="auto"/>
              <w:jc w:val="both"/>
              <w:outlineLvl w:val="0"/>
              <w:rPr>
                <w:rFonts w:ascii="Sylfaen" w:eastAsia="Times New Roman" w:hAnsi="Sylfaen" w:cs="Times New Roman"/>
                <w:color w:val="000000"/>
                <w:sz w:val="16"/>
                <w:szCs w:val="16"/>
                <w:lang w:val="ka-GE" w:eastAsia="ru-RU"/>
              </w:rPr>
            </w:pPr>
            <w:r w:rsidRPr="00076CF8">
              <w:rPr>
                <w:rFonts w:ascii="Sylfaen" w:eastAsia="Times New Roman" w:hAnsi="Sylfaen" w:cs="Times New Roman"/>
                <w:color w:val="000000"/>
                <w:sz w:val="16"/>
                <w:szCs w:val="16"/>
                <w:lang w:val="ka-GE" w:eastAsia="ru-RU"/>
              </w:rPr>
              <w:t>570 ათასამდე ინტეგრირდა საყოველთაო ჯანდაცვაში</w:t>
            </w:r>
            <w:r w:rsidR="00A515E1">
              <w:rPr>
                <w:rFonts w:ascii="Sylfaen" w:eastAsia="Times New Roman" w:hAnsi="Sylfaen" w:cs="Times New Roman"/>
                <w:color w:val="000000"/>
                <w:sz w:val="16"/>
                <w:szCs w:val="16"/>
                <w:lang w:val="ka-GE" w:eastAsia="ru-RU"/>
              </w:rPr>
              <w:t xml:space="preserve"> - სადაზღვევო პროგრამებიდან  სადაზღვევო კომპანიების - არქიმედეს გლობალ ჯორჯიას და ქართუს გასვლის და </w:t>
            </w:r>
            <w:r w:rsidR="00A515E1" w:rsidRPr="00076CF8">
              <w:rPr>
                <w:rFonts w:ascii="Sylfaen" w:eastAsia="Times New Roman" w:hAnsi="Sylfaen" w:cs="Times New Roman"/>
                <w:color w:val="000000"/>
                <w:sz w:val="16"/>
                <w:szCs w:val="16"/>
                <w:lang w:val="ka-GE" w:eastAsia="ru-RU"/>
              </w:rPr>
              <w:t>218 დადგენილებაში შედინების შეწყვეტასთან დაკავშირებით</w:t>
            </w:r>
          </w:p>
        </w:tc>
      </w:tr>
      <w:tr w:rsidR="00A515E1" w:rsidRPr="00304A7E" w:rsidTr="00A515E1">
        <w:trPr>
          <w:trHeight w:val="300"/>
        </w:trPr>
        <w:tc>
          <w:tcPr>
            <w:tcW w:w="680" w:type="dxa"/>
            <w:vMerge/>
            <w:tcBorders>
              <w:top w:val="nil"/>
              <w:left w:val="single" w:sz="8" w:space="0" w:color="auto"/>
              <w:bottom w:val="single" w:sz="8" w:space="0" w:color="000000"/>
              <w:right w:val="single" w:sz="4" w:space="0" w:color="auto"/>
            </w:tcBorders>
            <w:vAlign w:val="center"/>
            <w:hideMark/>
          </w:tcPr>
          <w:p w:rsidR="00A515E1" w:rsidRPr="00304A7E" w:rsidRDefault="00A515E1" w:rsidP="00B31AA0">
            <w:pPr>
              <w:spacing w:after="0" w:line="240" w:lineRule="auto"/>
              <w:jc w:val="center"/>
              <w:rPr>
                <w:rFonts w:eastAsia="Times New Roman" w:cs="Calibri"/>
                <w:color w:val="000000"/>
                <w:sz w:val="16"/>
                <w:szCs w:val="16"/>
              </w:rPr>
            </w:pP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A515E1" w:rsidRPr="00304A7E" w:rsidRDefault="00A515E1" w:rsidP="00B31AA0">
            <w:pPr>
              <w:spacing w:after="0" w:line="240" w:lineRule="auto"/>
              <w:rPr>
                <w:rFonts w:eastAsia="Times New Roman" w:cs="Calibri"/>
                <w:color w:val="000000"/>
                <w:sz w:val="16"/>
                <w:szCs w:val="16"/>
              </w:rPr>
            </w:pPr>
            <w:r w:rsidRPr="00304A7E">
              <w:rPr>
                <w:rFonts w:ascii="Sylfaen" w:eastAsia="Times New Roman" w:hAnsi="Sylfaen" w:cs="Sylfaen"/>
                <w:color w:val="000000"/>
                <w:sz w:val="16"/>
                <w:szCs w:val="16"/>
              </w:rPr>
              <w:t>თებერვალი</w:t>
            </w:r>
          </w:p>
        </w:tc>
        <w:tc>
          <w:tcPr>
            <w:tcW w:w="1233" w:type="dxa"/>
            <w:tcBorders>
              <w:top w:val="single" w:sz="4" w:space="0" w:color="auto"/>
              <w:left w:val="nil"/>
              <w:bottom w:val="single" w:sz="4" w:space="0" w:color="auto"/>
              <w:right w:val="single" w:sz="4" w:space="0" w:color="auto"/>
            </w:tcBorders>
            <w:shd w:val="clear" w:color="auto" w:fill="auto"/>
            <w:noWrap/>
            <w:vAlign w:val="center"/>
            <w:hideMark/>
          </w:tcPr>
          <w:p w:rsidR="00A515E1" w:rsidRPr="00304A7E" w:rsidRDefault="00A515E1"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4,490,500.00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A515E1" w:rsidRPr="00304A7E" w:rsidRDefault="00A515E1"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3,499,701.00</w:t>
            </w:r>
          </w:p>
        </w:tc>
        <w:tc>
          <w:tcPr>
            <w:tcW w:w="1262" w:type="dxa"/>
            <w:tcBorders>
              <w:top w:val="single" w:sz="4" w:space="0" w:color="auto"/>
              <w:left w:val="nil"/>
              <w:bottom w:val="single" w:sz="4" w:space="0" w:color="auto"/>
              <w:right w:val="single" w:sz="4" w:space="0" w:color="auto"/>
            </w:tcBorders>
            <w:shd w:val="clear" w:color="auto" w:fill="auto"/>
            <w:noWrap/>
            <w:vAlign w:val="center"/>
            <w:hideMark/>
          </w:tcPr>
          <w:p w:rsidR="00A515E1" w:rsidRPr="00304A7E" w:rsidRDefault="00A515E1"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449,629</w:t>
            </w:r>
          </w:p>
        </w:tc>
        <w:tc>
          <w:tcPr>
            <w:tcW w:w="1262" w:type="dxa"/>
            <w:tcBorders>
              <w:top w:val="single" w:sz="4" w:space="0" w:color="auto"/>
              <w:left w:val="nil"/>
              <w:bottom w:val="single" w:sz="4" w:space="0" w:color="auto"/>
              <w:right w:val="single" w:sz="4" w:space="0" w:color="auto"/>
            </w:tcBorders>
            <w:shd w:val="clear" w:color="auto" w:fill="auto"/>
            <w:noWrap/>
            <w:vAlign w:val="center"/>
            <w:hideMark/>
          </w:tcPr>
          <w:p w:rsidR="00A515E1" w:rsidRPr="00304A7E" w:rsidRDefault="00A515E1"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541,170</w:t>
            </w:r>
          </w:p>
        </w:tc>
        <w:tc>
          <w:tcPr>
            <w:tcW w:w="1201" w:type="dxa"/>
            <w:tcBorders>
              <w:top w:val="single" w:sz="4" w:space="0" w:color="auto"/>
              <w:left w:val="nil"/>
              <w:bottom w:val="single" w:sz="4" w:space="0" w:color="auto"/>
              <w:right w:val="single" w:sz="4" w:space="0" w:color="auto"/>
            </w:tcBorders>
            <w:shd w:val="clear" w:color="auto" w:fill="auto"/>
            <w:noWrap/>
            <w:vAlign w:val="center"/>
            <w:hideMark/>
          </w:tcPr>
          <w:p w:rsidR="00A515E1" w:rsidRPr="00B31AA0" w:rsidRDefault="00A515E1"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990,799.00</w:t>
            </w:r>
          </w:p>
        </w:tc>
        <w:tc>
          <w:tcPr>
            <w:tcW w:w="1201" w:type="dxa"/>
            <w:tcBorders>
              <w:top w:val="nil"/>
              <w:left w:val="nil"/>
              <w:bottom w:val="single" w:sz="4" w:space="0" w:color="auto"/>
              <w:right w:val="single" w:sz="8" w:space="0" w:color="auto"/>
            </w:tcBorders>
            <w:shd w:val="clear" w:color="auto" w:fill="auto"/>
            <w:noWrap/>
            <w:vAlign w:val="center"/>
            <w:hideMark/>
          </w:tcPr>
          <w:p w:rsidR="00A515E1" w:rsidRPr="00B31AA0" w:rsidRDefault="00A515E1"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17,921.00</w:t>
            </w:r>
          </w:p>
        </w:tc>
        <w:tc>
          <w:tcPr>
            <w:tcW w:w="1208" w:type="dxa"/>
            <w:tcBorders>
              <w:top w:val="nil"/>
              <w:left w:val="nil"/>
              <w:bottom w:val="single" w:sz="4" w:space="0" w:color="auto"/>
              <w:right w:val="single" w:sz="8" w:space="0" w:color="auto"/>
            </w:tcBorders>
            <w:vAlign w:val="center"/>
          </w:tcPr>
          <w:p w:rsidR="00A515E1" w:rsidRPr="00B31AA0" w:rsidRDefault="00A515E1" w:rsidP="00C75CC9">
            <w:pPr>
              <w:jc w:val="right"/>
              <w:outlineLvl w:val="0"/>
              <w:rPr>
                <w:rFonts w:cs="Calibri"/>
                <w:color w:val="000000"/>
                <w:sz w:val="16"/>
                <w:szCs w:val="16"/>
              </w:rPr>
            </w:pPr>
            <w:r w:rsidRPr="00B31AA0">
              <w:rPr>
                <w:rFonts w:cs="Calibri"/>
                <w:color w:val="000000"/>
                <w:sz w:val="16"/>
                <w:szCs w:val="16"/>
              </w:rPr>
              <w:t>467</w:t>
            </w:r>
            <w:r>
              <w:rPr>
                <w:rFonts w:ascii="Sylfaen" w:hAnsi="Sylfaen" w:cs="Calibri"/>
                <w:color w:val="000000"/>
                <w:sz w:val="16"/>
                <w:szCs w:val="16"/>
                <w:lang w:val="ka-GE"/>
              </w:rPr>
              <w:t>,</w:t>
            </w:r>
            <w:r w:rsidRPr="00B31AA0">
              <w:rPr>
                <w:rFonts w:cs="Calibri"/>
                <w:color w:val="000000"/>
                <w:sz w:val="16"/>
                <w:szCs w:val="16"/>
              </w:rPr>
              <w:t>493</w:t>
            </w:r>
          </w:p>
        </w:tc>
        <w:tc>
          <w:tcPr>
            <w:tcW w:w="2700" w:type="dxa"/>
            <w:vMerge w:val="restart"/>
            <w:tcBorders>
              <w:top w:val="nil"/>
              <w:left w:val="nil"/>
              <w:right w:val="single" w:sz="8" w:space="0" w:color="auto"/>
            </w:tcBorders>
            <w:vAlign w:val="center"/>
          </w:tcPr>
          <w:p w:rsidR="00A515E1" w:rsidRPr="00076CF8" w:rsidRDefault="00A515E1" w:rsidP="00B31AA0">
            <w:pPr>
              <w:spacing w:after="0" w:line="240" w:lineRule="auto"/>
              <w:jc w:val="both"/>
              <w:outlineLvl w:val="0"/>
              <w:rPr>
                <w:rFonts w:ascii="Sylfaen" w:eastAsia="Times New Roman" w:hAnsi="Sylfaen" w:cs="Times New Roman"/>
                <w:color w:val="000000"/>
                <w:sz w:val="16"/>
                <w:szCs w:val="16"/>
                <w:lang w:val="ka-GE" w:eastAsia="ru-RU"/>
              </w:rPr>
            </w:pPr>
            <w:r w:rsidRPr="00076CF8">
              <w:rPr>
                <w:rFonts w:ascii="Sylfaen" w:eastAsia="Times New Roman" w:hAnsi="Sylfaen" w:cs="Times New Roman"/>
                <w:color w:val="000000"/>
                <w:sz w:val="16"/>
                <w:szCs w:val="16"/>
                <w:lang w:val="ka-GE" w:eastAsia="ru-RU"/>
              </w:rPr>
              <w:t>218 დადგენილებაში შედინების შეწყვეტასთან დაკავშირებით</w:t>
            </w:r>
          </w:p>
        </w:tc>
      </w:tr>
      <w:tr w:rsidR="00A515E1" w:rsidRPr="00304A7E" w:rsidTr="00A515E1">
        <w:trPr>
          <w:trHeight w:val="300"/>
        </w:trPr>
        <w:tc>
          <w:tcPr>
            <w:tcW w:w="680" w:type="dxa"/>
            <w:vMerge/>
            <w:tcBorders>
              <w:top w:val="nil"/>
              <w:left w:val="single" w:sz="8" w:space="0" w:color="auto"/>
              <w:bottom w:val="single" w:sz="8" w:space="0" w:color="000000"/>
              <w:right w:val="single" w:sz="4" w:space="0" w:color="auto"/>
            </w:tcBorders>
            <w:vAlign w:val="center"/>
            <w:hideMark/>
          </w:tcPr>
          <w:p w:rsidR="00A515E1" w:rsidRPr="00304A7E" w:rsidRDefault="00A515E1" w:rsidP="00B31AA0">
            <w:pPr>
              <w:spacing w:after="0" w:line="240" w:lineRule="auto"/>
              <w:jc w:val="center"/>
              <w:rPr>
                <w:rFonts w:eastAsia="Times New Roman" w:cs="Calibri"/>
                <w:color w:val="000000"/>
                <w:sz w:val="16"/>
                <w:szCs w:val="16"/>
              </w:rPr>
            </w:pPr>
          </w:p>
        </w:tc>
        <w:tc>
          <w:tcPr>
            <w:tcW w:w="1260" w:type="dxa"/>
            <w:tcBorders>
              <w:top w:val="nil"/>
              <w:left w:val="nil"/>
              <w:bottom w:val="single" w:sz="4" w:space="0" w:color="auto"/>
              <w:right w:val="single" w:sz="4" w:space="0" w:color="auto"/>
            </w:tcBorders>
            <w:shd w:val="clear" w:color="auto" w:fill="auto"/>
            <w:noWrap/>
            <w:vAlign w:val="center"/>
            <w:hideMark/>
          </w:tcPr>
          <w:p w:rsidR="00A515E1" w:rsidRPr="00304A7E" w:rsidRDefault="00A515E1" w:rsidP="00B31AA0">
            <w:pPr>
              <w:spacing w:after="0" w:line="240" w:lineRule="auto"/>
              <w:rPr>
                <w:rFonts w:eastAsia="Times New Roman" w:cs="Calibri"/>
                <w:color w:val="000000"/>
                <w:sz w:val="16"/>
                <w:szCs w:val="16"/>
              </w:rPr>
            </w:pPr>
            <w:r w:rsidRPr="00304A7E">
              <w:rPr>
                <w:rFonts w:ascii="Sylfaen" w:eastAsia="Times New Roman" w:hAnsi="Sylfaen" w:cs="Sylfaen"/>
                <w:color w:val="000000"/>
                <w:sz w:val="16"/>
                <w:szCs w:val="16"/>
              </w:rPr>
              <w:t>მარტი</w:t>
            </w:r>
          </w:p>
        </w:tc>
        <w:tc>
          <w:tcPr>
            <w:tcW w:w="1233" w:type="dxa"/>
            <w:tcBorders>
              <w:top w:val="nil"/>
              <w:left w:val="nil"/>
              <w:bottom w:val="single" w:sz="4" w:space="0" w:color="auto"/>
              <w:right w:val="single" w:sz="4" w:space="0" w:color="auto"/>
            </w:tcBorders>
            <w:shd w:val="clear" w:color="auto" w:fill="auto"/>
            <w:noWrap/>
            <w:vAlign w:val="center"/>
            <w:hideMark/>
          </w:tcPr>
          <w:p w:rsidR="00A515E1" w:rsidRPr="00304A7E" w:rsidRDefault="00A515E1"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4,490,500.00</w:t>
            </w:r>
          </w:p>
        </w:tc>
        <w:tc>
          <w:tcPr>
            <w:tcW w:w="1418" w:type="dxa"/>
            <w:tcBorders>
              <w:top w:val="nil"/>
              <w:left w:val="nil"/>
              <w:bottom w:val="single" w:sz="4" w:space="0" w:color="auto"/>
              <w:right w:val="single" w:sz="4" w:space="0" w:color="auto"/>
            </w:tcBorders>
            <w:shd w:val="clear" w:color="auto" w:fill="auto"/>
            <w:noWrap/>
            <w:vAlign w:val="center"/>
            <w:hideMark/>
          </w:tcPr>
          <w:p w:rsidR="00A515E1" w:rsidRPr="00304A7E" w:rsidRDefault="00A515E1"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3,514,690.00</w:t>
            </w:r>
          </w:p>
        </w:tc>
        <w:tc>
          <w:tcPr>
            <w:tcW w:w="1262" w:type="dxa"/>
            <w:tcBorders>
              <w:top w:val="nil"/>
              <w:left w:val="nil"/>
              <w:bottom w:val="single" w:sz="4" w:space="0" w:color="auto"/>
              <w:right w:val="single" w:sz="4" w:space="0" w:color="auto"/>
            </w:tcBorders>
            <w:shd w:val="clear" w:color="auto" w:fill="auto"/>
            <w:noWrap/>
            <w:vAlign w:val="center"/>
            <w:hideMark/>
          </w:tcPr>
          <w:p w:rsidR="00A515E1" w:rsidRPr="00304A7E" w:rsidRDefault="00A515E1"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434,790</w:t>
            </w:r>
          </w:p>
        </w:tc>
        <w:tc>
          <w:tcPr>
            <w:tcW w:w="1262" w:type="dxa"/>
            <w:tcBorders>
              <w:top w:val="nil"/>
              <w:left w:val="nil"/>
              <w:bottom w:val="single" w:sz="4" w:space="0" w:color="auto"/>
              <w:right w:val="single" w:sz="4" w:space="0" w:color="auto"/>
            </w:tcBorders>
            <w:shd w:val="clear" w:color="auto" w:fill="auto"/>
            <w:noWrap/>
            <w:vAlign w:val="center"/>
            <w:hideMark/>
          </w:tcPr>
          <w:p w:rsidR="00A515E1" w:rsidRPr="00304A7E" w:rsidRDefault="00A515E1"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541,020</w:t>
            </w:r>
          </w:p>
        </w:tc>
        <w:tc>
          <w:tcPr>
            <w:tcW w:w="1201" w:type="dxa"/>
            <w:tcBorders>
              <w:top w:val="nil"/>
              <w:left w:val="nil"/>
              <w:bottom w:val="single" w:sz="4" w:space="0" w:color="auto"/>
              <w:right w:val="single" w:sz="4" w:space="0" w:color="auto"/>
            </w:tcBorders>
            <w:shd w:val="clear" w:color="auto" w:fill="auto"/>
            <w:noWrap/>
            <w:vAlign w:val="center"/>
            <w:hideMark/>
          </w:tcPr>
          <w:p w:rsidR="00A515E1" w:rsidRPr="00B31AA0" w:rsidRDefault="00A515E1"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975,810.00</w:t>
            </w:r>
          </w:p>
        </w:tc>
        <w:tc>
          <w:tcPr>
            <w:tcW w:w="1201" w:type="dxa"/>
            <w:tcBorders>
              <w:top w:val="nil"/>
              <w:left w:val="nil"/>
              <w:bottom w:val="single" w:sz="4" w:space="0" w:color="auto"/>
              <w:right w:val="single" w:sz="8" w:space="0" w:color="auto"/>
            </w:tcBorders>
            <w:shd w:val="clear" w:color="auto" w:fill="auto"/>
            <w:noWrap/>
            <w:vAlign w:val="center"/>
            <w:hideMark/>
          </w:tcPr>
          <w:p w:rsidR="00A515E1" w:rsidRPr="00B31AA0" w:rsidRDefault="00A515E1"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14,989.00</w:t>
            </w:r>
          </w:p>
        </w:tc>
        <w:tc>
          <w:tcPr>
            <w:tcW w:w="1208" w:type="dxa"/>
            <w:tcBorders>
              <w:top w:val="nil"/>
              <w:left w:val="nil"/>
              <w:bottom w:val="single" w:sz="4" w:space="0" w:color="auto"/>
              <w:right w:val="single" w:sz="8" w:space="0" w:color="auto"/>
            </w:tcBorders>
            <w:vAlign w:val="center"/>
          </w:tcPr>
          <w:p w:rsidR="00A515E1" w:rsidRPr="00B31AA0" w:rsidRDefault="00A515E1" w:rsidP="00C75CC9">
            <w:pPr>
              <w:jc w:val="right"/>
              <w:outlineLvl w:val="0"/>
              <w:rPr>
                <w:rFonts w:cs="Calibri"/>
                <w:color w:val="000000"/>
                <w:sz w:val="16"/>
                <w:szCs w:val="16"/>
              </w:rPr>
            </w:pPr>
            <w:r w:rsidRPr="00B31AA0">
              <w:rPr>
                <w:rFonts w:cs="Calibri"/>
                <w:color w:val="000000"/>
                <w:sz w:val="16"/>
                <w:szCs w:val="16"/>
              </w:rPr>
              <w:t>544</w:t>
            </w:r>
            <w:r>
              <w:rPr>
                <w:rFonts w:ascii="Sylfaen" w:hAnsi="Sylfaen" w:cs="Calibri"/>
                <w:color w:val="000000"/>
                <w:sz w:val="16"/>
                <w:szCs w:val="16"/>
                <w:lang w:val="ka-GE"/>
              </w:rPr>
              <w:t>,</w:t>
            </w:r>
            <w:r w:rsidRPr="00B31AA0">
              <w:rPr>
                <w:rFonts w:cs="Calibri"/>
                <w:color w:val="000000"/>
                <w:sz w:val="16"/>
                <w:szCs w:val="16"/>
              </w:rPr>
              <w:t>421</w:t>
            </w:r>
          </w:p>
        </w:tc>
        <w:tc>
          <w:tcPr>
            <w:tcW w:w="2700" w:type="dxa"/>
            <w:vMerge/>
            <w:tcBorders>
              <w:left w:val="nil"/>
              <w:bottom w:val="single" w:sz="4" w:space="0" w:color="auto"/>
              <w:right w:val="single" w:sz="8" w:space="0" w:color="auto"/>
            </w:tcBorders>
            <w:vAlign w:val="center"/>
          </w:tcPr>
          <w:p w:rsidR="00A515E1" w:rsidRPr="00076CF8" w:rsidRDefault="00A515E1" w:rsidP="00B31AA0">
            <w:pPr>
              <w:spacing w:after="0" w:line="240" w:lineRule="auto"/>
              <w:jc w:val="both"/>
              <w:outlineLvl w:val="0"/>
              <w:rPr>
                <w:rFonts w:eastAsia="Times New Roman" w:cs="Times New Roman"/>
                <w:color w:val="000000"/>
                <w:sz w:val="16"/>
                <w:szCs w:val="16"/>
                <w:lang w:val="ru-RU" w:eastAsia="ru-RU"/>
              </w:rPr>
            </w:pPr>
          </w:p>
        </w:tc>
      </w:tr>
      <w:tr w:rsidR="00B31AA0" w:rsidRPr="00304A7E" w:rsidTr="00A515E1">
        <w:trPr>
          <w:trHeight w:val="300"/>
        </w:trPr>
        <w:tc>
          <w:tcPr>
            <w:tcW w:w="680" w:type="dxa"/>
            <w:vMerge/>
            <w:tcBorders>
              <w:top w:val="nil"/>
              <w:left w:val="single" w:sz="8" w:space="0" w:color="auto"/>
              <w:bottom w:val="single" w:sz="8" w:space="0" w:color="000000"/>
              <w:right w:val="single" w:sz="4" w:space="0" w:color="auto"/>
            </w:tcBorders>
            <w:vAlign w:val="center"/>
            <w:hideMark/>
          </w:tcPr>
          <w:p w:rsidR="00B31AA0" w:rsidRPr="00304A7E" w:rsidRDefault="00B31AA0" w:rsidP="00B31AA0">
            <w:pPr>
              <w:spacing w:after="0" w:line="240" w:lineRule="auto"/>
              <w:jc w:val="center"/>
              <w:rPr>
                <w:rFonts w:eastAsia="Times New Roman" w:cs="Calibri"/>
                <w:color w:val="000000"/>
                <w:sz w:val="16"/>
                <w:szCs w:val="16"/>
              </w:rPr>
            </w:pPr>
          </w:p>
        </w:tc>
        <w:tc>
          <w:tcPr>
            <w:tcW w:w="1260" w:type="dxa"/>
            <w:tcBorders>
              <w:top w:val="nil"/>
              <w:left w:val="nil"/>
              <w:bottom w:val="single" w:sz="4" w:space="0" w:color="auto"/>
              <w:right w:val="single" w:sz="4" w:space="0" w:color="auto"/>
            </w:tcBorders>
            <w:shd w:val="clear" w:color="auto" w:fill="auto"/>
            <w:noWrap/>
            <w:vAlign w:val="center"/>
            <w:hideMark/>
          </w:tcPr>
          <w:p w:rsidR="00B31AA0" w:rsidRPr="00304A7E" w:rsidRDefault="00B31AA0" w:rsidP="00B31AA0">
            <w:pPr>
              <w:spacing w:after="0" w:line="240" w:lineRule="auto"/>
              <w:rPr>
                <w:rFonts w:eastAsia="Times New Roman" w:cs="Calibri"/>
                <w:color w:val="000000"/>
                <w:sz w:val="16"/>
                <w:szCs w:val="16"/>
              </w:rPr>
            </w:pPr>
            <w:r w:rsidRPr="00304A7E">
              <w:rPr>
                <w:rFonts w:ascii="Sylfaen" w:eastAsia="Times New Roman" w:hAnsi="Sylfaen" w:cs="Sylfaen"/>
                <w:color w:val="000000"/>
                <w:sz w:val="16"/>
                <w:szCs w:val="16"/>
              </w:rPr>
              <w:t>აპრილი</w:t>
            </w:r>
          </w:p>
        </w:tc>
        <w:tc>
          <w:tcPr>
            <w:tcW w:w="1233" w:type="dxa"/>
            <w:tcBorders>
              <w:top w:val="nil"/>
              <w:left w:val="nil"/>
              <w:bottom w:val="single" w:sz="4" w:space="0" w:color="auto"/>
              <w:right w:val="single" w:sz="4" w:space="0" w:color="auto"/>
            </w:tcBorders>
            <w:shd w:val="clear" w:color="auto" w:fill="auto"/>
            <w:noWrap/>
            <w:vAlign w:val="center"/>
            <w:hideMark/>
          </w:tcPr>
          <w:p w:rsidR="00B31AA0" w:rsidRPr="00304A7E" w:rsidRDefault="00B31AA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4,490,500.00</w:t>
            </w:r>
          </w:p>
        </w:tc>
        <w:tc>
          <w:tcPr>
            <w:tcW w:w="1418" w:type="dxa"/>
            <w:tcBorders>
              <w:top w:val="nil"/>
              <w:left w:val="nil"/>
              <w:bottom w:val="single" w:sz="4" w:space="0" w:color="auto"/>
              <w:right w:val="single" w:sz="4" w:space="0" w:color="auto"/>
            </w:tcBorders>
            <w:shd w:val="clear" w:color="auto" w:fill="auto"/>
            <w:noWrap/>
            <w:vAlign w:val="center"/>
            <w:hideMark/>
          </w:tcPr>
          <w:p w:rsidR="00B31AA0" w:rsidRPr="00304A7E" w:rsidRDefault="00B31AA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3,929,285.00</w:t>
            </w:r>
          </w:p>
        </w:tc>
        <w:tc>
          <w:tcPr>
            <w:tcW w:w="1262" w:type="dxa"/>
            <w:tcBorders>
              <w:top w:val="nil"/>
              <w:left w:val="nil"/>
              <w:bottom w:val="single" w:sz="4" w:space="0" w:color="auto"/>
              <w:right w:val="single" w:sz="4" w:space="0" w:color="auto"/>
            </w:tcBorders>
            <w:shd w:val="clear" w:color="auto" w:fill="auto"/>
            <w:noWrap/>
            <w:vAlign w:val="center"/>
            <w:hideMark/>
          </w:tcPr>
          <w:p w:rsidR="00B31AA0" w:rsidRPr="00304A7E" w:rsidRDefault="00B31AA0" w:rsidP="00B31AA0">
            <w:pPr>
              <w:spacing w:after="0" w:line="240" w:lineRule="auto"/>
              <w:jc w:val="center"/>
              <w:rPr>
                <w:rFonts w:eastAsia="Times New Roman" w:cs="Calibri"/>
                <w:color w:val="000000"/>
                <w:sz w:val="16"/>
                <w:szCs w:val="16"/>
              </w:rPr>
            </w:pPr>
          </w:p>
        </w:tc>
        <w:tc>
          <w:tcPr>
            <w:tcW w:w="1262" w:type="dxa"/>
            <w:tcBorders>
              <w:top w:val="nil"/>
              <w:left w:val="nil"/>
              <w:bottom w:val="single" w:sz="4" w:space="0" w:color="auto"/>
              <w:right w:val="single" w:sz="4" w:space="0" w:color="auto"/>
            </w:tcBorders>
            <w:shd w:val="clear" w:color="auto" w:fill="auto"/>
            <w:noWrap/>
            <w:vAlign w:val="center"/>
            <w:hideMark/>
          </w:tcPr>
          <w:p w:rsidR="00B31AA0" w:rsidRPr="00304A7E" w:rsidRDefault="00B31AA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561,215</w:t>
            </w:r>
          </w:p>
        </w:tc>
        <w:tc>
          <w:tcPr>
            <w:tcW w:w="1201" w:type="dxa"/>
            <w:tcBorders>
              <w:top w:val="nil"/>
              <w:left w:val="nil"/>
              <w:bottom w:val="single" w:sz="4" w:space="0" w:color="auto"/>
              <w:right w:val="single" w:sz="4" w:space="0" w:color="auto"/>
            </w:tcBorders>
            <w:shd w:val="clear" w:color="auto" w:fill="auto"/>
            <w:noWrap/>
            <w:vAlign w:val="center"/>
            <w:hideMark/>
          </w:tcPr>
          <w:p w:rsidR="00B31AA0" w:rsidRPr="00B31AA0" w:rsidRDefault="00B31AA0"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561,215.00</w:t>
            </w:r>
          </w:p>
        </w:tc>
        <w:tc>
          <w:tcPr>
            <w:tcW w:w="1201" w:type="dxa"/>
            <w:tcBorders>
              <w:top w:val="nil"/>
              <w:left w:val="nil"/>
              <w:bottom w:val="single" w:sz="4" w:space="0" w:color="auto"/>
              <w:right w:val="single" w:sz="8" w:space="0" w:color="auto"/>
            </w:tcBorders>
            <w:shd w:val="clear" w:color="000000" w:fill="C5D9F1"/>
            <w:noWrap/>
            <w:vAlign w:val="center"/>
            <w:hideMark/>
          </w:tcPr>
          <w:p w:rsidR="00B31AA0" w:rsidRPr="00B31AA0" w:rsidRDefault="00B31AA0"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414,595.00</w:t>
            </w:r>
          </w:p>
        </w:tc>
        <w:tc>
          <w:tcPr>
            <w:tcW w:w="1208" w:type="dxa"/>
            <w:tcBorders>
              <w:top w:val="nil"/>
              <w:left w:val="nil"/>
              <w:bottom w:val="single" w:sz="4" w:space="0" w:color="auto"/>
              <w:right w:val="single" w:sz="8" w:space="0" w:color="auto"/>
            </w:tcBorders>
            <w:shd w:val="clear" w:color="auto" w:fill="auto"/>
            <w:vAlign w:val="center"/>
          </w:tcPr>
          <w:p w:rsidR="00B31AA0" w:rsidRPr="00B31AA0" w:rsidRDefault="00B31AA0" w:rsidP="00C75CC9">
            <w:pPr>
              <w:jc w:val="right"/>
              <w:outlineLvl w:val="0"/>
              <w:rPr>
                <w:rFonts w:cs="Calibri"/>
                <w:color w:val="000000"/>
                <w:sz w:val="16"/>
                <w:szCs w:val="16"/>
              </w:rPr>
            </w:pPr>
            <w:r w:rsidRPr="00B31AA0">
              <w:rPr>
                <w:rFonts w:cs="Calibri"/>
                <w:color w:val="000000"/>
                <w:sz w:val="16"/>
                <w:szCs w:val="16"/>
              </w:rPr>
              <w:t>627</w:t>
            </w:r>
            <w:r>
              <w:rPr>
                <w:rFonts w:ascii="Sylfaen" w:hAnsi="Sylfaen" w:cs="Calibri"/>
                <w:color w:val="000000"/>
                <w:sz w:val="16"/>
                <w:szCs w:val="16"/>
                <w:lang w:val="ka-GE"/>
              </w:rPr>
              <w:t>,</w:t>
            </w:r>
            <w:r w:rsidRPr="00B31AA0">
              <w:rPr>
                <w:rFonts w:cs="Calibri"/>
                <w:color w:val="000000"/>
                <w:sz w:val="16"/>
                <w:szCs w:val="16"/>
              </w:rPr>
              <w:t>133</w:t>
            </w:r>
          </w:p>
        </w:tc>
        <w:tc>
          <w:tcPr>
            <w:tcW w:w="2700" w:type="dxa"/>
            <w:tcBorders>
              <w:top w:val="nil"/>
              <w:left w:val="nil"/>
              <w:bottom w:val="single" w:sz="4" w:space="0" w:color="auto"/>
              <w:right w:val="single" w:sz="8" w:space="0" w:color="auto"/>
            </w:tcBorders>
            <w:shd w:val="clear" w:color="auto" w:fill="auto"/>
            <w:vAlign w:val="center"/>
          </w:tcPr>
          <w:p w:rsidR="00B31AA0" w:rsidRPr="00076CF8" w:rsidRDefault="00A515E1" w:rsidP="00B31AA0">
            <w:pPr>
              <w:spacing w:after="0" w:line="240" w:lineRule="auto"/>
              <w:jc w:val="both"/>
              <w:outlineLvl w:val="0"/>
              <w:rPr>
                <w:rFonts w:ascii="Sylfaen" w:eastAsia="Times New Roman" w:hAnsi="Sylfaen" w:cs="Times New Roman"/>
                <w:color w:val="000000"/>
                <w:sz w:val="16"/>
                <w:szCs w:val="16"/>
                <w:lang w:val="ka-GE" w:eastAsia="ru-RU"/>
              </w:rPr>
            </w:pPr>
            <w:r>
              <w:rPr>
                <w:rFonts w:ascii="Sylfaen" w:eastAsia="Times New Roman" w:hAnsi="Sylfaen" w:cs="Times New Roman"/>
                <w:color w:val="000000"/>
                <w:sz w:val="16"/>
                <w:szCs w:val="16"/>
                <w:lang w:val="ka-GE" w:eastAsia="ru-RU"/>
              </w:rPr>
              <w:t xml:space="preserve">218 დადგენილებით დამტკიცებული პროგრამის შეწყვეტასთან დაკავსირებით </w:t>
            </w:r>
            <w:r w:rsidR="00B31AA0" w:rsidRPr="00B0223F">
              <w:rPr>
                <w:rFonts w:ascii="Sylfaen" w:eastAsia="Times New Roman" w:hAnsi="Sylfaen" w:cs="Times New Roman"/>
                <w:color w:val="000000"/>
                <w:sz w:val="16"/>
                <w:szCs w:val="16"/>
                <w:lang w:val="ka-GE" w:eastAsia="ru-RU"/>
              </w:rPr>
              <w:t>2014 წლის 1 აპრილიდან</w:t>
            </w:r>
            <w:r>
              <w:rPr>
                <w:rFonts w:ascii="Sylfaen" w:eastAsia="Times New Roman" w:hAnsi="Sylfaen" w:cs="Times New Roman"/>
                <w:color w:val="000000"/>
                <w:sz w:val="16"/>
                <w:szCs w:val="16"/>
                <w:lang w:val="ka-GE" w:eastAsia="ru-RU"/>
              </w:rPr>
              <w:t>,</w:t>
            </w:r>
            <w:r w:rsidR="00B31AA0" w:rsidRPr="00B0223F">
              <w:rPr>
                <w:rFonts w:ascii="Sylfaen" w:eastAsia="Times New Roman" w:hAnsi="Sylfaen" w:cs="Times New Roman"/>
                <w:color w:val="000000"/>
                <w:sz w:val="16"/>
                <w:szCs w:val="16"/>
                <w:lang w:val="ka-GE" w:eastAsia="ru-RU"/>
              </w:rPr>
              <w:t xml:space="preserve"> საყოველთაო ჯანდაცვაში ი</w:t>
            </w:r>
            <w:r w:rsidR="00B31AA0">
              <w:rPr>
                <w:rFonts w:ascii="Sylfaen" w:eastAsia="Times New Roman" w:hAnsi="Sylfaen" w:cs="Times New Roman"/>
                <w:color w:val="000000"/>
                <w:sz w:val="16"/>
                <w:szCs w:val="16"/>
                <w:lang w:val="ka-GE" w:eastAsia="ru-RU"/>
              </w:rPr>
              <w:t>ნტეგრირდა 415 ათასამდე ადამიანი</w:t>
            </w:r>
          </w:p>
        </w:tc>
      </w:tr>
      <w:tr w:rsidR="00B31AA0" w:rsidRPr="00304A7E" w:rsidTr="00763734">
        <w:trPr>
          <w:trHeight w:val="300"/>
        </w:trPr>
        <w:tc>
          <w:tcPr>
            <w:tcW w:w="680" w:type="dxa"/>
            <w:vMerge/>
            <w:tcBorders>
              <w:top w:val="nil"/>
              <w:left w:val="single" w:sz="8" w:space="0" w:color="auto"/>
              <w:bottom w:val="nil"/>
              <w:right w:val="single" w:sz="4" w:space="0" w:color="auto"/>
            </w:tcBorders>
            <w:vAlign w:val="center"/>
            <w:hideMark/>
          </w:tcPr>
          <w:p w:rsidR="00B31AA0" w:rsidRPr="00304A7E" w:rsidRDefault="00B31AA0" w:rsidP="00B31AA0">
            <w:pPr>
              <w:spacing w:after="0" w:line="240" w:lineRule="auto"/>
              <w:jc w:val="center"/>
              <w:rPr>
                <w:rFonts w:eastAsia="Times New Roman" w:cs="Calibri"/>
                <w:color w:val="000000"/>
                <w:sz w:val="16"/>
                <w:szCs w:val="16"/>
              </w:rPr>
            </w:pPr>
          </w:p>
        </w:tc>
        <w:tc>
          <w:tcPr>
            <w:tcW w:w="1260" w:type="dxa"/>
            <w:tcBorders>
              <w:top w:val="nil"/>
              <w:left w:val="nil"/>
              <w:bottom w:val="nil"/>
              <w:right w:val="single" w:sz="4" w:space="0" w:color="auto"/>
            </w:tcBorders>
            <w:shd w:val="clear" w:color="auto" w:fill="auto"/>
            <w:noWrap/>
            <w:vAlign w:val="center"/>
            <w:hideMark/>
          </w:tcPr>
          <w:p w:rsidR="00B31AA0" w:rsidRPr="00304A7E" w:rsidRDefault="00B31AA0" w:rsidP="00B31AA0">
            <w:pPr>
              <w:spacing w:after="0" w:line="240" w:lineRule="auto"/>
              <w:rPr>
                <w:rFonts w:eastAsia="Times New Roman" w:cs="Calibri"/>
                <w:color w:val="000000"/>
                <w:sz w:val="16"/>
                <w:szCs w:val="16"/>
              </w:rPr>
            </w:pPr>
            <w:r w:rsidRPr="00304A7E">
              <w:rPr>
                <w:rFonts w:ascii="Sylfaen" w:eastAsia="Times New Roman" w:hAnsi="Sylfaen" w:cs="Sylfaen"/>
                <w:color w:val="000000"/>
                <w:sz w:val="16"/>
                <w:szCs w:val="16"/>
              </w:rPr>
              <w:t>მაისი</w:t>
            </w:r>
          </w:p>
        </w:tc>
        <w:tc>
          <w:tcPr>
            <w:tcW w:w="1233" w:type="dxa"/>
            <w:tcBorders>
              <w:top w:val="nil"/>
              <w:left w:val="nil"/>
              <w:bottom w:val="nil"/>
              <w:right w:val="single" w:sz="4" w:space="0" w:color="auto"/>
            </w:tcBorders>
            <w:shd w:val="clear" w:color="auto" w:fill="auto"/>
            <w:noWrap/>
            <w:vAlign w:val="center"/>
            <w:hideMark/>
          </w:tcPr>
          <w:p w:rsidR="00B31AA0" w:rsidRPr="00304A7E" w:rsidRDefault="00B31AA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4,490,500.00</w:t>
            </w:r>
          </w:p>
        </w:tc>
        <w:tc>
          <w:tcPr>
            <w:tcW w:w="1418" w:type="dxa"/>
            <w:tcBorders>
              <w:top w:val="nil"/>
              <w:left w:val="nil"/>
              <w:bottom w:val="nil"/>
              <w:right w:val="single" w:sz="4" w:space="0" w:color="auto"/>
            </w:tcBorders>
            <w:shd w:val="clear" w:color="auto" w:fill="auto"/>
            <w:noWrap/>
            <w:vAlign w:val="center"/>
            <w:hideMark/>
          </w:tcPr>
          <w:p w:rsidR="00B31AA0" w:rsidRPr="00304A7E" w:rsidRDefault="00B31AA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3,929,594.00</w:t>
            </w:r>
          </w:p>
        </w:tc>
        <w:tc>
          <w:tcPr>
            <w:tcW w:w="1262" w:type="dxa"/>
            <w:tcBorders>
              <w:top w:val="nil"/>
              <w:left w:val="nil"/>
              <w:bottom w:val="nil"/>
              <w:right w:val="single" w:sz="4" w:space="0" w:color="auto"/>
            </w:tcBorders>
            <w:shd w:val="clear" w:color="auto" w:fill="auto"/>
            <w:noWrap/>
            <w:vAlign w:val="center"/>
            <w:hideMark/>
          </w:tcPr>
          <w:p w:rsidR="00B31AA0" w:rsidRPr="008C541B" w:rsidRDefault="00B31AA0" w:rsidP="00B31AA0">
            <w:pPr>
              <w:spacing w:after="0" w:line="240" w:lineRule="auto"/>
              <w:jc w:val="center"/>
              <w:rPr>
                <w:rFonts w:ascii="Sylfaen" w:eastAsia="Times New Roman" w:hAnsi="Sylfaen" w:cs="Calibri"/>
                <w:color w:val="000000"/>
                <w:sz w:val="16"/>
                <w:szCs w:val="16"/>
                <w:lang w:val="ka-GE"/>
              </w:rPr>
            </w:pPr>
          </w:p>
        </w:tc>
        <w:tc>
          <w:tcPr>
            <w:tcW w:w="1262" w:type="dxa"/>
            <w:tcBorders>
              <w:top w:val="nil"/>
              <w:left w:val="nil"/>
              <w:bottom w:val="nil"/>
              <w:right w:val="single" w:sz="4" w:space="0" w:color="auto"/>
            </w:tcBorders>
            <w:shd w:val="clear" w:color="auto" w:fill="auto"/>
            <w:noWrap/>
            <w:vAlign w:val="center"/>
            <w:hideMark/>
          </w:tcPr>
          <w:p w:rsidR="00B31AA0" w:rsidRPr="00304A7E" w:rsidRDefault="00B31AA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560,906</w:t>
            </w:r>
          </w:p>
        </w:tc>
        <w:tc>
          <w:tcPr>
            <w:tcW w:w="1201" w:type="dxa"/>
            <w:tcBorders>
              <w:top w:val="nil"/>
              <w:left w:val="nil"/>
              <w:bottom w:val="nil"/>
              <w:right w:val="single" w:sz="4" w:space="0" w:color="auto"/>
            </w:tcBorders>
            <w:shd w:val="clear" w:color="auto" w:fill="auto"/>
            <w:noWrap/>
            <w:vAlign w:val="center"/>
            <w:hideMark/>
          </w:tcPr>
          <w:p w:rsidR="00B31AA0" w:rsidRPr="00B31AA0" w:rsidRDefault="00B31AA0"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560,906.00</w:t>
            </w:r>
          </w:p>
        </w:tc>
        <w:tc>
          <w:tcPr>
            <w:tcW w:w="1201" w:type="dxa"/>
            <w:tcBorders>
              <w:top w:val="nil"/>
              <w:left w:val="nil"/>
              <w:bottom w:val="nil"/>
              <w:right w:val="single" w:sz="8" w:space="0" w:color="auto"/>
            </w:tcBorders>
            <w:shd w:val="clear" w:color="auto" w:fill="auto"/>
            <w:noWrap/>
            <w:vAlign w:val="center"/>
            <w:hideMark/>
          </w:tcPr>
          <w:p w:rsidR="00B31AA0" w:rsidRPr="00B31AA0" w:rsidRDefault="00B31AA0"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309.00</w:t>
            </w:r>
          </w:p>
        </w:tc>
        <w:tc>
          <w:tcPr>
            <w:tcW w:w="1208" w:type="dxa"/>
            <w:tcBorders>
              <w:top w:val="nil"/>
              <w:left w:val="nil"/>
              <w:bottom w:val="nil"/>
              <w:right w:val="single" w:sz="8" w:space="0" w:color="auto"/>
            </w:tcBorders>
            <w:shd w:val="clear" w:color="auto" w:fill="auto"/>
            <w:vAlign w:val="center"/>
          </w:tcPr>
          <w:p w:rsidR="00B31AA0" w:rsidRPr="00B31AA0" w:rsidRDefault="00B31AA0" w:rsidP="00C75CC9">
            <w:pPr>
              <w:jc w:val="right"/>
              <w:outlineLvl w:val="0"/>
              <w:rPr>
                <w:rFonts w:ascii="Sylfaen" w:hAnsi="Sylfaen" w:cs="Calibri"/>
                <w:color w:val="000000"/>
                <w:sz w:val="16"/>
                <w:szCs w:val="16"/>
                <w:lang w:val="ka-GE"/>
              </w:rPr>
            </w:pPr>
            <w:r>
              <w:rPr>
                <w:rFonts w:cs="Calibri"/>
                <w:color w:val="000000"/>
                <w:sz w:val="16"/>
                <w:szCs w:val="16"/>
              </w:rPr>
              <w:t>680</w:t>
            </w:r>
            <w:r>
              <w:rPr>
                <w:rFonts w:ascii="Sylfaen" w:hAnsi="Sylfaen" w:cs="Calibri"/>
                <w:color w:val="000000"/>
                <w:sz w:val="16"/>
                <w:szCs w:val="16"/>
                <w:lang w:val="ka-GE"/>
              </w:rPr>
              <w:t>,</w:t>
            </w:r>
            <w:r w:rsidRPr="00B31AA0">
              <w:rPr>
                <w:rFonts w:cs="Calibri"/>
                <w:color w:val="000000"/>
                <w:sz w:val="16"/>
                <w:szCs w:val="16"/>
              </w:rPr>
              <w:t>176</w:t>
            </w:r>
          </w:p>
        </w:tc>
        <w:tc>
          <w:tcPr>
            <w:tcW w:w="2700" w:type="dxa"/>
            <w:tcBorders>
              <w:top w:val="nil"/>
              <w:left w:val="nil"/>
              <w:bottom w:val="nil"/>
              <w:right w:val="single" w:sz="8" w:space="0" w:color="auto"/>
            </w:tcBorders>
            <w:shd w:val="clear" w:color="auto" w:fill="auto"/>
            <w:vAlign w:val="center"/>
          </w:tcPr>
          <w:p w:rsidR="00B31AA0" w:rsidRPr="00076CF8" w:rsidRDefault="00B31AA0" w:rsidP="006C609F">
            <w:pPr>
              <w:spacing w:after="0" w:line="240" w:lineRule="auto"/>
              <w:jc w:val="both"/>
              <w:outlineLvl w:val="0"/>
              <w:rPr>
                <w:rFonts w:ascii="Sylfaen" w:eastAsia="Times New Roman" w:hAnsi="Sylfaen" w:cs="Times New Roman"/>
                <w:color w:val="000000"/>
                <w:sz w:val="16"/>
                <w:szCs w:val="16"/>
                <w:lang w:val="ka-GE" w:eastAsia="ru-RU"/>
              </w:rPr>
            </w:pPr>
            <w:r w:rsidRPr="00076CF8">
              <w:rPr>
                <w:rFonts w:ascii="Sylfaen" w:eastAsia="Times New Roman" w:hAnsi="Sylfaen" w:cs="Times New Roman"/>
                <w:color w:val="000000"/>
                <w:sz w:val="16"/>
                <w:szCs w:val="16"/>
                <w:lang w:val="ka-GE" w:eastAsia="ru-RU"/>
              </w:rPr>
              <w:t>პროგრამის მოსარგებლეები 1 მლნ–ით აღემატება 2013 წლის დეკემბრის თვეში პროგრამის მოსარგებლეების რაოდენობას</w:t>
            </w:r>
            <w:r w:rsidRPr="00076CF8">
              <w:rPr>
                <w:rFonts w:ascii="Sylfaen" w:eastAsia="Times New Roman" w:hAnsi="Sylfaen" w:cs="Times New Roman"/>
                <w:color w:val="000000"/>
                <w:sz w:val="16"/>
                <w:szCs w:val="16"/>
                <w:lang w:eastAsia="ru-RU"/>
              </w:rPr>
              <w:t xml:space="preserve"> </w:t>
            </w:r>
          </w:p>
        </w:tc>
      </w:tr>
      <w:tr w:rsidR="00763734" w:rsidRPr="00304A7E" w:rsidTr="00763734">
        <w:trPr>
          <w:trHeight w:val="300"/>
        </w:trPr>
        <w:tc>
          <w:tcPr>
            <w:tcW w:w="680" w:type="dxa"/>
            <w:tcBorders>
              <w:top w:val="nil"/>
              <w:left w:val="single" w:sz="8" w:space="0" w:color="auto"/>
              <w:bottom w:val="nil"/>
              <w:right w:val="single" w:sz="4" w:space="0" w:color="auto"/>
            </w:tcBorders>
            <w:vAlign w:val="center"/>
            <w:hideMark/>
          </w:tcPr>
          <w:p w:rsidR="00763734" w:rsidRPr="00304A7E" w:rsidRDefault="00763734" w:rsidP="00B31AA0">
            <w:pPr>
              <w:spacing w:after="0" w:line="240" w:lineRule="auto"/>
              <w:jc w:val="center"/>
              <w:rPr>
                <w:rFonts w:eastAsia="Times New Roman" w:cs="Calibri"/>
                <w:color w:val="000000"/>
                <w:sz w:val="16"/>
                <w:szCs w:val="16"/>
              </w:rPr>
            </w:pPr>
          </w:p>
        </w:tc>
        <w:tc>
          <w:tcPr>
            <w:tcW w:w="1260" w:type="dxa"/>
            <w:tcBorders>
              <w:top w:val="nil"/>
              <w:left w:val="nil"/>
              <w:bottom w:val="nil"/>
              <w:right w:val="single" w:sz="4" w:space="0" w:color="auto"/>
            </w:tcBorders>
            <w:shd w:val="clear" w:color="auto" w:fill="auto"/>
            <w:noWrap/>
            <w:vAlign w:val="center"/>
            <w:hideMark/>
          </w:tcPr>
          <w:p w:rsidR="00763734" w:rsidRPr="00763734" w:rsidRDefault="00763734" w:rsidP="00B31AA0">
            <w:pPr>
              <w:spacing w:after="0" w:line="240" w:lineRule="auto"/>
              <w:rPr>
                <w:rFonts w:ascii="Sylfaen" w:eastAsia="Times New Roman" w:hAnsi="Sylfaen" w:cs="Sylfaen"/>
                <w:color w:val="000000"/>
                <w:sz w:val="16"/>
                <w:szCs w:val="16"/>
                <w:lang w:val="ka-GE"/>
              </w:rPr>
            </w:pPr>
            <w:r>
              <w:rPr>
                <w:rFonts w:ascii="Sylfaen" w:eastAsia="Times New Roman" w:hAnsi="Sylfaen" w:cs="Sylfaen"/>
                <w:color w:val="000000"/>
                <w:sz w:val="16"/>
                <w:szCs w:val="16"/>
                <w:lang w:val="ka-GE"/>
              </w:rPr>
              <w:t>ივნისი</w:t>
            </w:r>
          </w:p>
        </w:tc>
        <w:tc>
          <w:tcPr>
            <w:tcW w:w="1233" w:type="dxa"/>
            <w:tcBorders>
              <w:top w:val="nil"/>
              <w:left w:val="nil"/>
              <w:bottom w:val="nil"/>
              <w:right w:val="single" w:sz="4" w:space="0" w:color="auto"/>
            </w:tcBorders>
            <w:shd w:val="clear" w:color="auto" w:fill="auto"/>
            <w:noWrap/>
            <w:vAlign w:val="center"/>
            <w:hideMark/>
          </w:tcPr>
          <w:p w:rsidR="00763734" w:rsidRPr="00CE0991" w:rsidRDefault="00CE0991" w:rsidP="00B31AA0">
            <w:pPr>
              <w:spacing w:after="0" w:line="240" w:lineRule="auto"/>
              <w:jc w:val="center"/>
              <w:rPr>
                <w:rFonts w:ascii="Sylfaen" w:eastAsia="Times New Roman" w:hAnsi="Sylfaen" w:cs="Calibri"/>
                <w:color w:val="000000"/>
                <w:sz w:val="16"/>
                <w:szCs w:val="16"/>
                <w:lang w:val="ka-GE"/>
              </w:rPr>
            </w:pPr>
            <w:r w:rsidRPr="00304A7E">
              <w:rPr>
                <w:rFonts w:eastAsia="Times New Roman" w:cs="Calibri"/>
                <w:color w:val="000000"/>
                <w:sz w:val="16"/>
                <w:szCs w:val="16"/>
              </w:rPr>
              <w:t>4,490,500.00</w:t>
            </w:r>
          </w:p>
        </w:tc>
        <w:tc>
          <w:tcPr>
            <w:tcW w:w="1418" w:type="dxa"/>
            <w:tcBorders>
              <w:top w:val="nil"/>
              <w:left w:val="nil"/>
              <w:bottom w:val="nil"/>
              <w:right w:val="single" w:sz="4" w:space="0" w:color="auto"/>
            </w:tcBorders>
            <w:shd w:val="clear" w:color="auto" w:fill="auto"/>
            <w:noWrap/>
            <w:vAlign w:val="center"/>
            <w:hideMark/>
          </w:tcPr>
          <w:p w:rsidR="00763734" w:rsidRPr="00CE0991" w:rsidRDefault="00CE0991" w:rsidP="00B31AA0">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3948075,00</w:t>
            </w:r>
          </w:p>
        </w:tc>
        <w:tc>
          <w:tcPr>
            <w:tcW w:w="1262" w:type="dxa"/>
            <w:tcBorders>
              <w:top w:val="nil"/>
              <w:left w:val="nil"/>
              <w:bottom w:val="nil"/>
              <w:right w:val="single" w:sz="4" w:space="0" w:color="auto"/>
            </w:tcBorders>
            <w:shd w:val="clear" w:color="auto" w:fill="auto"/>
            <w:noWrap/>
            <w:vAlign w:val="center"/>
            <w:hideMark/>
          </w:tcPr>
          <w:p w:rsidR="00763734" w:rsidRPr="008C541B" w:rsidRDefault="00763734" w:rsidP="00B31AA0">
            <w:pPr>
              <w:spacing w:after="0" w:line="240" w:lineRule="auto"/>
              <w:jc w:val="center"/>
              <w:rPr>
                <w:rFonts w:ascii="Sylfaen" w:eastAsia="Times New Roman" w:hAnsi="Sylfaen" w:cs="Calibri"/>
                <w:color w:val="000000"/>
                <w:sz w:val="16"/>
                <w:szCs w:val="16"/>
                <w:lang w:val="ka-GE"/>
              </w:rPr>
            </w:pPr>
          </w:p>
        </w:tc>
        <w:tc>
          <w:tcPr>
            <w:tcW w:w="1262" w:type="dxa"/>
            <w:tcBorders>
              <w:top w:val="nil"/>
              <w:left w:val="nil"/>
              <w:bottom w:val="nil"/>
              <w:right w:val="single" w:sz="4" w:space="0" w:color="auto"/>
            </w:tcBorders>
            <w:shd w:val="clear" w:color="auto" w:fill="auto"/>
            <w:noWrap/>
            <w:vAlign w:val="center"/>
            <w:hideMark/>
          </w:tcPr>
          <w:p w:rsidR="00763734" w:rsidRPr="00CE0991" w:rsidRDefault="00CE0991" w:rsidP="00B31AA0">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542425</w:t>
            </w:r>
          </w:p>
        </w:tc>
        <w:tc>
          <w:tcPr>
            <w:tcW w:w="1201" w:type="dxa"/>
            <w:tcBorders>
              <w:top w:val="nil"/>
              <w:left w:val="nil"/>
              <w:bottom w:val="nil"/>
              <w:right w:val="single" w:sz="4" w:space="0" w:color="auto"/>
            </w:tcBorders>
            <w:shd w:val="clear" w:color="auto" w:fill="auto"/>
            <w:noWrap/>
            <w:vAlign w:val="center"/>
            <w:hideMark/>
          </w:tcPr>
          <w:p w:rsidR="00763734" w:rsidRPr="00B31AA0" w:rsidRDefault="00CE0991" w:rsidP="00B31AA0">
            <w:pPr>
              <w:spacing w:after="0" w:line="240" w:lineRule="auto"/>
              <w:jc w:val="center"/>
              <w:rPr>
                <w:rFonts w:eastAsia="Times New Roman" w:cs="Calibri"/>
                <w:color w:val="000000"/>
                <w:sz w:val="16"/>
                <w:szCs w:val="16"/>
              </w:rPr>
            </w:pPr>
            <w:r>
              <w:rPr>
                <w:rFonts w:ascii="Sylfaen" w:eastAsia="Times New Roman" w:hAnsi="Sylfaen" w:cs="Calibri"/>
                <w:color w:val="000000"/>
                <w:sz w:val="16"/>
                <w:szCs w:val="16"/>
                <w:lang w:val="ka-GE"/>
              </w:rPr>
              <w:t>542425</w:t>
            </w:r>
          </w:p>
        </w:tc>
        <w:tc>
          <w:tcPr>
            <w:tcW w:w="1201" w:type="dxa"/>
            <w:tcBorders>
              <w:top w:val="nil"/>
              <w:left w:val="nil"/>
              <w:bottom w:val="nil"/>
              <w:right w:val="single" w:sz="8" w:space="0" w:color="auto"/>
            </w:tcBorders>
            <w:shd w:val="clear" w:color="auto" w:fill="auto"/>
            <w:noWrap/>
            <w:vAlign w:val="center"/>
            <w:hideMark/>
          </w:tcPr>
          <w:p w:rsidR="00763734" w:rsidRPr="00CE0991" w:rsidRDefault="00CE0991" w:rsidP="00B31AA0">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18481</w:t>
            </w:r>
          </w:p>
        </w:tc>
        <w:tc>
          <w:tcPr>
            <w:tcW w:w="1208" w:type="dxa"/>
            <w:tcBorders>
              <w:top w:val="nil"/>
              <w:left w:val="nil"/>
              <w:bottom w:val="nil"/>
              <w:right w:val="single" w:sz="8" w:space="0" w:color="auto"/>
            </w:tcBorders>
            <w:shd w:val="clear" w:color="auto" w:fill="auto"/>
            <w:vAlign w:val="center"/>
          </w:tcPr>
          <w:p w:rsidR="00763734" w:rsidRPr="00CE0991" w:rsidRDefault="00CE0991" w:rsidP="00C75CC9">
            <w:pPr>
              <w:jc w:val="right"/>
              <w:outlineLvl w:val="0"/>
              <w:rPr>
                <w:rFonts w:ascii="Sylfaen" w:hAnsi="Sylfaen" w:cs="Calibri"/>
                <w:color w:val="000000"/>
                <w:sz w:val="16"/>
                <w:szCs w:val="16"/>
                <w:lang w:val="ka-GE"/>
              </w:rPr>
            </w:pPr>
            <w:r>
              <w:rPr>
                <w:rFonts w:ascii="Sylfaen" w:hAnsi="Sylfaen" w:cs="Calibri"/>
                <w:color w:val="000000"/>
                <w:sz w:val="16"/>
                <w:szCs w:val="16"/>
                <w:lang w:val="ka-GE"/>
              </w:rPr>
              <w:t>666,227</w:t>
            </w:r>
          </w:p>
        </w:tc>
        <w:tc>
          <w:tcPr>
            <w:tcW w:w="2700" w:type="dxa"/>
            <w:tcBorders>
              <w:top w:val="nil"/>
              <w:left w:val="nil"/>
              <w:bottom w:val="nil"/>
              <w:right w:val="single" w:sz="8" w:space="0" w:color="auto"/>
            </w:tcBorders>
            <w:shd w:val="clear" w:color="auto" w:fill="auto"/>
            <w:vAlign w:val="center"/>
          </w:tcPr>
          <w:p w:rsidR="00763734" w:rsidRPr="00076CF8" w:rsidRDefault="00CE0991" w:rsidP="00B31AA0">
            <w:pPr>
              <w:spacing w:after="0" w:line="240" w:lineRule="auto"/>
              <w:jc w:val="both"/>
              <w:outlineLvl w:val="0"/>
              <w:rPr>
                <w:rFonts w:ascii="Sylfaen" w:eastAsia="Times New Roman" w:hAnsi="Sylfaen" w:cs="Times New Roman"/>
                <w:color w:val="000000"/>
                <w:sz w:val="16"/>
                <w:szCs w:val="16"/>
                <w:lang w:val="ka-GE" w:eastAsia="ru-RU"/>
              </w:rPr>
            </w:pPr>
            <w:r>
              <w:rPr>
                <w:rFonts w:ascii="Sylfaen" w:eastAsia="Times New Roman" w:hAnsi="Sylfaen" w:cs="Times New Roman"/>
                <w:color w:val="000000"/>
                <w:sz w:val="16"/>
                <w:szCs w:val="16"/>
                <w:lang w:val="ka-GE" w:eastAsia="ru-RU"/>
              </w:rPr>
              <w:t>შეწყდა შედინება 165-ში</w:t>
            </w:r>
          </w:p>
        </w:tc>
      </w:tr>
      <w:tr w:rsidR="00763734" w:rsidRPr="00304A7E" w:rsidTr="00CE0991">
        <w:trPr>
          <w:trHeight w:val="300"/>
        </w:trPr>
        <w:tc>
          <w:tcPr>
            <w:tcW w:w="680" w:type="dxa"/>
            <w:tcBorders>
              <w:top w:val="nil"/>
              <w:left w:val="single" w:sz="8" w:space="0" w:color="auto"/>
              <w:bottom w:val="nil"/>
              <w:right w:val="single" w:sz="4" w:space="0" w:color="auto"/>
            </w:tcBorders>
            <w:vAlign w:val="center"/>
            <w:hideMark/>
          </w:tcPr>
          <w:p w:rsidR="00763734" w:rsidRPr="00304A7E" w:rsidRDefault="00763734" w:rsidP="00B31AA0">
            <w:pPr>
              <w:spacing w:after="0" w:line="240" w:lineRule="auto"/>
              <w:jc w:val="center"/>
              <w:rPr>
                <w:rFonts w:eastAsia="Times New Roman" w:cs="Calibri"/>
                <w:color w:val="000000"/>
                <w:sz w:val="16"/>
                <w:szCs w:val="16"/>
              </w:rPr>
            </w:pPr>
          </w:p>
        </w:tc>
        <w:tc>
          <w:tcPr>
            <w:tcW w:w="1260" w:type="dxa"/>
            <w:tcBorders>
              <w:top w:val="nil"/>
              <w:left w:val="nil"/>
              <w:bottom w:val="nil"/>
              <w:right w:val="single" w:sz="4" w:space="0" w:color="auto"/>
            </w:tcBorders>
            <w:shd w:val="clear" w:color="auto" w:fill="auto"/>
            <w:noWrap/>
            <w:vAlign w:val="center"/>
            <w:hideMark/>
          </w:tcPr>
          <w:p w:rsidR="00763734" w:rsidRPr="00304A7E" w:rsidRDefault="00763734" w:rsidP="00B31AA0">
            <w:pPr>
              <w:spacing w:after="0" w:line="240" w:lineRule="auto"/>
              <w:rPr>
                <w:rFonts w:ascii="Sylfaen" w:eastAsia="Times New Roman" w:hAnsi="Sylfaen" w:cs="Sylfaen"/>
                <w:color w:val="000000"/>
                <w:sz w:val="16"/>
                <w:szCs w:val="16"/>
              </w:rPr>
            </w:pPr>
          </w:p>
        </w:tc>
        <w:tc>
          <w:tcPr>
            <w:tcW w:w="1233" w:type="dxa"/>
            <w:tcBorders>
              <w:top w:val="nil"/>
              <w:left w:val="nil"/>
              <w:bottom w:val="nil"/>
              <w:right w:val="single" w:sz="4" w:space="0" w:color="auto"/>
            </w:tcBorders>
            <w:shd w:val="clear" w:color="auto" w:fill="auto"/>
            <w:noWrap/>
            <w:vAlign w:val="center"/>
            <w:hideMark/>
          </w:tcPr>
          <w:p w:rsidR="00763734" w:rsidRPr="00304A7E" w:rsidRDefault="00763734" w:rsidP="00B31AA0">
            <w:pPr>
              <w:spacing w:after="0" w:line="240" w:lineRule="auto"/>
              <w:jc w:val="center"/>
              <w:rPr>
                <w:rFonts w:eastAsia="Times New Roman" w:cs="Calibri"/>
                <w:color w:val="000000"/>
                <w:sz w:val="16"/>
                <w:szCs w:val="16"/>
              </w:rPr>
            </w:pPr>
          </w:p>
        </w:tc>
        <w:tc>
          <w:tcPr>
            <w:tcW w:w="1418" w:type="dxa"/>
            <w:tcBorders>
              <w:top w:val="nil"/>
              <w:left w:val="nil"/>
              <w:bottom w:val="nil"/>
              <w:right w:val="single" w:sz="4" w:space="0" w:color="auto"/>
            </w:tcBorders>
            <w:shd w:val="clear" w:color="auto" w:fill="auto"/>
            <w:noWrap/>
            <w:vAlign w:val="center"/>
            <w:hideMark/>
          </w:tcPr>
          <w:p w:rsidR="00763734" w:rsidRPr="00304A7E" w:rsidRDefault="00763734" w:rsidP="00B31AA0">
            <w:pPr>
              <w:spacing w:after="0" w:line="240" w:lineRule="auto"/>
              <w:jc w:val="center"/>
              <w:rPr>
                <w:rFonts w:eastAsia="Times New Roman" w:cs="Calibri"/>
                <w:color w:val="000000"/>
                <w:sz w:val="16"/>
                <w:szCs w:val="16"/>
              </w:rPr>
            </w:pPr>
          </w:p>
        </w:tc>
        <w:tc>
          <w:tcPr>
            <w:tcW w:w="1262" w:type="dxa"/>
            <w:tcBorders>
              <w:top w:val="nil"/>
              <w:left w:val="nil"/>
              <w:bottom w:val="nil"/>
              <w:right w:val="single" w:sz="4" w:space="0" w:color="auto"/>
            </w:tcBorders>
            <w:shd w:val="clear" w:color="auto" w:fill="auto"/>
            <w:noWrap/>
            <w:vAlign w:val="center"/>
            <w:hideMark/>
          </w:tcPr>
          <w:p w:rsidR="00763734" w:rsidRPr="008C541B" w:rsidRDefault="00763734" w:rsidP="00B31AA0">
            <w:pPr>
              <w:spacing w:after="0" w:line="240" w:lineRule="auto"/>
              <w:jc w:val="center"/>
              <w:rPr>
                <w:rFonts w:ascii="Sylfaen" w:eastAsia="Times New Roman" w:hAnsi="Sylfaen" w:cs="Calibri"/>
                <w:color w:val="000000"/>
                <w:sz w:val="16"/>
                <w:szCs w:val="16"/>
                <w:lang w:val="ka-GE"/>
              </w:rPr>
            </w:pPr>
          </w:p>
        </w:tc>
        <w:tc>
          <w:tcPr>
            <w:tcW w:w="1262" w:type="dxa"/>
            <w:tcBorders>
              <w:top w:val="nil"/>
              <w:left w:val="nil"/>
              <w:bottom w:val="nil"/>
              <w:right w:val="single" w:sz="4" w:space="0" w:color="auto"/>
            </w:tcBorders>
            <w:shd w:val="clear" w:color="auto" w:fill="auto"/>
            <w:noWrap/>
            <w:vAlign w:val="center"/>
            <w:hideMark/>
          </w:tcPr>
          <w:p w:rsidR="00763734" w:rsidRPr="00304A7E" w:rsidRDefault="00763734" w:rsidP="00B31AA0">
            <w:pPr>
              <w:spacing w:after="0" w:line="240" w:lineRule="auto"/>
              <w:jc w:val="center"/>
              <w:rPr>
                <w:rFonts w:eastAsia="Times New Roman" w:cs="Calibri"/>
                <w:color w:val="000000"/>
                <w:sz w:val="16"/>
                <w:szCs w:val="16"/>
              </w:rPr>
            </w:pPr>
          </w:p>
        </w:tc>
        <w:tc>
          <w:tcPr>
            <w:tcW w:w="1201" w:type="dxa"/>
            <w:tcBorders>
              <w:top w:val="nil"/>
              <w:left w:val="nil"/>
              <w:bottom w:val="nil"/>
              <w:right w:val="single" w:sz="4" w:space="0" w:color="auto"/>
            </w:tcBorders>
            <w:shd w:val="clear" w:color="auto" w:fill="auto"/>
            <w:noWrap/>
            <w:vAlign w:val="center"/>
            <w:hideMark/>
          </w:tcPr>
          <w:p w:rsidR="00763734" w:rsidRPr="00B31AA0" w:rsidRDefault="00763734" w:rsidP="00B31AA0">
            <w:pPr>
              <w:spacing w:after="0" w:line="240" w:lineRule="auto"/>
              <w:jc w:val="center"/>
              <w:rPr>
                <w:rFonts w:eastAsia="Times New Roman" w:cs="Calibri"/>
                <w:color w:val="000000"/>
                <w:sz w:val="16"/>
                <w:szCs w:val="16"/>
              </w:rPr>
            </w:pPr>
          </w:p>
        </w:tc>
        <w:tc>
          <w:tcPr>
            <w:tcW w:w="1201" w:type="dxa"/>
            <w:tcBorders>
              <w:top w:val="nil"/>
              <w:left w:val="nil"/>
              <w:bottom w:val="nil"/>
              <w:right w:val="single" w:sz="8" w:space="0" w:color="auto"/>
            </w:tcBorders>
            <w:shd w:val="clear" w:color="auto" w:fill="auto"/>
            <w:noWrap/>
            <w:vAlign w:val="center"/>
            <w:hideMark/>
          </w:tcPr>
          <w:p w:rsidR="00763734" w:rsidRPr="00B31AA0" w:rsidRDefault="00763734" w:rsidP="00B31AA0">
            <w:pPr>
              <w:spacing w:after="0" w:line="240" w:lineRule="auto"/>
              <w:jc w:val="center"/>
              <w:rPr>
                <w:rFonts w:eastAsia="Times New Roman" w:cs="Calibri"/>
                <w:color w:val="000000"/>
                <w:sz w:val="16"/>
                <w:szCs w:val="16"/>
              </w:rPr>
            </w:pPr>
          </w:p>
        </w:tc>
        <w:tc>
          <w:tcPr>
            <w:tcW w:w="1208" w:type="dxa"/>
            <w:tcBorders>
              <w:top w:val="nil"/>
              <w:left w:val="nil"/>
              <w:bottom w:val="nil"/>
              <w:right w:val="single" w:sz="8" w:space="0" w:color="auto"/>
            </w:tcBorders>
            <w:shd w:val="clear" w:color="auto" w:fill="auto"/>
            <w:vAlign w:val="center"/>
          </w:tcPr>
          <w:p w:rsidR="00763734" w:rsidRDefault="00763734" w:rsidP="00C75CC9">
            <w:pPr>
              <w:jc w:val="right"/>
              <w:outlineLvl w:val="0"/>
              <w:rPr>
                <w:rFonts w:cs="Calibri"/>
                <w:color w:val="000000"/>
                <w:sz w:val="16"/>
                <w:szCs w:val="16"/>
              </w:rPr>
            </w:pPr>
          </w:p>
        </w:tc>
        <w:tc>
          <w:tcPr>
            <w:tcW w:w="2700" w:type="dxa"/>
            <w:tcBorders>
              <w:top w:val="nil"/>
              <w:left w:val="nil"/>
              <w:bottom w:val="nil"/>
              <w:right w:val="single" w:sz="8" w:space="0" w:color="auto"/>
            </w:tcBorders>
            <w:shd w:val="clear" w:color="auto" w:fill="auto"/>
            <w:vAlign w:val="center"/>
          </w:tcPr>
          <w:p w:rsidR="00763734" w:rsidRPr="00076CF8" w:rsidRDefault="00763734" w:rsidP="00B31AA0">
            <w:pPr>
              <w:spacing w:after="0" w:line="240" w:lineRule="auto"/>
              <w:jc w:val="both"/>
              <w:outlineLvl w:val="0"/>
              <w:rPr>
                <w:rFonts w:ascii="Sylfaen" w:eastAsia="Times New Roman" w:hAnsi="Sylfaen" w:cs="Times New Roman"/>
                <w:color w:val="000000"/>
                <w:sz w:val="16"/>
                <w:szCs w:val="16"/>
                <w:lang w:val="ka-GE" w:eastAsia="ru-RU"/>
              </w:rPr>
            </w:pPr>
          </w:p>
        </w:tc>
      </w:tr>
      <w:tr w:rsidR="00CE0991" w:rsidRPr="00304A7E" w:rsidTr="00CE0991">
        <w:trPr>
          <w:trHeight w:val="300"/>
        </w:trPr>
        <w:tc>
          <w:tcPr>
            <w:tcW w:w="680" w:type="dxa"/>
            <w:tcBorders>
              <w:top w:val="nil"/>
              <w:left w:val="single" w:sz="8" w:space="0" w:color="auto"/>
              <w:bottom w:val="nil"/>
              <w:right w:val="single" w:sz="4" w:space="0" w:color="auto"/>
            </w:tcBorders>
            <w:vAlign w:val="center"/>
            <w:hideMark/>
          </w:tcPr>
          <w:p w:rsidR="00CE0991" w:rsidRPr="00304A7E" w:rsidRDefault="00CE0991" w:rsidP="00B31AA0">
            <w:pPr>
              <w:spacing w:after="0" w:line="240" w:lineRule="auto"/>
              <w:jc w:val="center"/>
              <w:rPr>
                <w:rFonts w:eastAsia="Times New Roman" w:cs="Calibri"/>
                <w:color w:val="000000"/>
                <w:sz w:val="16"/>
                <w:szCs w:val="16"/>
              </w:rPr>
            </w:pPr>
          </w:p>
        </w:tc>
        <w:tc>
          <w:tcPr>
            <w:tcW w:w="1260" w:type="dxa"/>
            <w:tcBorders>
              <w:top w:val="nil"/>
              <w:left w:val="nil"/>
              <w:bottom w:val="nil"/>
              <w:right w:val="single" w:sz="4" w:space="0" w:color="auto"/>
            </w:tcBorders>
            <w:shd w:val="clear" w:color="auto" w:fill="auto"/>
            <w:noWrap/>
            <w:vAlign w:val="center"/>
            <w:hideMark/>
          </w:tcPr>
          <w:p w:rsidR="00CE0991" w:rsidRPr="00CE0991" w:rsidRDefault="00CE0991" w:rsidP="00B31AA0">
            <w:pPr>
              <w:spacing w:after="0" w:line="240" w:lineRule="auto"/>
              <w:rPr>
                <w:rFonts w:ascii="Sylfaen" w:eastAsia="Times New Roman" w:hAnsi="Sylfaen" w:cs="Sylfaen"/>
                <w:color w:val="000000"/>
                <w:sz w:val="16"/>
                <w:szCs w:val="16"/>
                <w:lang w:val="ka-GE"/>
              </w:rPr>
            </w:pPr>
            <w:r>
              <w:rPr>
                <w:rFonts w:ascii="Sylfaen" w:eastAsia="Times New Roman" w:hAnsi="Sylfaen" w:cs="Sylfaen"/>
                <w:color w:val="000000"/>
                <w:sz w:val="16"/>
                <w:szCs w:val="16"/>
                <w:lang w:val="ka-GE"/>
              </w:rPr>
              <w:t>ივლისი</w:t>
            </w:r>
          </w:p>
        </w:tc>
        <w:tc>
          <w:tcPr>
            <w:tcW w:w="1233" w:type="dxa"/>
            <w:tcBorders>
              <w:top w:val="nil"/>
              <w:left w:val="nil"/>
              <w:bottom w:val="nil"/>
              <w:right w:val="single" w:sz="4" w:space="0" w:color="auto"/>
            </w:tcBorders>
            <w:shd w:val="clear" w:color="auto" w:fill="auto"/>
            <w:noWrap/>
            <w:vAlign w:val="center"/>
            <w:hideMark/>
          </w:tcPr>
          <w:p w:rsidR="00CE0991" w:rsidRPr="00304A7E" w:rsidRDefault="00CE0991"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4,490,500.00</w:t>
            </w:r>
          </w:p>
        </w:tc>
        <w:tc>
          <w:tcPr>
            <w:tcW w:w="1418" w:type="dxa"/>
            <w:tcBorders>
              <w:top w:val="nil"/>
              <w:left w:val="nil"/>
              <w:bottom w:val="nil"/>
              <w:right w:val="single" w:sz="4" w:space="0" w:color="auto"/>
            </w:tcBorders>
            <w:shd w:val="clear" w:color="auto" w:fill="auto"/>
            <w:noWrap/>
            <w:vAlign w:val="center"/>
            <w:hideMark/>
          </w:tcPr>
          <w:p w:rsidR="00CE0991" w:rsidRPr="00CE0991" w:rsidRDefault="00CE0991" w:rsidP="00B31AA0">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3970479,00</w:t>
            </w:r>
          </w:p>
        </w:tc>
        <w:tc>
          <w:tcPr>
            <w:tcW w:w="1262" w:type="dxa"/>
            <w:tcBorders>
              <w:top w:val="nil"/>
              <w:left w:val="nil"/>
              <w:bottom w:val="nil"/>
              <w:right w:val="single" w:sz="4" w:space="0" w:color="auto"/>
            </w:tcBorders>
            <w:shd w:val="clear" w:color="auto" w:fill="auto"/>
            <w:noWrap/>
            <w:vAlign w:val="center"/>
            <w:hideMark/>
          </w:tcPr>
          <w:p w:rsidR="00CE0991" w:rsidRPr="008C541B" w:rsidRDefault="00CE0991" w:rsidP="00B31AA0">
            <w:pPr>
              <w:spacing w:after="0" w:line="240" w:lineRule="auto"/>
              <w:jc w:val="center"/>
              <w:rPr>
                <w:rFonts w:ascii="Sylfaen" w:eastAsia="Times New Roman" w:hAnsi="Sylfaen" w:cs="Calibri"/>
                <w:color w:val="000000"/>
                <w:sz w:val="16"/>
                <w:szCs w:val="16"/>
                <w:lang w:val="ka-GE"/>
              </w:rPr>
            </w:pPr>
          </w:p>
        </w:tc>
        <w:tc>
          <w:tcPr>
            <w:tcW w:w="1262" w:type="dxa"/>
            <w:tcBorders>
              <w:top w:val="nil"/>
              <w:left w:val="nil"/>
              <w:bottom w:val="nil"/>
              <w:right w:val="single" w:sz="4" w:space="0" w:color="auto"/>
            </w:tcBorders>
            <w:shd w:val="clear" w:color="auto" w:fill="auto"/>
            <w:noWrap/>
            <w:vAlign w:val="center"/>
            <w:hideMark/>
          </w:tcPr>
          <w:p w:rsidR="00CE0991" w:rsidRPr="00CE0991" w:rsidRDefault="00CE0991" w:rsidP="00B31AA0">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520021</w:t>
            </w:r>
          </w:p>
        </w:tc>
        <w:tc>
          <w:tcPr>
            <w:tcW w:w="1201" w:type="dxa"/>
            <w:tcBorders>
              <w:top w:val="nil"/>
              <w:left w:val="nil"/>
              <w:bottom w:val="nil"/>
              <w:right w:val="single" w:sz="4" w:space="0" w:color="auto"/>
            </w:tcBorders>
            <w:shd w:val="clear" w:color="auto" w:fill="auto"/>
            <w:noWrap/>
            <w:vAlign w:val="center"/>
            <w:hideMark/>
          </w:tcPr>
          <w:p w:rsidR="00CE0991" w:rsidRPr="00B31AA0" w:rsidRDefault="00CE0991" w:rsidP="00B31AA0">
            <w:pPr>
              <w:spacing w:after="0" w:line="240" w:lineRule="auto"/>
              <w:jc w:val="center"/>
              <w:rPr>
                <w:rFonts w:eastAsia="Times New Roman" w:cs="Calibri"/>
                <w:color w:val="000000"/>
                <w:sz w:val="16"/>
                <w:szCs w:val="16"/>
              </w:rPr>
            </w:pPr>
            <w:r>
              <w:rPr>
                <w:rFonts w:ascii="Sylfaen" w:eastAsia="Times New Roman" w:hAnsi="Sylfaen" w:cs="Calibri"/>
                <w:color w:val="000000"/>
                <w:sz w:val="16"/>
                <w:szCs w:val="16"/>
                <w:lang w:val="ka-GE"/>
              </w:rPr>
              <w:t>520021</w:t>
            </w:r>
          </w:p>
        </w:tc>
        <w:tc>
          <w:tcPr>
            <w:tcW w:w="1201" w:type="dxa"/>
            <w:tcBorders>
              <w:top w:val="nil"/>
              <w:left w:val="nil"/>
              <w:bottom w:val="nil"/>
              <w:right w:val="single" w:sz="8" w:space="0" w:color="auto"/>
            </w:tcBorders>
            <w:shd w:val="clear" w:color="auto" w:fill="auto"/>
            <w:noWrap/>
            <w:vAlign w:val="center"/>
            <w:hideMark/>
          </w:tcPr>
          <w:p w:rsidR="00CE0991" w:rsidRPr="00CE0991" w:rsidRDefault="00CE0991" w:rsidP="00B31AA0">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22404</w:t>
            </w:r>
          </w:p>
        </w:tc>
        <w:tc>
          <w:tcPr>
            <w:tcW w:w="1208" w:type="dxa"/>
            <w:tcBorders>
              <w:top w:val="nil"/>
              <w:left w:val="nil"/>
              <w:bottom w:val="nil"/>
              <w:right w:val="single" w:sz="8" w:space="0" w:color="auto"/>
            </w:tcBorders>
            <w:shd w:val="clear" w:color="auto" w:fill="auto"/>
            <w:vAlign w:val="center"/>
          </w:tcPr>
          <w:p w:rsidR="00CE0991" w:rsidRPr="00CE0991" w:rsidRDefault="00CE0991" w:rsidP="00C75CC9">
            <w:pPr>
              <w:jc w:val="right"/>
              <w:outlineLvl w:val="0"/>
              <w:rPr>
                <w:rFonts w:ascii="Sylfaen" w:hAnsi="Sylfaen" w:cs="Calibri"/>
                <w:color w:val="000000"/>
                <w:sz w:val="16"/>
                <w:szCs w:val="16"/>
                <w:lang w:val="ka-GE"/>
              </w:rPr>
            </w:pPr>
            <w:r>
              <w:rPr>
                <w:rFonts w:ascii="Sylfaen" w:hAnsi="Sylfaen" w:cs="Calibri"/>
                <w:color w:val="000000"/>
                <w:sz w:val="16"/>
                <w:szCs w:val="16"/>
                <w:lang w:val="ka-GE"/>
              </w:rPr>
              <w:t>668,868</w:t>
            </w:r>
          </w:p>
        </w:tc>
        <w:tc>
          <w:tcPr>
            <w:tcW w:w="2700" w:type="dxa"/>
            <w:tcBorders>
              <w:top w:val="nil"/>
              <w:left w:val="nil"/>
              <w:bottom w:val="nil"/>
              <w:right w:val="single" w:sz="8" w:space="0" w:color="auto"/>
            </w:tcBorders>
            <w:shd w:val="clear" w:color="auto" w:fill="auto"/>
            <w:vAlign w:val="center"/>
          </w:tcPr>
          <w:p w:rsidR="00CE0991" w:rsidRPr="00076CF8" w:rsidRDefault="00CE0991" w:rsidP="00B31AA0">
            <w:pPr>
              <w:spacing w:after="0" w:line="240" w:lineRule="auto"/>
              <w:jc w:val="both"/>
              <w:outlineLvl w:val="0"/>
              <w:rPr>
                <w:rFonts w:ascii="Sylfaen" w:eastAsia="Times New Roman" w:hAnsi="Sylfaen" w:cs="Times New Roman"/>
                <w:color w:val="000000"/>
                <w:sz w:val="16"/>
                <w:szCs w:val="16"/>
                <w:lang w:val="ka-GE" w:eastAsia="ru-RU"/>
              </w:rPr>
            </w:pPr>
          </w:p>
        </w:tc>
      </w:tr>
      <w:tr w:rsidR="00CE0991" w:rsidRPr="00304A7E" w:rsidTr="00CE0991">
        <w:trPr>
          <w:trHeight w:val="300"/>
        </w:trPr>
        <w:tc>
          <w:tcPr>
            <w:tcW w:w="680" w:type="dxa"/>
            <w:tcBorders>
              <w:top w:val="nil"/>
              <w:left w:val="single" w:sz="8" w:space="0" w:color="auto"/>
              <w:bottom w:val="nil"/>
              <w:right w:val="single" w:sz="4" w:space="0" w:color="auto"/>
            </w:tcBorders>
            <w:vAlign w:val="center"/>
            <w:hideMark/>
          </w:tcPr>
          <w:p w:rsidR="00CE0991" w:rsidRPr="00304A7E" w:rsidRDefault="00CE0991" w:rsidP="00B31AA0">
            <w:pPr>
              <w:spacing w:after="0" w:line="240" w:lineRule="auto"/>
              <w:jc w:val="center"/>
              <w:rPr>
                <w:rFonts w:eastAsia="Times New Roman" w:cs="Calibri"/>
                <w:color w:val="000000"/>
                <w:sz w:val="16"/>
                <w:szCs w:val="16"/>
              </w:rPr>
            </w:pPr>
          </w:p>
        </w:tc>
        <w:tc>
          <w:tcPr>
            <w:tcW w:w="1260" w:type="dxa"/>
            <w:tcBorders>
              <w:top w:val="nil"/>
              <w:left w:val="nil"/>
              <w:bottom w:val="nil"/>
              <w:right w:val="single" w:sz="4" w:space="0" w:color="auto"/>
            </w:tcBorders>
            <w:shd w:val="clear" w:color="auto" w:fill="auto"/>
            <w:noWrap/>
            <w:vAlign w:val="center"/>
            <w:hideMark/>
          </w:tcPr>
          <w:p w:rsidR="00CE0991" w:rsidRPr="00CE0991" w:rsidRDefault="00CE0991" w:rsidP="00B31AA0">
            <w:pPr>
              <w:spacing w:after="0" w:line="240" w:lineRule="auto"/>
              <w:rPr>
                <w:rFonts w:ascii="Sylfaen" w:eastAsia="Times New Roman" w:hAnsi="Sylfaen" w:cs="Sylfaen"/>
                <w:color w:val="000000"/>
                <w:sz w:val="16"/>
                <w:szCs w:val="16"/>
                <w:lang w:val="ka-GE"/>
              </w:rPr>
            </w:pPr>
            <w:r>
              <w:rPr>
                <w:rFonts w:ascii="Sylfaen" w:eastAsia="Times New Roman" w:hAnsi="Sylfaen" w:cs="Sylfaen"/>
                <w:color w:val="000000"/>
                <w:sz w:val="16"/>
                <w:szCs w:val="16"/>
                <w:lang w:val="ka-GE"/>
              </w:rPr>
              <w:t>აგვისტო</w:t>
            </w:r>
          </w:p>
        </w:tc>
        <w:tc>
          <w:tcPr>
            <w:tcW w:w="1233" w:type="dxa"/>
            <w:tcBorders>
              <w:top w:val="nil"/>
              <w:left w:val="nil"/>
              <w:bottom w:val="nil"/>
              <w:right w:val="single" w:sz="4" w:space="0" w:color="auto"/>
            </w:tcBorders>
            <w:shd w:val="clear" w:color="auto" w:fill="auto"/>
            <w:noWrap/>
            <w:vAlign w:val="center"/>
            <w:hideMark/>
          </w:tcPr>
          <w:p w:rsidR="00CE0991" w:rsidRPr="00304A7E" w:rsidRDefault="00CE0991"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4,490,500.00</w:t>
            </w:r>
          </w:p>
        </w:tc>
        <w:tc>
          <w:tcPr>
            <w:tcW w:w="1418" w:type="dxa"/>
            <w:tcBorders>
              <w:top w:val="nil"/>
              <w:left w:val="nil"/>
              <w:bottom w:val="nil"/>
              <w:right w:val="single" w:sz="4" w:space="0" w:color="auto"/>
            </w:tcBorders>
            <w:shd w:val="clear" w:color="auto" w:fill="auto"/>
            <w:noWrap/>
            <w:vAlign w:val="center"/>
            <w:hideMark/>
          </w:tcPr>
          <w:p w:rsidR="00CE0991" w:rsidRDefault="00CE0991" w:rsidP="00B31AA0">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3979822,00</w:t>
            </w:r>
          </w:p>
        </w:tc>
        <w:tc>
          <w:tcPr>
            <w:tcW w:w="1262" w:type="dxa"/>
            <w:tcBorders>
              <w:top w:val="nil"/>
              <w:left w:val="nil"/>
              <w:bottom w:val="nil"/>
              <w:right w:val="single" w:sz="4" w:space="0" w:color="auto"/>
            </w:tcBorders>
            <w:shd w:val="clear" w:color="auto" w:fill="auto"/>
            <w:noWrap/>
            <w:vAlign w:val="center"/>
            <w:hideMark/>
          </w:tcPr>
          <w:p w:rsidR="00CE0991" w:rsidRPr="008C541B" w:rsidRDefault="00CE0991" w:rsidP="00B31AA0">
            <w:pPr>
              <w:spacing w:after="0" w:line="240" w:lineRule="auto"/>
              <w:jc w:val="center"/>
              <w:rPr>
                <w:rFonts w:ascii="Sylfaen" w:eastAsia="Times New Roman" w:hAnsi="Sylfaen" w:cs="Calibri"/>
                <w:color w:val="000000"/>
                <w:sz w:val="16"/>
                <w:szCs w:val="16"/>
                <w:lang w:val="ka-GE"/>
              </w:rPr>
            </w:pPr>
          </w:p>
        </w:tc>
        <w:tc>
          <w:tcPr>
            <w:tcW w:w="1262" w:type="dxa"/>
            <w:tcBorders>
              <w:top w:val="nil"/>
              <w:left w:val="nil"/>
              <w:bottom w:val="nil"/>
              <w:right w:val="single" w:sz="4" w:space="0" w:color="auto"/>
            </w:tcBorders>
            <w:shd w:val="clear" w:color="auto" w:fill="auto"/>
            <w:noWrap/>
            <w:vAlign w:val="center"/>
            <w:hideMark/>
          </w:tcPr>
          <w:p w:rsidR="00CE0991" w:rsidRPr="00CE0991" w:rsidRDefault="00CE0991" w:rsidP="00B31AA0">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510678</w:t>
            </w:r>
          </w:p>
        </w:tc>
        <w:tc>
          <w:tcPr>
            <w:tcW w:w="1201" w:type="dxa"/>
            <w:tcBorders>
              <w:top w:val="nil"/>
              <w:left w:val="nil"/>
              <w:bottom w:val="nil"/>
              <w:right w:val="single" w:sz="4" w:space="0" w:color="auto"/>
            </w:tcBorders>
            <w:shd w:val="clear" w:color="auto" w:fill="auto"/>
            <w:noWrap/>
            <w:vAlign w:val="center"/>
            <w:hideMark/>
          </w:tcPr>
          <w:p w:rsidR="00CE0991" w:rsidRPr="00B31AA0" w:rsidRDefault="00CE0991" w:rsidP="00B31AA0">
            <w:pPr>
              <w:spacing w:after="0" w:line="240" w:lineRule="auto"/>
              <w:jc w:val="center"/>
              <w:rPr>
                <w:rFonts w:eastAsia="Times New Roman" w:cs="Calibri"/>
                <w:color w:val="000000"/>
                <w:sz w:val="16"/>
                <w:szCs w:val="16"/>
              </w:rPr>
            </w:pPr>
            <w:r>
              <w:rPr>
                <w:rFonts w:ascii="Sylfaen" w:eastAsia="Times New Roman" w:hAnsi="Sylfaen" w:cs="Calibri"/>
                <w:color w:val="000000"/>
                <w:sz w:val="16"/>
                <w:szCs w:val="16"/>
                <w:lang w:val="ka-GE"/>
              </w:rPr>
              <w:t>510678</w:t>
            </w:r>
          </w:p>
        </w:tc>
        <w:tc>
          <w:tcPr>
            <w:tcW w:w="1201" w:type="dxa"/>
            <w:tcBorders>
              <w:top w:val="nil"/>
              <w:left w:val="nil"/>
              <w:bottom w:val="nil"/>
              <w:right w:val="single" w:sz="8" w:space="0" w:color="auto"/>
            </w:tcBorders>
            <w:shd w:val="clear" w:color="auto" w:fill="auto"/>
            <w:noWrap/>
            <w:vAlign w:val="center"/>
            <w:hideMark/>
          </w:tcPr>
          <w:p w:rsidR="00CE0991" w:rsidRPr="00CE0991" w:rsidRDefault="00CE0991" w:rsidP="00B31AA0">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9343</w:t>
            </w:r>
          </w:p>
        </w:tc>
        <w:tc>
          <w:tcPr>
            <w:tcW w:w="1208" w:type="dxa"/>
            <w:tcBorders>
              <w:top w:val="nil"/>
              <w:left w:val="nil"/>
              <w:bottom w:val="nil"/>
              <w:right w:val="single" w:sz="8" w:space="0" w:color="auto"/>
            </w:tcBorders>
            <w:shd w:val="clear" w:color="auto" w:fill="auto"/>
            <w:vAlign w:val="center"/>
          </w:tcPr>
          <w:p w:rsidR="00CE0991" w:rsidRPr="00CE0991" w:rsidRDefault="00CE0991" w:rsidP="00C75CC9">
            <w:pPr>
              <w:jc w:val="right"/>
              <w:outlineLvl w:val="0"/>
              <w:rPr>
                <w:rFonts w:ascii="Sylfaen" w:hAnsi="Sylfaen" w:cs="Calibri"/>
                <w:color w:val="000000"/>
                <w:sz w:val="16"/>
                <w:szCs w:val="16"/>
                <w:lang w:val="ka-GE"/>
              </w:rPr>
            </w:pPr>
            <w:r>
              <w:rPr>
                <w:rFonts w:ascii="Sylfaen" w:hAnsi="Sylfaen" w:cs="Calibri"/>
                <w:color w:val="000000"/>
                <w:sz w:val="16"/>
                <w:szCs w:val="16"/>
                <w:lang w:val="ka-GE"/>
              </w:rPr>
              <w:t>690246</w:t>
            </w:r>
          </w:p>
        </w:tc>
        <w:tc>
          <w:tcPr>
            <w:tcW w:w="2700" w:type="dxa"/>
            <w:tcBorders>
              <w:top w:val="nil"/>
              <w:left w:val="nil"/>
              <w:bottom w:val="nil"/>
              <w:right w:val="single" w:sz="8" w:space="0" w:color="auto"/>
            </w:tcBorders>
            <w:shd w:val="clear" w:color="auto" w:fill="auto"/>
            <w:vAlign w:val="center"/>
          </w:tcPr>
          <w:p w:rsidR="00CE0991" w:rsidRPr="00076CF8" w:rsidRDefault="00CE0991" w:rsidP="00B31AA0">
            <w:pPr>
              <w:spacing w:after="0" w:line="240" w:lineRule="auto"/>
              <w:jc w:val="both"/>
              <w:outlineLvl w:val="0"/>
              <w:rPr>
                <w:rFonts w:ascii="Sylfaen" w:eastAsia="Times New Roman" w:hAnsi="Sylfaen" w:cs="Times New Roman"/>
                <w:color w:val="000000"/>
                <w:sz w:val="16"/>
                <w:szCs w:val="16"/>
                <w:lang w:val="ka-GE" w:eastAsia="ru-RU"/>
              </w:rPr>
            </w:pPr>
          </w:p>
        </w:tc>
      </w:tr>
      <w:tr w:rsidR="00CE0991" w:rsidRPr="00304A7E" w:rsidTr="00CE0991">
        <w:trPr>
          <w:trHeight w:val="300"/>
        </w:trPr>
        <w:tc>
          <w:tcPr>
            <w:tcW w:w="680" w:type="dxa"/>
            <w:tcBorders>
              <w:top w:val="nil"/>
              <w:left w:val="single" w:sz="8" w:space="0" w:color="auto"/>
              <w:bottom w:val="nil"/>
              <w:right w:val="single" w:sz="4" w:space="0" w:color="auto"/>
            </w:tcBorders>
            <w:vAlign w:val="center"/>
            <w:hideMark/>
          </w:tcPr>
          <w:p w:rsidR="00CE0991" w:rsidRPr="00304A7E" w:rsidRDefault="00CE0991" w:rsidP="00B31AA0">
            <w:pPr>
              <w:spacing w:after="0" w:line="240" w:lineRule="auto"/>
              <w:jc w:val="center"/>
              <w:rPr>
                <w:rFonts w:eastAsia="Times New Roman" w:cs="Calibri"/>
                <w:color w:val="000000"/>
                <w:sz w:val="16"/>
                <w:szCs w:val="16"/>
              </w:rPr>
            </w:pPr>
          </w:p>
        </w:tc>
        <w:tc>
          <w:tcPr>
            <w:tcW w:w="1260" w:type="dxa"/>
            <w:tcBorders>
              <w:top w:val="nil"/>
              <w:left w:val="nil"/>
              <w:bottom w:val="nil"/>
              <w:right w:val="single" w:sz="4" w:space="0" w:color="auto"/>
            </w:tcBorders>
            <w:shd w:val="clear" w:color="auto" w:fill="auto"/>
            <w:noWrap/>
            <w:vAlign w:val="center"/>
            <w:hideMark/>
          </w:tcPr>
          <w:p w:rsidR="00CE0991" w:rsidRPr="00CE0991" w:rsidRDefault="00CE0991" w:rsidP="00B31AA0">
            <w:pPr>
              <w:spacing w:after="0" w:line="240" w:lineRule="auto"/>
              <w:rPr>
                <w:rFonts w:ascii="Sylfaen" w:eastAsia="Times New Roman" w:hAnsi="Sylfaen" w:cs="Sylfaen"/>
                <w:color w:val="000000"/>
                <w:sz w:val="16"/>
                <w:szCs w:val="16"/>
                <w:lang w:val="ka-GE"/>
              </w:rPr>
            </w:pPr>
            <w:r>
              <w:rPr>
                <w:rFonts w:ascii="Sylfaen" w:eastAsia="Times New Roman" w:hAnsi="Sylfaen" w:cs="Sylfaen"/>
                <w:color w:val="000000"/>
                <w:sz w:val="16"/>
                <w:szCs w:val="16"/>
                <w:lang w:val="ka-GE"/>
              </w:rPr>
              <w:t>სექტემბერო</w:t>
            </w:r>
          </w:p>
        </w:tc>
        <w:tc>
          <w:tcPr>
            <w:tcW w:w="1233" w:type="dxa"/>
            <w:tcBorders>
              <w:top w:val="nil"/>
              <w:left w:val="nil"/>
              <w:bottom w:val="nil"/>
              <w:right w:val="single" w:sz="4" w:space="0" w:color="auto"/>
            </w:tcBorders>
            <w:shd w:val="clear" w:color="auto" w:fill="auto"/>
            <w:noWrap/>
            <w:vAlign w:val="center"/>
            <w:hideMark/>
          </w:tcPr>
          <w:p w:rsidR="00CE0991" w:rsidRPr="00304A7E" w:rsidRDefault="00CE0991"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4,490,500.00</w:t>
            </w:r>
          </w:p>
        </w:tc>
        <w:tc>
          <w:tcPr>
            <w:tcW w:w="1418" w:type="dxa"/>
            <w:tcBorders>
              <w:top w:val="nil"/>
              <w:left w:val="nil"/>
              <w:bottom w:val="nil"/>
              <w:right w:val="single" w:sz="4" w:space="0" w:color="auto"/>
            </w:tcBorders>
            <w:shd w:val="clear" w:color="auto" w:fill="auto"/>
            <w:noWrap/>
            <w:vAlign w:val="center"/>
            <w:hideMark/>
          </w:tcPr>
          <w:p w:rsidR="00CE0991" w:rsidRDefault="00CE0991" w:rsidP="00B31AA0">
            <w:pPr>
              <w:spacing w:after="0" w:line="240" w:lineRule="auto"/>
              <w:jc w:val="center"/>
              <w:rPr>
                <w:rFonts w:ascii="Sylfaen" w:eastAsia="Times New Roman" w:hAnsi="Sylfaen" w:cs="Calibri"/>
                <w:color w:val="000000"/>
                <w:sz w:val="16"/>
                <w:szCs w:val="16"/>
                <w:lang w:val="ka-GE"/>
              </w:rPr>
            </w:pPr>
            <w:r w:rsidRPr="00304A7E">
              <w:rPr>
                <w:rFonts w:eastAsia="Times New Roman" w:cs="Calibri"/>
                <w:color w:val="000000"/>
                <w:sz w:val="16"/>
                <w:szCs w:val="16"/>
              </w:rPr>
              <w:t>4,490,500.00</w:t>
            </w:r>
          </w:p>
        </w:tc>
        <w:tc>
          <w:tcPr>
            <w:tcW w:w="1262" w:type="dxa"/>
            <w:tcBorders>
              <w:top w:val="nil"/>
              <w:left w:val="nil"/>
              <w:bottom w:val="nil"/>
              <w:right w:val="single" w:sz="4" w:space="0" w:color="auto"/>
            </w:tcBorders>
            <w:shd w:val="clear" w:color="auto" w:fill="auto"/>
            <w:noWrap/>
            <w:vAlign w:val="center"/>
            <w:hideMark/>
          </w:tcPr>
          <w:p w:rsidR="00CE0991" w:rsidRPr="008C541B" w:rsidRDefault="00CE0991" w:rsidP="00B31AA0">
            <w:pPr>
              <w:spacing w:after="0" w:line="240" w:lineRule="auto"/>
              <w:jc w:val="center"/>
              <w:rPr>
                <w:rFonts w:ascii="Sylfaen" w:eastAsia="Times New Roman" w:hAnsi="Sylfaen" w:cs="Calibri"/>
                <w:color w:val="000000"/>
                <w:sz w:val="16"/>
                <w:szCs w:val="16"/>
                <w:lang w:val="ka-GE"/>
              </w:rPr>
            </w:pPr>
          </w:p>
        </w:tc>
        <w:tc>
          <w:tcPr>
            <w:tcW w:w="1262" w:type="dxa"/>
            <w:tcBorders>
              <w:top w:val="nil"/>
              <w:left w:val="nil"/>
              <w:bottom w:val="nil"/>
              <w:right w:val="single" w:sz="4" w:space="0" w:color="auto"/>
            </w:tcBorders>
            <w:shd w:val="clear" w:color="auto" w:fill="auto"/>
            <w:noWrap/>
            <w:vAlign w:val="center"/>
            <w:hideMark/>
          </w:tcPr>
          <w:p w:rsidR="00CE0991" w:rsidRPr="00CE0991" w:rsidRDefault="00CE0991" w:rsidP="00B31AA0">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w:t>
            </w:r>
          </w:p>
        </w:tc>
        <w:tc>
          <w:tcPr>
            <w:tcW w:w="1201" w:type="dxa"/>
            <w:tcBorders>
              <w:top w:val="nil"/>
              <w:left w:val="nil"/>
              <w:bottom w:val="nil"/>
              <w:right w:val="single" w:sz="4" w:space="0" w:color="auto"/>
            </w:tcBorders>
            <w:shd w:val="clear" w:color="auto" w:fill="auto"/>
            <w:noWrap/>
            <w:vAlign w:val="center"/>
            <w:hideMark/>
          </w:tcPr>
          <w:p w:rsidR="00CE0991" w:rsidRPr="00CE0991" w:rsidRDefault="00CE0991" w:rsidP="00B31AA0">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w:t>
            </w:r>
          </w:p>
        </w:tc>
        <w:tc>
          <w:tcPr>
            <w:tcW w:w="1201" w:type="dxa"/>
            <w:tcBorders>
              <w:top w:val="nil"/>
              <w:left w:val="nil"/>
              <w:bottom w:val="nil"/>
              <w:right w:val="single" w:sz="8" w:space="0" w:color="auto"/>
            </w:tcBorders>
            <w:shd w:val="clear" w:color="auto" w:fill="8DB3E2" w:themeFill="text2" w:themeFillTint="66"/>
            <w:noWrap/>
            <w:vAlign w:val="center"/>
            <w:hideMark/>
          </w:tcPr>
          <w:p w:rsidR="00CE0991" w:rsidRPr="00CE0991" w:rsidRDefault="00CE0991" w:rsidP="00B31AA0">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510678</w:t>
            </w:r>
          </w:p>
        </w:tc>
        <w:tc>
          <w:tcPr>
            <w:tcW w:w="1208" w:type="dxa"/>
            <w:tcBorders>
              <w:top w:val="nil"/>
              <w:left w:val="nil"/>
              <w:bottom w:val="nil"/>
              <w:right w:val="single" w:sz="8" w:space="0" w:color="auto"/>
            </w:tcBorders>
            <w:shd w:val="clear" w:color="auto" w:fill="auto"/>
            <w:vAlign w:val="center"/>
          </w:tcPr>
          <w:p w:rsidR="00CE0991" w:rsidRDefault="00CE0991" w:rsidP="00C75CC9">
            <w:pPr>
              <w:jc w:val="right"/>
              <w:outlineLvl w:val="0"/>
              <w:rPr>
                <w:rFonts w:cs="Calibri"/>
                <w:color w:val="000000"/>
                <w:sz w:val="16"/>
                <w:szCs w:val="16"/>
              </w:rPr>
            </w:pPr>
          </w:p>
        </w:tc>
        <w:tc>
          <w:tcPr>
            <w:tcW w:w="2700" w:type="dxa"/>
            <w:tcBorders>
              <w:top w:val="nil"/>
              <w:left w:val="nil"/>
              <w:bottom w:val="nil"/>
              <w:right w:val="single" w:sz="8" w:space="0" w:color="auto"/>
            </w:tcBorders>
            <w:shd w:val="clear" w:color="auto" w:fill="auto"/>
            <w:vAlign w:val="center"/>
          </w:tcPr>
          <w:p w:rsidR="00CE0991" w:rsidRPr="00076CF8" w:rsidRDefault="00755266" w:rsidP="00B31AA0">
            <w:pPr>
              <w:spacing w:after="0" w:line="240" w:lineRule="auto"/>
              <w:jc w:val="both"/>
              <w:outlineLvl w:val="0"/>
              <w:rPr>
                <w:rFonts w:ascii="Sylfaen" w:eastAsia="Times New Roman" w:hAnsi="Sylfaen" w:cs="Times New Roman"/>
                <w:color w:val="000000"/>
                <w:sz w:val="16"/>
                <w:szCs w:val="16"/>
                <w:lang w:val="ka-GE" w:eastAsia="ru-RU"/>
              </w:rPr>
            </w:pPr>
            <w:r>
              <w:rPr>
                <w:rFonts w:ascii="Sylfaen" w:eastAsia="Times New Roman" w:hAnsi="Sylfaen" w:cs="Times New Roman"/>
                <w:color w:val="000000"/>
                <w:sz w:val="16"/>
                <w:szCs w:val="16"/>
                <w:lang w:val="ka-GE" w:eastAsia="ru-RU"/>
              </w:rPr>
              <w:t>შეწტდა საქართველოს მთავრობის 2012 წლის 7 მაისის №165 დედგენილებით დამტკიცებული პროგრამა</w:t>
            </w:r>
          </w:p>
        </w:tc>
      </w:tr>
      <w:tr w:rsidR="00CE0991" w:rsidRPr="00304A7E" w:rsidTr="00A515E1">
        <w:trPr>
          <w:trHeight w:val="300"/>
        </w:trPr>
        <w:tc>
          <w:tcPr>
            <w:tcW w:w="680" w:type="dxa"/>
            <w:tcBorders>
              <w:top w:val="nil"/>
              <w:left w:val="single" w:sz="8" w:space="0" w:color="auto"/>
              <w:bottom w:val="single" w:sz="8" w:space="0" w:color="000000"/>
              <w:right w:val="single" w:sz="4" w:space="0" w:color="auto"/>
            </w:tcBorders>
            <w:vAlign w:val="center"/>
            <w:hideMark/>
          </w:tcPr>
          <w:p w:rsidR="00CE0991" w:rsidRPr="00304A7E" w:rsidRDefault="00CE0991" w:rsidP="00B31AA0">
            <w:pPr>
              <w:spacing w:after="0" w:line="240" w:lineRule="auto"/>
              <w:jc w:val="center"/>
              <w:rPr>
                <w:rFonts w:eastAsia="Times New Roman" w:cs="Calibri"/>
                <w:color w:val="000000"/>
                <w:sz w:val="16"/>
                <w:szCs w:val="16"/>
              </w:rPr>
            </w:pPr>
          </w:p>
        </w:tc>
        <w:tc>
          <w:tcPr>
            <w:tcW w:w="1260" w:type="dxa"/>
            <w:tcBorders>
              <w:top w:val="nil"/>
              <w:left w:val="nil"/>
              <w:bottom w:val="single" w:sz="4" w:space="0" w:color="auto"/>
              <w:right w:val="single" w:sz="4" w:space="0" w:color="auto"/>
            </w:tcBorders>
            <w:shd w:val="clear" w:color="auto" w:fill="auto"/>
            <w:noWrap/>
            <w:vAlign w:val="center"/>
            <w:hideMark/>
          </w:tcPr>
          <w:p w:rsidR="00CE0991" w:rsidRPr="00304A7E" w:rsidRDefault="00CE0991" w:rsidP="00B31AA0">
            <w:pPr>
              <w:spacing w:after="0" w:line="240" w:lineRule="auto"/>
              <w:rPr>
                <w:rFonts w:ascii="Sylfaen" w:eastAsia="Times New Roman" w:hAnsi="Sylfaen" w:cs="Sylfaen"/>
                <w:color w:val="000000"/>
                <w:sz w:val="16"/>
                <w:szCs w:val="16"/>
              </w:rPr>
            </w:pPr>
          </w:p>
        </w:tc>
        <w:tc>
          <w:tcPr>
            <w:tcW w:w="1233" w:type="dxa"/>
            <w:tcBorders>
              <w:top w:val="nil"/>
              <w:left w:val="nil"/>
              <w:bottom w:val="single" w:sz="4" w:space="0" w:color="auto"/>
              <w:right w:val="single" w:sz="4" w:space="0" w:color="auto"/>
            </w:tcBorders>
            <w:shd w:val="clear" w:color="auto" w:fill="auto"/>
            <w:noWrap/>
            <w:vAlign w:val="center"/>
            <w:hideMark/>
          </w:tcPr>
          <w:p w:rsidR="00CE0991" w:rsidRPr="00304A7E" w:rsidRDefault="00CE0991" w:rsidP="00B31AA0">
            <w:pPr>
              <w:spacing w:after="0" w:line="240" w:lineRule="auto"/>
              <w:jc w:val="center"/>
              <w:rPr>
                <w:rFonts w:eastAsia="Times New Roman" w:cs="Calibri"/>
                <w:color w:val="000000"/>
                <w:sz w:val="16"/>
                <w:szCs w:val="16"/>
              </w:rPr>
            </w:pPr>
          </w:p>
        </w:tc>
        <w:tc>
          <w:tcPr>
            <w:tcW w:w="1418" w:type="dxa"/>
            <w:tcBorders>
              <w:top w:val="nil"/>
              <w:left w:val="nil"/>
              <w:bottom w:val="single" w:sz="4" w:space="0" w:color="auto"/>
              <w:right w:val="single" w:sz="4" w:space="0" w:color="auto"/>
            </w:tcBorders>
            <w:shd w:val="clear" w:color="auto" w:fill="auto"/>
            <w:noWrap/>
            <w:vAlign w:val="center"/>
            <w:hideMark/>
          </w:tcPr>
          <w:p w:rsidR="00CE0991" w:rsidRDefault="00CE0991" w:rsidP="00B31AA0">
            <w:pPr>
              <w:spacing w:after="0" w:line="240" w:lineRule="auto"/>
              <w:jc w:val="center"/>
              <w:rPr>
                <w:rFonts w:ascii="Sylfaen" w:eastAsia="Times New Roman" w:hAnsi="Sylfaen" w:cs="Calibri"/>
                <w:color w:val="000000"/>
                <w:sz w:val="16"/>
                <w:szCs w:val="16"/>
                <w:lang w:val="ka-GE"/>
              </w:rPr>
            </w:pPr>
          </w:p>
        </w:tc>
        <w:tc>
          <w:tcPr>
            <w:tcW w:w="1262" w:type="dxa"/>
            <w:tcBorders>
              <w:top w:val="nil"/>
              <w:left w:val="nil"/>
              <w:bottom w:val="single" w:sz="4" w:space="0" w:color="auto"/>
              <w:right w:val="single" w:sz="4" w:space="0" w:color="auto"/>
            </w:tcBorders>
            <w:shd w:val="clear" w:color="auto" w:fill="auto"/>
            <w:noWrap/>
            <w:vAlign w:val="center"/>
            <w:hideMark/>
          </w:tcPr>
          <w:p w:rsidR="00CE0991" w:rsidRPr="008C541B" w:rsidRDefault="00CE0991" w:rsidP="00B31AA0">
            <w:pPr>
              <w:spacing w:after="0" w:line="240" w:lineRule="auto"/>
              <w:jc w:val="center"/>
              <w:rPr>
                <w:rFonts w:ascii="Sylfaen" w:eastAsia="Times New Roman" w:hAnsi="Sylfaen" w:cs="Calibri"/>
                <w:color w:val="000000"/>
                <w:sz w:val="16"/>
                <w:szCs w:val="16"/>
                <w:lang w:val="ka-GE"/>
              </w:rPr>
            </w:pPr>
          </w:p>
        </w:tc>
        <w:tc>
          <w:tcPr>
            <w:tcW w:w="1262" w:type="dxa"/>
            <w:tcBorders>
              <w:top w:val="nil"/>
              <w:left w:val="nil"/>
              <w:bottom w:val="single" w:sz="4" w:space="0" w:color="auto"/>
              <w:right w:val="single" w:sz="4" w:space="0" w:color="auto"/>
            </w:tcBorders>
            <w:shd w:val="clear" w:color="auto" w:fill="auto"/>
            <w:noWrap/>
            <w:vAlign w:val="center"/>
            <w:hideMark/>
          </w:tcPr>
          <w:p w:rsidR="00CE0991" w:rsidRPr="00304A7E" w:rsidRDefault="00CE0991" w:rsidP="00B31AA0">
            <w:pPr>
              <w:spacing w:after="0" w:line="240" w:lineRule="auto"/>
              <w:jc w:val="center"/>
              <w:rPr>
                <w:rFonts w:eastAsia="Times New Roman" w:cs="Calibri"/>
                <w:color w:val="000000"/>
                <w:sz w:val="16"/>
                <w:szCs w:val="16"/>
              </w:rPr>
            </w:pPr>
          </w:p>
        </w:tc>
        <w:tc>
          <w:tcPr>
            <w:tcW w:w="1201" w:type="dxa"/>
            <w:tcBorders>
              <w:top w:val="nil"/>
              <w:left w:val="nil"/>
              <w:bottom w:val="single" w:sz="4" w:space="0" w:color="auto"/>
              <w:right w:val="single" w:sz="4" w:space="0" w:color="auto"/>
            </w:tcBorders>
            <w:shd w:val="clear" w:color="auto" w:fill="auto"/>
            <w:noWrap/>
            <w:vAlign w:val="center"/>
            <w:hideMark/>
          </w:tcPr>
          <w:p w:rsidR="00CE0991" w:rsidRPr="00B31AA0" w:rsidRDefault="00CE0991" w:rsidP="00B31AA0">
            <w:pPr>
              <w:spacing w:after="0" w:line="240" w:lineRule="auto"/>
              <w:jc w:val="center"/>
              <w:rPr>
                <w:rFonts w:eastAsia="Times New Roman" w:cs="Calibri"/>
                <w:color w:val="000000"/>
                <w:sz w:val="16"/>
                <w:szCs w:val="16"/>
              </w:rPr>
            </w:pPr>
          </w:p>
        </w:tc>
        <w:tc>
          <w:tcPr>
            <w:tcW w:w="1201" w:type="dxa"/>
            <w:tcBorders>
              <w:top w:val="nil"/>
              <w:left w:val="nil"/>
              <w:bottom w:val="single" w:sz="4" w:space="0" w:color="auto"/>
              <w:right w:val="single" w:sz="8" w:space="0" w:color="auto"/>
            </w:tcBorders>
            <w:shd w:val="clear" w:color="auto" w:fill="auto"/>
            <w:noWrap/>
            <w:vAlign w:val="center"/>
            <w:hideMark/>
          </w:tcPr>
          <w:p w:rsidR="00CE0991" w:rsidRPr="00B31AA0" w:rsidRDefault="00CE0991" w:rsidP="00B31AA0">
            <w:pPr>
              <w:spacing w:after="0" w:line="240" w:lineRule="auto"/>
              <w:jc w:val="center"/>
              <w:rPr>
                <w:rFonts w:eastAsia="Times New Roman" w:cs="Calibri"/>
                <w:color w:val="000000"/>
                <w:sz w:val="16"/>
                <w:szCs w:val="16"/>
              </w:rPr>
            </w:pPr>
          </w:p>
        </w:tc>
        <w:tc>
          <w:tcPr>
            <w:tcW w:w="1208" w:type="dxa"/>
            <w:tcBorders>
              <w:top w:val="nil"/>
              <w:left w:val="nil"/>
              <w:bottom w:val="single" w:sz="4" w:space="0" w:color="auto"/>
              <w:right w:val="single" w:sz="8" w:space="0" w:color="auto"/>
            </w:tcBorders>
            <w:shd w:val="clear" w:color="auto" w:fill="auto"/>
            <w:vAlign w:val="center"/>
          </w:tcPr>
          <w:p w:rsidR="00CE0991" w:rsidRDefault="00CE0991" w:rsidP="00C75CC9">
            <w:pPr>
              <w:jc w:val="right"/>
              <w:outlineLvl w:val="0"/>
              <w:rPr>
                <w:rFonts w:cs="Calibri"/>
                <w:color w:val="000000"/>
                <w:sz w:val="16"/>
                <w:szCs w:val="16"/>
              </w:rPr>
            </w:pPr>
          </w:p>
        </w:tc>
        <w:tc>
          <w:tcPr>
            <w:tcW w:w="2700" w:type="dxa"/>
            <w:tcBorders>
              <w:top w:val="nil"/>
              <w:left w:val="nil"/>
              <w:bottom w:val="single" w:sz="4" w:space="0" w:color="auto"/>
              <w:right w:val="single" w:sz="8" w:space="0" w:color="auto"/>
            </w:tcBorders>
            <w:shd w:val="clear" w:color="auto" w:fill="auto"/>
            <w:vAlign w:val="center"/>
          </w:tcPr>
          <w:p w:rsidR="00CE0991" w:rsidRPr="00076CF8" w:rsidRDefault="00CE0991" w:rsidP="00B31AA0">
            <w:pPr>
              <w:spacing w:after="0" w:line="240" w:lineRule="auto"/>
              <w:jc w:val="both"/>
              <w:outlineLvl w:val="0"/>
              <w:rPr>
                <w:rFonts w:ascii="Sylfaen" w:eastAsia="Times New Roman" w:hAnsi="Sylfaen" w:cs="Times New Roman"/>
                <w:color w:val="000000"/>
                <w:sz w:val="16"/>
                <w:szCs w:val="16"/>
                <w:lang w:val="ka-GE" w:eastAsia="ru-RU"/>
              </w:rPr>
            </w:pPr>
          </w:p>
        </w:tc>
      </w:tr>
    </w:tbl>
    <w:p w:rsidR="0034239C" w:rsidRDefault="0034239C">
      <w:pPr>
        <w:rPr>
          <w:rFonts w:ascii="Sylfaen" w:eastAsia="Sylfaen" w:hAnsi="Sylfaen"/>
          <w:szCs w:val="22"/>
          <w:lang w:val="ka-GE"/>
        </w:rPr>
      </w:pPr>
      <w:r>
        <w:rPr>
          <w:rFonts w:ascii="Sylfaen" w:eastAsia="Sylfaen" w:hAnsi="Sylfaen"/>
          <w:szCs w:val="22"/>
          <w:lang w:val="ka-GE"/>
        </w:rPr>
        <w:br w:type="page"/>
      </w:r>
    </w:p>
    <w:p w:rsidR="00D86DB3" w:rsidRDefault="00D86DB3" w:rsidP="00D86DB3">
      <w:pPr>
        <w:rPr>
          <w:rFonts w:ascii="Sylfaen" w:eastAsia="Sylfaen" w:hAnsi="Sylfaen"/>
          <w:szCs w:val="22"/>
          <w:lang w:val="ka-GE"/>
        </w:rPr>
        <w:sectPr w:rsidR="00D86DB3" w:rsidSect="00140951">
          <w:pgSz w:w="15840" w:h="12240" w:orient="landscape"/>
          <w:pgMar w:top="1354" w:right="1138" w:bottom="806" w:left="1138" w:header="720" w:footer="720" w:gutter="0"/>
          <w:cols w:space="720"/>
          <w:docGrid w:linePitch="360"/>
        </w:sectPr>
      </w:pPr>
    </w:p>
    <w:p w:rsidR="005C1944" w:rsidRDefault="005C1944" w:rsidP="00A2137A">
      <w:pPr>
        <w:pStyle w:val="ListParagraph"/>
        <w:jc w:val="center"/>
        <w:rPr>
          <w:rFonts w:ascii="Sylfaen" w:eastAsia="Sylfaen" w:hAnsi="Sylfaen"/>
          <w:b/>
          <w:sz w:val="24"/>
          <w:lang w:val="ka-GE"/>
        </w:rPr>
      </w:pPr>
    </w:p>
    <w:p w:rsidR="0011613C" w:rsidRDefault="0011613C" w:rsidP="0011613C">
      <w:pPr>
        <w:spacing w:after="120" w:line="240" w:lineRule="auto"/>
        <w:ind w:left="360"/>
        <w:jc w:val="both"/>
        <w:rPr>
          <w:rFonts w:ascii="Sylfaen" w:eastAsia="Sylfaen" w:hAnsi="Sylfaen"/>
          <w:szCs w:val="22"/>
          <w:lang w:val="ka-GE"/>
        </w:rPr>
      </w:pPr>
      <w:r>
        <w:rPr>
          <w:rFonts w:ascii="Sylfaen" w:eastAsia="Sylfaen" w:hAnsi="Sylfaen"/>
          <w:szCs w:val="22"/>
          <w:lang w:val="ka-GE"/>
        </w:rPr>
        <w:t>ცხრილი N3-ში და გრაფიკებში N6-7 ნაჩვენებია 2014 წლის  იანვარი-</w:t>
      </w:r>
      <w:r w:rsidR="006C609F">
        <w:rPr>
          <w:rFonts w:ascii="Sylfaen" w:eastAsia="Sylfaen" w:hAnsi="Sylfaen"/>
          <w:szCs w:val="22"/>
          <w:lang w:val="ka-GE"/>
        </w:rPr>
        <w:t>მაისის</w:t>
      </w:r>
      <w:r w:rsidR="00763734">
        <w:rPr>
          <w:rFonts w:ascii="Sylfaen" w:eastAsia="Sylfaen" w:hAnsi="Sylfaen"/>
          <w:szCs w:val="22"/>
          <w:lang w:val="ka-GE"/>
        </w:rPr>
        <w:t xml:space="preserve"> </w:t>
      </w:r>
      <w:r>
        <w:rPr>
          <w:rFonts w:ascii="Sylfaen" w:eastAsia="Sylfaen" w:hAnsi="Sylfaen"/>
          <w:szCs w:val="22"/>
          <w:lang w:val="ka-GE"/>
        </w:rPr>
        <w:t xml:space="preserve"> თვეებში რეფერალური </w:t>
      </w:r>
      <w:r w:rsidRPr="005C1944">
        <w:rPr>
          <w:rFonts w:ascii="Sylfaen" w:eastAsia="Sylfaen" w:hAnsi="Sylfaen"/>
          <w:szCs w:val="22"/>
          <w:lang w:val="ka-GE"/>
        </w:rPr>
        <w:t>შემთხვევების რაოდენობა და ბიუჯეტი</w:t>
      </w:r>
      <w:r>
        <w:rPr>
          <w:rFonts w:ascii="Sylfaen" w:eastAsia="Sylfaen" w:hAnsi="Sylfaen"/>
          <w:szCs w:val="22"/>
          <w:lang w:val="ka-GE"/>
        </w:rPr>
        <w:t>,</w:t>
      </w:r>
      <w:r w:rsidRPr="005C1944">
        <w:rPr>
          <w:rFonts w:ascii="Sylfaen" w:eastAsia="Sylfaen" w:hAnsi="Sylfaen"/>
          <w:szCs w:val="22"/>
          <w:lang w:val="ka-GE"/>
        </w:rPr>
        <w:t xml:space="preserve"> პროგრამული და მიზნობრივი ჯგუფების შესაბამისად</w:t>
      </w:r>
      <w:r>
        <w:rPr>
          <w:rFonts w:ascii="Sylfaen" w:eastAsia="Sylfaen" w:hAnsi="Sylfaen"/>
          <w:szCs w:val="22"/>
          <w:lang w:val="ka-GE"/>
        </w:rPr>
        <w:t>.</w:t>
      </w:r>
    </w:p>
    <w:p w:rsidR="0011613C" w:rsidRDefault="0011613C" w:rsidP="0011613C">
      <w:pPr>
        <w:spacing w:after="120" w:line="240" w:lineRule="auto"/>
        <w:ind w:left="360"/>
        <w:jc w:val="both"/>
        <w:rPr>
          <w:rFonts w:ascii="Sylfaen" w:eastAsia="Sylfaen" w:hAnsi="Sylfaen"/>
          <w:szCs w:val="22"/>
          <w:lang w:val="ka-GE"/>
        </w:rPr>
      </w:pPr>
      <w:r>
        <w:rPr>
          <w:rFonts w:ascii="Sylfaen" w:eastAsia="Sylfaen" w:hAnsi="Sylfaen"/>
          <w:szCs w:val="22"/>
          <w:lang w:val="ka-GE"/>
        </w:rPr>
        <w:t>როგორც გრაფიკი N6-დან ჩანს, პორგრამის ბენეფიციარების 38%-ს შეადგენ</w:t>
      </w:r>
      <w:r w:rsidR="006C609F">
        <w:rPr>
          <w:rFonts w:ascii="Sylfaen" w:eastAsia="Sylfaen" w:hAnsi="Sylfaen"/>
          <w:szCs w:val="22"/>
          <w:lang w:val="ka-GE"/>
        </w:rPr>
        <w:t>და</w:t>
      </w:r>
      <w:r>
        <w:rPr>
          <w:rFonts w:ascii="Sylfaen" w:eastAsia="Sylfaen" w:hAnsi="Sylfaen"/>
          <w:szCs w:val="22"/>
          <w:lang w:val="ka-GE"/>
        </w:rPr>
        <w:t xml:space="preserve"> სადაზღვევო პროგრამებიდან (N218 და N165 დადგენილებები) ინტეგრირებული ბენეფიციარები.</w:t>
      </w:r>
    </w:p>
    <w:p w:rsidR="004205C5" w:rsidRDefault="004205C5" w:rsidP="005C1944">
      <w:pPr>
        <w:jc w:val="right"/>
        <w:rPr>
          <w:rFonts w:ascii="Sylfaen" w:eastAsia="Sylfaen" w:hAnsi="Sylfaen"/>
          <w:b/>
          <w:sz w:val="24"/>
          <w:lang w:val="ka-GE"/>
        </w:rPr>
      </w:pPr>
    </w:p>
    <w:p w:rsidR="004205C5" w:rsidRDefault="004205C5" w:rsidP="005C1944">
      <w:pPr>
        <w:jc w:val="right"/>
        <w:rPr>
          <w:rFonts w:ascii="Sylfaen" w:eastAsia="Sylfaen" w:hAnsi="Sylfaen"/>
          <w:b/>
          <w:sz w:val="24"/>
          <w:lang w:val="ka-GE"/>
        </w:rPr>
      </w:pPr>
    </w:p>
    <w:p w:rsidR="005C1944" w:rsidRDefault="005C1944" w:rsidP="005C1944">
      <w:pPr>
        <w:jc w:val="right"/>
        <w:rPr>
          <w:rFonts w:ascii="Sylfaen" w:eastAsia="Sylfaen" w:hAnsi="Sylfaen"/>
          <w:b/>
          <w:sz w:val="24"/>
          <w:lang w:val="ka-GE"/>
        </w:rPr>
      </w:pPr>
      <w:r>
        <w:rPr>
          <w:rFonts w:ascii="Sylfaen" w:eastAsia="Sylfaen" w:hAnsi="Sylfaen"/>
          <w:b/>
          <w:sz w:val="24"/>
          <w:lang w:val="ka-GE"/>
        </w:rPr>
        <w:t>ცხრილი N3</w:t>
      </w:r>
    </w:p>
    <w:p w:rsidR="005C1944" w:rsidRPr="005C1944" w:rsidRDefault="005C1944" w:rsidP="005C1944">
      <w:pPr>
        <w:rPr>
          <w:rFonts w:ascii="Sylfaen" w:eastAsia="Sylfaen" w:hAnsi="Sylfaen"/>
          <w:b/>
          <w:sz w:val="24"/>
          <w:lang w:val="ka-GE"/>
        </w:rPr>
      </w:pPr>
      <w:r w:rsidRPr="005C1944">
        <w:rPr>
          <w:rFonts w:ascii="Sylfaen" w:eastAsia="Sylfaen" w:hAnsi="Sylfaen"/>
          <w:b/>
          <w:sz w:val="24"/>
          <w:lang w:val="ka-GE"/>
        </w:rPr>
        <w:t xml:space="preserve">2014 წლის იანვარი - მაისის თვეებში რეფერალური დახმარების კომპონენტის ფარგლებში შემთხვევების რაოდენობა და ბიუჯეტი პროგრამული და მიზნობრივი ჯგუფების შესაბამისად </w:t>
      </w:r>
    </w:p>
    <w:tbl>
      <w:tblPr>
        <w:tblW w:w="13065" w:type="dxa"/>
        <w:tblInd w:w="93" w:type="dxa"/>
        <w:tblLayout w:type="fixed"/>
        <w:tblLook w:val="04A0"/>
      </w:tblPr>
      <w:tblGrid>
        <w:gridCol w:w="1814"/>
        <w:gridCol w:w="865"/>
        <w:gridCol w:w="1060"/>
        <w:gridCol w:w="1046"/>
        <w:gridCol w:w="1710"/>
        <w:gridCol w:w="1170"/>
        <w:gridCol w:w="1259"/>
        <w:gridCol w:w="861"/>
        <w:gridCol w:w="1120"/>
        <w:gridCol w:w="1066"/>
        <w:gridCol w:w="14"/>
        <w:gridCol w:w="1066"/>
        <w:gridCol w:w="14"/>
      </w:tblGrid>
      <w:tr w:rsidR="005C1944" w:rsidRPr="00AD5688" w:rsidTr="00592E25">
        <w:trPr>
          <w:trHeight w:val="525"/>
        </w:trPr>
        <w:tc>
          <w:tcPr>
            <w:tcW w:w="18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1944" w:rsidRPr="00AD5688" w:rsidRDefault="005C1944" w:rsidP="00592E25">
            <w:pPr>
              <w:spacing w:after="0" w:line="240" w:lineRule="auto"/>
              <w:rPr>
                <w:rFonts w:ascii="Sylfaen" w:eastAsia="Times New Roman" w:hAnsi="Sylfaen" w:cs="Calibri"/>
                <w:color w:val="000000"/>
                <w:sz w:val="18"/>
                <w:szCs w:val="18"/>
              </w:rPr>
            </w:pPr>
            <w:r w:rsidRPr="00AD5688">
              <w:rPr>
                <w:rFonts w:ascii="Sylfaen" w:eastAsia="Times New Roman" w:hAnsi="Sylfaen" w:cs="Calibri"/>
                <w:color w:val="000000"/>
                <w:sz w:val="18"/>
                <w:szCs w:val="18"/>
              </w:rPr>
              <w:t> </w:t>
            </w:r>
          </w:p>
        </w:tc>
        <w:tc>
          <w:tcPr>
            <w:tcW w:w="1925" w:type="dxa"/>
            <w:gridSpan w:val="2"/>
            <w:tcBorders>
              <w:top w:val="single" w:sz="4" w:space="0" w:color="auto"/>
              <w:left w:val="nil"/>
              <w:bottom w:val="single" w:sz="4" w:space="0" w:color="auto"/>
              <w:right w:val="single" w:sz="4" w:space="0" w:color="000000"/>
            </w:tcBorders>
            <w:shd w:val="clear" w:color="auto" w:fill="auto"/>
            <w:noWrap/>
            <w:vAlign w:val="center"/>
            <w:hideMark/>
          </w:tcPr>
          <w:p w:rsidR="005C1944" w:rsidRPr="00AD5688" w:rsidRDefault="005C1944" w:rsidP="00592E25">
            <w:pPr>
              <w:spacing w:after="0" w:line="240" w:lineRule="auto"/>
              <w:jc w:val="center"/>
              <w:rPr>
                <w:rFonts w:ascii="Sylfaen" w:eastAsia="Times New Roman" w:hAnsi="Sylfaen" w:cs="Calibri"/>
                <w:b/>
                <w:bCs/>
                <w:color w:val="000000"/>
                <w:sz w:val="18"/>
                <w:szCs w:val="18"/>
              </w:rPr>
            </w:pPr>
            <w:r w:rsidRPr="00AD5688">
              <w:rPr>
                <w:rFonts w:ascii="Sylfaen" w:eastAsia="Times New Roman" w:hAnsi="Sylfaen" w:cs="Calibri"/>
                <w:b/>
                <w:bCs/>
                <w:color w:val="000000"/>
                <w:sz w:val="18"/>
                <w:szCs w:val="18"/>
              </w:rPr>
              <w:t>პროგრამული</w:t>
            </w:r>
          </w:p>
        </w:tc>
        <w:tc>
          <w:tcPr>
            <w:tcW w:w="2756" w:type="dxa"/>
            <w:gridSpan w:val="2"/>
            <w:tcBorders>
              <w:top w:val="single" w:sz="4" w:space="0" w:color="auto"/>
              <w:left w:val="nil"/>
              <w:bottom w:val="single" w:sz="4" w:space="0" w:color="auto"/>
              <w:right w:val="single" w:sz="4" w:space="0" w:color="000000"/>
            </w:tcBorders>
            <w:shd w:val="clear" w:color="auto" w:fill="auto"/>
            <w:noWrap/>
            <w:vAlign w:val="center"/>
            <w:hideMark/>
          </w:tcPr>
          <w:p w:rsidR="005C1944" w:rsidRPr="00DB60E4" w:rsidRDefault="005C1944" w:rsidP="00592E25">
            <w:pPr>
              <w:spacing w:after="0" w:line="240" w:lineRule="auto"/>
              <w:jc w:val="center"/>
              <w:rPr>
                <w:rFonts w:ascii="Sylfaen" w:eastAsia="Times New Roman" w:hAnsi="Sylfaen" w:cs="Calibri"/>
                <w:b/>
                <w:bCs/>
                <w:color w:val="000000"/>
                <w:sz w:val="18"/>
                <w:szCs w:val="18"/>
                <w:lang w:val="ka-GE"/>
              </w:rPr>
            </w:pPr>
            <w:r>
              <w:rPr>
                <w:rFonts w:ascii="Sylfaen" w:eastAsia="Times New Roman" w:hAnsi="Sylfaen" w:cs="Calibri"/>
                <w:b/>
                <w:bCs/>
                <w:color w:val="000000"/>
                <w:sz w:val="18"/>
                <w:szCs w:val="18"/>
                <w:lang w:val="ka-GE"/>
              </w:rPr>
              <w:t>საყოველთაო ჯანდაცვაში ინტეგრირებული N</w:t>
            </w:r>
            <w:r>
              <w:rPr>
                <w:rFonts w:ascii="Sylfaen" w:eastAsia="Times New Roman" w:hAnsi="Sylfaen" w:cs="Calibri"/>
                <w:b/>
                <w:bCs/>
                <w:color w:val="000000"/>
                <w:sz w:val="18"/>
                <w:szCs w:val="18"/>
              </w:rPr>
              <w:t>165</w:t>
            </w:r>
            <w:r>
              <w:rPr>
                <w:rFonts w:ascii="Sylfaen" w:eastAsia="Times New Roman" w:hAnsi="Sylfaen" w:cs="Calibri"/>
                <w:b/>
                <w:bCs/>
                <w:color w:val="000000"/>
                <w:sz w:val="18"/>
                <w:szCs w:val="18"/>
                <w:lang w:val="ka-GE"/>
              </w:rPr>
              <w:t xml:space="preserve"> დადგენილების ბენეფიციარები</w:t>
            </w:r>
          </w:p>
        </w:tc>
        <w:tc>
          <w:tcPr>
            <w:tcW w:w="242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5C1944" w:rsidRPr="00AD5688" w:rsidRDefault="005C1944" w:rsidP="00592E25">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lang w:val="ka-GE"/>
              </w:rPr>
              <w:t>საყოველთაო ჯანდაცვაში ინტეგრირებული N218 დადგენილების ბენეფიციარები</w:t>
            </w:r>
          </w:p>
        </w:tc>
        <w:tc>
          <w:tcPr>
            <w:tcW w:w="1981" w:type="dxa"/>
            <w:gridSpan w:val="2"/>
            <w:tcBorders>
              <w:top w:val="single" w:sz="4" w:space="0" w:color="auto"/>
              <w:left w:val="nil"/>
              <w:bottom w:val="single" w:sz="4" w:space="0" w:color="auto"/>
              <w:right w:val="single" w:sz="4" w:space="0" w:color="000000"/>
            </w:tcBorders>
            <w:shd w:val="clear" w:color="auto" w:fill="auto"/>
            <w:vAlign w:val="center"/>
            <w:hideMark/>
          </w:tcPr>
          <w:p w:rsidR="005C1944" w:rsidRPr="00AD5688" w:rsidRDefault="005C1944" w:rsidP="00592E25">
            <w:pPr>
              <w:spacing w:after="0" w:line="240" w:lineRule="auto"/>
              <w:jc w:val="center"/>
              <w:rPr>
                <w:rFonts w:ascii="Sylfaen" w:eastAsia="Times New Roman" w:hAnsi="Sylfaen" w:cs="Calibri"/>
                <w:b/>
                <w:bCs/>
                <w:color w:val="000000"/>
                <w:sz w:val="18"/>
                <w:szCs w:val="18"/>
              </w:rPr>
            </w:pPr>
            <w:r w:rsidRPr="00AD5688">
              <w:rPr>
                <w:rFonts w:ascii="Sylfaen" w:eastAsia="Times New Roman" w:hAnsi="Sylfaen" w:cs="Calibri"/>
                <w:b/>
                <w:bCs/>
                <w:color w:val="000000"/>
                <w:sz w:val="18"/>
                <w:szCs w:val="18"/>
              </w:rPr>
              <w:t>სასჯელაღსრულება</w:t>
            </w:r>
          </w:p>
        </w:tc>
        <w:tc>
          <w:tcPr>
            <w:tcW w:w="1080" w:type="dxa"/>
            <w:gridSpan w:val="2"/>
            <w:tcBorders>
              <w:top w:val="single" w:sz="4" w:space="0" w:color="auto"/>
              <w:left w:val="single" w:sz="4" w:space="0" w:color="auto"/>
              <w:bottom w:val="single" w:sz="4" w:space="0" w:color="000000"/>
              <w:right w:val="single" w:sz="4" w:space="0" w:color="auto"/>
            </w:tcBorders>
            <w:shd w:val="clear" w:color="auto" w:fill="auto"/>
            <w:vAlign w:val="center"/>
            <w:hideMark/>
          </w:tcPr>
          <w:p w:rsidR="005C1944" w:rsidRPr="00AD5688" w:rsidRDefault="005C1944" w:rsidP="00592E25">
            <w:pPr>
              <w:spacing w:after="0" w:line="240" w:lineRule="auto"/>
              <w:jc w:val="center"/>
              <w:rPr>
                <w:rFonts w:ascii="Sylfaen" w:eastAsia="Times New Roman" w:hAnsi="Sylfaen" w:cs="Calibri"/>
                <w:b/>
                <w:bCs/>
                <w:color w:val="000000"/>
                <w:sz w:val="18"/>
                <w:szCs w:val="18"/>
              </w:rPr>
            </w:pPr>
            <w:r w:rsidRPr="00AD5688">
              <w:rPr>
                <w:rFonts w:ascii="Sylfaen" w:eastAsia="Times New Roman" w:hAnsi="Sylfaen" w:cs="Calibri"/>
                <w:b/>
                <w:bCs/>
                <w:color w:val="000000"/>
                <w:sz w:val="18"/>
                <w:szCs w:val="18"/>
              </w:rPr>
              <w:t>სულ შემთხვევა</w:t>
            </w:r>
          </w:p>
        </w:tc>
        <w:tc>
          <w:tcPr>
            <w:tcW w:w="1080" w:type="dxa"/>
            <w:gridSpan w:val="2"/>
            <w:tcBorders>
              <w:top w:val="single" w:sz="4" w:space="0" w:color="auto"/>
              <w:left w:val="single" w:sz="4" w:space="0" w:color="auto"/>
              <w:bottom w:val="single" w:sz="4" w:space="0" w:color="000000"/>
              <w:right w:val="single" w:sz="4" w:space="0" w:color="auto"/>
            </w:tcBorders>
            <w:shd w:val="clear" w:color="auto" w:fill="auto"/>
            <w:vAlign w:val="center"/>
            <w:hideMark/>
          </w:tcPr>
          <w:p w:rsidR="005C1944" w:rsidRPr="00AD5688" w:rsidRDefault="005C1944" w:rsidP="00592E25">
            <w:pPr>
              <w:spacing w:after="0" w:line="240" w:lineRule="auto"/>
              <w:jc w:val="center"/>
              <w:rPr>
                <w:rFonts w:ascii="Sylfaen" w:eastAsia="Times New Roman" w:hAnsi="Sylfaen" w:cs="Calibri"/>
                <w:b/>
                <w:bCs/>
                <w:color w:val="000000"/>
                <w:sz w:val="18"/>
                <w:szCs w:val="18"/>
              </w:rPr>
            </w:pPr>
            <w:r w:rsidRPr="00AD5688">
              <w:rPr>
                <w:rFonts w:ascii="Sylfaen" w:eastAsia="Times New Roman" w:hAnsi="Sylfaen" w:cs="Calibri"/>
                <w:b/>
                <w:bCs/>
                <w:color w:val="000000"/>
                <w:sz w:val="18"/>
                <w:szCs w:val="18"/>
              </w:rPr>
              <w:t>სულ ბიუჯეტი</w:t>
            </w:r>
          </w:p>
        </w:tc>
      </w:tr>
      <w:tr w:rsidR="005C1944" w:rsidRPr="00AD5688" w:rsidTr="005C1944">
        <w:trPr>
          <w:gridAfter w:val="1"/>
          <w:wAfter w:w="14" w:type="dxa"/>
          <w:trHeight w:val="510"/>
        </w:trPr>
        <w:tc>
          <w:tcPr>
            <w:tcW w:w="1814" w:type="dxa"/>
            <w:tcBorders>
              <w:top w:val="nil"/>
              <w:left w:val="single" w:sz="4" w:space="0" w:color="auto"/>
              <w:bottom w:val="single" w:sz="4" w:space="0" w:color="auto"/>
              <w:right w:val="single" w:sz="4" w:space="0" w:color="auto"/>
            </w:tcBorders>
            <w:shd w:val="clear" w:color="auto" w:fill="auto"/>
            <w:noWrap/>
            <w:vAlign w:val="bottom"/>
            <w:hideMark/>
          </w:tcPr>
          <w:p w:rsidR="005C1944" w:rsidRPr="00AD5688" w:rsidRDefault="005C1944" w:rsidP="00592E25">
            <w:pPr>
              <w:spacing w:after="0" w:line="240" w:lineRule="auto"/>
              <w:rPr>
                <w:rFonts w:ascii="Sylfaen" w:eastAsia="Times New Roman" w:hAnsi="Sylfaen" w:cs="Calibri"/>
                <w:color w:val="000000"/>
                <w:sz w:val="18"/>
                <w:szCs w:val="18"/>
              </w:rPr>
            </w:pPr>
            <w:r w:rsidRPr="00AD5688">
              <w:rPr>
                <w:rFonts w:ascii="Sylfaen" w:eastAsia="Times New Roman" w:hAnsi="Sylfaen" w:cs="Calibri"/>
                <w:color w:val="000000"/>
                <w:sz w:val="18"/>
                <w:szCs w:val="18"/>
              </w:rPr>
              <w:t> </w:t>
            </w:r>
          </w:p>
        </w:tc>
        <w:tc>
          <w:tcPr>
            <w:tcW w:w="865" w:type="dxa"/>
            <w:tcBorders>
              <w:top w:val="nil"/>
              <w:left w:val="nil"/>
              <w:bottom w:val="single" w:sz="4" w:space="0" w:color="auto"/>
              <w:right w:val="single" w:sz="4" w:space="0" w:color="auto"/>
            </w:tcBorders>
            <w:shd w:val="clear" w:color="auto" w:fill="auto"/>
            <w:vAlign w:val="center"/>
            <w:hideMark/>
          </w:tcPr>
          <w:p w:rsidR="005C1944" w:rsidRPr="00AD5688" w:rsidRDefault="005C1944" w:rsidP="00592E25">
            <w:pPr>
              <w:spacing w:after="0" w:line="240" w:lineRule="auto"/>
              <w:jc w:val="center"/>
              <w:rPr>
                <w:rFonts w:ascii="Sylfaen" w:eastAsia="Times New Roman" w:hAnsi="Sylfaen" w:cs="Calibri"/>
                <w:b/>
                <w:bCs/>
                <w:color w:val="000000"/>
                <w:sz w:val="18"/>
                <w:szCs w:val="18"/>
              </w:rPr>
            </w:pPr>
            <w:proofErr w:type="gramStart"/>
            <w:r w:rsidRPr="00AD5688">
              <w:rPr>
                <w:rFonts w:ascii="Sylfaen" w:eastAsia="Times New Roman" w:hAnsi="Sylfaen" w:cs="Calibri"/>
                <w:b/>
                <w:bCs/>
                <w:color w:val="000000"/>
                <w:sz w:val="18"/>
                <w:szCs w:val="18"/>
              </w:rPr>
              <w:t>შემთხვ</w:t>
            </w:r>
            <w:proofErr w:type="gramEnd"/>
            <w:r w:rsidRPr="00AD5688">
              <w:rPr>
                <w:rFonts w:ascii="Sylfaen" w:eastAsia="Times New Roman" w:hAnsi="Sylfaen" w:cs="Calibri"/>
                <w:b/>
                <w:bCs/>
                <w:color w:val="000000"/>
                <w:sz w:val="18"/>
                <w:szCs w:val="18"/>
              </w:rPr>
              <w:t>. N</w:t>
            </w:r>
          </w:p>
        </w:tc>
        <w:tc>
          <w:tcPr>
            <w:tcW w:w="1060" w:type="dxa"/>
            <w:tcBorders>
              <w:top w:val="nil"/>
              <w:left w:val="nil"/>
              <w:bottom w:val="single" w:sz="4" w:space="0" w:color="auto"/>
              <w:right w:val="single" w:sz="4" w:space="0" w:color="auto"/>
            </w:tcBorders>
            <w:shd w:val="clear" w:color="auto" w:fill="auto"/>
            <w:vAlign w:val="center"/>
            <w:hideMark/>
          </w:tcPr>
          <w:p w:rsidR="005C1944" w:rsidRPr="00AD5688" w:rsidRDefault="005C1944" w:rsidP="00592E25">
            <w:pPr>
              <w:spacing w:after="0" w:line="240" w:lineRule="auto"/>
              <w:jc w:val="center"/>
              <w:rPr>
                <w:rFonts w:ascii="Sylfaen" w:eastAsia="Times New Roman" w:hAnsi="Sylfaen" w:cs="Calibri"/>
                <w:b/>
                <w:bCs/>
                <w:color w:val="000000"/>
                <w:sz w:val="18"/>
                <w:szCs w:val="18"/>
              </w:rPr>
            </w:pPr>
            <w:r w:rsidRPr="00AD5688">
              <w:rPr>
                <w:rFonts w:ascii="Sylfaen" w:eastAsia="Times New Roman" w:hAnsi="Sylfaen" w:cs="Calibri"/>
                <w:b/>
                <w:bCs/>
                <w:color w:val="000000"/>
                <w:sz w:val="18"/>
                <w:szCs w:val="18"/>
              </w:rPr>
              <w:t>ბიუჯეტი (ლარი)</w:t>
            </w:r>
          </w:p>
        </w:tc>
        <w:tc>
          <w:tcPr>
            <w:tcW w:w="1046" w:type="dxa"/>
            <w:tcBorders>
              <w:top w:val="nil"/>
              <w:left w:val="nil"/>
              <w:bottom w:val="single" w:sz="4" w:space="0" w:color="auto"/>
              <w:right w:val="single" w:sz="4" w:space="0" w:color="auto"/>
            </w:tcBorders>
            <w:shd w:val="clear" w:color="auto" w:fill="auto"/>
            <w:vAlign w:val="center"/>
            <w:hideMark/>
          </w:tcPr>
          <w:p w:rsidR="005C1944" w:rsidRPr="00AD5688" w:rsidRDefault="005C1944" w:rsidP="00592E25">
            <w:pPr>
              <w:spacing w:after="0" w:line="240" w:lineRule="auto"/>
              <w:jc w:val="center"/>
              <w:rPr>
                <w:rFonts w:ascii="Sylfaen" w:eastAsia="Times New Roman" w:hAnsi="Sylfaen" w:cs="Calibri"/>
                <w:b/>
                <w:bCs/>
                <w:color w:val="000000"/>
                <w:sz w:val="18"/>
                <w:szCs w:val="18"/>
              </w:rPr>
            </w:pPr>
            <w:proofErr w:type="gramStart"/>
            <w:r w:rsidRPr="00AD5688">
              <w:rPr>
                <w:rFonts w:ascii="Sylfaen" w:eastAsia="Times New Roman" w:hAnsi="Sylfaen" w:cs="Calibri"/>
                <w:b/>
                <w:bCs/>
                <w:color w:val="000000"/>
                <w:sz w:val="18"/>
                <w:szCs w:val="18"/>
              </w:rPr>
              <w:t>შემთხვ</w:t>
            </w:r>
            <w:proofErr w:type="gramEnd"/>
            <w:r w:rsidRPr="00AD5688">
              <w:rPr>
                <w:rFonts w:ascii="Sylfaen" w:eastAsia="Times New Roman" w:hAnsi="Sylfaen" w:cs="Calibri"/>
                <w:b/>
                <w:bCs/>
                <w:color w:val="000000"/>
                <w:sz w:val="18"/>
                <w:szCs w:val="18"/>
              </w:rPr>
              <w:t>. N</w:t>
            </w:r>
          </w:p>
        </w:tc>
        <w:tc>
          <w:tcPr>
            <w:tcW w:w="1710" w:type="dxa"/>
            <w:tcBorders>
              <w:top w:val="nil"/>
              <w:left w:val="nil"/>
              <w:bottom w:val="single" w:sz="4" w:space="0" w:color="auto"/>
              <w:right w:val="single" w:sz="4" w:space="0" w:color="auto"/>
            </w:tcBorders>
            <w:shd w:val="clear" w:color="auto" w:fill="auto"/>
            <w:vAlign w:val="center"/>
            <w:hideMark/>
          </w:tcPr>
          <w:p w:rsidR="005C1944" w:rsidRPr="00AD5688" w:rsidRDefault="005C1944" w:rsidP="00592E25">
            <w:pPr>
              <w:spacing w:after="0" w:line="240" w:lineRule="auto"/>
              <w:jc w:val="center"/>
              <w:rPr>
                <w:rFonts w:ascii="Sylfaen" w:eastAsia="Times New Roman" w:hAnsi="Sylfaen" w:cs="Calibri"/>
                <w:b/>
                <w:bCs/>
                <w:color w:val="000000"/>
                <w:sz w:val="18"/>
                <w:szCs w:val="18"/>
              </w:rPr>
            </w:pPr>
            <w:r w:rsidRPr="00AD5688">
              <w:rPr>
                <w:rFonts w:ascii="Sylfaen" w:eastAsia="Times New Roman" w:hAnsi="Sylfaen" w:cs="Calibri"/>
                <w:b/>
                <w:bCs/>
                <w:color w:val="000000"/>
                <w:sz w:val="18"/>
                <w:szCs w:val="18"/>
              </w:rPr>
              <w:t>ბიუჯეტი (ლარი)</w:t>
            </w:r>
          </w:p>
        </w:tc>
        <w:tc>
          <w:tcPr>
            <w:tcW w:w="1170" w:type="dxa"/>
            <w:tcBorders>
              <w:top w:val="nil"/>
              <w:left w:val="nil"/>
              <w:bottom w:val="single" w:sz="4" w:space="0" w:color="auto"/>
              <w:right w:val="single" w:sz="4" w:space="0" w:color="auto"/>
            </w:tcBorders>
            <w:shd w:val="clear" w:color="auto" w:fill="auto"/>
            <w:vAlign w:val="center"/>
            <w:hideMark/>
          </w:tcPr>
          <w:p w:rsidR="005C1944" w:rsidRPr="00AD5688" w:rsidRDefault="005C1944" w:rsidP="00592E25">
            <w:pPr>
              <w:spacing w:after="0" w:line="240" w:lineRule="auto"/>
              <w:jc w:val="center"/>
              <w:rPr>
                <w:rFonts w:ascii="Sylfaen" w:eastAsia="Times New Roman" w:hAnsi="Sylfaen" w:cs="Calibri"/>
                <w:b/>
                <w:bCs/>
                <w:color w:val="000000"/>
                <w:sz w:val="18"/>
                <w:szCs w:val="18"/>
              </w:rPr>
            </w:pPr>
            <w:proofErr w:type="gramStart"/>
            <w:r w:rsidRPr="00AD5688">
              <w:rPr>
                <w:rFonts w:ascii="Sylfaen" w:eastAsia="Times New Roman" w:hAnsi="Sylfaen" w:cs="Calibri"/>
                <w:b/>
                <w:bCs/>
                <w:color w:val="000000"/>
                <w:sz w:val="18"/>
                <w:szCs w:val="18"/>
              </w:rPr>
              <w:t>შემთხვ</w:t>
            </w:r>
            <w:proofErr w:type="gramEnd"/>
            <w:r w:rsidRPr="00AD5688">
              <w:rPr>
                <w:rFonts w:ascii="Sylfaen" w:eastAsia="Times New Roman" w:hAnsi="Sylfaen" w:cs="Calibri"/>
                <w:b/>
                <w:bCs/>
                <w:color w:val="000000"/>
                <w:sz w:val="18"/>
                <w:szCs w:val="18"/>
              </w:rPr>
              <w:t>. N</w:t>
            </w:r>
          </w:p>
        </w:tc>
        <w:tc>
          <w:tcPr>
            <w:tcW w:w="1259" w:type="dxa"/>
            <w:tcBorders>
              <w:top w:val="nil"/>
              <w:left w:val="nil"/>
              <w:bottom w:val="single" w:sz="4" w:space="0" w:color="auto"/>
              <w:right w:val="single" w:sz="4" w:space="0" w:color="auto"/>
            </w:tcBorders>
            <w:shd w:val="clear" w:color="auto" w:fill="auto"/>
            <w:vAlign w:val="center"/>
            <w:hideMark/>
          </w:tcPr>
          <w:p w:rsidR="005C1944" w:rsidRPr="00AD5688" w:rsidRDefault="005C1944" w:rsidP="00592E25">
            <w:pPr>
              <w:spacing w:after="0" w:line="240" w:lineRule="auto"/>
              <w:jc w:val="center"/>
              <w:rPr>
                <w:rFonts w:ascii="Sylfaen" w:eastAsia="Times New Roman" w:hAnsi="Sylfaen" w:cs="Calibri"/>
                <w:b/>
                <w:bCs/>
                <w:color w:val="000000"/>
                <w:sz w:val="18"/>
                <w:szCs w:val="18"/>
              </w:rPr>
            </w:pPr>
            <w:r w:rsidRPr="00AD5688">
              <w:rPr>
                <w:rFonts w:ascii="Sylfaen" w:eastAsia="Times New Roman" w:hAnsi="Sylfaen" w:cs="Calibri"/>
                <w:b/>
                <w:bCs/>
                <w:color w:val="000000"/>
                <w:sz w:val="18"/>
                <w:szCs w:val="18"/>
              </w:rPr>
              <w:t>ბიუჯეტი (ლარი)</w:t>
            </w:r>
          </w:p>
        </w:tc>
        <w:tc>
          <w:tcPr>
            <w:tcW w:w="861" w:type="dxa"/>
            <w:tcBorders>
              <w:top w:val="nil"/>
              <w:left w:val="nil"/>
              <w:bottom w:val="single" w:sz="4" w:space="0" w:color="auto"/>
              <w:right w:val="single" w:sz="4" w:space="0" w:color="auto"/>
            </w:tcBorders>
            <w:shd w:val="clear" w:color="auto" w:fill="auto"/>
            <w:vAlign w:val="center"/>
            <w:hideMark/>
          </w:tcPr>
          <w:p w:rsidR="005C1944" w:rsidRPr="00AD5688" w:rsidRDefault="005C1944" w:rsidP="00592E25">
            <w:pPr>
              <w:spacing w:after="0" w:line="240" w:lineRule="auto"/>
              <w:jc w:val="center"/>
              <w:rPr>
                <w:rFonts w:ascii="Sylfaen" w:eastAsia="Times New Roman" w:hAnsi="Sylfaen" w:cs="Calibri"/>
                <w:b/>
                <w:bCs/>
                <w:color w:val="000000"/>
                <w:sz w:val="18"/>
                <w:szCs w:val="18"/>
              </w:rPr>
            </w:pPr>
            <w:proofErr w:type="gramStart"/>
            <w:r w:rsidRPr="00AD5688">
              <w:rPr>
                <w:rFonts w:ascii="Sylfaen" w:eastAsia="Times New Roman" w:hAnsi="Sylfaen" w:cs="Calibri"/>
                <w:b/>
                <w:bCs/>
                <w:color w:val="000000"/>
                <w:sz w:val="18"/>
                <w:szCs w:val="18"/>
              </w:rPr>
              <w:t>შემთხვ</w:t>
            </w:r>
            <w:proofErr w:type="gramEnd"/>
            <w:r w:rsidRPr="00AD5688">
              <w:rPr>
                <w:rFonts w:ascii="Sylfaen" w:eastAsia="Times New Roman" w:hAnsi="Sylfaen" w:cs="Calibri"/>
                <w:b/>
                <w:bCs/>
                <w:color w:val="000000"/>
                <w:sz w:val="18"/>
                <w:szCs w:val="18"/>
              </w:rPr>
              <w:t>. N</w:t>
            </w:r>
          </w:p>
        </w:tc>
        <w:tc>
          <w:tcPr>
            <w:tcW w:w="1120" w:type="dxa"/>
            <w:tcBorders>
              <w:top w:val="nil"/>
              <w:left w:val="nil"/>
              <w:bottom w:val="single" w:sz="4" w:space="0" w:color="auto"/>
              <w:right w:val="single" w:sz="4" w:space="0" w:color="auto"/>
            </w:tcBorders>
            <w:shd w:val="clear" w:color="auto" w:fill="auto"/>
            <w:vAlign w:val="center"/>
            <w:hideMark/>
          </w:tcPr>
          <w:p w:rsidR="005C1944" w:rsidRPr="00AD5688" w:rsidRDefault="005C1944" w:rsidP="00592E25">
            <w:pPr>
              <w:spacing w:after="0" w:line="240" w:lineRule="auto"/>
              <w:jc w:val="center"/>
              <w:rPr>
                <w:rFonts w:ascii="Sylfaen" w:eastAsia="Times New Roman" w:hAnsi="Sylfaen" w:cs="Calibri"/>
                <w:b/>
                <w:bCs/>
                <w:color w:val="000000"/>
                <w:sz w:val="18"/>
                <w:szCs w:val="18"/>
              </w:rPr>
            </w:pPr>
            <w:r w:rsidRPr="00AD5688">
              <w:rPr>
                <w:rFonts w:ascii="Sylfaen" w:eastAsia="Times New Roman" w:hAnsi="Sylfaen" w:cs="Calibri"/>
                <w:b/>
                <w:bCs/>
                <w:color w:val="000000"/>
                <w:sz w:val="18"/>
                <w:szCs w:val="18"/>
              </w:rPr>
              <w:t>ბიუჯეტი (ლარი)</w:t>
            </w:r>
          </w:p>
        </w:tc>
        <w:tc>
          <w:tcPr>
            <w:tcW w:w="1066" w:type="dxa"/>
            <w:tcBorders>
              <w:top w:val="single" w:sz="4" w:space="0" w:color="auto"/>
              <w:left w:val="single" w:sz="4" w:space="0" w:color="auto"/>
              <w:bottom w:val="single" w:sz="4" w:space="0" w:color="000000"/>
              <w:right w:val="single" w:sz="4" w:space="0" w:color="auto"/>
            </w:tcBorders>
            <w:vAlign w:val="center"/>
            <w:hideMark/>
          </w:tcPr>
          <w:p w:rsidR="005C1944" w:rsidRPr="00AD5688" w:rsidRDefault="005C1944" w:rsidP="00592E25">
            <w:pPr>
              <w:spacing w:after="0" w:line="240" w:lineRule="auto"/>
              <w:rPr>
                <w:rFonts w:ascii="Sylfaen" w:eastAsia="Times New Roman" w:hAnsi="Sylfaen" w:cs="Calibri"/>
                <w:b/>
                <w:bCs/>
                <w:color w:val="000000"/>
                <w:sz w:val="18"/>
                <w:szCs w:val="18"/>
              </w:rPr>
            </w:pPr>
          </w:p>
        </w:tc>
        <w:tc>
          <w:tcPr>
            <w:tcW w:w="1080" w:type="dxa"/>
            <w:gridSpan w:val="2"/>
            <w:tcBorders>
              <w:top w:val="single" w:sz="4" w:space="0" w:color="auto"/>
              <w:left w:val="single" w:sz="4" w:space="0" w:color="auto"/>
              <w:bottom w:val="single" w:sz="4" w:space="0" w:color="000000"/>
              <w:right w:val="single" w:sz="4" w:space="0" w:color="auto"/>
            </w:tcBorders>
            <w:vAlign w:val="center"/>
            <w:hideMark/>
          </w:tcPr>
          <w:p w:rsidR="005C1944" w:rsidRPr="00AD5688" w:rsidRDefault="005C1944" w:rsidP="00592E25">
            <w:pPr>
              <w:spacing w:after="0" w:line="240" w:lineRule="auto"/>
              <w:rPr>
                <w:rFonts w:ascii="Sylfaen" w:eastAsia="Times New Roman" w:hAnsi="Sylfaen" w:cs="Calibri"/>
                <w:b/>
                <w:bCs/>
                <w:color w:val="000000"/>
                <w:sz w:val="18"/>
                <w:szCs w:val="18"/>
              </w:rPr>
            </w:pPr>
          </w:p>
        </w:tc>
      </w:tr>
      <w:tr w:rsidR="005C1944" w:rsidRPr="00AD5688" w:rsidTr="005C1944">
        <w:trPr>
          <w:gridAfter w:val="1"/>
          <w:wAfter w:w="14" w:type="dxa"/>
          <w:trHeight w:val="300"/>
        </w:trPr>
        <w:tc>
          <w:tcPr>
            <w:tcW w:w="1814" w:type="dxa"/>
            <w:tcBorders>
              <w:top w:val="nil"/>
              <w:left w:val="single" w:sz="4" w:space="0" w:color="auto"/>
              <w:bottom w:val="single" w:sz="4" w:space="0" w:color="auto"/>
              <w:right w:val="single" w:sz="4" w:space="0" w:color="auto"/>
            </w:tcBorders>
            <w:shd w:val="clear" w:color="auto" w:fill="auto"/>
            <w:noWrap/>
            <w:vAlign w:val="bottom"/>
            <w:hideMark/>
          </w:tcPr>
          <w:p w:rsidR="005C1944" w:rsidRPr="00AD5688" w:rsidRDefault="005C1944" w:rsidP="00592E25">
            <w:pPr>
              <w:spacing w:after="0" w:line="240" w:lineRule="auto"/>
              <w:rPr>
                <w:rFonts w:ascii="Sylfaen" w:eastAsia="Times New Roman" w:hAnsi="Sylfaen" w:cs="Calibri"/>
                <w:color w:val="000000"/>
                <w:sz w:val="18"/>
                <w:szCs w:val="18"/>
              </w:rPr>
            </w:pPr>
            <w:r w:rsidRPr="00AD5688">
              <w:rPr>
                <w:rFonts w:ascii="Sylfaen" w:eastAsia="Times New Roman" w:hAnsi="Sylfaen" w:cs="Calibri"/>
                <w:color w:val="000000"/>
                <w:sz w:val="18"/>
                <w:szCs w:val="18"/>
              </w:rPr>
              <w:t>2013 წ. დეკემბერი</w:t>
            </w:r>
          </w:p>
        </w:tc>
        <w:tc>
          <w:tcPr>
            <w:tcW w:w="865" w:type="dxa"/>
            <w:tcBorders>
              <w:top w:val="nil"/>
              <w:left w:val="nil"/>
              <w:bottom w:val="single" w:sz="4" w:space="0" w:color="auto"/>
              <w:right w:val="single" w:sz="4" w:space="0" w:color="auto"/>
            </w:tcBorders>
            <w:shd w:val="clear" w:color="auto" w:fill="auto"/>
            <w:vAlign w:val="bottom"/>
            <w:hideMark/>
          </w:tcPr>
          <w:p w:rsidR="005C1944" w:rsidRPr="00AD5688" w:rsidRDefault="005C1944" w:rsidP="00592E25">
            <w:pPr>
              <w:spacing w:after="0" w:line="240" w:lineRule="auto"/>
              <w:rPr>
                <w:rFonts w:ascii="Sylfaen" w:eastAsia="Times New Roman" w:hAnsi="Sylfaen" w:cs="Calibri"/>
                <w:b/>
                <w:bCs/>
                <w:color w:val="000000"/>
                <w:sz w:val="18"/>
                <w:szCs w:val="18"/>
              </w:rPr>
            </w:pPr>
            <w:r w:rsidRPr="00AD5688">
              <w:rPr>
                <w:rFonts w:ascii="Sylfaen" w:eastAsia="Times New Roman" w:hAnsi="Sylfaen" w:cs="Calibri"/>
                <w:b/>
                <w:bCs/>
                <w:color w:val="000000"/>
                <w:sz w:val="18"/>
                <w:szCs w:val="18"/>
              </w:rPr>
              <w:t> </w:t>
            </w:r>
          </w:p>
        </w:tc>
        <w:tc>
          <w:tcPr>
            <w:tcW w:w="1060" w:type="dxa"/>
            <w:tcBorders>
              <w:top w:val="nil"/>
              <w:left w:val="nil"/>
              <w:bottom w:val="single" w:sz="4" w:space="0" w:color="auto"/>
              <w:right w:val="single" w:sz="4" w:space="0" w:color="auto"/>
            </w:tcBorders>
            <w:shd w:val="clear" w:color="auto" w:fill="auto"/>
            <w:vAlign w:val="bottom"/>
            <w:hideMark/>
          </w:tcPr>
          <w:p w:rsidR="005C1944" w:rsidRPr="00AD5688" w:rsidRDefault="005C1944" w:rsidP="00592E25">
            <w:pPr>
              <w:spacing w:after="0" w:line="240" w:lineRule="auto"/>
              <w:jc w:val="center"/>
              <w:rPr>
                <w:rFonts w:ascii="Sylfaen" w:eastAsia="Times New Roman" w:hAnsi="Sylfaen" w:cs="Calibri"/>
                <w:b/>
                <w:bCs/>
                <w:color w:val="000000"/>
                <w:sz w:val="18"/>
                <w:szCs w:val="18"/>
              </w:rPr>
            </w:pPr>
            <w:r w:rsidRPr="00AD5688">
              <w:rPr>
                <w:rFonts w:ascii="Sylfaen" w:eastAsia="Times New Roman" w:hAnsi="Sylfaen" w:cs="Calibri"/>
                <w:b/>
                <w:bCs/>
                <w:color w:val="000000"/>
                <w:sz w:val="18"/>
                <w:szCs w:val="18"/>
              </w:rPr>
              <w:t> </w:t>
            </w:r>
          </w:p>
        </w:tc>
        <w:tc>
          <w:tcPr>
            <w:tcW w:w="1046" w:type="dxa"/>
            <w:tcBorders>
              <w:top w:val="nil"/>
              <w:left w:val="nil"/>
              <w:bottom w:val="single" w:sz="4" w:space="0" w:color="auto"/>
              <w:right w:val="single" w:sz="4" w:space="0" w:color="auto"/>
            </w:tcBorders>
            <w:shd w:val="clear" w:color="auto" w:fill="auto"/>
            <w:vAlign w:val="bottom"/>
            <w:hideMark/>
          </w:tcPr>
          <w:p w:rsidR="005C1944" w:rsidRPr="00AD5688" w:rsidRDefault="005C1944" w:rsidP="00592E25">
            <w:pPr>
              <w:spacing w:after="0" w:line="240" w:lineRule="auto"/>
              <w:rPr>
                <w:rFonts w:ascii="Sylfaen" w:eastAsia="Times New Roman" w:hAnsi="Sylfaen" w:cs="Calibri"/>
                <w:b/>
                <w:bCs/>
                <w:color w:val="000000"/>
                <w:sz w:val="18"/>
                <w:szCs w:val="18"/>
              </w:rPr>
            </w:pPr>
            <w:r w:rsidRPr="00AD5688">
              <w:rPr>
                <w:rFonts w:ascii="Sylfaen" w:eastAsia="Times New Roman" w:hAnsi="Sylfaen" w:cs="Calibri"/>
                <w:b/>
                <w:bCs/>
                <w:color w:val="000000"/>
                <w:sz w:val="18"/>
                <w:szCs w:val="18"/>
              </w:rPr>
              <w:t> </w:t>
            </w:r>
          </w:p>
        </w:tc>
        <w:tc>
          <w:tcPr>
            <w:tcW w:w="1710" w:type="dxa"/>
            <w:tcBorders>
              <w:top w:val="nil"/>
              <w:left w:val="nil"/>
              <w:bottom w:val="single" w:sz="4" w:space="0" w:color="auto"/>
              <w:right w:val="single" w:sz="4" w:space="0" w:color="auto"/>
            </w:tcBorders>
            <w:shd w:val="clear" w:color="auto" w:fill="auto"/>
            <w:vAlign w:val="bottom"/>
            <w:hideMark/>
          </w:tcPr>
          <w:p w:rsidR="005C1944" w:rsidRPr="00AD5688" w:rsidRDefault="005C1944" w:rsidP="00592E25">
            <w:pPr>
              <w:spacing w:after="0" w:line="240" w:lineRule="auto"/>
              <w:jc w:val="center"/>
              <w:rPr>
                <w:rFonts w:ascii="Sylfaen" w:eastAsia="Times New Roman" w:hAnsi="Sylfaen" w:cs="Calibri"/>
                <w:b/>
                <w:bCs/>
                <w:color w:val="000000"/>
                <w:sz w:val="18"/>
                <w:szCs w:val="18"/>
              </w:rPr>
            </w:pPr>
            <w:r w:rsidRPr="00AD5688">
              <w:rPr>
                <w:rFonts w:ascii="Sylfaen" w:eastAsia="Times New Roman" w:hAnsi="Sylfaen" w:cs="Calibri"/>
                <w:b/>
                <w:bCs/>
                <w:color w:val="000000"/>
                <w:sz w:val="18"/>
                <w:szCs w:val="18"/>
              </w:rPr>
              <w:t> </w:t>
            </w:r>
          </w:p>
        </w:tc>
        <w:tc>
          <w:tcPr>
            <w:tcW w:w="1170" w:type="dxa"/>
            <w:tcBorders>
              <w:top w:val="nil"/>
              <w:left w:val="nil"/>
              <w:bottom w:val="single" w:sz="4" w:space="0" w:color="auto"/>
              <w:right w:val="single" w:sz="4" w:space="0" w:color="auto"/>
            </w:tcBorders>
            <w:shd w:val="clear" w:color="auto" w:fill="auto"/>
            <w:vAlign w:val="bottom"/>
            <w:hideMark/>
          </w:tcPr>
          <w:p w:rsidR="005C1944" w:rsidRPr="00AD5688" w:rsidRDefault="005C1944" w:rsidP="00592E25">
            <w:pPr>
              <w:spacing w:after="0" w:line="240" w:lineRule="auto"/>
              <w:rPr>
                <w:rFonts w:ascii="Sylfaen" w:eastAsia="Times New Roman" w:hAnsi="Sylfaen" w:cs="Calibri"/>
                <w:b/>
                <w:bCs/>
                <w:color w:val="000000"/>
                <w:sz w:val="18"/>
                <w:szCs w:val="18"/>
              </w:rPr>
            </w:pPr>
            <w:r w:rsidRPr="00AD5688">
              <w:rPr>
                <w:rFonts w:ascii="Sylfaen" w:eastAsia="Times New Roman" w:hAnsi="Sylfaen" w:cs="Calibri"/>
                <w:b/>
                <w:bCs/>
                <w:color w:val="000000"/>
                <w:sz w:val="18"/>
                <w:szCs w:val="18"/>
              </w:rPr>
              <w:t> </w:t>
            </w:r>
          </w:p>
        </w:tc>
        <w:tc>
          <w:tcPr>
            <w:tcW w:w="1259" w:type="dxa"/>
            <w:tcBorders>
              <w:top w:val="nil"/>
              <w:left w:val="nil"/>
              <w:bottom w:val="single" w:sz="4" w:space="0" w:color="auto"/>
              <w:right w:val="single" w:sz="4" w:space="0" w:color="auto"/>
            </w:tcBorders>
            <w:shd w:val="clear" w:color="auto" w:fill="auto"/>
            <w:vAlign w:val="bottom"/>
            <w:hideMark/>
          </w:tcPr>
          <w:p w:rsidR="005C1944" w:rsidRPr="00AD5688" w:rsidRDefault="005C1944" w:rsidP="00592E25">
            <w:pPr>
              <w:spacing w:after="0" w:line="240" w:lineRule="auto"/>
              <w:jc w:val="center"/>
              <w:rPr>
                <w:rFonts w:ascii="Sylfaen" w:eastAsia="Times New Roman" w:hAnsi="Sylfaen" w:cs="Calibri"/>
                <w:b/>
                <w:bCs/>
                <w:color w:val="000000"/>
                <w:sz w:val="18"/>
                <w:szCs w:val="18"/>
              </w:rPr>
            </w:pPr>
            <w:r w:rsidRPr="00AD5688">
              <w:rPr>
                <w:rFonts w:ascii="Sylfaen" w:eastAsia="Times New Roman" w:hAnsi="Sylfaen" w:cs="Calibri"/>
                <w:b/>
                <w:bCs/>
                <w:color w:val="000000"/>
                <w:sz w:val="18"/>
                <w:szCs w:val="18"/>
              </w:rPr>
              <w:t> </w:t>
            </w:r>
          </w:p>
        </w:tc>
        <w:tc>
          <w:tcPr>
            <w:tcW w:w="861" w:type="dxa"/>
            <w:tcBorders>
              <w:top w:val="nil"/>
              <w:left w:val="nil"/>
              <w:bottom w:val="single" w:sz="4" w:space="0" w:color="auto"/>
              <w:right w:val="single" w:sz="4" w:space="0" w:color="auto"/>
            </w:tcBorders>
            <w:shd w:val="clear" w:color="auto" w:fill="auto"/>
            <w:vAlign w:val="bottom"/>
            <w:hideMark/>
          </w:tcPr>
          <w:p w:rsidR="005C1944" w:rsidRPr="00AD5688" w:rsidRDefault="005C1944" w:rsidP="00592E25">
            <w:pPr>
              <w:spacing w:after="0" w:line="240" w:lineRule="auto"/>
              <w:rPr>
                <w:rFonts w:ascii="Sylfaen" w:eastAsia="Times New Roman" w:hAnsi="Sylfaen" w:cs="Calibri"/>
                <w:b/>
                <w:bCs/>
                <w:color w:val="000000"/>
                <w:sz w:val="18"/>
                <w:szCs w:val="18"/>
              </w:rPr>
            </w:pPr>
            <w:r w:rsidRPr="00AD5688">
              <w:rPr>
                <w:rFonts w:ascii="Sylfaen" w:eastAsia="Times New Roman" w:hAnsi="Sylfaen" w:cs="Calibri"/>
                <w:b/>
                <w:bCs/>
                <w:color w:val="000000"/>
                <w:sz w:val="18"/>
                <w:szCs w:val="18"/>
              </w:rPr>
              <w:t> </w:t>
            </w:r>
          </w:p>
        </w:tc>
        <w:tc>
          <w:tcPr>
            <w:tcW w:w="1120" w:type="dxa"/>
            <w:tcBorders>
              <w:top w:val="nil"/>
              <w:left w:val="nil"/>
              <w:bottom w:val="single" w:sz="4" w:space="0" w:color="auto"/>
              <w:right w:val="single" w:sz="4" w:space="0" w:color="auto"/>
            </w:tcBorders>
            <w:shd w:val="clear" w:color="auto" w:fill="auto"/>
            <w:vAlign w:val="bottom"/>
            <w:hideMark/>
          </w:tcPr>
          <w:p w:rsidR="005C1944" w:rsidRPr="00AD5688" w:rsidRDefault="005C1944" w:rsidP="00592E25">
            <w:pPr>
              <w:spacing w:after="0" w:line="240" w:lineRule="auto"/>
              <w:jc w:val="center"/>
              <w:rPr>
                <w:rFonts w:ascii="Sylfaen" w:eastAsia="Times New Roman" w:hAnsi="Sylfaen" w:cs="Calibri"/>
                <w:b/>
                <w:bCs/>
                <w:color w:val="000000"/>
                <w:sz w:val="18"/>
                <w:szCs w:val="18"/>
              </w:rPr>
            </w:pPr>
            <w:r w:rsidRPr="00AD5688">
              <w:rPr>
                <w:rFonts w:ascii="Sylfaen" w:eastAsia="Times New Roman" w:hAnsi="Sylfaen" w:cs="Calibri"/>
                <w:b/>
                <w:bCs/>
                <w:color w:val="000000"/>
                <w:sz w:val="18"/>
                <w:szCs w:val="18"/>
              </w:rPr>
              <w:t> </w:t>
            </w:r>
          </w:p>
        </w:tc>
        <w:tc>
          <w:tcPr>
            <w:tcW w:w="1066" w:type="dxa"/>
            <w:tcBorders>
              <w:top w:val="nil"/>
              <w:left w:val="nil"/>
              <w:bottom w:val="single" w:sz="4" w:space="0" w:color="auto"/>
              <w:right w:val="single" w:sz="4" w:space="0" w:color="auto"/>
            </w:tcBorders>
            <w:shd w:val="clear" w:color="auto" w:fill="auto"/>
            <w:noWrap/>
            <w:vAlign w:val="bottom"/>
            <w:hideMark/>
          </w:tcPr>
          <w:p w:rsidR="005C1944" w:rsidRPr="00AD5688" w:rsidRDefault="005C1944" w:rsidP="00592E25">
            <w:pPr>
              <w:spacing w:after="0" w:line="240" w:lineRule="auto"/>
              <w:rPr>
                <w:rFonts w:ascii="Sylfaen" w:eastAsia="Times New Roman" w:hAnsi="Sylfaen" w:cs="Calibri"/>
                <w:color w:val="000000"/>
                <w:sz w:val="18"/>
                <w:szCs w:val="18"/>
              </w:rPr>
            </w:pPr>
            <w:r w:rsidRPr="00AD5688">
              <w:rPr>
                <w:rFonts w:ascii="Sylfaen" w:eastAsia="Times New Roman" w:hAnsi="Sylfaen" w:cs="Calibri"/>
                <w:color w:val="000000"/>
                <w:sz w:val="18"/>
                <w:szCs w:val="18"/>
              </w:rPr>
              <w:t xml:space="preserve">1,399 </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5C1944" w:rsidRPr="00AD5688" w:rsidRDefault="005C1944" w:rsidP="00592E25">
            <w:pPr>
              <w:spacing w:after="0" w:line="240" w:lineRule="auto"/>
              <w:rPr>
                <w:rFonts w:ascii="Sylfaen" w:eastAsia="Times New Roman" w:hAnsi="Sylfaen" w:cs="Calibri"/>
                <w:b/>
                <w:bCs/>
                <w:color w:val="000000"/>
                <w:sz w:val="18"/>
                <w:szCs w:val="18"/>
              </w:rPr>
            </w:pPr>
            <w:r w:rsidRPr="00AD5688">
              <w:rPr>
                <w:rFonts w:ascii="Sylfaen" w:eastAsia="Times New Roman" w:hAnsi="Sylfaen" w:cs="Calibri"/>
                <w:b/>
                <w:bCs/>
                <w:color w:val="000000"/>
                <w:sz w:val="18"/>
                <w:szCs w:val="18"/>
              </w:rPr>
              <w:t xml:space="preserve">    321,836 </w:t>
            </w:r>
          </w:p>
        </w:tc>
      </w:tr>
      <w:tr w:rsidR="005C1944" w:rsidRPr="00AD5688" w:rsidTr="005C1944">
        <w:trPr>
          <w:gridAfter w:val="1"/>
          <w:wAfter w:w="14" w:type="dxa"/>
          <w:trHeight w:val="341"/>
        </w:trPr>
        <w:tc>
          <w:tcPr>
            <w:tcW w:w="1814" w:type="dxa"/>
            <w:tcBorders>
              <w:top w:val="nil"/>
              <w:left w:val="single" w:sz="4" w:space="0" w:color="auto"/>
              <w:bottom w:val="single" w:sz="4" w:space="0" w:color="auto"/>
              <w:right w:val="single" w:sz="4" w:space="0" w:color="auto"/>
            </w:tcBorders>
            <w:shd w:val="clear" w:color="auto" w:fill="auto"/>
            <w:noWrap/>
            <w:vAlign w:val="bottom"/>
            <w:hideMark/>
          </w:tcPr>
          <w:p w:rsidR="005C1944" w:rsidRPr="00AD5688" w:rsidRDefault="005C1944" w:rsidP="00592E25">
            <w:pPr>
              <w:spacing w:after="0" w:line="240" w:lineRule="auto"/>
              <w:rPr>
                <w:rFonts w:ascii="Sylfaen" w:eastAsia="Times New Roman" w:hAnsi="Sylfaen" w:cs="Calibri"/>
                <w:color w:val="000000"/>
                <w:sz w:val="18"/>
                <w:szCs w:val="18"/>
              </w:rPr>
            </w:pPr>
            <w:r w:rsidRPr="00AD5688">
              <w:rPr>
                <w:rFonts w:ascii="Sylfaen" w:eastAsia="Times New Roman" w:hAnsi="Sylfaen" w:cs="Calibri"/>
                <w:color w:val="000000"/>
                <w:sz w:val="18"/>
                <w:szCs w:val="18"/>
              </w:rPr>
              <w:t>2014 წ. იანვარი</w:t>
            </w:r>
          </w:p>
        </w:tc>
        <w:tc>
          <w:tcPr>
            <w:tcW w:w="865" w:type="dxa"/>
            <w:tcBorders>
              <w:top w:val="nil"/>
              <w:left w:val="nil"/>
              <w:bottom w:val="single" w:sz="4" w:space="0" w:color="auto"/>
              <w:right w:val="single" w:sz="4" w:space="0" w:color="auto"/>
            </w:tcBorders>
            <w:shd w:val="clear" w:color="auto" w:fill="auto"/>
            <w:noWrap/>
            <w:vAlign w:val="bottom"/>
            <w:hideMark/>
          </w:tcPr>
          <w:p w:rsidR="005C1944" w:rsidRPr="00AD5688" w:rsidRDefault="005C1944" w:rsidP="00592E25">
            <w:pPr>
              <w:spacing w:after="0" w:line="240" w:lineRule="auto"/>
              <w:jc w:val="right"/>
              <w:rPr>
                <w:rFonts w:ascii="Sylfaen" w:eastAsia="Times New Roman" w:hAnsi="Sylfaen" w:cs="Calibri"/>
                <w:color w:val="000000"/>
                <w:sz w:val="18"/>
                <w:szCs w:val="18"/>
              </w:rPr>
            </w:pPr>
            <w:r w:rsidRPr="00AD5688">
              <w:rPr>
                <w:rFonts w:ascii="Sylfaen" w:eastAsia="Times New Roman" w:hAnsi="Sylfaen" w:cs="Calibri"/>
                <w:color w:val="000000"/>
                <w:sz w:val="18"/>
                <w:szCs w:val="18"/>
              </w:rPr>
              <w:t>1,375</w:t>
            </w:r>
          </w:p>
        </w:tc>
        <w:tc>
          <w:tcPr>
            <w:tcW w:w="1060" w:type="dxa"/>
            <w:tcBorders>
              <w:top w:val="nil"/>
              <w:left w:val="nil"/>
              <w:bottom w:val="single" w:sz="4" w:space="0" w:color="auto"/>
              <w:right w:val="single" w:sz="4" w:space="0" w:color="auto"/>
            </w:tcBorders>
            <w:shd w:val="clear" w:color="auto" w:fill="auto"/>
            <w:noWrap/>
            <w:vAlign w:val="bottom"/>
            <w:hideMark/>
          </w:tcPr>
          <w:p w:rsidR="005C1944" w:rsidRPr="00AD5688" w:rsidRDefault="005C1944" w:rsidP="00592E25">
            <w:pPr>
              <w:spacing w:after="0" w:line="240" w:lineRule="auto"/>
              <w:rPr>
                <w:rFonts w:ascii="Sylfaen" w:eastAsia="Times New Roman" w:hAnsi="Sylfaen" w:cs="Calibri"/>
                <w:color w:val="000000"/>
                <w:sz w:val="18"/>
                <w:szCs w:val="18"/>
              </w:rPr>
            </w:pPr>
            <w:r w:rsidRPr="00AD5688">
              <w:rPr>
                <w:rFonts w:ascii="Sylfaen" w:eastAsia="Times New Roman" w:hAnsi="Sylfaen" w:cs="Calibri"/>
                <w:color w:val="000000"/>
                <w:sz w:val="18"/>
                <w:szCs w:val="18"/>
              </w:rPr>
              <w:t xml:space="preserve">338,745 </w:t>
            </w:r>
          </w:p>
        </w:tc>
        <w:tc>
          <w:tcPr>
            <w:tcW w:w="1046" w:type="dxa"/>
            <w:tcBorders>
              <w:top w:val="nil"/>
              <w:left w:val="nil"/>
              <w:bottom w:val="single" w:sz="4" w:space="0" w:color="auto"/>
              <w:right w:val="single" w:sz="4" w:space="0" w:color="auto"/>
            </w:tcBorders>
            <w:shd w:val="clear" w:color="auto" w:fill="auto"/>
            <w:noWrap/>
            <w:vAlign w:val="bottom"/>
            <w:hideMark/>
          </w:tcPr>
          <w:p w:rsidR="005C1944" w:rsidRPr="00AD5688" w:rsidRDefault="005C1944" w:rsidP="00592E25">
            <w:pPr>
              <w:spacing w:after="0" w:line="240" w:lineRule="auto"/>
              <w:rPr>
                <w:rFonts w:ascii="Sylfaen" w:eastAsia="Times New Roman" w:hAnsi="Sylfaen" w:cs="Calibri"/>
                <w:color w:val="000000"/>
                <w:sz w:val="18"/>
                <w:szCs w:val="18"/>
              </w:rPr>
            </w:pPr>
            <w:r w:rsidRPr="00AD5688">
              <w:rPr>
                <w:rFonts w:ascii="Sylfaen" w:eastAsia="Times New Roman" w:hAnsi="Sylfaen" w:cs="Calibri"/>
                <w:color w:val="000000"/>
                <w:sz w:val="18"/>
                <w:szCs w:val="18"/>
              </w:rPr>
              <w:t xml:space="preserve">104 </w:t>
            </w:r>
          </w:p>
        </w:tc>
        <w:tc>
          <w:tcPr>
            <w:tcW w:w="1710" w:type="dxa"/>
            <w:tcBorders>
              <w:top w:val="nil"/>
              <w:left w:val="nil"/>
              <w:bottom w:val="single" w:sz="4" w:space="0" w:color="auto"/>
              <w:right w:val="single" w:sz="4" w:space="0" w:color="auto"/>
            </w:tcBorders>
            <w:shd w:val="clear" w:color="auto" w:fill="auto"/>
            <w:noWrap/>
            <w:vAlign w:val="bottom"/>
            <w:hideMark/>
          </w:tcPr>
          <w:p w:rsidR="005C1944" w:rsidRPr="00AD5688" w:rsidRDefault="005C1944" w:rsidP="00592E25">
            <w:pPr>
              <w:spacing w:after="0" w:line="240" w:lineRule="auto"/>
              <w:rPr>
                <w:rFonts w:ascii="Sylfaen" w:eastAsia="Times New Roman" w:hAnsi="Sylfaen" w:cs="Calibri"/>
                <w:color w:val="000000"/>
                <w:sz w:val="18"/>
                <w:szCs w:val="18"/>
              </w:rPr>
            </w:pPr>
            <w:r w:rsidRPr="00AD5688">
              <w:rPr>
                <w:rFonts w:ascii="Sylfaen" w:eastAsia="Times New Roman" w:hAnsi="Sylfaen" w:cs="Calibri"/>
                <w:color w:val="000000"/>
                <w:sz w:val="18"/>
                <w:szCs w:val="18"/>
              </w:rPr>
              <w:t xml:space="preserve">99,872 </w:t>
            </w:r>
          </w:p>
        </w:tc>
        <w:tc>
          <w:tcPr>
            <w:tcW w:w="1170" w:type="dxa"/>
            <w:tcBorders>
              <w:top w:val="nil"/>
              <w:left w:val="nil"/>
              <w:bottom w:val="single" w:sz="4" w:space="0" w:color="auto"/>
              <w:right w:val="single" w:sz="4" w:space="0" w:color="auto"/>
            </w:tcBorders>
            <w:shd w:val="clear" w:color="auto" w:fill="auto"/>
            <w:noWrap/>
            <w:vAlign w:val="bottom"/>
            <w:hideMark/>
          </w:tcPr>
          <w:p w:rsidR="005C1944" w:rsidRPr="00AD5688" w:rsidRDefault="005C1944" w:rsidP="00592E25">
            <w:pPr>
              <w:spacing w:after="0" w:line="240" w:lineRule="auto"/>
              <w:rPr>
                <w:rFonts w:ascii="Sylfaen" w:eastAsia="Times New Roman" w:hAnsi="Sylfaen" w:cs="Calibri"/>
                <w:color w:val="000000"/>
                <w:sz w:val="18"/>
                <w:szCs w:val="18"/>
              </w:rPr>
            </w:pPr>
            <w:r w:rsidRPr="00AD5688">
              <w:rPr>
                <w:rFonts w:ascii="Sylfaen" w:eastAsia="Times New Roman" w:hAnsi="Sylfaen" w:cs="Calibri"/>
                <w:color w:val="000000"/>
                <w:sz w:val="18"/>
                <w:szCs w:val="18"/>
              </w:rPr>
              <w:t xml:space="preserve">583 </w:t>
            </w:r>
          </w:p>
        </w:tc>
        <w:tc>
          <w:tcPr>
            <w:tcW w:w="1259" w:type="dxa"/>
            <w:tcBorders>
              <w:top w:val="nil"/>
              <w:left w:val="nil"/>
              <w:bottom w:val="single" w:sz="4" w:space="0" w:color="auto"/>
              <w:right w:val="single" w:sz="4" w:space="0" w:color="auto"/>
            </w:tcBorders>
            <w:shd w:val="clear" w:color="auto" w:fill="auto"/>
            <w:noWrap/>
            <w:vAlign w:val="bottom"/>
            <w:hideMark/>
          </w:tcPr>
          <w:p w:rsidR="005C1944" w:rsidRPr="00AD5688" w:rsidRDefault="005C1944" w:rsidP="00592E25">
            <w:pPr>
              <w:spacing w:after="0" w:line="240" w:lineRule="auto"/>
              <w:rPr>
                <w:rFonts w:ascii="Sylfaen" w:eastAsia="Times New Roman" w:hAnsi="Sylfaen" w:cs="Calibri"/>
                <w:color w:val="000000"/>
                <w:sz w:val="18"/>
                <w:szCs w:val="18"/>
              </w:rPr>
            </w:pPr>
            <w:r w:rsidRPr="00AD5688">
              <w:rPr>
                <w:rFonts w:ascii="Sylfaen" w:eastAsia="Times New Roman" w:hAnsi="Sylfaen" w:cs="Calibri"/>
                <w:color w:val="000000"/>
                <w:sz w:val="18"/>
                <w:szCs w:val="18"/>
              </w:rPr>
              <w:t xml:space="preserve">10,469 </w:t>
            </w:r>
          </w:p>
        </w:tc>
        <w:tc>
          <w:tcPr>
            <w:tcW w:w="861" w:type="dxa"/>
            <w:tcBorders>
              <w:top w:val="nil"/>
              <w:left w:val="nil"/>
              <w:bottom w:val="single" w:sz="4" w:space="0" w:color="auto"/>
              <w:right w:val="single" w:sz="4" w:space="0" w:color="auto"/>
            </w:tcBorders>
            <w:shd w:val="clear" w:color="auto" w:fill="auto"/>
            <w:noWrap/>
            <w:vAlign w:val="bottom"/>
            <w:hideMark/>
          </w:tcPr>
          <w:p w:rsidR="005C1944" w:rsidRPr="00AD5688" w:rsidRDefault="005C1944" w:rsidP="00592E25">
            <w:pPr>
              <w:spacing w:after="0" w:line="240" w:lineRule="auto"/>
              <w:rPr>
                <w:rFonts w:ascii="Sylfaen" w:eastAsia="Times New Roman" w:hAnsi="Sylfaen" w:cs="Calibri"/>
                <w:color w:val="000000"/>
                <w:sz w:val="18"/>
                <w:szCs w:val="18"/>
              </w:rPr>
            </w:pPr>
            <w:r w:rsidRPr="00AD5688">
              <w:rPr>
                <w:rFonts w:ascii="Sylfaen" w:eastAsia="Times New Roman" w:hAnsi="Sylfaen" w:cs="Calibri"/>
                <w:color w:val="000000"/>
                <w:sz w:val="18"/>
                <w:szCs w:val="18"/>
              </w:rPr>
              <w:t xml:space="preserve">19 </w:t>
            </w:r>
          </w:p>
        </w:tc>
        <w:tc>
          <w:tcPr>
            <w:tcW w:w="1120" w:type="dxa"/>
            <w:tcBorders>
              <w:top w:val="nil"/>
              <w:left w:val="nil"/>
              <w:bottom w:val="single" w:sz="4" w:space="0" w:color="auto"/>
              <w:right w:val="single" w:sz="4" w:space="0" w:color="auto"/>
            </w:tcBorders>
            <w:shd w:val="clear" w:color="auto" w:fill="auto"/>
            <w:noWrap/>
            <w:vAlign w:val="bottom"/>
            <w:hideMark/>
          </w:tcPr>
          <w:p w:rsidR="005C1944" w:rsidRPr="00AD5688" w:rsidRDefault="005C1944" w:rsidP="00592E25">
            <w:pPr>
              <w:spacing w:after="0" w:line="240" w:lineRule="auto"/>
              <w:rPr>
                <w:rFonts w:ascii="Sylfaen" w:eastAsia="Times New Roman" w:hAnsi="Sylfaen" w:cs="Calibri"/>
                <w:color w:val="000000"/>
                <w:sz w:val="18"/>
                <w:szCs w:val="18"/>
              </w:rPr>
            </w:pPr>
            <w:r w:rsidRPr="00AD5688">
              <w:rPr>
                <w:rFonts w:ascii="Sylfaen" w:eastAsia="Times New Roman" w:hAnsi="Sylfaen" w:cs="Calibri"/>
                <w:color w:val="000000"/>
                <w:sz w:val="18"/>
                <w:szCs w:val="18"/>
              </w:rPr>
              <w:t xml:space="preserve">4,677 </w:t>
            </w:r>
          </w:p>
        </w:tc>
        <w:tc>
          <w:tcPr>
            <w:tcW w:w="1066" w:type="dxa"/>
            <w:tcBorders>
              <w:top w:val="nil"/>
              <w:left w:val="nil"/>
              <w:bottom w:val="single" w:sz="4" w:space="0" w:color="auto"/>
              <w:right w:val="single" w:sz="4" w:space="0" w:color="auto"/>
            </w:tcBorders>
            <w:shd w:val="clear" w:color="auto" w:fill="auto"/>
            <w:noWrap/>
            <w:vAlign w:val="bottom"/>
            <w:hideMark/>
          </w:tcPr>
          <w:p w:rsidR="005C1944" w:rsidRPr="00AD5688" w:rsidRDefault="005C1944" w:rsidP="00592E25">
            <w:pPr>
              <w:spacing w:after="0" w:line="240" w:lineRule="auto"/>
              <w:rPr>
                <w:rFonts w:ascii="Sylfaen" w:eastAsia="Times New Roman" w:hAnsi="Sylfaen" w:cs="Calibri"/>
                <w:color w:val="000000"/>
                <w:sz w:val="18"/>
                <w:szCs w:val="18"/>
              </w:rPr>
            </w:pPr>
            <w:r w:rsidRPr="00AD5688">
              <w:rPr>
                <w:rFonts w:ascii="Sylfaen" w:eastAsia="Times New Roman" w:hAnsi="Sylfaen" w:cs="Calibri"/>
                <w:color w:val="000000"/>
                <w:sz w:val="18"/>
                <w:szCs w:val="18"/>
              </w:rPr>
              <w:t xml:space="preserve">2,081 </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5C1944" w:rsidRPr="00AD5688" w:rsidRDefault="005C1944" w:rsidP="00592E25">
            <w:pPr>
              <w:spacing w:after="0" w:line="240" w:lineRule="auto"/>
              <w:rPr>
                <w:rFonts w:ascii="Sylfaen" w:eastAsia="Times New Roman" w:hAnsi="Sylfaen" w:cs="Calibri"/>
                <w:b/>
                <w:bCs/>
                <w:color w:val="000000"/>
                <w:sz w:val="18"/>
                <w:szCs w:val="18"/>
              </w:rPr>
            </w:pPr>
            <w:r w:rsidRPr="00AD5688">
              <w:rPr>
                <w:rFonts w:ascii="Sylfaen" w:eastAsia="Times New Roman" w:hAnsi="Sylfaen" w:cs="Calibri"/>
                <w:b/>
                <w:bCs/>
                <w:color w:val="000000"/>
                <w:sz w:val="18"/>
                <w:szCs w:val="18"/>
              </w:rPr>
              <w:t xml:space="preserve">    453,763 </w:t>
            </w:r>
          </w:p>
        </w:tc>
      </w:tr>
      <w:tr w:rsidR="005C1944" w:rsidRPr="00AD5688" w:rsidTr="005C1944">
        <w:trPr>
          <w:gridAfter w:val="1"/>
          <w:wAfter w:w="14" w:type="dxa"/>
          <w:trHeight w:val="350"/>
        </w:trPr>
        <w:tc>
          <w:tcPr>
            <w:tcW w:w="1814" w:type="dxa"/>
            <w:tcBorders>
              <w:top w:val="nil"/>
              <w:left w:val="single" w:sz="4" w:space="0" w:color="auto"/>
              <w:bottom w:val="single" w:sz="4" w:space="0" w:color="auto"/>
              <w:right w:val="single" w:sz="4" w:space="0" w:color="auto"/>
            </w:tcBorders>
            <w:shd w:val="clear" w:color="auto" w:fill="auto"/>
            <w:noWrap/>
            <w:vAlign w:val="bottom"/>
            <w:hideMark/>
          </w:tcPr>
          <w:p w:rsidR="005C1944" w:rsidRPr="00AD5688" w:rsidRDefault="005C1944" w:rsidP="00592E25">
            <w:pPr>
              <w:spacing w:after="0" w:line="240" w:lineRule="auto"/>
              <w:rPr>
                <w:rFonts w:ascii="Sylfaen" w:eastAsia="Times New Roman" w:hAnsi="Sylfaen" w:cs="Calibri"/>
                <w:color w:val="000000"/>
                <w:sz w:val="18"/>
                <w:szCs w:val="18"/>
              </w:rPr>
            </w:pPr>
            <w:r w:rsidRPr="00AD5688">
              <w:rPr>
                <w:rFonts w:ascii="Sylfaen" w:eastAsia="Times New Roman" w:hAnsi="Sylfaen" w:cs="Calibri"/>
                <w:color w:val="000000"/>
                <w:sz w:val="18"/>
                <w:szCs w:val="18"/>
              </w:rPr>
              <w:t>2014 წ. თებერვალი</w:t>
            </w:r>
          </w:p>
        </w:tc>
        <w:tc>
          <w:tcPr>
            <w:tcW w:w="865" w:type="dxa"/>
            <w:tcBorders>
              <w:top w:val="nil"/>
              <w:left w:val="nil"/>
              <w:bottom w:val="single" w:sz="4" w:space="0" w:color="auto"/>
              <w:right w:val="single" w:sz="4" w:space="0" w:color="auto"/>
            </w:tcBorders>
            <w:shd w:val="clear" w:color="auto" w:fill="auto"/>
            <w:noWrap/>
            <w:vAlign w:val="bottom"/>
            <w:hideMark/>
          </w:tcPr>
          <w:p w:rsidR="005C1944" w:rsidRPr="00AD5688" w:rsidRDefault="005C1944" w:rsidP="00592E25">
            <w:pPr>
              <w:spacing w:after="0" w:line="240" w:lineRule="auto"/>
              <w:jc w:val="right"/>
              <w:rPr>
                <w:rFonts w:ascii="Sylfaen" w:eastAsia="Times New Roman" w:hAnsi="Sylfaen" w:cs="Calibri"/>
                <w:color w:val="000000"/>
                <w:sz w:val="18"/>
                <w:szCs w:val="18"/>
              </w:rPr>
            </w:pPr>
            <w:r w:rsidRPr="00AD5688">
              <w:rPr>
                <w:rFonts w:ascii="Sylfaen" w:eastAsia="Times New Roman" w:hAnsi="Sylfaen" w:cs="Calibri"/>
                <w:color w:val="000000"/>
                <w:sz w:val="18"/>
                <w:szCs w:val="18"/>
              </w:rPr>
              <w:t>1,205</w:t>
            </w:r>
          </w:p>
        </w:tc>
        <w:tc>
          <w:tcPr>
            <w:tcW w:w="1060" w:type="dxa"/>
            <w:tcBorders>
              <w:top w:val="nil"/>
              <w:left w:val="nil"/>
              <w:bottom w:val="single" w:sz="4" w:space="0" w:color="auto"/>
              <w:right w:val="single" w:sz="4" w:space="0" w:color="auto"/>
            </w:tcBorders>
            <w:shd w:val="clear" w:color="auto" w:fill="auto"/>
            <w:noWrap/>
            <w:vAlign w:val="bottom"/>
            <w:hideMark/>
          </w:tcPr>
          <w:p w:rsidR="005C1944" w:rsidRPr="00AD5688" w:rsidRDefault="005C1944" w:rsidP="00592E25">
            <w:pPr>
              <w:spacing w:after="0" w:line="240" w:lineRule="auto"/>
              <w:rPr>
                <w:rFonts w:ascii="Sylfaen" w:eastAsia="Times New Roman" w:hAnsi="Sylfaen" w:cs="Calibri"/>
                <w:color w:val="000000"/>
                <w:sz w:val="18"/>
                <w:szCs w:val="18"/>
              </w:rPr>
            </w:pPr>
            <w:r w:rsidRPr="00AD5688">
              <w:rPr>
                <w:rFonts w:ascii="Sylfaen" w:eastAsia="Times New Roman" w:hAnsi="Sylfaen" w:cs="Calibri"/>
                <w:color w:val="000000"/>
                <w:sz w:val="18"/>
                <w:szCs w:val="18"/>
              </w:rPr>
              <w:t xml:space="preserve">247,057 </w:t>
            </w:r>
          </w:p>
        </w:tc>
        <w:tc>
          <w:tcPr>
            <w:tcW w:w="1046" w:type="dxa"/>
            <w:tcBorders>
              <w:top w:val="nil"/>
              <w:left w:val="nil"/>
              <w:bottom w:val="single" w:sz="4" w:space="0" w:color="auto"/>
              <w:right w:val="single" w:sz="4" w:space="0" w:color="auto"/>
            </w:tcBorders>
            <w:shd w:val="clear" w:color="auto" w:fill="auto"/>
            <w:noWrap/>
            <w:vAlign w:val="bottom"/>
            <w:hideMark/>
          </w:tcPr>
          <w:p w:rsidR="005C1944" w:rsidRPr="00AD5688" w:rsidRDefault="005C1944" w:rsidP="00592E25">
            <w:pPr>
              <w:spacing w:after="0" w:line="240" w:lineRule="auto"/>
              <w:rPr>
                <w:rFonts w:ascii="Sylfaen" w:eastAsia="Times New Roman" w:hAnsi="Sylfaen" w:cs="Calibri"/>
                <w:color w:val="000000"/>
                <w:sz w:val="18"/>
                <w:szCs w:val="18"/>
              </w:rPr>
            </w:pPr>
            <w:r w:rsidRPr="00AD5688">
              <w:rPr>
                <w:rFonts w:ascii="Sylfaen" w:eastAsia="Times New Roman" w:hAnsi="Sylfaen" w:cs="Calibri"/>
                <w:color w:val="000000"/>
                <w:sz w:val="18"/>
                <w:szCs w:val="18"/>
              </w:rPr>
              <w:t xml:space="preserve">629 </w:t>
            </w:r>
          </w:p>
        </w:tc>
        <w:tc>
          <w:tcPr>
            <w:tcW w:w="1710" w:type="dxa"/>
            <w:tcBorders>
              <w:top w:val="nil"/>
              <w:left w:val="nil"/>
              <w:bottom w:val="single" w:sz="4" w:space="0" w:color="auto"/>
              <w:right w:val="single" w:sz="4" w:space="0" w:color="auto"/>
            </w:tcBorders>
            <w:shd w:val="clear" w:color="auto" w:fill="auto"/>
            <w:noWrap/>
            <w:vAlign w:val="bottom"/>
            <w:hideMark/>
          </w:tcPr>
          <w:p w:rsidR="005C1944" w:rsidRPr="00AD5688" w:rsidRDefault="005C1944" w:rsidP="00592E25">
            <w:pPr>
              <w:spacing w:after="0" w:line="240" w:lineRule="auto"/>
              <w:rPr>
                <w:rFonts w:ascii="Sylfaen" w:eastAsia="Times New Roman" w:hAnsi="Sylfaen" w:cs="Calibri"/>
                <w:color w:val="000000"/>
                <w:sz w:val="18"/>
                <w:szCs w:val="18"/>
              </w:rPr>
            </w:pPr>
            <w:r w:rsidRPr="00AD5688">
              <w:rPr>
                <w:rFonts w:ascii="Sylfaen" w:eastAsia="Times New Roman" w:hAnsi="Sylfaen" w:cs="Calibri"/>
                <w:color w:val="000000"/>
                <w:sz w:val="18"/>
                <w:szCs w:val="18"/>
              </w:rPr>
              <w:t xml:space="preserve">95,529 </w:t>
            </w:r>
          </w:p>
        </w:tc>
        <w:tc>
          <w:tcPr>
            <w:tcW w:w="1170" w:type="dxa"/>
            <w:tcBorders>
              <w:top w:val="nil"/>
              <w:left w:val="nil"/>
              <w:bottom w:val="single" w:sz="4" w:space="0" w:color="auto"/>
              <w:right w:val="single" w:sz="4" w:space="0" w:color="auto"/>
            </w:tcBorders>
            <w:shd w:val="clear" w:color="auto" w:fill="auto"/>
            <w:noWrap/>
            <w:vAlign w:val="bottom"/>
            <w:hideMark/>
          </w:tcPr>
          <w:p w:rsidR="005C1944" w:rsidRPr="00AD5688" w:rsidRDefault="005C1944" w:rsidP="00592E25">
            <w:pPr>
              <w:spacing w:after="0" w:line="240" w:lineRule="auto"/>
              <w:rPr>
                <w:rFonts w:ascii="Sylfaen" w:eastAsia="Times New Roman" w:hAnsi="Sylfaen" w:cs="Calibri"/>
                <w:color w:val="000000"/>
                <w:sz w:val="18"/>
                <w:szCs w:val="18"/>
              </w:rPr>
            </w:pPr>
            <w:r w:rsidRPr="00AD5688">
              <w:rPr>
                <w:rFonts w:ascii="Sylfaen" w:eastAsia="Times New Roman" w:hAnsi="Sylfaen" w:cs="Calibri"/>
                <w:color w:val="000000"/>
                <w:sz w:val="18"/>
                <w:szCs w:val="18"/>
              </w:rPr>
              <w:t xml:space="preserve">475 </w:t>
            </w:r>
          </w:p>
        </w:tc>
        <w:tc>
          <w:tcPr>
            <w:tcW w:w="1259" w:type="dxa"/>
            <w:tcBorders>
              <w:top w:val="nil"/>
              <w:left w:val="nil"/>
              <w:bottom w:val="single" w:sz="4" w:space="0" w:color="auto"/>
              <w:right w:val="single" w:sz="4" w:space="0" w:color="auto"/>
            </w:tcBorders>
            <w:shd w:val="clear" w:color="auto" w:fill="auto"/>
            <w:noWrap/>
            <w:vAlign w:val="bottom"/>
            <w:hideMark/>
          </w:tcPr>
          <w:p w:rsidR="005C1944" w:rsidRPr="00AD5688" w:rsidRDefault="005C1944" w:rsidP="00592E25">
            <w:pPr>
              <w:spacing w:after="0" w:line="240" w:lineRule="auto"/>
              <w:rPr>
                <w:rFonts w:ascii="Sylfaen" w:eastAsia="Times New Roman" w:hAnsi="Sylfaen" w:cs="Calibri"/>
                <w:color w:val="000000"/>
                <w:sz w:val="18"/>
                <w:szCs w:val="18"/>
              </w:rPr>
            </w:pPr>
            <w:r w:rsidRPr="00AD5688">
              <w:rPr>
                <w:rFonts w:ascii="Sylfaen" w:eastAsia="Times New Roman" w:hAnsi="Sylfaen" w:cs="Calibri"/>
                <w:color w:val="000000"/>
                <w:sz w:val="18"/>
                <w:szCs w:val="18"/>
              </w:rPr>
              <w:t xml:space="preserve">88,099 </w:t>
            </w:r>
          </w:p>
        </w:tc>
        <w:tc>
          <w:tcPr>
            <w:tcW w:w="861" w:type="dxa"/>
            <w:tcBorders>
              <w:top w:val="nil"/>
              <w:left w:val="nil"/>
              <w:bottom w:val="single" w:sz="4" w:space="0" w:color="auto"/>
              <w:right w:val="single" w:sz="4" w:space="0" w:color="auto"/>
            </w:tcBorders>
            <w:shd w:val="clear" w:color="auto" w:fill="auto"/>
            <w:noWrap/>
            <w:vAlign w:val="bottom"/>
            <w:hideMark/>
          </w:tcPr>
          <w:p w:rsidR="005C1944" w:rsidRPr="00AD5688" w:rsidRDefault="005C1944" w:rsidP="00592E25">
            <w:pPr>
              <w:spacing w:after="0" w:line="240" w:lineRule="auto"/>
              <w:rPr>
                <w:rFonts w:ascii="Sylfaen" w:eastAsia="Times New Roman" w:hAnsi="Sylfaen" w:cs="Calibri"/>
                <w:color w:val="000000"/>
                <w:sz w:val="18"/>
                <w:szCs w:val="18"/>
              </w:rPr>
            </w:pPr>
            <w:r w:rsidRPr="00AD5688">
              <w:rPr>
                <w:rFonts w:ascii="Sylfaen" w:eastAsia="Times New Roman" w:hAnsi="Sylfaen" w:cs="Calibri"/>
                <w:color w:val="000000"/>
                <w:sz w:val="18"/>
                <w:szCs w:val="18"/>
              </w:rPr>
              <w:t xml:space="preserve">197 </w:t>
            </w:r>
          </w:p>
        </w:tc>
        <w:tc>
          <w:tcPr>
            <w:tcW w:w="1120" w:type="dxa"/>
            <w:tcBorders>
              <w:top w:val="nil"/>
              <w:left w:val="nil"/>
              <w:bottom w:val="single" w:sz="4" w:space="0" w:color="auto"/>
              <w:right w:val="single" w:sz="4" w:space="0" w:color="auto"/>
            </w:tcBorders>
            <w:shd w:val="clear" w:color="auto" w:fill="auto"/>
            <w:noWrap/>
            <w:vAlign w:val="bottom"/>
            <w:hideMark/>
          </w:tcPr>
          <w:p w:rsidR="005C1944" w:rsidRPr="00AD5688" w:rsidRDefault="005C1944" w:rsidP="00592E25">
            <w:pPr>
              <w:spacing w:after="0" w:line="240" w:lineRule="auto"/>
              <w:rPr>
                <w:rFonts w:ascii="Sylfaen" w:eastAsia="Times New Roman" w:hAnsi="Sylfaen" w:cs="Calibri"/>
                <w:color w:val="000000"/>
                <w:sz w:val="18"/>
                <w:szCs w:val="18"/>
              </w:rPr>
            </w:pPr>
            <w:r w:rsidRPr="00AD5688">
              <w:rPr>
                <w:rFonts w:ascii="Sylfaen" w:eastAsia="Times New Roman" w:hAnsi="Sylfaen" w:cs="Calibri"/>
                <w:color w:val="000000"/>
                <w:sz w:val="18"/>
                <w:szCs w:val="18"/>
              </w:rPr>
              <w:t xml:space="preserve">37,676 </w:t>
            </w:r>
          </w:p>
        </w:tc>
        <w:tc>
          <w:tcPr>
            <w:tcW w:w="1066" w:type="dxa"/>
            <w:tcBorders>
              <w:top w:val="nil"/>
              <w:left w:val="nil"/>
              <w:bottom w:val="single" w:sz="4" w:space="0" w:color="auto"/>
              <w:right w:val="single" w:sz="4" w:space="0" w:color="auto"/>
            </w:tcBorders>
            <w:shd w:val="clear" w:color="auto" w:fill="auto"/>
            <w:noWrap/>
            <w:vAlign w:val="bottom"/>
            <w:hideMark/>
          </w:tcPr>
          <w:p w:rsidR="005C1944" w:rsidRPr="00AD5688" w:rsidRDefault="005C1944" w:rsidP="00592E25">
            <w:pPr>
              <w:spacing w:after="0" w:line="240" w:lineRule="auto"/>
              <w:rPr>
                <w:rFonts w:ascii="Sylfaen" w:eastAsia="Times New Roman" w:hAnsi="Sylfaen" w:cs="Calibri"/>
                <w:color w:val="000000"/>
                <w:sz w:val="18"/>
                <w:szCs w:val="18"/>
              </w:rPr>
            </w:pPr>
            <w:r w:rsidRPr="00AD5688">
              <w:rPr>
                <w:rFonts w:ascii="Sylfaen" w:eastAsia="Times New Roman" w:hAnsi="Sylfaen" w:cs="Calibri"/>
                <w:color w:val="000000"/>
                <w:sz w:val="18"/>
                <w:szCs w:val="18"/>
              </w:rPr>
              <w:t xml:space="preserve">2,506 </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5C1944" w:rsidRPr="00AD5688" w:rsidRDefault="005C1944" w:rsidP="00592E25">
            <w:pPr>
              <w:spacing w:after="0" w:line="240" w:lineRule="auto"/>
              <w:rPr>
                <w:rFonts w:ascii="Sylfaen" w:eastAsia="Times New Roman" w:hAnsi="Sylfaen" w:cs="Calibri"/>
                <w:b/>
                <w:bCs/>
                <w:color w:val="000000"/>
                <w:sz w:val="18"/>
                <w:szCs w:val="18"/>
              </w:rPr>
            </w:pPr>
            <w:r w:rsidRPr="00AD5688">
              <w:rPr>
                <w:rFonts w:ascii="Sylfaen" w:eastAsia="Times New Roman" w:hAnsi="Sylfaen" w:cs="Calibri"/>
                <w:b/>
                <w:bCs/>
                <w:color w:val="000000"/>
                <w:sz w:val="18"/>
                <w:szCs w:val="18"/>
              </w:rPr>
              <w:t xml:space="preserve">    468,361 </w:t>
            </w:r>
          </w:p>
        </w:tc>
      </w:tr>
      <w:tr w:rsidR="005C1944" w:rsidRPr="00AD5688" w:rsidTr="005C1944">
        <w:trPr>
          <w:gridAfter w:val="1"/>
          <w:wAfter w:w="14" w:type="dxa"/>
          <w:trHeight w:val="404"/>
        </w:trPr>
        <w:tc>
          <w:tcPr>
            <w:tcW w:w="1814" w:type="dxa"/>
            <w:tcBorders>
              <w:top w:val="nil"/>
              <w:left w:val="single" w:sz="4" w:space="0" w:color="auto"/>
              <w:bottom w:val="single" w:sz="4" w:space="0" w:color="auto"/>
              <w:right w:val="single" w:sz="4" w:space="0" w:color="auto"/>
            </w:tcBorders>
            <w:shd w:val="clear" w:color="auto" w:fill="auto"/>
            <w:noWrap/>
            <w:vAlign w:val="bottom"/>
            <w:hideMark/>
          </w:tcPr>
          <w:p w:rsidR="005C1944" w:rsidRPr="00AD5688" w:rsidRDefault="005C1944" w:rsidP="00592E25">
            <w:pPr>
              <w:spacing w:after="0" w:line="240" w:lineRule="auto"/>
              <w:rPr>
                <w:rFonts w:ascii="Sylfaen" w:eastAsia="Times New Roman" w:hAnsi="Sylfaen" w:cs="Calibri"/>
                <w:color w:val="000000"/>
                <w:sz w:val="18"/>
                <w:szCs w:val="18"/>
              </w:rPr>
            </w:pPr>
            <w:r w:rsidRPr="00AD5688">
              <w:rPr>
                <w:rFonts w:ascii="Sylfaen" w:eastAsia="Times New Roman" w:hAnsi="Sylfaen" w:cs="Calibri"/>
                <w:color w:val="000000"/>
                <w:sz w:val="18"/>
                <w:szCs w:val="18"/>
              </w:rPr>
              <w:t>2014 წ. მარტი</w:t>
            </w:r>
          </w:p>
        </w:tc>
        <w:tc>
          <w:tcPr>
            <w:tcW w:w="865" w:type="dxa"/>
            <w:tcBorders>
              <w:top w:val="nil"/>
              <w:left w:val="nil"/>
              <w:bottom w:val="single" w:sz="4" w:space="0" w:color="auto"/>
              <w:right w:val="single" w:sz="4" w:space="0" w:color="auto"/>
            </w:tcBorders>
            <w:shd w:val="clear" w:color="auto" w:fill="auto"/>
            <w:noWrap/>
            <w:vAlign w:val="bottom"/>
            <w:hideMark/>
          </w:tcPr>
          <w:p w:rsidR="005C1944" w:rsidRPr="00AD5688" w:rsidRDefault="005C1944" w:rsidP="00592E25">
            <w:pPr>
              <w:spacing w:after="0" w:line="240" w:lineRule="auto"/>
              <w:jc w:val="right"/>
              <w:rPr>
                <w:rFonts w:ascii="Sylfaen" w:eastAsia="Times New Roman" w:hAnsi="Sylfaen" w:cs="Calibri"/>
                <w:color w:val="000000"/>
                <w:sz w:val="18"/>
                <w:szCs w:val="18"/>
              </w:rPr>
            </w:pPr>
            <w:r w:rsidRPr="00AD5688">
              <w:rPr>
                <w:rFonts w:ascii="Sylfaen" w:eastAsia="Times New Roman" w:hAnsi="Sylfaen" w:cs="Calibri"/>
                <w:color w:val="000000"/>
                <w:sz w:val="18"/>
                <w:szCs w:val="18"/>
              </w:rPr>
              <w:t>1,404</w:t>
            </w:r>
          </w:p>
        </w:tc>
        <w:tc>
          <w:tcPr>
            <w:tcW w:w="1060" w:type="dxa"/>
            <w:tcBorders>
              <w:top w:val="nil"/>
              <w:left w:val="nil"/>
              <w:bottom w:val="single" w:sz="4" w:space="0" w:color="auto"/>
              <w:right w:val="single" w:sz="4" w:space="0" w:color="auto"/>
            </w:tcBorders>
            <w:shd w:val="clear" w:color="auto" w:fill="auto"/>
            <w:noWrap/>
            <w:vAlign w:val="bottom"/>
            <w:hideMark/>
          </w:tcPr>
          <w:p w:rsidR="005C1944" w:rsidRPr="00AD5688" w:rsidRDefault="005C1944" w:rsidP="00592E25">
            <w:pPr>
              <w:spacing w:after="0" w:line="240" w:lineRule="auto"/>
              <w:rPr>
                <w:rFonts w:ascii="Sylfaen" w:eastAsia="Times New Roman" w:hAnsi="Sylfaen" w:cs="Calibri"/>
                <w:color w:val="000000"/>
                <w:sz w:val="18"/>
                <w:szCs w:val="18"/>
              </w:rPr>
            </w:pPr>
            <w:r w:rsidRPr="00AD5688">
              <w:rPr>
                <w:rFonts w:ascii="Sylfaen" w:eastAsia="Times New Roman" w:hAnsi="Sylfaen" w:cs="Calibri"/>
                <w:color w:val="000000"/>
                <w:sz w:val="18"/>
                <w:szCs w:val="18"/>
              </w:rPr>
              <w:t xml:space="preserve">308,217 </w:t>
            </w:r>
          </w:p>
        </w:tc>
        <w:tc>
          <w:tcPr>
            <w:tcW w:w="1046" w:type="dxa"/>
            <w:tcBorders>
              <w:top w:val="nil"/>
              <w:left w:val="nil"/>
              <w:bottom w:val="single" w:sz="4" w:space="0" w:color="auto"/>
              <w:right w:val="single" w:sz="4" w:space="0" w:color="auto"/>
            </w:tcBorders>
            <w:shd w:val="clear" w:color="auto" w:fill="auto"/>
            <w:noWrap/>
            <w:vAlign w:val="bottom"/>
            <w:hideMark/>
          </w:tcPr>
          <w:p w:rsidR="005C1944" w:rsidRPr="00AD5688" w:rsidRDefault="005C1944" w:rsidP="00592E25">
            <w:pPr>
              <w:spacing w:after="0" w:line="240" w:lineRule="auto"/>
              <w:rPr>
                <w:rFonts w:ascii="Sylfaen" w:eastAsia="Times New Roman" w:hAnsi="Sylfaen" w:cs="Calibri"/>
                <w:color w:val="000000"/>
                <w:sz w:val="18"/>
                <w:szCs w:val="18"/>
              </w:rPr>
            </w:pPr>
            <w:r w:rsidRPr="00AD5688">
              <w:rPr>
                <w:rFonts w:ascii="Sylfaen" w:eastAsia="Times New Roman" w:hAnsi="Sylfaen" w:cs="Calibri"/>
                <w:color w:val="000000"/>
                <w:sz w:val="18"/>
                <w:szCs w:val="18"/>
              </w:rPr>
              <w:t xml:space="preserve">588 </w:t>
            </w:r>
          </w:p>
        </w:tc>
        <w:tc>
          <w:tcPr>
            <w:tcW w:w="1710" w:type="dxa"/>
            <w:tcBorders>
              <w:top w:val="nil"/>
              <w:left w:val="nil"/>
              <w:bottom w:val="single" w:sz="4" w:space="0" w:color="auto"/>
              <w:right w:val="single" w:sz="4" w:space="0" w:color="auto"/>
            </w:tcBorders>
            <w:shd w:val="clear" w:color="auto" w:fill="auto"/>
            <w:noWrap/>
            <w:vAlign w:val="bottom"/>
            <w:hideMark/>
          </w:tcPr>
          <w:p w:rsidR="005C1944" w:rsidRPr="00AD5688" w:rsidRDefault="005C1944" w:rsidP="00592E25">
            <w:pPr>
              <w:spacing w:after="0" w:line="240" w:lineRule="auto"/>
              <w:rPr>
                <w:rFonts w:ascii="Sylfaen" w:eastAsia="Times New Roman" w:hAnsi="Sylfaen" w:cs="Calibri"/>
                <w:color w:val="000000"/>
                <w:sz w:val="18"/>
                <w:szCs w:val="18"/>
              </w:rPr>
            </w:pPr>
            <w:r w:rsidRPr="00AD5688">
              <w:rPr>
                <w:rFonts w:ascii="Sylfaen" w:eastAsia="Times New Roman" w:hAnsi="Sylfaen" w:cs="Calibri"/>
                <w:color w:val="000000"/>
                <w:sz w:val="18"/>
                <w:szCs w:val="18"/>
              </w:rPr>
              <w:t xml:space="preserve">100,315 </w:t>
            </w:r>
          </w:p>
        </w:tc>
        <w:tc>
          <w:tcPr>
            <w:tcW w:w="1170" w:type="dxa"/>
            <w:tcBorders>
              <w:top w:val="nil"/>
              <w:left w:val="nil"/>
              <w:bottom w:val="single" w:sz="4" w:space="0" w:color="auto"/>
              <w:right w:val="single" w:sz="4" w:space="0" w:color="auto"/>
            </w:tcBorders>
            <w:shd w:val="clear" w:color="auto" w:fill="auto"/>
            <w:noWrap/>
            <w:vAlign w:val="bottom"/>
            <w:hideMark/>
          </w:tcPr>
          <w:p w:rsidR="005C1944" w:rsidRPr="00AD5688" w:rsidRDefault="005C1944" w:rsidP="00592E25">
            <w:pPr>
              <w:spacing w:after="0" w:line="240" w:lineRule="auto"/>
              <w:rPr>
                <w:rFonts w:ascii="Sylfaen" w:eastAsia="Times New Roman" w:hAnsi="Sylfaen" w:cs="Calibri"/>
                <w:color w:val="000000"/>
                <w:sz w:val="18"/>
                <w:szCs w:val="18"/>
              </w:rPr>
            </w:pPr>
            <w:r w:rsidRPr="00AD5688">
              <w:rPr>
                <w:rFonts w:ascii="Sylfaen" w:eastAsia="Times New Roman" w:hAnsi="Sylfaen" w:cs="Calibri"/>
                <w:color w:val="000000"/>
                <w:sz w:val="18"/>
                <w:szCs w:val="18"/>
              </w:rPr>
              <w:t xml:space="preserve">478 </w:t>
            </w:r>
          </w:p>
        </w:tc>
        <w:tc>
          <w:tcPr>
            <w:tcW w:w="1259" w:type="dxa"/>
            <w:tcBorders>
              <w:top w:val="nil"/>
              <w:left w:val="nil"/>
              <w:bottom w:val="single" w:sz="4" w:space="0" w:color="auto"/>
              <w:right w:val="single" w:sz="4" w:space="0" w:color="auto"/>
            </w:tcBorders>
            <w:shd w:val="clear" w:color="auto" w:fill="auto"/>
            <w:noWrap/>
            <w:vAlign w:val="bottom"/>
            <w:hideMark/>
          </w:tcPr>
          <w:p w:rsidR="005C1944" w:rsidRPr="00AD5688" w:rsidRDefault="005C1944" w:rsidP="00592E25">
            <w:pPr>
              <w:spacing w:after="0" w:line="240" w:lineRule="auto"/>
              <w:rPr>
                <w:rFonts w:ascii="Sylfaen" w:eastAsia="Times New Roman" w:hAnsi="Sylfaen" w:cs="Calibri"/>
                <w:color w:val="000000"/>
                <w:sz w:val="18"/>
                <w:szCs w:val="18"/>
              </w:rPr>
            </w:pPr>
            <w:r w:rsidRPr="00AD5688">
              <w:rPr>
                <w:rFonts w:ascii="Sylfaen" w:eastAsia="Times New Roman" w:hAnsi="Sylfaen" w:cs="Calibri"/>
                <w:color w:val="000000"/>
                <w:sz w:val="18"/>
                <w:szCs w:val="18"/>
              </w:rPr>
              <w:t xml:space="preserve">74,249 </w:t>
            </w:r>
          </w:p>
        </w:tc>
        <w:tc>
          <w:tcPr>
            <w:tcW w:w="861" w:type="dxa"/>
            <w:tcBorders>
              <w:top w:val="nil"/>
              <w:left w:val="nil"/>
              <w:bottom w:val="single" w:sz="4" w:space="0" w:color="auto"/>
              <w:right w:val="single" w:sz="4" w:space="0" w:color="auto"/>
            </w:tcBorders>
            <w:shd w:val="clear" w:color="auto" w:fill="auto"/>
            <w:noWrap/>
            <w:vAlign w:val="bottom"/>
            <w:hideMark/>
          </w:tcPr>
          <w:p w:rsidR="005C1944" w:rsidRPr="00AD5688" w:rsidRDefault="005C1944" w:rsidP="00592E25">
            <w:pPr>
              <w:spacing w:after="0" w:line="240" w:lineRule="auto"/>
              <w:rPr>
                <w:rFonts w:ascii="Sylfaen" w:eastAsia="Times New Roman" w:hAnsi="Sylfaen" w:cs="Calibri"/>
                <w:color w:val="000000"/>
                <w:sz w:val="18"/>
                <w:szCs w:val="18"/>
              </w:rPr>
            </w:pPr>
            <w:r w:rsidRPr="00AD5688">
              <w:rPr>
                <w:rFonts w:ascii="Sylfaen" w:eastAsia="Times New Roman" w:hAnsi="Sylfaen" w:cs="Calibri"/>
                <w:color w:val="000000"/>
                <w:sz w:val="18"/>
                <w:szCs w:val="18"/>
              </w:rPr>
              <w:t xml:space="preserve">233 </w:t>
            </w:r>
          </w:p>
        </w:tc>
        <w:tc>
          <w:tcPr>
            <w:tcW w:w="1120" w:type="dxa"/>
            <w:tcBorders>
              <w:top w:val="nil"/>
              <w:left w:val="nil"/>
              <w:bottom w:val="single" w:sz="4" w:space="0" w:color="auto"/>
              <w:right w:val="single" w:sz="4" w:space="0" w:color="auto"/>
            </w:tcBorders>
            <w:shd w:val="clear" w:color="auto" w:fill="auto"/>
            <w:noWrap/>
            <w:vAlign w:val="bottom"/>
            <w:hideMark/>
          </w:tcPr>
          <w:p w:rsidR="005C1944" w:rsidRPr="00AD5688" w:rsidRDefault="005C1944" w:rsidP="00592E25">
            <w:pPr>
              <w:spacing w:after="0" w:line="240" w:lineRule="auto"/>
              <w:rPr>
                <w:rFonts w:ascii="Sylfaen" w:eastAsia="Times New Roman" w:hAnsi="Sylfaen" w:cs="Calibri"/>
                <w:color w:val="000000"/>
                <w:sz w:val="18"/>
                <w:szCs w:val="18"/>
              </w:rPr>
            </w:pPr>
            <w:r w:rsidRPr="00AD5688">
              <w:rPr>
                <w:rFonts w:ascii="Sylfaen" w:eastAsia="Times New Roman" w:hAnsi="Sylfaen" w:cs="Calibri"/>
                <w:color w:val="000000"/>
                <w:sz w:val="18"/>
                <w:szCs w:val="18"/>
              </w:rPr>
              <w:t xml:space="preserve">61,613 </w:t>
            </w:r>
          </w:p>
        </w:tc>
        <w:tc>
          <w:tcPr>
            <w:tcW w:w="1066" w:type="dxa"/>
            <w:tcBorders>
              <w:top w:val="nil"/>
              <w:left w:val="nil"/>
              <w:bottom w:val="single" w:sz="4" w:space="0" w:color="auto"/>
              <w:right w:val="single" w:sz="4" w:space="0" w:color="auto"/>
            </w:tcBorders>
            <w:shd w:val="clear" w:color="auto" w:fill="auto"/>
            <w:noWrap/>
            <w:vAlign w:val="bottom"/>
            <w:hideMark/>
          </w:tcPr>
          <w:p w:rsidR="005C1944" w:rsidRPr="00AD5688" w:rsidRDefault="005C1944" w:rsidP="00592E25">
            <w:pPr>
              <w:spacing w:after="0" w:line="240" w:lineRule="auto"/>
              <w:rPr>
                <w:rFonts w:ascii="Sylfaen" w:eastAsia="Times New Roman" w:hAnsi="Sylfaen" w:cs="Calibri"/>
                <w:color w:val="000000"/>
                <w:sz w:val="18"/>
                <w:szCs w:val="18"/>
              </w:rPr>
            </w:pPr>
            <w:r w:rsidRPr="00AD5688">
              <w:rPr>
                <w:rFonts w:ascii="Sylfaen" w:eastAsia="Times New Roman" w:hAnsi="Sylfaen" w:cs="Calibri"/>
                <w:color w:val="000000"/>
                <w:sz w:val="18"/>
                <w:szCs w:val="18"/>
              </w:rPr>
              <w:t xml:space="preserve">2,703 </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5C1944" w:rsidRPr="00AD5688" w:rsidRDefault="005C1944" w:rsidP="00592E25">
            <w:pPr>
              <w:spacing w:after="0" w:line="240" w:lineRule="auto"/>
              <w:rPr>
                <w:rFonts w:ascii="Sylfaen" w:eastAsia="Times New Roman" w:hAnsi="Sylfaen" w:cs="Calibri"/>
                <w:b/>
                <w:bCs/>
                <w:color w:val="000000"/>
                <w:sz w:val="18"/>
                <w:szCs w:val="18"/>
              </w:rPr>
            </w:pPr>
            <w:r w:rsidRPr="00AD5688">
              <w:rPr>
                <w:rFonts w:ascii="Sylfaen" w:eastAsia="Times New Roman" w:hAnsi="Sylfaen" w:cs="Calibri"/>
                <w:b/>
                <w:bCs/>
                <w:color w:val="000000"/>
                <w:sz w:val="18"/>
                <w:szCs w:val="18"/>
              </w:rPr>
              <w:t xml:space="preserve">    544,394 </w:t>
            </w:r>
          </w:p>
        </w:tc>
      </w:tr>
      <w:tr w:rsidR="005C1944" w:rsidRPr="00AD5688" w:rsidTr="005C1944">
        <w:trPr>
          <w:gridAfter w:val="1"/>
          <w:wAfter w:w="14" w:type="dxa"/>
          <w:trHeight w:val="350"/>
        </w:trPr>
        <w:tc>
          <w:tcPr>
            <w:tcW w:w="1814" w:type="dxa"/>
            <w:tcBorders>
              <w:top w:val="nil"/>
              <w:left w:val="single" w:sz="4" w:space="0" w:color="auto"/>
              <w:bottom w:val="single" w:sz="4" w:space="0" w:color="auto"/>
              <w:right w:val="single" w:sz="4" w:space="0" w:color="auto"/>
            </w:tcBorders>
            <w:shd w:val="clear" w:color="auto" w:fill="auto"/>
            <w:noWrap/>
            <w:vAlign w:val="bottom"/>
            <w:hideMark/>
          </w:tcPr>
          <w:p w:rsidR="005C1944" w:rsidRPr="00AD5688" w:rsidRDefault="005C1944" w:rsidP="00592E25">
            <w:pPr>
              <w:spacing w:after="0" w:line="240" w:lineRule="auto"/>
              <w:rPr>
                <w:rFonts w:ascii="Sylfaen" w:eastAsia="Times New Roman" w:hAnsi="Sylfaen" w:cs="Calibri"/>
                <w:color w:val="000000"/>
                <w:sz w:val="18"/>
                <w:szCs w:val="18"/>
              </w:rPr>
            </w:pPr>
            <w:r w:rsidRPr="00AD5688">
              <w:rPr>
                <w:rFonts w:ascii="Sylfaen" w:eastAsia="Times New Roman" w:hAnsi="Sylfaen" w:cs="Calibri"/>
                <w:color w:val="000000"/>
                <w:sz w:val="18"/>
                <w:szCs w:val="18"/>
              </w:rPr>
              <w:t>2014 წ. აპრილი</w:t>
            </w:r>
          </w:p>
        </w:tc>
        <w:tc>
          <w:tcPr>
            <w:tcW w:w="865" w:type="dxa"/>
            <w:tcBorders>
              <w:top w:val="nil"/>
              <w:left w:val="nil"/>
              <w:bottom w:val="single" w:sz="4" w:space="0" w:color="auto"/>
              <w:right w:val="single" w:sz="4" w:space="0" w:color="auto"/>
            </w:tcBorders>
            <w:shd w:val="clear" w:color="auto" w:fill="auto"/>
            <w:noWrap/>
            <w:vAlign w:val="bottom"/>
            <w:hideMark/>
          </w:tcPr>
          <w:p w:rsidR="005C1944" w:rsidRPr="00AD5688" w:rsidRDefault="005C1944" w:rsidP="00592E25">
            <w:pPr>
              <w:spacing w:after="0" w:line="240" w:lineRule="auto"/>
              <w:jc w:val="right"/>
              <w:rPr>
                <w:rFonts w:ascii="Sylfaen" w:eastAsia="Times New Roman" w:hAnsi="Sylfaen" w:cs="Calibri"/>
                <w:color w:val="000000"/>
                <w:sz w:val="18"/>
                <w:szCs w:val="18"/>
              </w:rPr>
            </w:pPr>
            <w:r w:rsidRPr="00AD5688">
              <w:rPr>
                <w:rFonts w:ascii="Sylfaen" w:eastAsia="Times New Roman" w:hAnsi="Sylfaen" w:cs="Calibri"/>
                <w:color w:val="000000"/>
                <w:sz w:val="18"/>
                <w:szCs w:val="18"/>
              </w:rPr>
              <w:t>1,459</w:t>
            </w:r>
          </w:p>
        </w:tc>
        <w:tc>
          <w:tcPr>
            <w:tcW w:w="1060" w:type="dxa"/>
            <w:tcBorders>
              <w:top w:val="nil"/>
              <w:left w:val="nil"/>
              <w:bottom w:val="single" w:sz="4" w:space="0" w:color="auto"/>
              <w:right w:val="single" w:sz="4" w:space="0" w:color="auto"/>
            </w:tcBorders>
            <w:shd w:val="clear" w:color="auto" w:fill="auto"/>
            <w:noWrap/>
            <w:vAlign w:val="bottom"/>
            <w:hideMark/>
          </w:tcPr>
          <w:p w:rsidR="005C1944" w:rsidRPr="00AD5688" w:rsidRDefault="005C1944" w:rsidP="00592E25">
            <w:pPr>
              <w:spacing w:after="0" w:line="240" w:lineRule="auto"/>
              <w:rPr>
                <w:rFonts w:ascii="Sylfaen" w:eastAsia="Times New Roman" w:hAnsi="Sylfaen" w:cs="Calibri"/>
                <w:color w:val="000000"/>
                <w:sz w:val="18"/>
                <w:szCs w:val="18"/>
              </w:rPr>
            </w:pPr>
            <w:r w:rsidRPr="00AD5688">
              <w:rPr>
                <w:rFonts w:ascii="Sylfaen" w:eastAsia="Times New Roman" w:hAnsi="Sylfaen" w:cs="Calibri"/>
                <w:color w:val="000000"/>
                <w:sz w:val="18"/>
                <w:szCs w:val="18"/>
              </w:rPr>
              <w:t xml:space="preserve">331,421 </w:t>
            </w:r>
          </w:p>
        </w:tc>
        <w:tc>
          <w:tcPr>
            <w:tcW w:w="1046" w:type="dxa"/>
            <w:tcBorders>
              <w:top w:val="nil"/>
              <w:left w:val="nil"/>
              <w:bottom w:val="single" w:sz="4" w:space="0" w:color="auto"/>
              <w:right w:val="single" w:sz="4" w:space="0" w:color="auto"/>
            </w:tcBorders>
            <w:shd w:val="clear" w:color="auto" w:fill="auto"/>
            <w:noWrap/>
            <w:vAlign w:val="bottom"/>
            <w:hideMark/>
          </w:tcPr>
          <w:p w:rsidR="005C1944" w:rsidRPr="00AD5688" w:rsidRDefault="005C1944" w:rsidP="00592E25">
            <w:pPr>
              <w:spacing w:after="0" w:line="240" w:lineRule="auto"/>
              <w:rPr>
                <w:rFonts w:ascii="Sylfaen" w:eastAsia="Times New Roman" w:hAnsi="Sylfaen" w:cs="Calibri"/>
                <w:color w:val="000000"/>
                <w:sz w:val="18"/>
                <w:szCs w:val="18"/>
              </w:rPr>
            </w:pPr>
            <w:r w:rsidRPr="00AD5688">
              <w:rPr>
                <w:rFonts w:ascii="Sylfaen" w:eastAsia="Times New Roman" w:hAnsi="Sylfaen" w:cs="Calibri"/>
                <w:color w:val="000000"/>
                <w:sz w:val="18"/>
                <w:szCs w:val="18"/>
              </w:rPr>
              <w:t xml:space="preserve">616 </w:t>
            </w:r>
          </w:p>
        </w:tc>
        <w:tc>
          <w:tcPr>
            <w:tcW w:w="1710" w:type="dxa"/>
            <w:tcBorders>
              <w:top w:val="nil"/>
              <w:left w:val="nil"/>
              <w:bottom w:val="single" w:sz="4" w:space="0" w:color="auto"/>
              <w:right w:val="single" w:sz="4" w:space="0" w:color="auto"/>
            </w:tcBorders>
            <w:shd w:val="clear" w:color="auto" w:fill="auto"/>
            <w:noWrap/>
            <w:vAlign w:val="bottom"/>
            <w:hideMark/>
          </w:tcPr>
          <w:p w:rsidR="005C1944" w:rsidRPr="00AD5688" w:rsidRDefault="005C1944" w:rsidP="00592E25">
            <w:pPr>
              <w:spacing w:after="0" w:line="240" w:lineRule="auto"/>
              <w:rPr>
                <w:rFonts w:ascii="Sylfaen" w:eastAsia="Times New Roman" w:hAnsi="Sylfaen" w:cs="Calibri"/>
                <w:color w:val="000000"/>
                <w:sz w:val="18"/>
                <w:szCs w:val="18"/>
              </w:rPr>
            </w:pPr>
            <w:r w:rsidRPr="00AD5688">
              <w:rPr>
                <w:rFonts w:ascii="Sylfaen" w:eastAsia="Times New Roman" w:hAnsi="Sylfaen" w:cs="Calibri"/>
                <w:color w:val="000000"/>
                <w:sz w:val="18"/>
                <w:szCs w:val="18"/>
              </w:rPr>
              <w:t xml:space="preserve">163,133 </w:t>
            </w:r>
          </w:p>
        </w:tc>
        <w:tc>
          <w:tcPr>
            <w:tcW w:w="1170" w:type="dxa"/>
            <w:tcBorders>
              <w:top w:val="nil"/>
              <w:left w:val="nil"/>
              <w:bottom w:val="single" w:sz="4" w:space="0" w:color="auto"/>
              <w:right w:val="single" w:sz="4" w:space="0" w:color="auto"/>
            </w:tcBorders>
            <w:shd w:val="clear" w:color="auto" w:fill="auto"/>
            <w:noWrap/>
            <w:vAlign w:val="bottom"/>
            <w:hideMark/>
          </w:tcPr>
          <w:p w:rsidR="005C1944" w:rsidRPr="00AD5688" w:rsidRDefault="005C1944" w:rsidP="00592E25">
            <w:pPr>
              <w:spacing w:after="0" w:line="240" w:lineRule="auto"/>
              <w:rPr>
                <w:rFonts w:ascii="Sylfaen" w:eastAsia="Times New Roman" w:hAnsi="Sylfaen" w:cs="Calibri"/>
                <w:color w:val="000000"/>
                <w:sz w:val="18"/>
                <w:szCs w:val="18"/>
              </w:rPr>
            </w:pPr>
            <w:r w:rsidRPr="00AD5688">
              <w:rPr>
                <w:rFonts w:ascii="Sylfaen" w:eastAsia="Times New Roman" w:hAnsi="Sylfaen" w:cs="Calibri"/>
                <w:color w:val="000000"/>
                <w:sz w:val="18"/>
                <w:szCs w:val="18"/>
              </w:rPr>
              <w:t xml:space="preserve">632 </w:t>
            </w:r>
          </w:p>
        </w:tc>
        <w:tc>
          <w:tcPr>
            <w:tcW w:w="1259" w:type="dxa"/>
            <w:tcBorders>
              <w:top w:val="nil"/>
              <w:left w:val="nil"/>
              <w:bottom w:val="single" w:sz="4" w:space="0" w:color="auto"/>
              <w:right w:val="single" w:sz="4" w:space="0" w:color="auto"/>
            </w:tcBorders>
            <w:shd w:val="clear" w:color="auto" w:fill="auto"/>
            <w:noWrap/>
            <w:vAlign w:val="bottom"/>
            <w:hideMark/>
          </w:tcPr>
          <w:p w:rsidR="005C1944" w:rsidRPr="00AD5688" w:rsidRDefault="005C1944" w:rsidP="00592E25">
            <w:pPr>
              <w:spacing w:after="0" w:line="240" w:lineRule="auto"/>
              <w:rPr>
                <w:rFonts w:ascii="Sylfaen" w:eastAsia="Times New Roman" w:hAnsi="Sylfaen" w:cs="Calibri"/>
                <w:color w:val="000000"/>
                <w:sz w:val="18"/>
                <w:szCs w:val="18"/>
              </w:rPr>
            </w:pPr>
            <w:r w:rsidRPr="00AD5688">
              <w:rPr>
                <w:rFonts w:ascii="Sylfaen" w:eastAsia="Times New Roman" w:hAnsi="Sylfaen" w:cs="Calibri"/>
                <w:color w:val="000000"/>
                <w:sz w:val="18"/>
                <w:szCs w:val="18"/>
              </w:rPr>
              <w:t xml:space="preserve">86,513 </w:t>
            </w:r>
          </w:p>
        </w:tc>
        <w:tc>
          <w:tcPr>
            <w:tcW w:w="861" w:type="dxa"/>
            <w:tcBorders>
              <w:top w:val="nil"/>
              <w:left w:val="nil"/>
              <w:bottom w:val="single" w:sz="4" w:space="0" w:color="auto"/>
              <w:right w:val="single" w:sz="4" w:space="0" w:color="auto"/>
            </w:tcBorders>
            <w:shd w:val="clear" w:color="auto" w:fill="auto"/>
            <w:noWrap/>
            <w:vAlign w:val="bottom"/>
            <w:hideMark/>
          </w:tcPr>
          <w:p w:rsidR="005C1944" w:rsidRPr="00AD5688" w:rsidRDefault="005C1944" w:rsidP="00592E25">
            <w:pPr>
              <w:spacing w:after="0" w:line="240" w:lineRule="auto"/>
              <w:rPr>
                <w:rFonts w:ascii="Sylfaen" w:eastAsia="Times New Roman" w:hAnsi="Sylfaen" w:cs="Calibri"/>
                <w:color w:val="000000"/>
                <w:sz w:val="18"/>
                <w:szCs w:val="18"/>
              </w:rPr>
            </w:pPr>
            <w:r w:rsidRPr="00AD5688">
              <w:rPr>
                <w:rFonts w:ascii="Sylfaen" w:eastAsia="Times New Roman" w:hAnsi="Sylfaen" w:cs="Calibri"/>
                <w:color w:val="000000"/>
                <w:sz w:val="18"/>
                <w:szCs w:val="18"/>
              </w:rPr>
              <w:t xml:space="preserve">203 </w:t>
            </w:r>
          </w:p>
        </w:tc>
        <w:tc>
          <w:tcPr>
            <w:tcW w:w="1120" w:type="dxa"/>
            <w:tcBorders>
              <w:top w:val="nil"/>
              <w:left w:val="nil"/>
              <w:bottom w:val="single" w:sz="4" w:space="0" w:color="auto"/>
              <w:right w:val="single" w:sz="4" w:space="0" w:color="auto"/>
            </w:tcBorders>
            <w:shd w:val="clear" w:color="auto" w:fill="auto"/>
            <w:noWrap/>
            <w:vAlign w:val="bottom"/>
            <w:hideMark/>
          </w:tcPr>
          <w:p w:rsidR="005C1944" w:rsidRPr="00AD5688" w:rsidRDefault="005C1944" w:rsidP="00592E25">
            <w:pPr>
              <w:spacing w:after="0" w:line="240" w:lineRule="auto"/>
              <w:rPr>
                <w:rFonts w:ascii="Sylfaen" w:eastAsia="Times New Roman" w:hAnsi="Sylfaen" w:cs="Calibri"/>
                <w:color w:val="000000"/>
                <w:sz w:val="18"/>
                <w:szCs w:val="18"/>
              </w:rPr>
            </w:pPr>
            <w:r w:rsidRPr="00AD5688">
              <w:rPr>
                <w:rFonts w:ascii="Sylfaen" w:eastAsia="Times New Roman" w:hAnsi="Sylfaen" w:cs="Calibri"/>
                <w:color w:val="000000"/>
                <w:sz w:val="18"/>
                <w:szCs w:val="18"/>
              </w:rPr>
              <w:t xml:space="preserve">52,458 </w:t>
            </w:r>
          </w:p>
        </w:tc>
        <w:tc>
          <w:tcPr>
            <w:tcW w:w="1066" w:type="dxa"/>
            <w:tcBorders>
              <w:top w:val="nil"/>
              <w:left w:val="nil"/>
              <w:bottom w:val="single" w:sz="4" w:space="0" w:color="auto"/>
              <w:right w:val="single" w:sz="4" w:space="0" w:color="auto"/>
            </w:tcBorders>
            <w:shd w:val="clear" w:color="auto" w:fill="auto"/>
            <w:noWrap/>
            <w:vAlign w:val="bottom"/>
            <w:hideMark/>
          </w:tcPr>
          <w:p w:rsidR="005C1944" w:rsidRPr="00AD5688" w:rsidRDefault="005C1944" w:rsidP="00592E25">
            <w:pPr>
              <w:spacing w:after="0" w:line="240" w:lineRule="auto"/>
              <w:rPr>
                <w:rFonts w:ascii="Sylfaen" w:eastAsia="Times New Roman" w:hAnsi="Sylfaen" w:cs="Calibri"/>
                <w:color w:val="000000"/>
                <w:sz w:val="18"/>
                <w:szCs w:val="18"/>
              </w:rPr>
            </w:pPr>
            <w:r w:rsidRPr="00AD5688">
              <w:rPr>
                <w:rFonts w:ascii="Sylfaen" w:eastAsia="Times New Roman" w:hAnsi="Sylfaen" w:cs="Calibri"/>
                <w:color w:val="000000"/>
                <w:sz w:val="18"/>
                <w:szCs w:val="18"/>
              </w:rPr>
              <w:t xml:space="preserve">2,910 </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5C1944" w:rsidRPr="00AD5688" w:rsidRDefault="005C1944" w:rsidP="00592E25">
            <w:pPr>
              <w:spacing w:after="0" w:line="240" w:lineRule="auto"/>
              <w:rPr>
                <w:rFonts w:ascii="Sylfaen" w:eastAsia="Times New Roman" w:hAnsi="Sylfaen" w:cs="Calibri"/>
                <w:b/>
                <w:bCs/>
                <w:color w:val="000000"/>
                <w:sz w:val="18"/>
                <w:szCs w:val="18"/>
              </w:rPr>
            </w:pPr>
            <w:r w:rsidRPr="00AD5688">
              <w:rPr>
                <w:rFonts w:ascii="Sylfaen" w:eastAsia="Times New Roman" w:hAnsi="Sylfaen" w:cs="Calibri"/>
                <w:b/>
                <w:bCs/>
                <w:color w:val="000000"/>
                <w:sz w:val="18"/>
                <w:szCs w:val="18"/>
              </w:rPr>
              <w:t xml:space="preserve">    633,525 </w:t>
            </w:r>
          </w:p>
        </w:tc>
      </w:tr>
      <w:tr w:rsidR="005C1944" w:rsidRPr="00AD5688" w:rsidTr="005C1944">
        <w:trPr>
          <w:gridAfter w:val="1"/>
          <w:wAfter w:w="14" w:type="dxa"/>
          <w:trHeight w:val="260"/>
        </w:trPr>
        <w:tc>
          <w:tcPr>
            <w:tcW w:w="1814" w:type="dxa"/>
            <w:tcBorders>
              <w:top w:val="nil"/>
              <w:left w:val="single" w:sz="4" w:space="0" w:color="auto"/>
              <w:bottom w:val="single" w:sz="4" w:space="0" w:color="auto"/>
              <w:right w:val="single" w:sz="4" w:space="0" w:color="auto"/>
            </w:tcBorders>
            <w:shd w:val="clear" w:color="auto" w:fill="auto"/>
            <w:noWrap/>
            <w:vAlign w:val="bottom"/>
            <w:hideMark/>
          </w:tcPr>
          <w:p w:rsidR="005C1944" w:rsidRPr="00AD5688" w:rsidRDefault="005C1944" w:rsidP="00592E25">
            <w:pPr>
              <w:spacing w:after="0" w:line="240" w:lineRule="auto"/>
              <w:rPr>
                <w:rFonts w:ascii="Sylfaen" w:eastAsia="Times New Roman" w:hAnsi="Sylfaen" w:cs="Calibri"/>
                <w:color w:val="000000"/>
                <w:sz w:val="18"/>
                <w:szCs w:val="18"/>
              </w:rPr>
            </w:pPr>
            <w:r w:rsidRPr="00AD5688">
              <w:rPr>
                <w:rFonts w:ascii="Sylfaen" w:eastAsia="Times New Roman" w:hAnsi="Sylfaen" w:cs="Calibri"/>
                <w:color w:val="000000"/>
                <w:sz w:val="18"/>
                <w:szCs w:val="18"/>
              </w:rPr>
              <w:t>2014 წ. მაისი</w:t>
            </w:r>
          </w:p>
        </w:tc>
        <w:tc>
          <w:tcPr>
            <w:tcW w:w="865" w:type="dxa"/>
            <w:tcBorders>
              <w:top w:val="nil"/>
              <w:left w:val="nil"/>
              <w:bottom w:val="single" w:sz="4" w:space="0" w:color="auto"/>
              <w:right w:val="single" w:sz="4" w:space="0" w:color="auto"/>
            </w:tcBorders>
            <w:shd w:val="clear" w:color="auto" w:fill="auto"/>
            <w:noWrap/>
            <w:vAlign w:val="bottom"/>
            <w:hideMark/>
          </w:tcPr>
          <w:p w:rsidR="005C1944" w:rsidRPr="00AD5688" w:rsidRDefault="005C1944" w:rsidP="00592E25">
            <w:pPr>
              <w:spacing w:after="0" w:line="240" w:lineRule="auto"/>
              <w:jc w:val="right"/>
              <w:rPr>
                <w:rFonts w:ascii="Sylfaen" w:eastAsia="Times New Roman" w:hAnsi="Sylfaen" w:cs="Calibri"/>
                <w:color w:val="000000"/>
                <w:sz w:val="18"/>
                <w:szCs w:val="18"/>
                <w:lang w:val="ka-GE"/>
              </w:rPr>
            </w:pPr>
            <w:r>
              <w:rPr>
                <w:rFonts w:ascii="Sylfaen" w:eastAsia="Times New Roman" w:hAnsi="Sylfaen" w:cs="Calibri"/>
                <w:color w:val="000000"/>
                <w:sz w:val="18"/>
                <w:szCs w:val="18"/>
              </w:rPr>
              <w:t>1,20</w:t>
            </w:r>
            <w:r>
              <w:rPr>
                <w:rFonts w:ascii="Sylfaen" w:eastAsia="Times New Roman" w:hAnsi="Sylfaen" w:cs="Calibri"/>
                <w:color w:val="000000"/>
                <w:sz w:val="18"/>
                <w:szCs w:val="18"/>
                <w:lang w:val="ka-GE"/>
              </w:rPr>
              <w:t>5</w:t>
            </w:r>
          </w:p>
        </w:tc>
        <w:tc>
          <w:tcPr>
            <w:tcW w:w="1060" w:type="dxa"/>
            <w:tcBorders>
              <w:top w:val="nil"/>
              <w:left w:val="nil"/>
              <w:bottom w:val="single" w:sz="4" w:space="0" w:color="auto"/>
              <w:right w:val="single" w:sz="4" w:space="0" w:color="auto"/>
            </w:tcBorders>
            <w:shd w:val="clear" w:color="auto" w:fill="auto"/>
            <w:noWrap/>
            <w:vAlign w:val="bottom"/>
            <w:hideMark/>
          </w:tcPr>
          <w:p w:rsidR="005C1944" w:rsidRPr="00AD5688" w:rsidRDefault="005C1944" w:rsidP="00592E25">
            <w:pPr>
              <w:spacing w:after="0" w:line="240" w:lineRule="auto"/>
              <w:rPr>
                <w:rFonts w:ascii="Sylfaen" w:eastAsia="Times New Roman" w:hAnsi="Sylfaen" w:cs="Calibri"/>
                <w:color w:val="000000"/>
                <w:sz w:val="18"/>
                <w:szCs w:val="18"/>
              </w:rPr>
            </w:pPr>
            <w:r w:rsidRPr="00AD5688">
              <w:rPr>
                <w:rFonts w:ascii="Sylfaen" w:eastAsia="Times New Roman" w:hAnsi="Sylfaen" w:cs="Calibri"/>
                <w:color w:val="000000"/>
                <w:sz w:val="18"/>
                <w:szCs w:val="18"/>
              </w:rPr>
              <w:t>29</w:t>
            </w:r>
            <w:r>
              <w:rPr>
                <w:rFonts w:ascii="Sylfaen" w:eastAsia="Times New Roman" w:hAnsi="Sylfaen" w:cs="Calibri"/>
                <w:color w:val="000000"/>
                <w:sz w:val="18"/>
                <w:szCs w:val="18"/>
                <w:lang w:val="ka-GE"/>
              </w:rPr>
              <w:t>4</w:t>
            </w:r>
            <w:r w:rsidRPr="00AD5688">
              <w:rPr>
                <w:rFonts w:ascii="Sylfaen" w:eastAsia="Times New Roman" w:hAnsi="Sylfaen" w:cs="Calibri"/>
                <w:color w:val="000000"/>
                <w:sz w:val="18"/>
                <w:szCs w:val="18"/>
              </w:rPr>
              <w:t>,</w:t>
            </w:r>
            <w:r>
              <w:rPr>
                <w:rFonts w:ascii="Sylfaen" w:eastAsia="Times New Roman" w:hAnsi="Sylfaen" w:cs="Calibri"/>
                <w:color w:val="000000"/>
                <w:sz w:val="18"/>
                <w:szCs w:val="18"/>
                <w:lang w:val="ka-GE"/>
              </w:rPr>
              <w:t>3</w:t>
            </w:r>
            <w:r w:rsidRPr="00AD5688">
              <w:rPr>
                <w:rFonts w:ascii="Sylfaen" w:eastAsia="Times New Roman" w:hAnsi="Sylfaen" w:cs="Calibri"/>
                <w:color w:val="000000"/>
                <w:sz w:val="18"/>
                <w:szCs w:val="18"/>
              </w:rPr>
              <w:t>4</w:t>
            </w:r>
            <w:r>
              <w:rPr>
                <w:rFonts w:ascii="Sylfaen" w:eastAsia="Times New Roman" w:hAnsi="Sylfaen" w:cs="Calibri"/>
                <w:color w:val="000000"/>
                <w:sz w:val="18"/>
                <w:szCs w:val="18"/>
                <w:lang w:val="ka-GE"/>
              </w:rPr>
              <w:t>2</w:t>
            </w:r>
          </w:p>
        </w:tc>
        <w:tc>
          <w:tcPr>
            <w:tcW w:w="1046" w:type="dxa"/>
            <w:tcBorders>
              <w:top w:val="nil"/>
              <w:left w:val="nil"/>
              <w:bottom w:val="single" w:sz="4" w:space="0" w:color="auto"/>
              <w:right w:val="single" w:sz="4" w:space="0" w:color="auto"/>
            </w:tcBorders>
            <w:shd w:val="clear" w:color="auto" w:fill="auto"/>
            <w:noWrap/>
            <w:vAlign w:val="bottom"/>
            <w:hideMark/>
          </w:tcPr>
          <w:p w:rsidR="005C1944" w:rsidRPr="00AD5688" w:rsidRDefault="005C1944" w:rsidP="00592E25">
            <w:pPr>
              <w:spacing w:after="0" w:line="240" w:lineRule="auto"/>
              <w:rPr>
                <w:rFonts w:ascii="Sylfaen" w:eastAsia="Times New Roman" w:hAnsi="Sylfaen" w:cs="Calibri"/>
                <w:color w:val="000000"/>
                <w:sz w:val="18"/>
                <w:szCs w:val="18"/>
              </w:rPr>
            </w:pPr>
            <w:r w:rsidRPr="00AD5688">
              <w:rPr>
                <w:rFonts w:ascii="Sylfaen" w:eastAsia="Times New Roman" w:hAnsi="Sylfaen" w:cs="Calibri"/>
                <w:color w:val="000000"/>
                <w:sz w:val="18"/>
                <w:szCs w:val="18"/>
              </w:rPr>
              <w:t xml:space="preserve">493 </w:t>
            </w:r>
          </w:p>
        </w:tc>
        <w:tc>
          <w:tcPr>
            <w:tcW w:w="1710" w:type="dxa"/>
            <w:tcBorders>
              <w:top w:val="nil"/>
              <w:left w:val="nil"/>
              <w:bottom w:val="single" w:sz="4" w:space="0" w:color="auto"/>
              <w:right w:val="single" w:sz="4" w:space="0" w:color="auto"/>
            </w:tcBorders>
            <w:shd w:val="clear" w:color="auto" w:fill="auto"/>
            <w:noWrap/>
            <w:vAlign w:val="bottom"/>
            <w:hideMark/>
          </w:tcPr>
          <w:p w:rsidR="005C1944" w:rsidRPr="00AD5688" w:rsidRDefault="005C1944" w:rsidP="00592E25">
            <w:pPr>
              <w:spacing w:after="0" w:line="240" w:lineRule="auto"/>
              <w:rPr>
                <w:rFonts w:ascii="Sylfaen" w:eastAsia="Times New Roman" w:hAnsi="Sylfaen" w:cs="Calibri"/>
                <w:color w:val="000000"/>
                <w:sz w:val="18"/>
                <w:szCs w:val="18"/>
              </w:rPr>
            </w:pPr>
            <w:r w:rsidRPr="00AD5688">
              <w:rPr>
                <w:rFonts w:ascii="Sylfaen" w:eastAsia="Times New Roman" w:hAnsi="Sylfaen" w:cs="Calibri"/>
                <w:color w:val="000000"/>
                <w:sz w:val="18"/>
                <w:szCs w:val="18"/>
              </w:rPr>
              <w:t xml:space="preserve">77,163 </w:t>
            </w:r>
          </w:p>
        </w:tc>
        <w:tc>
          <w:tcPr>
            <w:tcW w:w="1170" w:type="dxa"/>
            <w:tcBorders>
              <w:top w:val="nil"/>
              <w:left w:val="nil"/>
              <w:bottom w:val="single" w:sz="4" w:space="0" w:color="auto"/>
              <w:right w:val="single" w:sz="4" w:space="0" w:color="auto"/>
            </w:tcBorders>
            <w:shd w:val="clear" w:color="auto" w:fill="auto"/>
            <w:noWrap/>
            <w:vAlign w:val="bottom"/>
            <w:hideMark/>
          </w:tcPr>
          <w:p w:rsidR="005C1944" w:rsidRPr="00AD5688" w:rsidRDefault="005C1944" w:rsidP="00592E25">
            <w:pPr>
              <w:spacing w:after="0" w:line="240" w:lineRule="auto"/>
              <w:rPr>
                <w:rFonts w:ascii="Sylfaen" w:eastAsia="Times New Roman" w:hAnsi="Sylfaen" w:cs="Calibri"/>
                <w:color w:val="000000"/>
                <w:sz w:val="18"/>
                <w:szCs w:val="18"/>
                <w:lang w:val="ka-GE"/>
              </w:rPr>
            </w:pPr>
            <w:r>
              <w:rPr>
                <w:rFonts w:ascii="Sylfaen" w:eastAsia="Times New Roman" w:hAnsi="Sylfaen" w:cs="Calibri"/>
                <w:color w:val="000000"/>
                <w:sz w:val="18"/>
                <w:szCs w:val="18"/>
              </w:rPr>
              <w:t>90</w:t>
            </w:r>
            <w:r>
              <w:rPr>
                <w:rFonts w:ascii="Sylfaen" w:eastAsia="Times New Roman" w:hAnsi="Sylfaen" w:cs="Calibri"/>
                <w:color w:val="000000"/>
                <w:sz w:val="18"/>
                <w:szCs w:val="18"/>
                <w:lang w:val="ka-GE"/>
              </w:rPr>
              <w:t>8</w:t>
            </w:r>
          </w:p>
        </w:tc>
        <w:tc>
          <w:tcPr>
            <w:tcW w:w="1259" w:type="dxa"/>
            <w:tcBorders>
              <w:top w:val="nil"/>
              <w:left w:val="nil"/>
              <w:bottom w:val="single" w:sz="4" w:space="0" w:color="auto"/>
              <w:right w:val="single" w:sz="4" w:space="0" w:color="auto"/>
            </w:tcBorders>
            <w:shd w:val="clear" w:color="auto" w:fill="auto"/>
            <w:noWrap/>
            <w:vAlign w:val="bottom"/>
            <w:hideMark/>
          </w:tcPr>
          <w:p w:rsidR="005C1944" w:rsidRPr="00AD5688" w:rsidRDefault="005C1944" w:rsidP="00592E25">
            <w:pPr>
              <w:spacing w:after="0" w:line="240" w:lineRule="auto"/>
              <w:rPr>
                <w:rFonts w:ascii="Sylfaen" w:eastAsia="Times New Roman" w:hAnsi="Sylfaen" w:cs="Calibri"/>
                <w:color w:val="000000"/>
                <w:sz w:val="18"/>
                <w:szCs w:val="18"/>
                <w:lang w:val="ka-GE"/>
              </w:rPr>
            </w:pPr>
            <w:r w:rsidRPr="006E6DD9">
              <w:rPr>
                <w:rFonts w:ascii="Sylfaen" w:eastAsia="Times New Roman" w:hAnsi="Sylfaen" w:cs="Calibri"/>
                <w:color w:val="000000"/>
                <w:sz w:val="18"/>
                <w:szCs w:val="18"/>
              </w:rPr>
              <w:t>256,752</w:t>
            </w:r>
          </w:p>
        </w:tc>
        <w:tc>
          <w:tcPr>
            <w:tcW w:w="861" w:type="dxa"/>
            <w:tcBorders>
              <w:top w:val="nil"/>
              <w:left w:val="nil"/>
              <w:bottom w:val="single" w:sz="4" w:space="0" w:color="auto"/>
              <w:right w:val="single" w:sz="4" w:space="0" w:color="auto"/>
            </w:tcBorders>
            <w:shd w:val="clear" w:color="auto" w:fill="auto"/>
            <w:noWrap/>
            <w:vAlign w:val="bottom"/>
            <w:hideMark/>
          </w:tcPr>
          <w:p w:rsidR="005C1944" w:rsidRPr="00AD5688" w:rsidRDefault="005C1944" w:rsidP="00592E25">
            <w:pPr>
              <w:spacing w:after="0" w:line="240" w:lineRule="auto"/>
              <w:rPr>
                <w:rFonts w:ascii="Sylfaen" w:eastAsia="Times New Roman" w:hAnsi="Sylfaen" w:cs="Calibri"/>
                <w:color w:val="000000"/>
                <w:sz w:val="18"/>
                <w:szCs w:val="18"/>
              </w:rPr>
            </w:pPr>
            <w:r w:rsidRPr="00AD5688">
              <w:rPr>
                <w:rFonts w:ascii="Sylfaen" w:eastAsia="Times New Roman" w:hAnsi="Sylfaen" w:cs="Calibri"/>
                <w:color w:val="000000"/>
                <w:sz w:val="18"/>
                <w:szCs w:val="18"/>
              </w:rPr>
              <w:t xml:space="preserve">185 </w:t>
            </w:r>
          </w:p>
        </w:tc>
        <w:tc>
          <w:tcPr>
            <w:tcW w:w="1120" w:type="dxa"/>
            <w:tcBorders>
              <w:top w:val="nil"/>
              <w:left w:val="nil"/>
              <w:bottom w:val="single" w:sz="4" w:space="0" w:color="auto"/>
              <w:right w:val="single" w:sz="4" w:space="0" w:color="auto"/>
            </w:tcBorders>
            <w:shd w:val="clear" w:color="auto" w:fill="auto"/>
            <w:noWrap/>
            <w:vAlign w:val="bottom"/>
            <w:hideMark/>
          </w:tcPr>
          <w:p w:rsidR="005C1944" w:rsidRPr="00AD5688" w:rsidRDefault="005C1944" w:rsidP="00592E25">
            <w:pPr>
              <w:spacing w:after="0" w:line="240" w:lineRule="auto"/>
              <w:rPr>
                <w:rFonts w:ascii="Sylfaen" w:eastAsia="Times New Roman" w:hAnsi="Sylfaen" w:cs="Calibri"/>
                <w:color w:val="000000"/>
                <w:sz w:val="18"/>
                <w:szCs w:val="18"/>
              </w:rPr>
            </w:pPr>
            <w:r w:rsidRPr="00AD5688">
              <w:rPr>
                <w:rFonts w:ascii="Sylfaen" w:eastAsia="Times New Roman" w:hAnsi="Sylfaen" w:cs="Calibri"/>
                <w:color w:val="000000"/>
                <w:sz w:val="18"/>
                <w:szCs w:val="18"/>
              </w:rPr>
              <w:t xml:space="preserve">51,919 </w:t>
            </w:r>
          </w:p>
        </w:tc>
        <w:tc>
          <w:tcPr>
            <w:tcW w:w="1066" w:type="dxa"/>
            <w:tcBorders>
              <w:top w:val="nil"/>
              <w:left w:val="nil"/>
              <w:bottom w:val="single" w:sz="4" w:space="0" w:color="auto"/>
              <w:right w:val="single" w:sz="4" w:space="0" w:color="auto"/>
            </w:tcBorders>
            <w:shd w:val="clear" w:color="auto" w:fill="auto"/>
            <w:noWrap/>
            <w:vAlign w:val="bottom"/>
            <w:hideMark/>
          </w:tcPr>
          <w:p w:rsidR="005C1944" w:rsidRPr="00AD5688" w:rsidRDefault="005C1944" w:rsidP="00592E25">
            <w:pPr>
              <w:spacing w:after="0" w:line="240" w:lineRule="auto"/>
              <w:rPr>
                <w:rFonts w:ascii="Sylfaen" w:eastAsia="Times New Roman" w:hAnsi="Sylfaen" w:cs="Calibri"/>
                <w:color w:val="000000"/>
                <w:sz w:val="18"/>
                <w:szCs w:val="18"/>
              </w:rPr>
            </w:pPr>
            <w:r w:rsidRPr="00AD5688">
              <w:rPr>
                <w:rFonts w:ascii="Sylfaen" w:eastAsia="Times New Roman" w:hAnsi="Sylfaen" w:cs="Calibri"/>
                <w:color w:val="000000"/>
                <w:sz w:val="18"/>
                <w:szCs w:val="18"/>
              </w:rPr>
              <w:t xml:space="preserve">2,791 </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5C1944" w:rsidRPr="00AD5688" w:rsidRDefault="005C1944" w:rsidP="00592E25">
            <w:pPr>
              <w:spacing w:after="0" w:line="240" w:lineRule="auto"/>
              <w:rPr>
                <w:rFonts w:ascii="Sylfaen" w:eastAsia="Times New Roman" w:hAnsi="Sylfaen" w:cs="Calibri"/>
                <w:b/>
                <w:bCs/>
                <w:color w:val="000000"/>
                <w:sz w:val="18"/>
                <w:szCs w:val="18"/>
              </w:rPr>
            </w:pPr>
            <w:r w:rsidRPr="00AD5688">
              <w:rPr>
                <w:rFonts w:ascii="Sylfaen" w:eastAsia="Times New Roman" w:hAnsi="Sylfaen" w:cs="Calibri"/>
                <w:b/>
                <w:bCs/>
                <w:color w:val="000000"/>
                <w:sz w:val="18"/>
                <w:szCs w:val="18"/>
              </w:rPr>
              <w:t xml:space="preserve">    680,176 </w:t>
            </w:r>
          </w:p>
        </w:tc>
      </w:tr>
    </w:tbl>
    <w:p w:rsidR="005C1944" w:rsidRPr="005C1944" w:rsidRDefault="005C1944" w:rsidP="005C1944">
      <w:pPr>
        <w:pStyle w:val="ListParagraph"/>
        <w:rPr>
          <w:rFonts w:ascii="Sylfaen" w:eastAsia="Sylfaen" w:hAnsi="Sylfaen"/>
          <w:b/>
          <w:sz w:val="24"/>
          <w:lang w:val="ka-GE"/>
        </w:rPr>
      </w:pPr>
    </w:p>
    <w:p w:rsidR="005C1944" w:rsidRPr="005C1944" w:rsidRDefault="005C1944" w:rsidP="005C1944">
      <w:pPr>
        <w:pStyle w:val="ListParagraph"/>
        <w:numPr>
          <w:ilvl w:val="0"/>
          <w:numId w:val="26"/>
        </w:numPr>
        <w:rPr>
          <w:rFonts w:ascii="Sylfaen" w:eastAsia="Sylfaen" w:hAnsi="Sylfaen"/>
          <w:b/>
          <w:sz w:val="24"/>
          <w:lang w:val="ka-GE"/>
        </w:rPr>
      </w:pPr>
      <w:r w:rsidRPr="005C1944">
        <w:rPr>
          <w:rFonts w:ascii="Sylfaen" w:eastAsia="Sylfaen" w:hAnsi="Sylfaen"/>
          <w:b/>
          <w:sz w:val="24"/>
        </w:rPr>
        <w:br w:type="page"/>
      </w:r>
    </w:p>
    <w:p w:rsidR="005C1944" w:rsidRPr="005C1944" w:rsidRDefault="005C1944" w:rsidP="005C1944">
      <w:pPr>
        <w:pStyle w:val="ListParagraph"/>
        <w:jc w:val="right"/>
        <w:rPr>
          <w:rFonts w:ascii="Sylfaen" w:eastAsia="Sylfaen" w:hAnsi="Sylfaen"/>
          <w:b/>
          <w:sz w:val="24"/>
          <w:lang w:val="ka-GE"/>
        </w:rPr>
      </w:pPr>
      <w:r>
        <w:rPr>
          <w:rFonts w:ascii="Sylfaen" w:eastAsia="Sylfaen" w:hAnsi="Sylfaen"/>
          <w:b/>
          <w:sz w:val="24"/>
          <w:lang w:val="ka-GE"/>
        </w:rPr>
        <w:lastRenderedPageBreak/>
        <w:t>გრაფიკი N6</w:t>
      </w:r>
    </w:p>
    <w:p w:rsidR="005C1944" w:rsidRPr="005C1944" w:rsidRDefault="005C1944" w:rsidP="005C1944">
      <w:pPr>
        <w:pStyle w:val="ListParagraph"/>
        <w:rPr>
          <w:rFonts w:ascii="Sylfaen" w:eastAsia="Sylfaen" w:hAnsi="Sylfaen"/>
          <w:b/>
          <w:sz w:val="24"/>
          <w:lang w:val="ka-GE"/>
        </w:rPr>
      </w:pPr>
      <w:r>
        <w:rPr>
          <w:noProof/>
        </w:rPr>
        <w:drawing>
          <wp:inline distT="0" distB="0" distL="0" distR="0">
            <wp:extent cx="7981950" cy="4610100"/>
            <wp:effectExtent l="19050" t="0" r="1905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C1944" w:rsidRDefault="005C1944" w:rsidP="005C1944">
      <w:pPr>
        <w:pStyle w:val="ListParagraph"/>
        <w:rPr>
          <w:rFonts w:ascii="Sylfaen" w:eastAsia="Sylfaen" w:hAnsi="Sylfaen"/>
          <w:b/>
          <w:sz w:val="24"/>
          <w:lang w:val="ka-GE"/>
        </w:rPr>
      </w:pPr>
    </w:p>
    <w:p w:rsidR="005C1944" w:rsidRDefault="005C1944" w:rsidP="005C1944">
      <w:pPr>
        <w:pStyle w:val="ListParagraph"/>
        <w:rPr>
          <w:rFonts w:ascii="Sylfaen" w:eastAsia="Sylfaen" w:hAnsi="Sylfaen"/>
          <w:b/>
          <w:sz w:val="24"/>
          <w:lang w:val="ka-GE"/>
        </w:rPr>
      </w:pPr>
    </w:p>
    <w:p w:rsidR="005C1944" w:rsidRDefault="005C1944" w:rsidP="005C1944">
      <w:pPr>
        <w:pStyle w:val="ListParagraph"/>
        <w:rPr>
          <w:rFonts w:ascii="Sylfaen" w:eastAsia="Sylfaen" w:hAnsi="Sylfaen"/>
          <w:b/>
          <w:sz w:val="24"/>
          <w:lang w:val="ka-GE"/>
        </w:rPr>
      </w:pPr>
    </w:p>
    <w:p w:rsidR="005C1944" w:rsidRDefault="005C1944" w:rsidP="005C1944">
      <w:pPr>
        <w:pStyle w:val="ListParagraph"/>
        <w:rPr>
          <w:rFonts w:ascii="Sylfaen" w:eastAsia="Sylfaen" w:hAnsi="Sylfaen"/>
          <w:b/>
          <w:sz w:val="24"/>
          <w:lang w:val="ka-GE"/>
        </w:rPr>
      </w:pPr>
    </w:p>
    <w:p w:rsidR="005C1944" w:rsidRDefault="005C1944" w:rsidP="005C1944">
      <w:pPr>
        <w:pStyle w:val="ListParagraph"/>
        <w:rPr>
          <w:rFonts w:ascii="Sylfaen" w:eastAsia="Sylfaen" w:hAnsi="Sylfaen"/>
          <w:b/>
          <w:sz w:val="24"/>
          <w:lang w:val="ka-GE"/>
        </w:rPr>
      </w:pPr>
    </w:p>
    <w:p w:rsidR="005C1944" w:rsidRDefault="005C1944" w:rsidP="005C1944">
      <w:pPr>
        <w:pStyle w:val="ListParagraph"/>
        <w:rPr>
          <w:rFonts w:ascii="Sylfaen" w:eastAsia="Sylfaen" w:hAnsi="Sylfaen"/>
          <w:b/>
          <w:sz w:val="24"/>
          <w:lang w:val="ka-GE"/>
        </w:rPr>
      </w:pPr>
    </w:p>
    <w:p w:rsidR="005C1944" w:rsidRDefault="005C1944" w:rsidP="005C1944">
      <w:pPr>
        <w:pStyle w:val="ListParagraph"/>
        <w:rPr>
          <w:rFonts w:ascii="Sylfaen" w:eastAsia="Sylfaen" w:hAnsi="Sylfaen"/>
          <w:b/>
          <w:sz w:val="24"/>
          <w:lang w:val="ka-GE"/>
        </w:rPr>
      </w:pPr>
    </w:p>
    <w:p w:rsidR="005C1944" w:rsidRDefault="005C1944" w:rsidP="005C1944">
      <w:pPr>
        <w:pStyle w:val="ListParagraph"/>
        <w:rPr>
          <w:rFonts w:ascii="Sylfaen" w:eastAsia="Sylfaen" w:hAnsi="Sylfaen"/>
          <w:b/>
          <w:sz w:val="24"/>
          <w:lang w:val="ka-GE"/>
        </w:rPr>
      </w:pPr>
    </w:p>
    <w:p w:rsidR="005C1944" w:rsidRPr="005C1944" w:rsidRDefault="005C1944" w:rsidP="005C1944">
      <w:pPr>
        <w:pStyle w:val="ListParagraph"/>
        <w:jc w:val="right"/>
        <w:rPr>
          <w:rFonts w:ascii="Sylfaen" w:eastAsia="Sylfaen" w:hAnsi="Sylfaen"/>
          <w:color w:val="FF0000"/>
          <w:sz w:val="24"/>
          <w:lang w:val="ka-GE"/>
        </w:rPr>
      </w:pPr>
      <w:r>
        <w:rPr>
          <w:rFonts w:ascii="Sylfaen" w:eastAsia="Sylfaen" w:hAnsi="Sylfaen"/>
          <w:b/>
          <w:sz w:val="24"/>
          <w:lang w:val="ka-GE"/>
        </w:rPr>
        <w:t>გრაფიკი</w:t>
      </w:r>
      <w:r w:rsidR="00592E25">
        <w:rPr>
          <w:rFonts w:ascii="Sylfaen" w:eastAsia="Sylfaen" w:hAnsi="Sylfaen"/>
          <w:b/>
          <w:sz w:val="24"/>
          <w:lang w:val="ka-GE"/>
        </w:rPr>
        <w:t xml:space="preserve"> N7 </w:t>
      </w:r>
    </w:p>
    <w:p w:rsidR="005C1944" w:rsidRPr="005C1944" w:rsidRDefault="005C1944" w:rsidP="005C1944">
      <w:pPr>
        <w:pStyle w:val="ListParagraph"/>
        <w:rPr>
          <w:rFonts w:ascii="Sylfaen" w:eastAsia="Sylfaen" w:hAnsi="Sylfaen"/>
          <w:b/>
          <w:sz w:val="24"/>
          <w:lang w:val="ka-GE"/>
        </w:rPr>
      </w:pPr>
      <w:r>
        <w:rPr>
          <w:noProof/>
        </w:rPr>
        <w:drawing>
          <wp:inline distT="0" distB="0" distL="0" distR="0">
            <wp:extent cx="8229600" cy="4743450"/>
            <wp:effectExtent l="19050" t="0" r="1905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C1944" w:rsidRDefault="005C1944">
      <w:pPr>
        <w:rPr>
          <w:rFonts w:ascii="Sylfaen" w:eastAsia="Sylfaen" w:hAnsi="Sylfaen"/>
          <w:b/>
          <w:szCs w:val="22"/>
          <w:lang w:val="ka-GE"/>
        </w:rPr>
        <w:sectPr w:rsidR="005C1944" w:rsidSect="00140951">
          <w:pgSz w:w="15840" w:h="12240" w:orient="landscape"/>
          <w:pgMar w:top="1354" w:right="1138" w:bottom="806" w:left="1138" w:header="720" w:footer="720" w:gutter="0"/>
          <w:cols w:space="720"/>
          <w:docGrid w:linePitch="360"/>
        </w:sectPr>
      </w:pPr>
    </w:p>
    <w:p w:rsidR="009D4404" w:rsidRPr="009D4404" w:rsidRDefault="009D4404" w:rsidP="009D4404">
      <w:pPr>
        <w:pStyle w:val="ListParagraph"/>
        <w:pBdr>
          <w:bottom w:val="single" w:sz="6" w:space="1" w:color="auto"/>
        </w:pBdr>
        <w:rPr>
          <w:rFonts w:ascii="Sylfaen" w:eastAsia="Sylfaen" w:hAnsi="Sylfaen"/>
          <w:b/>
          <w:szCs w:val="22"/>
          <w:lang w:val="ka-GE"/>
        </w:rPr>
      </w:pPr>
    </w:p>
    <w:p w:rsidR="00F35453" w:rsidRPr="00F35453" w:rsidRDefault="00F35453" w:rsidP="009D4404">
      <w:pPr>
        <w:pStyle w:val="ListParagraph"/>
        <w:spacing w:after="120" w:line="240" w:lineRule="auto"/>
        <w:rPr>
          <w:rFonts w:ascii="Sylfaen" w:eastAsia="Sylfaen" w:hAnsi="Sylfaen"/>
          <w:sz w:val="24"/>
        </w:rPr>
      </w:pPr>
    </w:p>
    <w:p w:rsidR="005D0345" w:rsidRPr="003C4BC3" w:rsidRDefault="00D14B92" w:rsidP="003C4BC3">
      <w:pPr>
        <w:spacing w:after="120" w:line="240" w:lineRule="auto"/>
        <w:ind w:left="360"/>
        <w:jc w:val="both"/>
        <w:rPr>
          <w:rFonts w:ascii="Sylfaen" w:eastAsia="Sylfaen" w:hAnsi="Sylfaen"/>
          <w:szCs w:val="22"/>
          <w:lang w:val="ka-GE"/>
        </w:rPr>
      </w:pPr>
      <w:r w:rsidRPr="003C4BC3">
        <w:rPr>
          <w:rFonts w:ascii="Sylfaen" w:eastAsia="Sylfaen" w:hAnsi="Sylfaen"/>
          <w:szCs w:val="22"/>
        </w:rPr>
        <w:t>2013</w:t>
      </w:r>
      <w:r w:rsidRPr="003C4BC3">
        <w:rPr>
          <w:rFonts w:ascii="Sylfaen" w:eastAsia="Sylfaen" w:hAnsi="Sylfaen"/>
          <w:szCs w:val="22"/>
          <w:lang w:val="ka-GE"/>
        </w:rPr>
        <w:t xml:space="preserve"> წელს საყოველთა</w:t>
      </w:r>
      <w:r w:rsidR="008754F8" w:rsidRPr="003C4BC3">
        <w:rPr>
          <w:rFonts w:ascii="Sylfaen" w:eastAsia="Sylfaen" w:hAnsi="Sylfaen"/>
          <w:szCs w:val="22"/>
          <w:lang w:val="ka-GE"/>
        </w:rPr>
        <w:t>ო</w:t>
      </w:r>
      <w:r w:rsidRPr="003C4BC3">
        <w:rPr>
          <w:rFonts w:ascii="Sylfaen" w:eastAsia="Sylfaen" w:hAnsi="Sylfaen"/>
          <w:szCs w:val="22"/>
          <w:lang w:val="ka-GE"/>
        </w:rPr>
        <w:t xml:space="preserve"> ჯან</w:t>
      </w:r>
      <w:r w:rsidR="00AC3E2C" w:rsidRPr="003C4BC3">
        <w:rPr>
          <w:rFonts w:ascii="Sylfaen" w:eastAsia="Sylfaen" w:hAnsi="Sylfaen"/>
          <w:szCs w:val="22"/>
          <w:lang w:val="ka-GE"/>
        </w:rPr>
        <w:t>მრთელობის და</w:t>
      </w:r>
      <w:r w:rsidRPr="003C4BC3">
        <w:rPr>
          <w:rFonts w:ascii="Sylfaen" w:eastAsia="Sylfaen" w:hAnsi="Sylfaen"/>
          <w:szCs w:val="22"/>
          <w:lang w:val="ka-GE"/>
        </w:rPr>
        <w:t xml:space="preserve">ცვის პროგრამის ამოქმედებამ და სამედიცინო სერვისებზე ფინანსური </w:t>
      </w:r>
      <w:r w:rsidR="009D4404" w:rsidRPr="003C4BC3">
        <w:rPr>
          <w:rFonts w:ascii="Sylfaen" w:eastAsia="Sylfaen" w:hAnsi="Sylfaen"/>
          <w:szCs w:val="22"/>
          <w:lang w:val="ka-GE"/>
        </w:rPr>
        <w:t xml:space="preserve">და გეოგრაფიული </w:t>
      </w:r>
      <w:r w:rsidRPr="003C4BC3">
        <w:rPr>
          <w:rFonts w:ascii="Sylfaen" w:eastAsia="Sylfaen" w:hAnsi="Sylfaen"/>
          <w:szCs w:val="22"/>
          <w:lang w:val="ka-GE"/>
        </w:rPr>
        <w:t xml:space="preserve">ხელმისაწვდომობის ზრდამ გამოიწვია სტაციონარული სამედიცინო სერვისების უტილიზაციის მაჩვენებლის მკვეთრი მატება, რაც ვფიქრობთ, </w:t>
      </w:r>
      <w:proofErr w:type="gramStart"/>
      <w:r w:rsidRPr="003C4BC3">
        <w:rPr>
          <w:rFonts w:ascii="Sylfaen" w:eastAsia="Sylfaen" w:hAnsi="Sylfaen"/>
          <w:szCs w:val="22"/>
          <w:lang w:val="ka-GE"/>
        </w:rPr>
        <w:t>რომ  შესაბამისად</w:t>
      </w:r>
      <w:proofErr w:type="gramEnd"/>
      <w:r w:rsidRPr="003C4BC3">
        <w:rPr>
          <w:rFonts w:ascii="Sylfaen" w:eastAsia="Sylfaen" w:hAnsi="Sylfaen"/>
          <w:szCs w:val="22"/>
          <w:lang w:val="ka-GE"/>
        </w:rPr>
        <w:t xml:space="preserve"> აისახა რეფერალური დახმარების პროგრამის ხარჯვით ნაწილზე. </w:t>
      </w:r>
    </w:p>
    <w:p w:rsidR="00D14B92" w:rsidRPr="003C4BC3" w:rsidRDefault="00D14B92" w:rsidP="003C4BC3">
      <w:pPr>
        <w:spacing w:after="120" w:line="240" w:lineRule="auto"/>
        <w:ind w:left="720"/>
        <w:jc w:val="both"/>
        <w:rPr>
          <w:rFonts w:ascii="Sylfaen" w:eastAsia="Sylfaen" w:hAnsi="Sylfaen"/>
          <w:szCs w:val="22"/>
          <w:lang w:val="ka-GE"/>
        </w:rPr>
      </w:pPr>
      <w:r w:rsidRPr="003C4BC3">
        <w:rPr>
          <w:rFonts w:ascii="Sylfaen" w:eastAsia="Sylfaen" w:hAnsi="Sylfaen" w:cs="Sylfaen"/>
          <w:szCs w:val="22"/>
          <w:lang w:val="ka-GE"/>
        </w:rPr>
        <w:t>მაგალითისათვის</w:t>
      </w:r>
      <w:r w:rsidRPr="003C4BC3">
        <w:rPr>
          <w:rFonts w:ascii="Sylfaen" w:eastAsia="Sylfaen" w:hAnsi="Sylfaen"/>
          <w:szCs w:val="22"/>
          <w:lang w:val="ka-GE"/>
        </w:rPr>
        <w:t xml:space="preserve"> წარმოგიდგენთ ერთ-ერთი მრავალპროფილური კლინიკის მიმართვიანობას 2012-2013 წლებში.</w:t>
      </w:r>
    </w:p>
    <w:p w:rsidR="00D14B92" w:rsidRDefault="00D14B92" w:rsidP="009D4404">
      <w:pPr>
        <w:spacing w:after="120" w:line="240" w:lineRule="auto"/>
        <w:ind w:firstLine="720"/>
        <w:rPr>
          <w:rFonts w:ascii="Sylfaen" w:eastAsia="Sylfaen" w:hAnsi="Sylfaen"/>
          <w:b/>
          <w:sz w:val="24"/>
        </w:rPr>
      </w:pPr>
      <w:r>
        <w:rPr>
          <w:rFonts w:ascii="Sylfaen" w:eastAsia="Sylfaen" w:hAnsi="Sylfaen"/>
          <w:b/>
          <w:sz w:val="24"/>
          <w:lang w:val="ka-GE"/>
        </w:rPr>
        <w:t>კლინიკა „</w:t>
      </w:r>
      <w:r>
        <w:rPr>
          <w:rFonts w:ascii="Sylfaen" w:eastAsia="Sylfaen" w:hAnsi="Sylfaen"/>
          <w:b/>
          <w:sz w:val="24"/>
        </w:rPr>
        <w:t>X”</w:t>
      </w:r>
    </w:p>
    <w:tbl>
      <w:tblPr>
        <w:tblStyle w:val="TableGrid"/>
        <w:tblW w:w="0" w:type="auto"/>
        <w:tblInd w:w="720" w:type="dxa"/>
        <w:tblLook w:val="04A0"/>
      </w:tblPr>
      <w:tblGrid>
        <w:gridCol w:w="3085"/>
        <w:gridCol w:w="1985"/>
        <w:gridCol w:w="2551"/>
      </w:tblGrid>
      <w:tr w:rsidR="00D14B92" w:rsidTr="006D6C35">
        <w:tc>
          <w:tcPr>
            <w:tcW w:w="3085" w:type="dxa"/>
          </w:tcPr>
          <w:p w:rsidR="00D14B92" w:rsidRDefault="00D14B92" w:rsidP="00D86DB3">
            <w:pPr>
              <w:rPr>
                <w:rFonts w:ascii="Sylfaen" w:eastAsia="Sylfaen" w:hAnsi="Sylfaen"/>
                <w:b/>
                <w:sz w:val="24"/>
                <w:lang w:val="ka-GE"/>
              </w:rPr>
            </w:pPr>
          </w:p>
        </w:tc>
        <w:tc>
          <w:tcPr>
            <w:tcW w:w="1985" w:type="dxa"/>
          </w:tcPr>
          <w:p w:rsidR="00D14B92" w:rsidRDefault="00D14B92" w:rsidP="00D86DB3">
            <w:pPr>
              <w:rPr>
                <w:rFonts w:ascii="Sylfaen" w:eastAsia="Sylfaen" w:hAnsi="Sylfaen"/>
                <w:b/>
                <w:sz w:val="24"/>
                <w:lang w:val="ka-GE"/>
              </w:rPr>
            </w:pPr>
            <w:r>
              <w:rPr>
                <w:rFonts w:ascii="Sylfaen" w:eastAsia="Sylfaen" w:hAnsi="Sylfaen"/>
                <w:b/>
                <w:sz w:val="24"/>
              </w:rPr>
              <w:t xml:space="preserve">2012 </w:t>
            </w:r>
            <w:r>
              <w:rPr>
                <w:rFonts w:ascii="Sylfaen" w:eastAsia="Sylfaen" w:hAnsi="Sylfaen"/>
                <w:b/>
                <w:sz w:val="24"/>
                <w:lang w:val="ka-GE"/>
              </w:rPr>
              <w:t>წელი</w:t>
            </w:r>
          </w:p>
        </w:tc>
        <w:tc>
          <w:tcPr>
            <w:tcW w:w="2551" w:type="dxa"/>
          </w:tcPr>
          <w:p w:rsidR="00D14B92" w:rsidRDefault="00D14B92" w:rsidP="00D86DB3">
            <w:pPr>
              <w:jc w:val="center"/>
              <w:rPr>
                <w:rFonts w:ascii="Sylfaen" w:eastAsia="Sylfaen" w:hAnsi="Sylfaen"/>
                <w:b/>
                <w:sz w:val="24"/>
                <w:lang w:val="ka-GE"/>
              </w:rPr>
            </w:pPr>
            <w:r>
              <w:rPr>
                <w:rFonts w:ascii="Sylfaen" w:eastAsia="Sylfaen" w:hAnsi="Sylfaen"/>
                <w:b/>
                <w:sz w:val="24"/>
                <w:lang w:val="ka-GE"/>
              </w:rPr>
              <w:t>2013 წელი</w:t>
            </w:r>
          </w:p>
        </w:tc>
      </w:tr>
      <w:tr w:rsidR="00D14B92" w:rsidTr="006D6C35">
        <w:tc>
          <w:tcPr>
            <w:tcW w:w="3085" w:type="dxa"/>
          </w:tcPr>
          <w:p w:rsidR="00D14B92" w:rsidRDefault="00D14B92" w:rsidP="00D86DB3">
            <w:pPr>
              <w:rPr>
                <w:rFonts w:ascii="Sylfaen" w:eastAsia="Sylfaen" w:hAnsi="Sylfaen"/>
                <w:b/>
                <w:sz w:val="24"/>
                <w:lang w:val="ka-GE"/>
              </w:rPr>
            </w:pPr>
            <w:r>
              <w:rPr>
                <w:rFonts w:ascii="Sylfaen" w:eastAsia="Sylfaen" w:hAnsi="Sylfaen"/>
                <w:b/>
                <w:sz w:val="24"/>
                <w:lang w:val="ka-GE"/>
              </w:rPr>
              <w:t>ამბულატორია</w:t>
            </w:r>
          </w:p>
        </w:tc>
        <w:tc>
          <w:tcPr>
            <w:tcW w:w="1985" w:type="dxa"/>
          </w:tcPr>
          <w:p w:rsidR="00D14B92" w:rsidRPr="00167577" w:rsidRDefault="00D14B92" w:rsidP="00D86DB3">
            <w:pPr>
              <w:jc w:val="center"/>
              <w:rPr>
                <w:rFonts w:ascii="Sylfaen" w:eastAsia="Sylfaen" w:hAnsi="Sylfaen"/>
                <w:b/>
                <w:sz w:val="24"/>
              </w:rPr>
            </w:pPr>
            <w:r>
              <w:rPr>
                <w:rFonts w:ascii="Sylfaen" w:eastAsia="Sylfaen" w:hAnsi="Sylfaen"/>
                <w:b/>
                <w:sz w:val="24"/>
              </w:rPr>
              <w:t>11 457</w:t>
            </w:r>
          </w:p>
        </w:tc>
        <w:tc>
          <w:tcPr>
            <w:tcW w:w="2551" w:type="dxa"/>
          </w:tcPr>
          <w:p w:rsidR="00D14B92" w:rsidRPr="00167577" w:rsidRDefault="00D14B92" w:rsidP="00D86DB3">
            <w:pPr>
              <w:jc w:val="center"/>
              <w:rPr>
                <w:rFonts w:ascii="Sylfaen" w:eastAsia="Sylfaen" w:hAnsi="Sylfaen"/>
                <w:b/>
                <w:sz w:val="24"/>
              </w:rPr>
            </w:pPr>
            <w:r>
              <w:rPr>
                <w:rFonts w:ascii="Sylfaen" w:eastAsia="Sylfaen" w:hAnsi="Sylfaen"/>
                <w:b/>
                <w:sz w:val="24"/>
              </w:rPr>
              <w:t>12 021</w:t>
            </w:r>
          </w:p>
        </w:tc>
      </w:tr>
      <w:tr w:rsidR="00D14B92" w:rsidTr="006D6C35">
        <w:tc>
          <w:tcPr>
            <w:tcW w:w="3085" w:type="dxa"/>
          </w:tcPr>
          <w:p w:rsidR="00D14B92" w:rsidRDefault="00D14B92" w:rsidP="00D86DB3">
            <w:pPr>
              <w:rPr>
                <w:rFonts w:ascii="Sylfaen" w:eastAsia="Sylfaen" w:hAnsi="Sylfaen"/>
                <w:b/>
                <w:sz w:val="24"/>
                <w:lang w:val="ka-GE"/>
              </w:rPr>
            </w:pPr>
            <w:r>
              <w:rPr>
                <w:rFonts w:ascii="Sylfaen" w:eastAsia="Sylfaen" w:hAnsi="Sylfaen"/>
                <w:b/>
                <w:sz w:val="24"/>
                <w:lang w:val="ka-GE"/>
              </w:rPr>
              <w:t>სტაციონარი</w:t>
            </w:r>
          </w:p>
        </w:tc>
        <w:tc>
          <w:tcPr>
            <w:tcW w:w="1985" w:type="dxa"/>
          </w:tcPr>
          <w:p w:rsidR="00D14B92" w:rsidRPr="00167577" w:rsidRDefault="00D14B92" w:rsidP="00D86DB3">
            <w:pPr>
              <w:jc w:val="center"/>
              <w:rPr>
                <w:rFonts w:ascii="Sylfaen" w:eastAsia="Sylfaen" w:hAnsi="Sylfaen"/>
                <w:b/>
                <w:sz w:val="24"/>
              </w:rPr>
            </w:pPr>
            <w:r>
              <w:rPr>
                <w:rFonts w:ascii="Sylfaen" w:eastAsia="Sylfaen" w:hAnsi="Sylfaen"/>
                <w:b/>
                <w:sz w:val="24"/>
              </w:rPr>
              <w:t>3 789</w:t>
            </w:r>
          </w:p>
        </w:tc>
        <w:tc>
          <w:tcPr>
            <w:tcW w:w="2551" w:type="dxa"/>
          </w:tcPr>
          <w:p w:rsidR="00D14B92" w:rsidRPr="00167577" w:rsidRDefault="00D14B92" w:rsidP="00D86DB3">
            <w:pPr>
              <w:jc w:val="center"/>
              <w:rPr>
                <w:rFonts w:ascii="Sylfaen" w:eastAsia="Sylfaen" w:hAnsi="Sylfaen"/>
                <w:b/>
                <w:sz w:val="24"/>
              </w:rPr>
            </w:pPr>
            <w:r>
              <w:rPr>
                <w:rFonts w:ascii="Sylfaen" w:eastAsia="Sylfaen" w:hAnsi="Sylfaen"/>
                <w:b/>
                <w:sz w:val="24"/>
              </w:rPr>
              <w:t>6 029</w:t>
            </w:r>
          </w:p>
        </w:tc>
      </w:tr>
      <w:tr w:rsidR="00D14B92" w:rsidTr="006D6C35">
        <w:tc>
          <w:tcPr>
            <w:tcW w:w="3085" w:type="dxa"/>
          </w:tcPr>
          <w:p w:rsidR="00D14B92" w:rsidRPr="00167577" w:rsidRDefault="00D14B92" w:rsidP="00D86DB3">
            <w:pPr>
              <w:rPr>
                <w:rFonts w:ascii="Sylfaen" w:eastAsia="Sylfaen" w:hAnsi="Sylfaen"/>
                <w:b/>
                <w:sz w:val="24"/>
              </w:rPr>
            </w:pPr>
            <w:r>
              <w:rPr>
                <w:rFonts w:ascii="Sylfaen" w:eastAsia="Sylfaen" w:hAnsi="Sylfaen"/>
                <w:b/>
                <w:sz w:val="24"/>
              </w:rPr>
              <w:t>ER</w:t>
            </w:r>
          </w:p>
        </w:tc>
        <w:tc>
          <w:tcPr>
            <w:tcW w:w="1985" w:type="dxa"/>
          </w:tcPr>
          <w:p w:rsidR="00D14B92" w:rsidRDefault="00D14B92" w:rsidP="00D86DB3">
            <w:pPr>
              <w:jc w:val="center"/>
              <w:rPr>
                <w:rFonts w:ascii="Sylfaen" w:eastAsia="Sylfaen" w:hAnsi="Sylfaen"/>
                <w:b/>
                <w:sz w:val="24"/>
                <w:lang w:val="ka-GE"/>
              </w:rPr>
            </w:pPr>
            <w:r>
              <w:rPr>
                <w:rFonts w:ascii="Sylfaen" w:eastAsia="Sylfaen" w:hAnsi="Sylfaen"/>
                <w:b/>
                <w:sz w:val="24"/>
              </w:rPr>
              <w:t>6 927</w:t>
            </w:r>
          </w:p>
        </w:tc>
        <w:tc>
          <w:tcPr>
            <w:tcW w:w="2551" w:type="dxa"/>
          </w:tcPr>
          <w:p w:rsidR="00D14B92" w:rsidRPr="00167577" w:rsidRDefault="00D14B92" w:rsidP="00D86DB3">
            <w:pPr>
              <w:jc w:val="center"/>
              <w:rPr>
                <w:rFonts w:ascii="Sylfaen" w:eastAsia="Sylfaen" w:hAnsi="Sylfaen"/>
                <w:b/>
                <w:sz w:val="24"/>
              </w:rPr>
            </w:pPr>
            <w:r>
              <w:rPr>
                <w:rFonts w:ascii="Sylfaen" w:eastAsia="Sylfaen" w:hAnsi="Sylfaen"/>
                <w:b/>
                <w:sz w:val="24"/>
              </w:rPr>
              <w:t>13 382</w:t>
            </w:r>
          </w:p>
        </w:tc>
      </w:tr>
    </w:tbl>
    <w:p w:rsidR="00D14B92" w:rsidRDefault="00D14B92" w:rsidP="00D14B92">
      <w:pPr>
        <w:rPr>
          <w:rFonts w:ascii="Sylfaen" w:hAnsi="Sylfaen"/>
          <w:lang w:val="ka-GE"/>
        </w:rPr>
      </w:pPr>
    </w:p>
    <w:p w:rsidR="008754F8" w:rsidRDefault="008754F8" w:rsidP="009D4404">
      <w:pPr>
        <w:ind w:left="720"/>
        <w:jc w:val="both"/>
        <w:rPr>
          <w:rFonts w:ascii="Sylfaen" w:hAnsi="Sylfaen"/>
          <w:lang w:val="ka-GE"/>
        </w:rPr>
      </w:pPr>
      <w:r>
        <w:rPr>
          <w:rFonts w:ascii="Sylfaen" w:hAnsi="Sylfaen"/>
          <w:lang w:val="ka-GE"/>
        </w:rPr>
        <w:t>როგორც ცხრილიდან ჩანს, 2013 წელს, საყოველთაო ჯანმრთელობის დაცვის პროგრამის ამოქმედების შედეგად, მიმართვიანობა გაიზარდა:</w:t>
      </w:r>
    </w:p>
    <w:p w:rsidR="008754F8" w:rsidRPr="003C4BC3" w:rsidRDefault="008754F8" w:rsidP="003C4BC3">
      <w:pPr>
        <w:pStyle w:val="ListParagraph"/>
        <w:numPr>
          <w:ilvl w:val="0"/>
          <w:numId w:val="28"/>
        </w:numPr>
        <w:spacing w:after="120" w:line="240" w:lineRule="auto"/>
        <w:rPr>
          <w:rFonts w:ascii="Sylfaen" w:hAnsi="Sylfaen"/>
          <w:lang w:val="ka-GE"/>
        </w:rPr>
      </w:pPr>
      <w:r w:rsidRPr="003C4BC3">
        <w:rPr>
          <w:rFonts w:ascii="Sylfaen" w:hAnsi="Sylfaen"/>
          <w:lang w:val="ka-GE"/>
        </w:rPr>
        <w:t>ამბულატორი</w:t>
      </w:r>
      <w:r w:rsidR="006D6C35" w:rsidRPr="003C4BC3">
        <w:rPr>
          <w:rFonts w:ascii="Sylfaen" w:hAnsi="Sylfaen"/>
          <w:lang w:val="ka-GE"/>
        </w:rPr>
        <w:t>ა</w:t>
      </w:r>
      <w:r w:rsidRPr="003C4BC3">
        <w:rPr>
          <w:rFonts w:ascii="Sylfaen" w:hAnsi="Sylfaen"/>
          <w:lang w:val="ka-GE"/>
        </w:rPr>
        <w:t xml:space="preserve"> - </w:t>
      </w:r>
      <w:r w:rsidR="006D6C35" w:rsidRPr="003C4BC3">
        <w:rPr>
          <w:rFonts w:ascii="Sylfaen" w:hAnsi="Sylfaen"/>
          <w:lang w:val="ka-GE"/>
        </w:rPr>
        <w:t>5%-ით</w:t>
      </w:r>
    </w:p>
    <w:p w:rsidR="006D6C35" w:rsidRPr="003C4BC3" w:rsidRDefault="006D6C35" w:rsidP="003C4BC3">
      <w:pPr>
        <w:pStyle w:val="ListParagraph"/>
        <w:numPr>
          <w:ilvl w:val="0"/>
          <w:numId w:val="28"/>
        </w:numPr>
        <w:spacing w:after="120" w:line="240" w:lineRule="auto"/>
        <w:rPr>
          <w:rFonts w:ascii="Sylfaen" w:hAnsi="Sylfaen"/>
          <w:lang w:val="ka-GE"/>
        </w:rPr>
      </w:pPr>
      <w:r w:rsidRPr="003C4BC3">
        <w:rPr>
          <w:rFonts w:ascii="Sylfaen" w:hAnsi="Sylfaen"/>
          <w:lang w:val="ka-GE"/>
        </w:rPr>
        <w:t xml:space="preserve">სტაციონარი -  </w:t>
      </w:r>
      <w:r w:rsidR="006F13B5">
        <w:rPr>
          <w:rFonts w:ascii="Sylfaen" w:hAnsi="Sylfaen"/>
          <w:lang w:val="ka-GE"/>
        </w:rPr>
        <w:t>59</w:t>
      </w:r>
      <w:r w:rsidRPr="003C4BC3">
        <w:rPr>
          <w:rFonts w:ascii="Sylfaen" w:hAnsi="Sylfaen"/>
          <w:lang w:val="ka-GE"/>
        </w:rPr>
        <w:t>%-ით</w:t>
      </w:r>
    </w:p>
    <w:p w:rsidR="006D6C35" w:rsidRDefault="006D6C35" w:rsidP="003C4BC3">
      <w:pPr>
        <w:pStyle w:val="ListParagraph"/>
        <w:numPr>
          <w:ilvl w:val="0"/>
          <w:numId w:val="28"/>
        </w:numPr>
        <w:spacing w:after="120" w:line="240" w:lineRule="auto"/>
        <w:rPr>
          <w:rFonts w:ascii="Sylfaen" w:hAnsi="Sylfaen"/>
          <w:lang w:val="ka-GE"/>
        </w:rPr>
      </w:pPr>
      <w:r w:rsidRPr="003C4BC3">
        <w:rPr>
          <w:rFonts w:ascii="Sylfaen" w:hAnsi="Sylfaen"/>
          <w:lang w:val="ka-GE"/>
        </w:rPr>
        <w:t>გადაუდებელი დახმარება (</w:t>
      </w:r>
      <w:r w:rsidRPr="003C4BC3">
        <w:rPr>
          <w:rFonts w:ascii="Sylfaen" w:hAnsi="Sylfaen"/>
        </w:rPr>
        <w:t>ER) – 9</w:t>
      </w:r>
      <w:r w:rsidR="006F13B5">
        <w:rPr>
          <w:rFonts w:ascii="Sylfaen" w:hAnsi="Sylfaen"/>
          <w:lang w:val="ka-GE"/>
        </w:rPr>
        <w:t>3</w:t>
      </w:r>
      <w:r w:rsidRPr="003C4BC3">
        <w:rPr>
          <w:rFonts w:ascii="Sylfaen" w:hAnsi="Sylfaen"/>
        </w:rPr>
        <w:t>%-</w:t>
      </w:r>
      <w:r w:rsidRPr="003C4BC3">
        <w:rPr>
          <w:rFonts w:ascii="Sylfaen" w:hAnsi="Sylfaen"/>
          <w:lang w:val="ka-GE"/>
        </w:rPr>
        <w:t>ით.</w:t>
      </w:r>
    </w:p>
    <w:p w:rsidR="00E9238E" w:rsidRPr="003C4BC3" w:rsidRDefault="00E9238E" w:rsidP="00E9238E">
      <w:pPr>
        <w:pStyle w:val="ListParagraph"/>
        <w:spacing w:after="120" w:line="240" w:lineRule="auto"/>
        <w:ind w:left="1440"/>
        <w:rPr>
          <w:rFonts w:ascii="Sylfaen" w:hAnsi="Sylfaen"/>
          <w:lang w:val="ka-GE"/>
        </w:rPr>
      </w:pPr>
    </w:p>
    <w:p w:rsidR="003C4BC3" w:rsidRPr="009D4404" w:rsidRDefault="003C4BC3" w:rsidP="003C4BC3">
      <w:pPr>
        <w:pStyle w:val="ListParagraph"/>
        <w:pBdr>
          <w:bottom w:val="single" w:sz="6" w:space="1" w:color="auto"/>
        </w:pBdr>
        <w:rPr>
          <w:rFonts w:ascii="Sylfaen" w:eastAsia="Sylfaen" w:hAnsi="Sylfaen"/>
          <w:b/>
          <w:szCs w:val="22"/>
          <w:lang w:val="ka-GE"/>
        </w:rPr>
      </w:pPr>
    </w:p>
    <w:p w:rsidR="00F35453" w:rsidRPr="003C4BC3" w:rsidRDefault="00F35453" w:rsidP="003C4BC3">
      <w:pPr>
        <w:spacing w:after="120" w:line="240" w:lineRule="auto"/>
        <w:ind w:left="360"/>
        <w:jc w:val="both"/>
        <w:rPr>
          <w:rFonts w:ascii="Sylfaen" w:eastAsia="Sylfaen" w:hAnsi="Sylfaen"/>
          <w:szCs w:val="22"/>
        </w:rPr>
      </w:pPr>
      <w:proofErr w:type="gramStart"/>
      <w:r w:rsidRPr="003C4BC3">
        <w:rPr>
          <w:rFonts w:ascii="Sylfaen" w:eastAsia="Sylfaen" w:hAnsi="Sylfaen"/>
          <w:szCs w:val="22"/>
        </w:rPr>
        <w:t>2013-2014 წლის განმავლობაში, ქ. თბილისის კლინიკებში ტრანსპორტირების შემთხვევების ანალიზით (დიაგრამა N1-ა, ბ; N2-ა, ბ), გამოვლინდა, რომ ყველაზე მეტი ტრანსპორტირება (კვლევების გარეშე) ხორციელდება შპს აკად.</w:t>
      </w:r>
      <w:proofErr w:type="gramEnd"/>
      <w:r w:rsidRPr="003C4BC3">
        <w:rPr>
          <w:rFonts w:ascii="Sylfaen" w:eastAsia="Sylfaen" w:hAnsi="Sylfaen"/>
          <w:szCs w:val="22"/>
        </w:rPr>
        <w:t xml:space="preserve"> ო. </w:t>
      </w:r>
      <w:proofErr w:type="gramStart"/>
      <w:r w:rsidRPr="003C4BC3">
        <w:rPr>
          <w:rFonts w:ascii="Sylfaen" w:eastAsia="Sylfaen" w:hAnsi="Sylfaen"/>
          <w:szCs w:val="22"/>
        </w:rPr>
        <w:t>ღუდუშაურის</w:t>
      </w:r>
      <w:proofErr w:type="gramEnd"/>
      <w:r w:rsidRPr="003C4BC3">
        <w:rPr>
          <w:rFonts w:ascii="Sylfaen" w:eastAsia="Sylfaen" w:hAnsi="Sylfaen"/>
          <w:szCs w:val="22"/>
        </w:rPr>
        <w:t xml:space="preserve"> სახელობის ეროვნულ სამედიცინო ცენტრში, თუმცა ამ შემთხვევების მეტი წილი მოდის სასჯელაღსრულების დაწესებულებებიდან განხორციელებულ ტრანსპორტირებაზე.</w:t>
      </w:r>
    </w:p>
    <w:tbl>
      <w:tblPr>
        <w:tblW w:w="7547" w:type="dxa"/>
        <w:jc w:val="center"/>
        <w:tblInd w:w="93" w:type="dxa"/>
        <w:tblLook w:val="04A0"/>
      </w:tblPr>
      <w:tblGrid>
        <w:gridCol w:w="1885"/>
        <w:gridCol w:w="2731"/>
        <w:gridCol w:w="2931"/>
      </w:tblGrid>
      <w:tr w:rsidR="00F35453" w:rsidRPr="00393830" w:rsidTr="00F35453">
        <w:trPr>
          <w:trHeight w:val="611"/>
          <w:jc w:val="center"/>
        </w:trPr>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5453" w:rsidRPr="00393830" w:rsidRDefault="00F35453" w:rsidP="00F35453">
            <w:pPr>
              <w:spacing w:after="0" w:line="240" w:lineRule="auto"/>
              <w:rPr>
                <w:rFonts w:eastAsia="Times New Roman" w:cs="Calibri"/>
                <w:color w:val="000000"/>
                <w:szCs w:val="22"/>
              </w:rPr>
            </w:pPr>
            <w:r w:rsidRPr="00393830">
              <w:rPr>
                <w:rFonts w:eastAsia="Times New Roman" w:cs="Calibri"/>
                <w:color w:val="000000"/>
                <w:szCs w:val="22"/>
              </w:rPr>
              <w:t> </w:t>
            </w:r>
          </w:p>
        </w:tc>
        <w:tc>
          <w:tcPr>
            <w:tcW w:w="2731" w:type="dxa"/>
            <w:tcBorders>
              <w:top w:val="single" w:sz="4" w:space="0" w:color="auto"/>
              <w:left w:val="nil"/>
              <w:bottom w:val="single" w:sz="4" w:space="0" w:color="auto"/>
              <w:right w:val="single" w:sz="4" w:space="0" w:color="auto"/>
            </w:tcBorders>
            <w:shd w:val="clear" w:color="auto" w:fill="auto"/>
            <w:vAlign w:val="bottom"/>
            <w:hideMark/>
          </w:tcPr>
          <w:p w:rsidR="00F35453" w:rsidRPr="00972CED" w:rsidRDefault="00F35453" w:rsidP="00F35453">
            <w:pPr>
              <w:spacing w:after="0" w:line="240" w:lineRule="auto"/>
              <w:rPr>
                <w:rFonts w:ascii="Sylfaen" w:eastAsia="Times New Roman" w:hAnsi="Sylfaen" w:cs="Calibri"/>
                <w:color w:val="000000"/>
                <w:szCs w:val="22"/>
                <w:lang w:val="ka-GE"/>
              </w:rPr>
            </w:pPr>
            <w:r w:rsidRPr="00393830">
              <w:rPr>
                <w:rFonts w:ascii="Sylfaen" w:eastAsia="Times New Roman" w:hAnsi="Sylfaen" w:cs="Sylfaen"/>
                <w:color w:val="000000"/>
                <w:szCs w:val="22"/>
              </w:rPr>
              <w:t>სულტრანსპორტირება</w:t>
            </w:r>
            <w:r w:rsidR="00F80C3A">
              <w:rPr>
                <w:rFonts w:ascii="Sylfaen" w:eastAsia="Times New Roman" w:hAnsi="Sylfaen" w:cs="Sylfaen"/>
                <w:color w:val="000000"/>
                <w:szCs w:val="22"/>
                <w:lang w:val="ka-GE"/>
              </w:rPr>
              <w:t xml:space="preserve"> </w:t>
            </w:r>
            <w:r>
              <w:rPr>
                <w:rFonts w:ascii="Sylfaen" w:eastAsia="Times New Roman" w:hAnsi="Sylfaen" w:cs="Calibri"/>
                <w:color w:val="000000"/>
                <w:szCs w:val="22"/>
                <w:lang w:val="ka-GE"/>
              </w:rPr>
              <w:t>(კვლევის გარეშე)</w:t>
            </w:r>
          </w:p>
        </w:tc>
        <w:tc>
          <w:tcPr>
            <w:tcW w:w="2931" w:type="dxa"/>
            <w:tcBorders>
              <w:top w:val="single" w:sz="4" w:space="0" w:color="auto"/>
              <w:left w:val="nil"/>
              <w:bottom w:val="single" w:sz="4" w:space="0" w:color="auto"/>
              <w:right w:val="single" w:sz="4" w:space="0" w:color="auto"/>
            </w:tcBorders>
            <w:shd w:val="clear" w:color="auto" w:fill="auto"/>
            <w:vAlign w:val="bottom"/>
            <w:hideMark/>
          </w:tcPr>
          <w:p w:rsidR="00F35453" w:rsidRPr="00393830" w:rsidRDefault="00F35453" w:rsidP="00F35453">
            <w:pPr>
              <w:spacing w:after="0" w:line="240" w:lineRule="auto"/>
              <w:rPr>
                <w:rFonts w:eastAsia="Times New Roman" w:cs="Calibri"/>
                <w:color w:val="000000"/>
                <w:szCs w:val="22"/>
              </w:rPr>
            </w:pPr>
            <w:r w:rsidRPr="00393830">
              <w:rPr>
                <w:rFonts w:ascii="Sylfaen" w:eastAsia="Times New Roman" w:hAnsi="Sylfaen" w:cs="Sylfaen"/>
                <w:color w:val="000000"/>
                <w:szCs w:val="22"/>
              </w:rPr>
              <w:t>მ</w:t>
            </w:r>
            <w:r w:rsidRPr="00393830">
              <w:rPr>
                <w:rFonts w:eastAsia="Times New Roman" w:cs="Calibri"/>
                <w:color w:val="000000"/>
                <w:szCs w:val="22"/>
              </w:rPr>
              <w:t>.</w:t>
            </w:r>
            <w:r w:rsidRPr="00393830">
              <w:rPr>
                <w:rFonts w:ascii="Sylfaen" w:eastAsia="Times New Roman" w:hAnsi="Sylfaen" w:cs="Sylfaen"/>
                <w:color w:val="000000"/>
                <w:szCs w:val="22"/>
              </w:rPr>
              <w:t>შ</w:t>
            </w:r>
            <w:r w:rsidRPr="00393830">
              <w:rPr>
                <w:rFonts w:eastAsia="Times New Roman" w:cs="Calibri"/>
                <w:color w:val="000000"/>
                <w:szCs w:val="22"/>
              </w:rPr>
              <w:t xml:space="preserve">. </w:t>
            </w:r>
            <w:r w:rsidRPr="00393830">
              <w:rPr>
                <w:rFonts w:ascii="Sylfaen" w:eastAsia="Times New Roman" w:hAnsi="Sylfaen" w:cs="Sylfaen"/>
                <w:color w:val="000000"/>
                <w:szCs w:val="22"/>
              </w:rPr>
              <w:t>სასჯელაღსრულებიდან</w:t>
            </w:r>
          </w:p>
        </w:tc>
      </w:tr>
      <w:tr w:rsidR="00F35453" w:rsidRPr="00393830" w:rsidTr="00F35453">
        <w:trPr>
          <w:trHeight w:val="300"/>
          <w:jc w:val="center"/>
        </w:trPr>
        <w:tc>
          <w:tcPr>
            <w:tcW w:w="1885" w:type="dxa"/>
            <w:tcBorders>
              <w:top w:val="nil"/>
              <w:left w:val="single" w:sz="4" w:space="0" w:color="auto"/>
              <w:bottom w:val="single" w:sz="4" w:space="0" w:color="auto"/>
              <w:right w:val="single" w:sz="4" w:space="0" w:color="auto"/>
            </w:tcBorders>
            <w:shd w:val="clear" w:color="auto" w:fill="auto"/>
            <w:noWrap/>
            <w:vAlign w:val="bottom"/>
            <w:hideMark/>
          </w:tcPr>
          <w:p w:rsidR="00F35453" w:rsidRPr="00393830" w:rsidRDefault="00F35453" w:rsidP="00F35453">
            <w:pPr>
              <w:spacing w:after="0" w:line="240" w:lineRule="auto"/>
              <w:rPr>
                <w:rFonts w:eastAsia="Times New Roman" w:cs="Calibri"/>
                <w:color w:val="000000"/>
                <w:szCs w:val="22"/>
              </w:rPr>
            </w:pPr>
            <w:r w:rsidRPr="00393830">
              <w:rPr>
                <w:rFonts w:eastAsia="Times New Roman" w:cs="Calibri"/>
                <w:color w:val="000000"/>
                <w:szCs w:val="22"/>
              </w:rPr>
              <w:t xml:space="preserve">2013 </w:t>
            </w:r>
            <w:r w:rsidRPr="00393830">
              <w:rPr>
                <w:rFonts w:ascii="Sylfaen" w:eastAsia="Times New Roman" w:hAnsi="Sylfaen" w:cs="Sylfaen"/>
                <w:color w:val="000000"/>
                <w:szCs w:val="22"/>
              </w:rPr>
              <w:t>წელი</w:t>
            </w:r>
          </w:p>
        </w:tc>
        <w:tc>
          <w:tcPr>
            <w:tcW w:w="2731" w:type="dxa"/>
            <w:tcBorders>
              <w:top w:val="nil"/>
              <w:left w:val="nil"/>
              <w:bottom w:val="single" w:sz="4" w:space="0" w:color="auto"/>
              <w:right w:val="single" w:sz="4" w:space="0" w:color="auto"/>
            </w:tcBorders>
            <w:shd w:val="clear" w:color="auto" w:fill="auto"/>
            <w:noWrap/>
            <w:vAlign w:val="bottom"/>
            <w:hideMark/>
          </w:tcPr>
          <w:p w:rsidR="00F35453" w:rsidRPr="00393830" w:rsidRDefault="00F35453" w:rsidP="00F35453">
            <w:pPr>
              <w:spacing w:after="0" w:line="240" w:lineRule="auto"/>
              <w:jc w:val="right"/>
              <w:rPr>
                <w:rFonts w:eastAsia="Times New Roman" w:cs="Calibri"/>
                <w:color w:val="000000"/>
                <w:szCs w:val="22"/>
              </w:rPr>
            </w:pPr>
            <w:r w:rsidRPr="00393830">
              <w:rPr>
                <w:rFonts w:eastAsia="Times New Roman" w:cs="Calibri"/>
                <w:color w:val="000000"/>
                <w:szCs w:val="22"/>
              </w:rPr>
              <w:t>982</w:t>
            </w:r>
          </w:p>
        </w:tc>
        <w:tc>
          <w:tcPr>
            <w:tcW w:w="2931" w:type="dxa"/>
            <w:tcBorders>
              <w:top w:val="nil"/>
              <w:left w:val="nil"/>
              <w:bottom w:val="single" w:sz="4" w:space="0" w:color="auto"/>
              <w:right w:val="single" w:sz="4" w:space="0" w:color="auto"/>
            </w:tcBorders>
            <w:shd w:val="clear" w:color="auto" w:fill="auto"/>
            <w:vAlign w:val="bottom"/>
            <w:hideMark/>
          </w:tcPr>
          <w:p w:rsidR="00F35453" w:rsidRPr="00EE561B" w:rsidRDefault="00F35453" w:rsidP="00F35453">
            <w:pPr>
              <w:spacing w:after="0" w:line="240" w:lineRule="auto"/>
              <w:jc w:val="right"/>
              <w:rPr>
                <w:rFonts w:eastAsia="Times New Roman" w:cs="Calibri"/>
                <w:bCs/>
                <w:iCs/>
                <w:color w:val="000000"/>
                <w:szCs w:val="22"/>
              </w:rPr>
            </w:pPr>
            <w:r w:rsidRPr="00EE561B">
              <w:rPr>
                <w:rFonts w:eastAsia="Times New Roman" w:cs="Calibri"/>
                <w:bCs/>
                <w:iCs/>
                <w:color w:val="000000"/>
                <w:szCs w:val="22"/>
              </w:rPr>
              <w:t>328</w:t>
            </w:r>
          </w:p>
        </w:tc>
      </w:tr>
      <w:tr w:rsidR="00F35453" w:rsidRPr="00393830" w:rsidTr="00A2137A">
        <w:trPr>
          <w:trHeight w:val="300"/>
          <w:jc w:val="center"/>
        </w:trPr>
        <w:tc>
          <w:tcPr>
            <w:tcW w:w="1885" w:type="dxa"/>
            <w:tcBorders>
              <w:top w:val="nil"/>
              <w:left w:val="single" w:sz="4" w:space="0" w:color="auto"/>
              <w:bottom w:val="nil"/>
              <w:right w:val="single" w:sz="4" w:space="0" w:color="auto"/>
            </w:tcBorders>
            <w:shd w:val="clear" w:color="auto" w:fill="auto"/>
            <w:noWrap/>
            <w:vAlign w:val="bottom"/>
            <w:hideMark/>
          </w:tcPr>
          <w:p w:rsidR="00F35453" w:rsidRPr="00393830" w:rsidRDefault="00F35453" w:rsidP="00F35453">
            <w:pPr>
              <w:spacing w:after="0" w:line="240" w:lineRule="auto"/>
              <w:rPr>
                <w:rFonts w:eastAsia="Times New Roman" w:cs="Calibri"/>
                <w:color w:val="000000"/>
                <w:szCs w:val="22"/>
              </w:rPr>
            </w:pPr>
            <w:r w:rsidRPr="00393830">
              <w:rPr>
                <w:rFonts w:eastAsia="Times New Roman" w:cs="Calibri"/>
                <w:color w:val="000000"/>
                <w:szCs w:val="22"/>
              </w:rPr>
              <w:t xml:space="preserve">2014 </w:t>
            </w:r>
            <w:r w:rsidRPr="00393830">
              <w:rPr>
                <w:rFonts w:ascii="Sylfaen" w:eastAsia="Times New Roman" w:hAnsi="Sylfaen" w:cs="Sylfaen"/>
                <w:color w:val="000000"/>
                <w:szCs w:val="22"/>
              </w:rPr>
              <w:t>წელი</w:t>
            </w:r>
          </w:p>
        </w:tc>
        <w:tc>
          <w:tcPr>
            <w:tcW w:w="2731" w:type="dxa"/>
            <w:tcBorders>
              <w:top w:val="nil"/>
              <w:left w:val="nil"/>
              <w:bottom w:val="nil"/>
              <w:right w:val="single" w:sz="4" w:space="0" w:color="auto"/>
            </w:tcBorders>
            <w:shd w:val="clear" w:color="auto" w:fill="auto"/>
            <w:noWrap/>
            <w:vAlign w:val="bottom"/>
            <w:hideMark/>
          </w:tcPr>
          <w:p w:rsidR="00F35453" w:rsidRPr="00922A6C" w:rsidRDefault="00922A6C" w:rsidP="00F35453">
            <w:pPr>
              <w:spacing w:after="0" w:line="240" w:lineRule="auto"/>
              <w:jc w:val="right"/>
              <w:rPr>
                <w:rFonts w:ascii="Sylfaen" w:eastAsia="Times New Roman" w:hAnsi="Sylfaen" w:cs="Calibri"/>
                <w:color w:val="000000"/>
                <w:szCs w:val="22"/>
                <w:lang w:val="ka-GE"/>
              </w:rPr>
            </w:pPr>
            <w:r>
              <w:rPr>
                <w:rFonts w:ascii="Sylfaen" w:eastAsia="Times New Roman" w:hAnsi="Sylfaen" w:cs="Calibri"/>
                <w:color w:val="000000"/>
                <w:szCs w:val="22"/>
                <w:lang w:val="ka-GE"/>
              </w:rPr>
              <w:t>803</w:t>
            </w:r>
          </w:p>
        </w:tc>
        <w:tc>
          <w:tcPr>
            <w:tcW w:w="2931" w:type="dxa"/>
            <w:tcBorders>
              <w:top w:val="nil"/>
              <w:left w:val="nil"/>
              <w:bottom w:val="nil"/>
              <w:right w:val="single" w:sz="4" w:space="0" w:color="auto"/>
            </w:tcBorders>
            <w:shd w:val="clear" w:color="auto" w:fill="auto"/>
            <w:noWrap/>
            <w:vAlign w:val="bottom"/>
            <w:hideMark/>
          </w:tcPr>
          <w:p w:rsidR="00F35453" w:rsidRPr="00393830" w:rsidRDefault="00922A6C" w:rsidP="00922A6C">
            <w:pPr>
              <w:spacing w:after="0" w:line="240" w:lineRule="auto"/>
              <w:jc w:val="right"/>
              <w:rPr>
                <w:rFonts w:eastAsia="Times New Roman" w:cs="Calibri"/>
                <w:color w:val="000000"/>
                <w:szCs w:val="22"/>
              </w:rPr>
            </w:pPr>
            <w:r>
              <w:rPr>
                <w:rFonts w:ascii="Sylfaen" w:eastAsia="Times New Roman" w:hAnsi="Sylfaen" w:cs="Calibri"/>
                <w:color w:val="000000"/>
                <w:szCs w:val="22"/>
                <w:lang w:val="ka-GE"/>
              </w:rPr>
              <w:t>290</w:t>
            </w:r>
          </w:p>
        </w:tc>
      </w:tr>
      <w:tr w:rsidR="00A2137A" w:rsidRPr="00393830" w:rsidTr="00F35453">
        <w:trPr>
          <w:trHeight w:val="300"/>
          <w:jc w:val="center"/>
        </w:trPr>
        <w:tc>
          <w:tcPr>
            <w:tcW w:w="1885" w:type="dxa"/>
            <w:tcBorders>
              <w:top w:val="nil"/>
              <w:left w:val="single" w:sz="4" w:space="0" w:color="auto"/>
              <w:bottom w:val="single" w:sz="4" w:space="0" w:color="auto"/>
              <w:right w:val="single" w:sz="4" w:space="0" w:color="auto"/>
            </w:tcBorders>
            <w:shd w:val="clear" w:color="auto" w:fill="auto"/>
            <w:noWrap/>
            <w:vAlign w:val="bottom"/>
            <w:hideMark/>
          </w:tcPr>
          <w:p w:rsidR="00A2137A" w:rsidRPr="00A2137A" w:rsidRDefault="00A2137A" w:rsidP="00F35453">
            <w:pPr>
              <w:spacing w:after="0" w:line="240" w:lineRule="auto"/>
              <w:rPr>
                <w:rFonts w:ascii="Sylfaen" w:eastAsia="Times New Roman" w:hAnsi="Sylfaen" w:cs="Calibri"/>
                <w:color w:val="000000"/>
                <w:szCs w:val="22"/>
                <w:lang w:val="ka-GE"/>
              </w:rPr>
            </w:pPr>
          </w:p>
        </w:tc>
        <w:tc>
          <w:tcPr>
            <w:tcW w:w="2731" w:type="dxa"/>
            <w:tcBorders>
              <w:top w:val="nil"/>
              <w:left w:val="nil"/>
              <w:bottom w:val="single" w:sz="4" w:space="0" w:color="auto"/>
              <w:right w:val="single" w:sz="4" w:space="0" w:color="auto"/>
            </w:tcBorders>
            <w:shd w:val="clear" w:color="auto" w:fill="auto"/>
            <w:noWrap/>
            <w:vAlign w:val="bottom"/>
            <w:hideMark/>
          </w:tcPr>
          <w:p w:rsidR="00A2137A" w:rsidRPr="00393830" w:rsidRDefault="00A2137A" w:rsidP="00F35453">
            <w:pPr>
              <w:spacing w:after="0" w:line="240" w:lineRule="auto"/>
              <w:jc w:val="right"/>
              <w:rPr>
                <w:rFonts w:eastAsia="Times New Roman" w:cs="Calibri"/>
                <w:color w:val="000000"/>
                <w:szCs w:val="22"/>
              </w:rPr>
            </w:pPr>
          </w:p>
        </w:tc>
        <w:tc>
          <w:tcPr>
            <w:tcW w:w="2931" w:type="dxa"/>
            <w:tcBorders>
              <w:top w:val="nil"/>
              <w:left w:val="nil"/>
              <w:bottom w:val="single" w:sz="4" w:space="0" w:color="auto"/>
              <w:right w:val="single" w:sz="4" w:space="0" w:color="auto"/>
            </w:tcBorders>
            <w:shd w:val="clear" w:color="auto" w:fill="auto"/>
            <w:noWrap/>
            <w:vAlign w:val="bottom"/>
            <w:hideMark/>
          </w:tcPr>
          <w:p w:rsidR="00A2137A" w:rsidRPr="00393830" w:rsidRDefault="00A2137A" w:rsidP="00F35453">
            <w:pPr>
              <w:spacing w:after="0" w:line="240" w:lineRule="auto"/>
              <w:jc w:val="right"/>
              <w:rPr>
                <w:rFonts w:eastAsia="Times New Roman" w:cs="Calibri"/>
                <w:color w:val="000000"/>
                <w:szCs w:val="22"/>
              </w:rPr>
            </w:pPr>
          </w:p>
        </w:tc>
      </w:tr>
    </w:tbl>
    <w:p w:rsidR="001F6907" w:rsidRDefault="001F6907" w:rsidP="00A2137A">
      <w:pPr>
        <w:rPr>
          <w:rFonts w:ascii="Sylfaen" w:eastAsia="Sylfaen" w:hAnsi="Sylfaen"/>
          <w:szCs w:val="22"/>
          <w:lang w:val="ka-GE"/>
        </w:rPr>
        <w:sectPr w:rsidR="001F6907" w:rsidSect="00140951">
          <w:pgSz w:w="12240" w:h="15840"/>
          <w:pgMar w:top="1138" w:right="1354" w:bottom="1138" w:left="806" w:header="720" w:footer="720" w:gutter="0"/>
          <w:cols w:space="720"/>
          <w:docGrid w:linePitch="360"/>
        </w:sectPr>
      </w:pPr>
    </w:p>
    <w:p w:rsidR="00A2137A" w:rsidRDefault="00A2137A" w:rsidP="00A2137A">
      <w:pPr>
        <w:rPr>
          <w:rFonts w:ascii="Sylfaen" w:eastAsia="Sylfaen" w:hAnsi="Sylfaen"/>
          <w:szCs w:val="22"/>
          <w:lang w:val="ka-GE"/>
        </w:rPr>
      </w:pPr>
      <w:r>
        <w:rPr>
          <w:rFonts w:ascii="Sylfaen" w:eastAsia="Sylfaen" w:hAnsi="Sylfaen"/>
          <w:szCs w:val="22"/>
          <w:lang w:val="ka-GE"/>
        </w:rPr>
        <w:lastRenderedPageBreak/>
        <w:t>დიაგრამა N1-ა</w:t>
      </w:r>
    </w:p>
    <w:p w:rsidR="00A2137A" w:rsidRDefault="00A2137A" w:rsidP="00A2137A">
      <w:pPr>
        <w:rPr>
          <w:rFonts w:ascii="Sylfaen" w:eastAsia="Sylfaen" w:hAnsi="Sylfaen"/>
          <w:szCs w:val="22"/>
          <w:lang w:val="ka-GE"/>
        </w:rPr>
      </w:pPr>
    </w:p>
    <w:p w:rsidR="00A2137A" w:rsidRDefault="00A2137A" w:rsidP="00A2137A">
      <w:pPr>
        <w:rPr>
          <w:rFonts w:ascii="Sylfaen" w:eastAsia="Sylfaen" w:hAnsi="Sylfaen"/>
          <w:szCs w:val="22"/>
          <w:lang w:val="ka-GE"/>
        </w:rPr>
      </w:pPr>
      <w:r w:rsidRPr="00372BEA">
        <w:rPr>
          <w:rFonts w:ascii="Sylfaen" w:eastAsia="Sylfaen" w:hAnsi="Sylfaen"/>
          <w:noProof/>
          <w:szCs w:val="22"/>
        </w:rPr>
        <w:drawing>
          <wp:inline distT="0" distB="0" distL="0" distR="0">
            <wp:extent cx="9286875" cy="5572125"/>
            <wp:effectExtent l="19050" t="0" r="9525" b="0"/>
            <wp:docPr id="1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A2137A" w:rsidRDefault="00A2137A" w:rsidP="00A2137A">
      <w:pPr>
        <w:rPr>
          <w:rFonts w:ascii="Sylfaen" w:eastAsia="Sylfaen" w:hAnsi="Sylfaen"/>
          <w:szCs w:val="22"/>
          <w:lang w:val="ka-GE"/>
        </w:rPr>
      </w:pPr>
      <w:r>
        <w:rPr>
          <w:rFonts w:ascii="Sylfaen" w:eastAsia="Sylfaen" w:hAnsi="Sylfaen"/>
          <w:szCs w:val="22"/>
          <w:lang w:val="ka-GE"/>
        </w:rPr>
        <w:lastRenderedPageBreak/>
        <w:t>დიაგრამა N1-ბ</w:t>
      </w:r>
    </w:p>
    <w:p w:rsidR="00A2137A" w:rsidRDefault="00A2137A" w:rsidP="00A2137A">
      <w:pPr>
        <w:rPr>
          <w:rFonts w:ascii="Sylfaen" w:eastAsia="Sylfaen" w:hAnsi="Sylfaen"/>
          <w:szCs w:val="22"/>
        </w:rPr>
      </w:pPr>
      <w:r w:rsidRPr="00D3077B">
        <w:rPr>
          <w:rFonts w:ascii="Sylfaen" w:eastAsia="Sylfaen" w:hAnsi="Sylfaen"/>
          <w:noProof/>
          <w:szCs w:val="22"/>
        </w:rPr>
        <w:drawing>
          <wp:inline distT="0" distB="0" distL="0" distR="0">
            <wp:extent cx="8372475" cy="5876925"/>
            <wp:effectExtent l="19050" t="0" r="9525" b="0"/>
            <wp:docPr id="19"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A2137A" w:rsidRDefault="00A2137A" w:rsidP="00A2137A">
      <w:pPr>
        <w:rPr>
          <w:rFonts w:ascii="Sylfaen" w:eastAsia="Sylfaen" w:hAnsi="Sylfaen"/>
          <w:szCs w:val="22"/>
          <w:lang w:val="ka-GE"/>
        </w:rPr>
      </w:pPr>
      <w:r>
        <w:rPr>
          <w:rFonts w:ascii="Sylfaen" w:eastAsia="Sylfaen" w:hAnsi="Sylfaen"/>
          <w:szCs w:val="22"/>
          <w:lang w:val="ka-GE"/>
        </w:rPr>
        <w:lastRenderedPageBreak/>
        <w:t>დიაგრამა N2-ა</w:t>
      </w:r>
    </w:p>
    <w:p w:rsidR="00B6546D" w:rsidRDefault="00B6546D" w:rsidP="00A2137A">
      <w:pPr>
        <w:rPr>
          <w:rFonts w:ascii="Sylfaen" w:eastAsia="Sylfaen" w:hAnsi="Sylfaen"/>
          <w:szCs w:val="22"/>
          <w:lang w:val="ka-GE"/>
        </w:rPr>
      </w:pPr>
      <w:r w:rsidRPr="00B6546D">
        <w:rPr>
          <w:rFonts w:ascii="Sylfaen" w:eastAsia="Sylfaen" w:hAnsi="Sylfaen"/>
          <w:noProof/>
          <w:szCs w:val="22"/>
        </w:rPr>
        <w:drawing>
          <wp:inline distT="0" distB="0" distL="0" distR="0">
            <wp:extent cx="8438342" cy="5771408"/>
            <wp:effectExtent l="19050" t="0" r="19858" b="742"/>
            <wp:docPr id="1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A2137A" w:rsidRDefault="00A2137A" w:rsidP="00A2137A">
      <w:pPr>
        <w:rPr>
          <w:rFonts w:ascii="Sylfaen" w:eastAsia="Sylfaen" w:hAnsi="Sylfaen"/>
          <w:szCs w:val="22"/>
          <w:lang w:val="ka-GE"/>
        </w:rPr>
      </w:pPr>
    </w:p>
    <w:p w:rsidR="00A2137A" w:rsidRPr="00C946F0" w:rsidRDefault="00A2137A" w:rsidP="00A2137A">
      <w:pPr>
        <w:rPr>
          <w:rFonts w:ascii="Sylfaen" w:eastAsia="Sylfaen" w:hAnsi="Sylfaen"/>
          <w:szCs w:val="22"/>
          <w:lang w:val="ka-GE"/>
        </w:rPr>
      </w:pPr>
      <w:r>
        <w:rPr>
          <w:rFonts w:ascii="Sylfaen" w:eastAsia="Sylfaen" w:hAnsi="Sylfaen"/>
          <w:szCs w:val="22"/>
          <w:lang w:val="ka-GE"/>
        </w:rPr>
        <w:t>დიაგრამა N2-ბ</w:t>
      </w:r>
    </w:p>
    <w:p w:rsidR="001D7391" w:rsidRDefault="00A2137A">
      <w:pPr>
        <w:rPr>
          <w:rFonts w:ascii="Sylfaen" w:eastAsia="Sylfaen" w:hAnsi="Sylfaen"/>
          <w:szCs w:val="22"/>
        </w:rPr>
      </w:pPr>
      <w:r>
        <w:rPr>
          <w:noProof/>
        </w:rPr>
        <w:drawing>
          <wp:inline distT="0" distB="0" distL="0" distR="0">
            <wp:extent cx="8458200" cy="5705475"/>
            <wp:effectExtent l="19050" t="0" r="19050" b="0"/>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1D7391">
        <w:rPr>
          <w:rFonts w:ascii="Sylfaen" w:eastAsia="Sylfaen" w:hAnsi="Sylfaen"/>
          <w:szCs w:val="22"/>
        </w:rPr>
        <w:br w:type="page"/>
      </w:r>
    </w:p>
    <w:p w:rsidR="00A2137A" w:rsidRDefault="00A2137A" w:rsidP="00A2137A">
      <w:pPr>
        <w:rPr>
          <w:rFonts w:ascii="Sylfaen" w:eastAsia="Sylfaen" w:hAnsi="Sylfaen"/>
          <w:szCs w:val="22"/>
          <w:lang w:val="ka-GE"/>
        </w:rPr>
        <w:sectPr w:rsidR="00A2137A" w:rsidSect="00140951">
          <w:pgSz w:w="15840" w:h="12240" w:orient="landscape"/>
          <w:pgMar w:top="1354" w:right="1138" w:bottom="806" w:left="1138" w:header="720" w:footer="720" w:gutter="0"/>
          <w:cols w:space="720"/>
          <w:docGrid w:linePitch="360"/>
        </w:sectPr>
      </w:pPr>
    </w:p>
    <w:p w:rsidR="00E9238E" w:rsidRPr="001D7391" w:rsidRDefault="00E9238E" w:rsidP="001D7391">
      <w:pPr>
        <w:pBdr>
          <w:bottom w:val="single" w:sz="6" w:space="1" w:color="auto"/>
        </w:pBdr>
        <w:rPr>
          <w:rFonts w:ascii="Sylfaen" w:eastAsia="Sylfaen" w:hAnsi="Sylfaen"/>
          <w:b/>
          <w:szCs w:val="22"/>
          <w:lang w:val="ka-GE"/>
        </w:rPr>
      </w:pPr>
    </w:p>
    <w:p w:rsidR="00E9238E" w:rsidRPr="00F35453" w:rsidRDefault="00E9238E" w:rsidP="00E9238E">
      <w:pPr>
        <w:pStyle w:val="ListParagraph"/>
        <w:spacing w:after="120" w:line="240" w:lineRule="auto"/>
        <w:rPr>
          <w:rFonts w:ascii="Sylfaen" w:eastAsia="Sylfaen" w:hAnsi="Sylfaen"/>
          <w:sz w:val="24"/>
        </w:rPr>
      </w:pPr>
    </w:p>
    <w:p w:rsidR="00F35453" w:rsidRDefault="00E9238E" w:rsidP="00E9238E">
      <w:pPr>
        <w:spacing w:after="120" w:line="240" w:lineRule="auto"/>
        <w:ind w:left="720"/>
        <w:jc w:val="both"/>
        <w:rPr>
          <w:rFonts w:ascii="Sylfaen" w:hAnsi="Sylfaen"/>
          <w:lang w:val="ka-GE"/>
        </w:rPr>
      </w:pPr>
      <w:r w:rsidRPr="00E9238E">
        <w:rPr>
          <w:rFonts w:ascii="Sylfaen" w:hAnsi="Sylfaen"/>
          <w:b/>
          <w:lang w:val="ka-GE"/>
        </w:rPr>
        <w:t>შ</w:t>
      </w:r>
      <w:r w:rsidR="00F35453" w:rsidRPr="00E9238E">
        <w:rPr>
          <w:rFonts w:ascii="Sylfaen" w:hAnsi="Sylfaen"/>
          <w:b/>
          <w:lang w:val="ka-GE"/>
        </w:rPr>
        <w:t>ემთხვევათა ნოზოლოგიურ ჭრილში</w:t>
      </w:r>
      <w:r w:rsidR="00F35453" w:rsidRPr="00E9238E">
        <w:rPr>
          <w:rFonts w:ascii="Sylfaen" w:hAnsi="Sylfaen"/>
          <w:lang w:val="ka-GE"/>
        </w:rPr>
        <w:t xml:space="preserve"> განხილვა გვაჩვენებს, რომ პროგრამის უტილიზაცია ხდებაუმეტესედ შემდეგი ნოზოლოგიური ჯგუფებით:</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09"/>
        <w:gridCol w:w="5962"/>
        <w:gridCol w:w="3005"/>
      </w:tblGrid>
      <w:tr w:rsidR="00E9238E" w:rsidTr="00E9238E">
        <w:tc>
          <w:tcPr>
            <w:tcW w:w="648" w:type="dxa"/>
          </w:tcPr>
          <w:p w:rsidR="00E9238E" w:rsidRDefault="00E9238E" w:rsidP="00E9238E">
            <w:pPr>
              <w:spacing w:after="120"/>
              <w:jc w:val="both"/>
              <w:rPr>
                <w:rFonts w:ascii="Sylfaen" w:hAnsi="Sylfaen"/>
                <w:lang w:val="ka-GE"/>
              </w:rPr>
            </w:pPr>
            <w:r w:rsidRPr="00E9238E">
              <w:rPr>
                <w:rFonts w:ascii="Sylfaen" w:eastAsia="Times New Roman" w:hAnsi="Sylfaen" w:cs="Calibri"/>
                <w:b/>
                <w:bCs/>
                <w:color w:val="000000"/>
              </w:rPr>
              <w:t>I</w:t>
            </w:r>
          </w:p>
        </w:tc>
        <w:tc>
          <w:tcPr>
            <w:tcW w:w="6216" w:type="dxa"/>
          </w:tcPr>
          <w:p w:rsidR="00E9238E" w:rsidRDefault="00E9238E" w:rsidP="00E9238E">
            <w:pPr>
              <w:spacing w:after="120"/>
              <w:jc w:val="both"/>
              <w:rPr>
                <w:rFonts w:ascii="Sylfaen" w:hAnsi="Sylfaen"/>
                <w:lang w:val="ka-GE"/>
              </w:rPr>
            </w:pPr>
            <w:r w:rsidRPr="00E9238E">
              <w:rPr>
                <w:rFonts w:ascii="Sylfaen" w:eastAsia="Times New Roman" w:hAnsi="Sylfaen" w:cs="Sylfaen"/>
                <w:color w:val="000000"/>
              </w:rPr>
              <w:t>სისხლისმიმოქცევისსისტემისდაავადებები</w:t>
            </w:r>
          </w:p>
        </w:tc>
        <w:tc>
          <w:tcPr>
            <w:tcW w:w="3432" w:type="dxa"/>
          </w:tcPr>
          <w:p w:rsidR="00E9238E" w:rsidRDefault="00E9238E" w:rsidP="00E9238E">
            <w:pPr>
              <w:spacing w:after="120"/>
              <w:jc w:val="both"/>
              <w:rPr>
                <w:rFonts w:ascii="Sylfaen" w:hAnsi="Sylfaen"/>
                <w:lang w:val="ka-GE"/>
              </w:rPr>
            </w:pPr>
            <w:r w:rsidRPr="00E9238E">
              <w:rPr>
                <w:rFonts w:ascii="Sylfaen" w:eastAsia="Times New Roman" w:hAnsi="Sylfaen" w:cs="Sylfaen"/>
                <w:color w:val="000000"/>
                <w:lang w:val="ka-GE"/>
              </w:rPr>
              <w:t>36,7%</w:t>
            </w:r>
          </w:p>
        </w:tc>
      </w:tr>
      <w:tr w:rsidR="00E9238E" w:rsidTr="00E9238E">
        <w:tc>
          <w:tcPr>
            <w:tcW w:w="648" w:type="dxa"/>
          </w:tcPr>
          <w:p w:rsidR="00E9238E" w:rsidRDefault="00E9238E" w:rsidP="00E9238E">
            <w:pPr>
              <w:spacing w:after="120"/>
              <w:jc w:val="both"/>
              <w:rPr>
                <w:rFonts w:ascii="Sylfaen" w:hAnsi="Sylfaen"/>
                <w:lang w:val="ka-GE"/>
              </w:rPr>
            </w:pPr>
            <w:r w:rsidRPr="00E9238E">
              <w:rPr>
                <w:rFonts w:ascii="Sylfaen" w:eastAsia="Times New Roman" w:hAnsi="Sylfaen" w:cs="Calibri"/>
                <w:b/>
                <w:bCs/>
                <w:color w:val="000000"/>
              </w:rPr>
              <w:t>S-T</w:t>
            </w:r>
          </w:p>
        </w:tc>
        <w:tc>
          <w:tcPr>
            <w:tcW w:w="6216" w:type="dxa"/>
          </w:tcPr>
          <w:p w:rsidR="00E9238E" w:rsidRDefault="00E9238E" w:rsidP="00E9238E">
            <w:pPr>
              <w:spacing w:after="120"/>
              <w:jc w:val="both"/>
              <w:rPr>
                <w:rFonts w:ascii="Sylfaen" w:hAnsi="Sylfaen"/>
                <w:lang w:val="ka-GE"/>
              </w:rPr>
            </w:pPr>
            <w:r w:rsidRPr="00E9238E">
              <w:rPr>
                <w:rFonts w:ascii="Sylfaen" w:eastAsia="Times New Roman" w:hAnsi="Sylfaen" w:cs="Sylfaen"/>
                <w:color w:val="000000"/>
              </w:rPr>
              <w:t>დაზიანება</w:t>
            </w:r>
            <w:r w:rsidRPr="00E9238E">
              <w:rPr>
                <w:rFonts w:ascii="Sylfaen" w:eastAsia="Times New Roman" w:hAnsi="Sylfaen" w:cs="Calibri"/>
                <w:color w:val="000000"/>
              </w:rPr>
              <w:t xml:space="preserve">, </w:t>
            </w:r>
            <w:r w:rsidRPr="00E9238E">
              <w:rPr>
                <w:rFonts w:ascii="Sylfaen" w:eastAsia="Times New Roman" w:hAnsi="Sylfaen" w:cs="Sylfaen"/>
                <w:color w:val="000000"/>
              </w:rPr>
              <w:t>მოწამვლადაგარემიზეზებისზემოქმედებები</w:t>
            </w:r>
          </w:p>
        </w:tc>
        <w:tc>
          <w:tcPr>
            <w:tcW w:w="3432" w:type="dxa"/>
          </w:tcPr>
          <w:p w:rsidR="00E9238E" w:rsidRDefault="00E9238E" w:rsidP="00E9238E">
            <w:pPr>
              <w:spacing w:after="120"/>
              <w:jc w:val="both"/>
              <w:rPr>
                <w:rFonts w:ascii="Sylfaen" w:hAnsi="Sylfaen"/>
                <w:lang w:val="ka-GE"/>
              </w:rPr>
            </w:pPr>
            <w:r w:rsidRPr="00E9238E">
              <w:rPr>
                <w:rFonts w:ascii="Sylfaen" w:eastAsia="Times New Roman" w:hAnsi="Sylfaen" w:cs="Sylfaen"/>
                <w:color w:val="000000"/>
                <w:lang w:val="ka-GE"/>
              </w:rPr>
              <w:t>13,2 %</w:t>
            </w:r>
          </w:p>
        </w:tc>
      </w:tr>
      <w:tr w:rsidR="00E9238E" w:rsidTr="00E9238E">
        <w:tc>
          <w:tcPr>
            <w:tcW w:w="648" w:type="dxa"/>
          </w:tcPr>
          <w:p w:rsidR="00E9238E" w:rsidRDefault="00E9238E" w:rsidP="00E9238E">
            <w:pPr>
              <w:spacing w:after="120"/>
              <w:jc w:val="both"/>
              <w:rPr>
                <w:rFonts w:ascii="Sylfaen" w:hAnsi="Sylfaen"/>
                <w:lang w:val="ka-GE"/>
              </w:rPr>
            </w:pPr>
            <w:r w:rsidRPr="00E9238E">
              <w:rPr>
                <w:rFonts w:ascii="Sylfaen" w:eastAsia="Times New Roman" w:hAnsi="Sylfaen" w:cs="Calibri"/>
                <w:b/>
                <w:bCs/>
                <w:color w:val="000000"/>
              </w:rPr>
              <w:t>J</w:t>
            </w:r>
          </w:p>
        </w:tc>
        <w:tc>
          <w:tcPr>
            <w:tcW w:w="6216" w:type="dxa"/>
          </w:tcPr>
          <w:p w:rsidR="00E9238E" w:rsidRDefault="00E9238E" w:rsidP="00E9238E">
            <w:pPr>
              <w:spacing w:after="120"/>
              <w:jc w:val="both"/>
              <w:rPr>
                <w:rFonts w:ascii="Sylfaen" w:hAnsi="Sylfaen"/>
                <w:lang w:val="ka-GE"/>
              </w:rPr>
            </w:pPr>
            <w:r w:rsidRPr="00E9238E">
              <w:rPr>
                <w:rFonts w:ascii="Sylfaen" w:eastAsia="Times New Roman" w:hAnsi="Sylfaen" w:cs="Sylfaen"/>
                <w:color w:val="000000"/>
              </w:rPr>
              <w:t>სასუნთქისისტემისდაავადებები</w:t>
            </w:r>
            <w:r w:rsidRPr="00E9238E">
              <w:rPr>
                <w:rFonts w:ascii="Sylfaen" w:eastAsia="Times New Roman" w:hAnsi="Sylfaen" w:cs="Sylfaen"/>
                <w:color w:val="000000"/>
                <w:lang w:val="ka-GE"/>
              </w:rPr>
              <w:t>ს</w:t>
            </w:r>
          </w:p>
        </w:tc>
        <w:tc>
          <w:tcPr>
            <w:tcW w:w="3432" w:type="dxa"/>
          </w:tcPr>
          <w:p w:rsidR="00E9238E" w:rsidRDefault="00E9238E" w:rsidP="00E9238E">
            <w:pPr>
              <w:spacing w:after="120"/>
              <w:jc w:val="both"/>
              <w:rPr>
                <w:rFonts w:ascii="Sylfaen" w:hAnsi="Sylfaen"/>
                <w:lang w:val="ka-GE"/>
              </w:rPr>
            </w:pPr>
            <w:r>
              <w:rPr>
                <w:rFonts w:ascii="Sylfaen" w:eastAsia="Times New Roman" w:hAnsi="Sylfaen" w:cs="Sylfaen"/>
                <w:color w:val="000000"/>
                <w:lang w:val="ka-GE"/>
              </w:rPr>
              <w:t>10,6 %</w:t>
            </w:r>
          </w:p>
        </w:tc>
      </w:tr>
    </w:tbl>
    <w:p w:rsidR="00E9238E" w:rsidRDefault="00E9238E" w:rsidP="00E9238E">
      <w:pPr>
        <w:spacing w:after="120" w:line="240" w:lineRule="auto"/>
        <w:ind w:left="720"/>
        <w:jc w:val="both"/>
        <w:rPr>
          <w:rFonts w:ascii="Sylfaen" w:eastAsia="Times New Roman" w:hAnsi="Sylfaen" w:cs="Sylfaen"/>
          <w:color w:val="000000"/>
          <w:lang w:val="ka-GE"/>
        </w:rPr>
      </w:pPr>
    </w:p>
    <w:p w:rsidR="00E9238E" w:rsidRPr="00E9238E" w:rsidRDefault="00E9238E" w:rsidP="00E9238E">
      <w:pPr>
        <w:ind w:left="720"/>
        <w:rPr>
          <w:rFonts w:ascii="Sylfaen" w:hAnsi="Sylfaen"/>
          <w:b/>
          <w:lang w:val="ka-GE"/>
        </w:rPr>
      </w:pPr>
      <w:r w:rsidRPr="00E9238E">
        <w:rPr>
          <w:rFonts w:ascii="Sylfaen" w:hAnsi="Sylfaen"/>
          <w:b/>
          <w:lang w:val="ka-GE"/>
        </w:rPr>
        <w:t>%-ულად ყველაზე ხშირი დიაგნოზები:</w:t>
      </w:r>
    </w:p>
    <w:tbl>
      <w:tblPr>
        <w:tblW w:w="9738" w:type="dxa"/>
        <w:tblInd w:w="720" w:type="dxa"/>
        <w:tblLook w:val="04A0"/>
      </w:tblPr>
      <w:tblGrid>
        <w:gridCol w:w="7488"/>
        <w:gridCol w:w="1080"/>
        <w:gridCol w:w="1170"/>
      </w:tblGrid>
      <w:tr w:rsidR="00E9238E" w:rsidRPr="00050695" w:rsidTr="00E9238E">
        <w:trPr>
          <w:trHeight w:val="1178"/>
        </w:trPr>
        <w:tc>
          <w:tcPr>
            <w:tcW w:w="748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9238E" w:rsidRPr="00050695" w:rsidRDefault="00E9238E" w:rsidP="00592E25">
            <w:pPr>
              <w:spacing w:after="0" w:line="240" w:lineRule="auto"/>
              <w:rPr>
                <w:rFonts w:eastAsia="Times New Roman" w:cs="Calibri"/>
                <w:color w:val="000000"/>
              </w:rPr>
            </w:pPr>
            <w:r w:rsidRPr="00050695">
              <w:rPr>
                <w:rFonts w:eastAsia="Times New Roman" w:cs="Calibri"/>
                <w:b/>
                <w:bCs/>
                <w:color w:val="000000"/>
                <w:sz w:val="36"/>
                <w:szCs w:val="36"/>
              </w:rPr>
              <w:t xml:space="preserve">    ICD10</w:t>
            </w:r>
          </w:p>
        </w:tc>
        <w:tc>
          <w:tcPr>
            <w:tcW w:w="1080" w:type="dxa"/>
            <w:tcBorders>
              <w:top w:val="single" w:sz="4" w:space="0" w:color="auto"/>
              <w:left w:val="nil"/>
              <w:bottom w:val="single" w:sz="4" w:space="0" w:color="auto"/>
              <w:right w:val="single" w:sz="4" w:space="0" w:color="auto"/>
            </w:tcBorders>
            <w:shd w:val="clear" w:color="auto" w:fill="auto"/>
            <w:textDirection w:val="btLr"/>
            <w:vAlign w:val="bottom"/>
            <w:hideMark/>
          </w:tcPr>
          <w:p w:rsidR="00E9238E" w:rsidRDefault="00E9238E" w:rsidP="00592E25">
            <w:pPr>
              <w:rPr>
                <w:rFonts w:cs="Calibri"/>
                <w:color w:val="000000"/>
                <w:sz w:val="20"/>
              </w:rPr>
            </w:pPr>
            <w:r>
              <w:rPr>
                <w:rFonts w:ascii="Sylfaen" w:hAnsi="Sylfaen" w:cs="Sylfaen"/>
                <w:color w:val="000000"/>
                <w:sz w:val="20"/>
              </w:rPr>
              <w:t>რეფერალი</w:t>
            </w:r>
          </w:p>
        </w:tc>
        <w:tc>
          <w:tcPr>
            <w:tcW w:w="1170" w:type="dxa"/>
            <w:tcBorders>
              <w:top w:val="single" w:sz="4" w:space="0" w:color="auto"/>
              <w:left w:val="nil"/>
              <w:bottom w:val="single" w:sz="4" w:space="0" w:color="auto"/>
              <w:right w:val="single" w:sz="4" w:space="0" w:color="auto"/>
            </w:tcBorders>
            <w:shd w:val="clear" w:color="auto" w:fill="auto"/>
            <w:textDirection w:val="btLr"/>
            <w:vAlign w:val="bottom"/>
            <w:hideMark/>
          </w:tcPr>
          <w:p w:rsidR="00E9238E" w:rsidRDefault="00E9238E" w:rsidP="00592E25">
            <w:pPr>
              <w:rPr>
                <w:rFonts w:cs="Calibri"/>
                <w:color w:val="000000"/>
                <w:sz w:val="20"/>
              </w:rPr>
            </w:pPr>
            <w:r>
              <w:rPr>
                <w:rFonts w:cs="Calibri"/>
                <w:color w:val="000000"/>
                <w:sz w:val="20"/>
              </w:rPr>
              <w:t>%</w:t>
            </w:r>
          </w:p>
        </w:tc>
      </w:tr>
      <w:tr w:rsidR="007520D6" w:rsidRPr="00050695" w:rsidTr="00E9238E">
        <w:trPr>
          <w:trHeight w:val="300"/>
        </w:trPr>
        <w:tc>
          <w:tcPr>
            <w:tcW w:w="7488" w:type="dxa"/>
            <w:tcBorders>
              <w:top w:val="nil"/>
              <w:left w:val="single" w:sz="4" w:space="0" w:color="auto"/>
              <w:bottom w:val="single" w:sz="4" w:space="0" w:color="auto"/>
              <w:right w:val="single" w:sz="4" w:space="0" w:color="auto"/>
            </w:tcBorders>
            <w:shd w:val="clear" w:color="auto" w:fill="auto"/>
            <w:vAlign w:val="bottom"/>
            <w:hideMark/>
          </w:tcPr>
          <w:p w:rsidR="007520D6" w:rsidRPr="00786DB3" w:rsidRDefault="007520D6" w:rsidP="00592E25">
            <w:pPr>
              <w:spacing w:after="0" w:line="240" w:lineRule="auto"/>
              <w:rPr>
                <w:rFonts w:eastAsia="Times New Roman" w:cs="Calibri"/>
                <w:b/>
                <w:i/>
                <w:color w:val="000000"/>
                <w:sz w:val="20"/>
              </w:rPr>
            </w:pPr>
            <w:r w:rsidRPr="00786DB3">
              <w:rPr>
                <w:rFonts w:eastAsia="Times New Roman" w:cs="Calibri"/>
                <w:b/>
                <w:bCs/>
                <w:i/>
                <w:color w:val="000000"/>
                <w:sz w:val="20"/>
              </w:rPr>
              <w:t>I</w:t>
            </w:r>
            <w:r w:rsidRPr="00786DB3">
              <w:rPr>
                <w:rFonts w:ascii="Sylfaen" w:eastAsia="Times New Roman" w:hAnsi="Sylfaen" w:cs="Sylfaen"/>
                <w:b/>
                <w:i/>
                <w:color w:val="000000"/>
                <w:sz w:val="20"/>
              </w:rPr>
              <w:t>სისხლისმიმოქცევისსისტემისდაავადებები</w:t>
            </w:r>
          </w:p>
        </w:tc>
        <w:tc>
          <w:tcPr>
            <w:tcW w:w="1080" w:type="dxa"/>
            <w:tcBorders>
              <w:top w:val="nil"/>
              <w:left w:val="nil"/>
              <w:bottom w:val="single" w:sz="4" w:space="0" w:color="auto"/>
              <w:right w:val="single" w:sz="4" w:space="0" w:color="auto"/>
            </w:tcBorders>
            <w:shd w:val="clear" w:color="auto" w:fill="auto"/>
            <w:noWrap/>
            <w:vAlign w:val="bottom"/>
            <w:hideMark/>
          </w:tcPr>
          <w:p w:rsidR="007520D6" w:rsidRDefault="007520D6">
            <w:pPr>
              <w:jc w:val="right"/>
              <w:rPr>
                <w:rFonts w:cs="Calibri"/>
                <w:color w:val="000000"/>
                <w:szCs w:val="22"/>
              </w:rPr>
            </w:pPr>
            <w:r>
              <w:rPr>
                <w:rFonts w:cs="Calibri"/>
                <w:color w:val="000000"/>
                <w:szCs w:val="22"/>
              </w:rPr>
              <w:t>7454</w:t>
            </w:r>
          </w:p>
        </w:tc>
        <w:tc>
          <w:tcPr>
            <w:tcW w:w="1170" w:type="dxa"/>
            <w:tcBorders>
              <w:top w:val="nil"/>
              <w:left w:val="nil"/>
              <w:bottom w:val="single" w:sz="4" w:space="0" w:color="auto"/>
              <w:right w:val="single" w:sz="4" w:space="0" w:color="auto"/>
            </w:tcBorders>
            <w:shd w:val="clear" w:color="auto" w:fill="DBE5F1" w:themeFill="accent1" w:themeFillTint="33"/>
            <w:noWrap/>
            <w:vAlign w:val="bottom"/>
            <w:hideMark/>
          </w:tcPr>
          <w:p w:rsidR="007520D6" w:rsidRDefault="007520D6" w:rsidP="00592E25">
            <w:pPr>
              <w:rPr>
                <w:rFonts w:cs="Calibri"/>
                <w:color w:val="000000"/>
              </w:rPr>
            </w:pPr>
            <w:r>
              <w:rPr>
                <w:rFonts w:cs="Calibri"/>
                <w:color w:val="000000"/>
              </w:rPr>
              <w:t>36.7%</w:t>
            </w:r>
          </w:p>
        </w:tc>
      </w:tr>
      <w:tr w:rsidR="007520D6" w:rsidRPr="00050695" w:rsidTr="00E9238E">
        <w:trPr>
          <w:trHeight w:val="300"/>
        </w:trPr>
        <w:tc>
          <w:tcPr>
            <w:tcW w:w="7488" w:type="dxa"/>
            <w:tcBorders>
              <w:top w:val="nil"/>
              <w:left w:val="single" w:sz="4" w:space="0" w:color="auto"/>
              <w:bottom w:val="single" w:sz="4" w:space="0" w:color="auto"/>
              <w:right w:val="single" w:sz="4" w:space="0" w:color="auto"/>
            </w:tcBorders>
            <w:shd w:val="clear" w:color="000000" w:fill="EEECE1"/>
            <w:vAlign w:val="bottom"/>
            <w:hideMark/>
          </w:tcPr>
          <w:p w:rsidR="007520D6" w:rsidRPr="00786DB3" w:rsidRDefault="007520D6" w:rsidP="00592E25">
            <w:pPr>
              <w:spacing w:after="0" w:line="240" w:lineRule="auto"/>
              <w:jc w:val="right"/>
              <w:rPr>
                <w:rFonts w:eastAsia="Times New Roman" w:cs="Calibri"/>
                <w:bCs/>
                <w:iCs/>
                <w:color w:val="000000"/>
                <w:sz w:val="20"/>
              </w:rPr>
            </w:pPr>
            <w:r w:rsidRPr="00786DB3">
              <w:rPr>
                <w:rFonts w:ascii="Sylfaen" w:eastAsia="Times New Roman" w:hAnsi="Sylfaen" w:cs="Sylfaen"/>
                <w:bCs/>
                <w:iCs/>
                <w:color w:val="000000"/>
                <w:sz w:val="20"/>
              </w:rPr>
              <w:t>ინსულტი</w:t>
            </w:r>
          </w:p>
        </w:tc>
        <w:tc>
          <w:tcPr>
            <w:tcW w:w="1080" w:type="dxa"/>
            <w:tcBorders>
              <w:top w:val="nil"/>
              <w:left w:val="nil"/>
              <w:bottom w:val="single" w:sz="4" w:space="0" w:color="auto"/>
              <w:right w:val="single" w:sz="4" w:space="0" w:color="auto"/>
            </w:tcBorders>
            <w:shd w:val="clear" w:color="auto" w:fill="auto"/>
            <w:noWrap/>
            <w:vAlign w:val="bottom"/>
            <w:hideMark/>
          </w:tcPr>
          <w:p w:rsidR="007520D6" w:rsidRDefault="007520D6">
            <w:pPr>
              <w:jc w:val="right"/>
              <w:rPr>
                <w:rFonts w:cs="Calibri"/>
                <w:color w:val="000000"/>
                <w:szCs w:val="22"/>
              </w:rPr>
            </w:pPr>
            <w:r>
              <w:rPr>
                <w:rFonts w:cs="Calibri"/>
                <w:color w:val="000000"/>
                <w:szCs w:val="22"/>
              </w:rPr>
              <w:t>4318</w:t>
            </w:r>
          </w:p>
        </w:tc>
        <w:tc>
          <w:tcPr>
            <w:tcW w:w="1170" w:type="dxa"/>
            <w:tcBorders>
              <w:top w:val="nil"/>
              <w:left w:val="nil"/>
              <w:bottom w:val="single" w:sz="4" w:space="0" w:color="auto"/>
              <w:right w:val="single" w:sz="4" w:space="0" w:color="auto"/>
            </w:tcBorders>
            <w:shd w:val="clear" w:color="auto" w:fill="auto"/>
            <w:noWrap/>
            <w:vAlign w:val="bottom"/>
            <w:hideMark/>
          </w:tcPr>
          <w:p w:rsidR="007520D6" w:rsidRDefault="007520D6" w:rsidP="00592E25">
            <w:pPr>
              <w:rPr>
                <w:rFonts w:cs="Calibri"/>
                <w:color w:val="000000"/>
              </w:rPr>
            </w:pPr>
            <w:r>
              <w:rPr>
                <w:rFonts w:cs="Calibri"/>
                <w:color w:val="000000"/>
              </w:rPr>
              <w:t>21.3%</w:t>
            </w:r>
          </w:p>
        </w:tc>
      </w:tr>
      <w:tr w:rsidR="007520D6" w:rsidRPr="00050695" w:rsidTr="00E9238E">
        <w:trPr>
          <w:trHeight w:val="300"/>
        </w:trPr>
        <w:tc>
          <w:tcPr>
            <w:tcW w:w="7488" w:type="dxa"/>
            <w:tcBorders>
              <w:top w:val="nil"/>
              <w:left w:val="single" w:sz="4" w:space="0" w:color="auto"/>
              <w:bottom w:val="single" w:sz="4" w:space="0" w:color="auto"/>
              <w:right w:val="single" w:sz="4" w:space="0" w:color="auto"/>
            </w:tcBorders>
            <w:shd w:val="clear" w:color="000000" w:fill="EEECE1"/>
            <w:vAlign w:val="bottom"/>
            <w:hideMark/>
          </w:tcPr>
          <w:p w:rsidR="007520D6" w:rsidRPr="00786DB3" w:rsidRDefault="007520D6" w:rsidP="00592E25">
            <w:pPr>
              <w:spacing w:after="0" w:line="240" w:lineRule="auto"/>
              <w:jc w:val="right"/>
              <w:rPr>
                <w:rFonts w:eastAsia="Times New Roman" w:cs="Calibri"/>
                <w:bCs/>
                <w:iCs/>
                <w:color w:val="000000"/>
                <w:sz w:val="20"/>
              </w:rPr>
            </w:pPr>
            <w:r w:rsidRPr="00786DB3">
              <w:rPr>
                <w:rFonts w:ascii="Sylfaen" w:eastAsia="Times New Roman" w:hAnsi="Sylfaen" w:cs="Sylfaen"/>
                <w:bCs/>
                <w:iCs/>
                <w:color w:val="000000"/>
                <w:sz w:val="20"/>
              </w:rPr>
              <w:t>ინფარქტი</w:t>
            </w:r>
          </w:p>
        </w:tc>
        <w:tc>
          <w:tcPr>
            <w:tcW w:w="1080" w:type="dxa"/>
            <w:tcBorders>
              <w:top w:val="nil"/>
              <w:left w:val="nil"/>
              <w:bottom w:val="single" w:sz="4" w:space="0" w:color="auto"/>
              <w:right w:val="single" w:sz="4" w:space="0" w:color="auto"/>
            </w:tcBorders>
            <w:shd w:val="clear" w:color="auto" w:fill="auto"/>
            <w:noWrap/>
            <w:vAlign w:val="bottom"/>
            <w:hideMark/>
          </w:tcPr>
          <w:p w:rsidR="007520D6" w:rsidRDefault="007520D6">
            <w:pPr>
              <w:jc w:val="right"/>
              <w:rPr>
                <w:rFonts w:cs="Calibri"/>
                <w:color w:val="000000"/>
                <w:szCs w:val="22"/>
              </w:rPr>
            </w:pPr>
            <w:r>
              <w:rPr>
                <w:rFonts w:cs="Calibri"/>
                <w:color w:val="000000"/>
                <w:szCs w:val="22"/>
              </w:rPr>
              <w:t>2586</w:t>
            </w:r>
          </w:p>
        </w:tc>
        <w:tc>
          <w:tcPr>
            <w:tcW w:w="1170" w:type="dxa"/>
            <w:tcBorders>
              <w:top w:val="nil"/>
              <w:left w:val="nil"/>
              <w:bottom w:val="single" w:sz="4" w:space="0" w:color="auto"/>
              <w:right w:val="single" w:sz="4" w:space="0" w:color="auto"/>
            </w:tcBorders>
            <w:shd w:val="clear" w:color="auto" w:fill="auto"/>
            <w:noWrap/>
            <w:vAlign w:val="bottom"/>
            <w:hideMark/>
          </w:tcPr>
          <w:p w:rsidR="007520D6" w:rsidRDefault="007520D6" w:rsidP="00592E25">
            <w:pPr>
              <w:rPr>
                <w:rFonts w:cs="Calibri"/>
                <w:color w:val="000000"/>
              </w:rPr>
            </w:pPr>
            <w:r>
              <w:rPr>
                <w:rFonts w:cs="Calibri"/>
                <w:color w:val="000000"/>
              </w:rPr>
              <w:t>12.7%</w:t>
            </w:r>
          </w:p>
        </w:tc>
      </w:tr>
      <w:tr w:rsidR="007520D6" w:rsidRPr="00050695" w:rsidTr="00E9238E">
        <w:trPr>
          <w:trHeight w:val="300"/>
        </w:trPr>
        <w:tc>
          <w:tcPr>
            <w:tcW w:w="7488" w:type="dxa"/>
            <w:tcBorders>
              <w:top w:val="nil"/>
              <w:left w:val="single" w:sz="4" w:space="0" w:color="auto"/>
              <w:bottom w:val="single" w:sz="4" w:space="0" w:color="auto"/>
              <w:right w:val="single" w:sz="4" w:space="0" w:color="auto"/>
            </w:tcBorders>
            <w:shd w:val="clear" w:color="000000" w:fill="EEECE1"/>
            <w:vAlign w:val="bottom"/>
            <w:hideMark/>
          </w:tcPr>
          <w:p w:rsidR="007520D6" w:rsidRPr="00786DB3" w:rsidRDefault="007520D6" w:rsidP="00592E25">
            <w:pPr>
              <w:spacing w:after="0" w:line="240" w:lineRule="auto"/>
              <w:jc w:val="right"/>
              <w:rPr>
                <w:rFonts w:eastAsia="Times New Roman" w:cs="Calibri"/>
                <w:bCs/>
                <w:iCs/>
                <w:color w:val="000000"/>
                <w:sz w:val="20"/>
              </w:rPr>
            </w:pPr>
            <w:r w:rsidRPr="00786DB3">
              <w:rPr>
                <w:rFonts w:ascii="Sylfaen" w:eastAsia="Times New Roman" w:hAnsi="Sylfaen" w:cs="Sylfaen"/>
                <w:bCs/>
                <w:iCs/>
                <w:color w:val="000000"/>
                <w:sz w:val="20"/>
              </w:rPr>
              <w:t>სხვა</w:t>
            </w:r>
          </w:p>
        </w:tc>
        <w:tc>
          <w:tcPr>
            <w:tcW w:w="1080" w:type="dxa"/>
            <w:tcBorders>
              <w:top w:val="nil"/>
              <w:left w:val="nil"/>
              <w:bottom w:val="single" w:sz="4" w:space="0" w:color="auto"/>
              <w:right w:val="single" w:sz="4" w:space="0" w:color="auto"/>
            </w:tcBorders>
            <w:shd w:val="clear" w:color="auto" w:fill="auto"/>
            <w:noWrap/>
            <w:vAlign w:val="bottom"/>
            <w:hideMark/>
          </w:tcPr>
          <w:p w:rsidR="007520D6" w:rsidRDefault="007520D6">
            <w:pPr>
              <w:jc w:val="right"/>
              <w:rPr>
                <w:rFonts w:cs="Calibri"/>
                <w:color w:val="000000"/>
                <w:szCs w:val="22"/>
              </w:rPr>
            </w:pPr>
            <w:r>
              <w:rPr>
                <w:rFonts w:cs="Calibri"/>
                <w:color w:val="000000"/>
                <w:szCs w:val="22"/>
              </w:rPr>
              <w:t>550</w:t>
            </w:r>
          </w:p>
        </w:tc>
        <w:tc>
          <w:tcPr>
            <w:tcW w:w="1170" w:type="dxa"/>
            <w:tcBorders>
              <w:top w:val="nil"/>
              <w:left w:val="nil"/>
              <w:bottom w:val="single" w:sz="4" w:space="0" w:color="auto"/>
              <w:right w:val="single" w:sz="4" w:space="0" w:color="auto"/>
            </w:tcBorders>
            <w:shd w:val="clear" w:color="auto" w:fill="auto"/>
            <w:noWrap/>
            <w:vAlign w:val="bottom"/>
            <w:hideMark/>
          </w:tcPr>
          <w:p w:rsidR="007520D6" w:rsidRDefault="007520D6" w:rsidP="00592E25">
            <w:pPr>
              <w:rPr>
                <w:rFonts w:cs="Calibri"/>
                <w:color w:val="000000"/>
              </w:rPr>
            </w:pPr>
            <w:r>
              <w:rPr>
                <w:rFonts w:cs="Calibri"/>
                <w:color w:val="000000"/>
              </w:rPr>
              <w:t>2.7%</w:t>
            </w:r>
          </w:p>
        </w:tc>
      </w:tr>
      <w:tr w:rsidR="007520D6" w:rsidRPr="00050695" w:rsidTr="00E9238E">
        <w:trPr>
          <w:trHeight w:val="345"/>
        </w:trPr>
        <w:tc>
          <w:tcPr>
            <w:tcW w:w="7488" w:type="dxa"/>
            <w:tcBorders>
              <w:top w:val="nil"/>
              <w:left w:val="single" w:sz="4" w:space="0" w:color="auto"/>
              <w:bottom w:val="single" w:sz="4" w:space="0" w:color="auto"/>
              <w:right w:val="single" w:sz="4" w:space="0" w:color="auto"/>
            </w:tcBorders>
            <w:shd w:val="clear" w:color="auto" w:fill="auto"/>
            <w:vAlign w:val="bottom"/>
            <w:hideMark/>
          </w:tcPr>
          <w:p w:rsidR="007520D6" w:rsidRPr="00786DB3" w:rsidRDefault="007520D6" w:rsidP="00592E25">
            <w:pPr>
              <w:spacing w:after="0" w:line="240" w:lineRule="auto"/>
              <w:rPr>
                <w:rFonts w:eastAsia="Times New Roman" w:cs="Calibri"/>
                <w:b/>
                <w:i/>
                <w:color w:val="000000"/>
                <w:sz w:val="20"/>
              </w:rPr>
            </w:pPr>
            <w:r w:rsidRPr="00786DB3">
              <w:rPr>
                <w:rFonts w:eastAsia="Times New Roman" w:cs="Calibri"/>
                <w:b/>
                <w:bCs/>
                <w:i/>
                <w:color w:val="000000"/>
                <w:sz w:val="20"/>
              </w:rPr>
              <w:t>S-T</w:t>
            </w:r>
            <w:r w:rsidRPr="00786DB3">
              <w:rPr>
                <w:rFonts w:ascii="Sylfaen" w:eastAsia="Times New Roman" w:hAnsi="Sylfaen" w:cs="Sylfaen"/>
                <w:b/>
                <w:i/>
                <w:color w:val="000000"/>
                <w:sz w:val="20"/>
              </w:rPr>
              <w:t>დაზიანება</w:t>
            </w:r>
            <w:r w:rsidRPr="00786DB3">
              <w:rPr>
                <w:rFonts w:eastAsia="Times New Roman" w:cs="Calibri"/>
                <w:b/>
                <w:i/>
                <w:color w:val="000000"/>
                <w:sz w:val="20"/>
              </w:rPr>
              <w:t xml:space="preserve">, </w:t>
            </w:r>
            <w:r w:rsidRPr="00786DB3">
              <w:rPr>
                <w:rFonts w:ascii="Sylfaen" w:eastAsia="Times New Roman" w:hAnsi="Sylfaen" w:cs="Sylfaen"/>
                <w:b/>
                <w:i/>
                <w:color w:val="000000"/>
                <w:sz w:val="20"/>
              </w:rPr>
              <w:t>მოწამვლადაგარემიზეზებისზემოქმედებები</w:t>
            </w:r>
          </w:p>
        </w:tc>
        <w:tc>
          <w:tcPr>
            <w:tcW w:w="1080" w:type="dxa"/>
            <w:tcBorders>
              <w:top w:val="nil"/>
              <w:left w:val="nil"/>
              <w:bottom w:val="single" w:sz="4" w:space="0" w:color="auto"/>
              <w:right w:val="single" w:sz="4" w:space="0" w:color="auto"/>
            </w:tcBorders>
            <w:shd w:val="clear" w:color="auto" w:fill="auto"/>
            <w:noWrap/>
            <w:vAlign w:val="bottom"/>
            <w:hideMark/>
          </w:tcPr>
          <w:p w:rsidR="007520D6" w:rsidRDefault="007520D6">
            <w:pPr>
              <w:jc w:val="right"/>
              <w:rPr>
                <w:rFonts w:cs="Calibri"/>
                <w:color w:val="000000"/>
                <w:szCs w:val="22"/>
              </w:rPr>
            </w:pPr>
            <w:r>
              <w:rPr>
                <w:rFonts w:cs="Calibri"/>
                <w:color w:val="000000"/>
                <w:szCs w:val="22"/>
              </w:rPr>
              <w:t>2672</w:t>
            </w:r>
          </w:p>
        </w:tc>
        <w:tc>
          <w:tcPr>
            <w:tcW w:w="1170" w:type="dxa"/>
            <w:tcBorders>
              <w:top w:val="nil"/>
              <w:left w:val="nil"/>
              <w:bottom w:val="single" w:sz="4" w:space="0" w:color="auto"/>
              <w:right w:val="single" w:sz="4" w:space="0" w:color="auto"/>
            </w:tcBorders>
            <w:shd w:val="clear" w:color="auto" w:fill="DBE5F1" w:themeFill="accent1" w:themeFillTint="33"/>
            <w:noWrap/>
            <w:vAlign w:val="bottom"/>
            <w:hideMark/>
          </w:tcPr>
          <w:p w:rsidR="007520D6" w:rsidRDefault="007520D6" w:rsidP="00592E25">
            <w:pPr>
              <w:rPr>
                <w:rFonts w:cs="Calibri"/>
                <w:color w:val="000000"/>
              </w:rPr>
            </w:pPr>
            <w:r>
              <w:rPr>
                <w:rFonts w:cs="Calibri"/>
                <w:color w:val="000000"/>
              </w:rPr>
              <w:t>13.2%</w:t>
            </w:r>
          </w:p>
        </w:tc>
      </w:tr>
      <w:tr w:rsidR="007520D6" w:rsidRPr="00050695" w:rsidTr="00E9238E">
        <w:trPr>
          <w:trHeight w:val="300"/>
        </w:trPr>
        <w:tc>
          <w:tcPr>
            <w:tcW w:w="7488" w:type="dxa"/>
            <w:tcBorders>
              <w:top w:val="nil"/>
              <w:left w:val="single" w:sz="4" w:space="0" w:color="auto"/>
              <w:bottom w:val="single" w:sz="4" w:space="0" w:color="auto"/>
              <w:right w:val="single" w:sz="4" w:space="0" w:color="auto"/>
            </w:tcBorders>
            <w:shd w:val="clear" w:color="auto" w:fill="EEECE1" w:themeFill="background2"/>
            <w:vAlign w:val="bottom"/>
            <w:hideMark/>
          </w:tcPr>
          <w:p w:rsidR="007520D6" w:rsidRPr="00786DB3" w:rsidRDefault="007520D6" w:rsidP="00592E25">
            <w:pPr>
              <w:spacing w:after="0" w:line="240" w:lineRule="auto"/>
              <w:jc w:val="right"/>
              <w:rPr>
                <w:rFonts w:eastAsia="Times New Roman" w:cs="Calibri"/>
                <w:bCs/>
                <w:iCs/>
                <w:color w:val="000000"/>
                <w:sz w:val="20"/>
              </w:rPr>
            </w:pPr>
            <w:r w:rsidRPr="00786DB3">
              <w:rPr>
                <w:rFonts w:ascii="Sylfaen" w:eastAsia="Times New Roman" w:hAnsi="Sylfaen" w:cs="Sylfaen"/>
                <w:bCs/>
                <w:iCs/>
                <w:color w:val="000000"/>
                <w:sz w:val="20"/>
              </w:rPr>
              <w:t>დაზიანება</w:t>
            </w:r>
          </w:p>
        </w:tc>
        <w:tc>
          <w:tcPr>
            <w:tcW w:w="1080" w:type="dxa"/>
            <w:tcBorders>
              <w:top w:val="nil"/>
              <w:left w:val="nil"/>
              <w:bottom w:val="single" w:sz="4" w:space="0" w:color="auto"/>
              <w:right w:val="single" w:sz="4" w:space="0" w:color="auto"/>
            </w:tcBorders>
            <w:shd w:val="clear" w:color="auto" w:fill="auto"/>
            <w:noWrap/>
            <w:vAlign w:val="bottom"/>
            <w:hideMark/>
          </w:tcPr>
          <w:p w:rsidR="007520D6" w:rsidRDefault="007520D6">
            <w:pPr>
              <w:jc w:val="right"/>
              <w:rPr>
                <w:rFonts w:cs="Calibri"/>
                <w:color w:val="000000"/>
                <w:szCs w:val="22"/>
              </w:rPr>
            </w:pPr>
            <w:r>
              <w:rPr>
                <w:rFonts w:cs="Calibri"/>
                <w:color w:val="000000"/>
                <w:szCs w:val="22"/>
              </w:rPr>
              <w:t>1964</w:t>
            </w:r>
          </w:p>
        </w:tc>
        <w:tc>
          <w:tcPr>
            <w:tcW w:w="1170" w:type="dxa"/>
            <w:tcBorders>
              <w:top w:val="nil"/>
              <w:left w:val="nil"/>
              <w:bottom w:val="single" w:sz="4" w:space="0" w:color="auto"/>
              <w:right w:val="single" w:sz="4" w:space="0" w:color="auto"/>
            </w:tcBorders>
            <w:shd w:val="clear" w:color="auto" w:fill="auto"/>
            <w:noWrap/>
            <w:vAlign w:val="bottom"/>
            <w:hideMark/>
          </w:tcPr>
          <w:p w:rsidR="007520D6" w:rsidRDefault="007520D6" w:rsidP="00592E25">
            <w:pPr>
              <w:rPr>
                <w:rFonts w:cs="Calibri"/>
                <w:color w:val="000000"/>
              </w:rPr>
            </w:pPr>
            <w:r>
              <w:rPr>
                <w:rFonts w:cs="Calibri"/>
                <w:color w:val="000000"/>
              </w:rPr>
              <w:t>9.7%</w:t>
            </w:r>
          </w:p>
        </w:tc>
      </w:tr>
      <w:tr w:rsidR="007520D6" w:rsidRPr="00050695" w:rsidTr="00E9238E">
        <w:trPr>
          <w:trHeight w:val="300"/>
        </w:trPr>
        <w:tc>
          <w:tcPr>
            <w:tcW w:w="7488" w:type="dxa"/>
            <w:tcBorders>
              <w:top w:val="nil"/>
              <w:left w:val="single" w:sz="4" w:space="0" w:color="auto"/>
              <w:bottom w:val="single" w:sz="4" w:space="0" w:color="auto"/>
              <w:right w:val="single" w:sz="4" w:space="0" w:color="auto"/>
            </w:tcBorders>
            <w:shd w:val="clear" w:color="auto" w:fill="EEECE1" w:themeFill="background2"/>
            <w:vAlign w:val="bottom"/>
            <w:hideMark/>
          </w:tcPr>
          <w:p w:rsidR="007520D6" w:rsidRPr="00786DB3" w:rsidRDefault="007520D6" w:rsidP="00592E25">
            <w:pPr>
              <w:spacing w:after="0" w:line="240" w:lineRule="auto"/>
              <w:jc w:val="right"/>
              <w:rPr>
                <w:rFonts w:eastAsia="Times New Roman" w:cs="Calibri"/>
                <w:bCs/>
                <w:iCs/>
                <w:color w:val="000000"/>
                <w:sz w:val="20"/>
              </w:rPr>
            </w:pPr>
            <w:r w:rsidRPr="00786DB3">
              <w:rPr>
                <w:rFonts w:ascii="Sylfaen" w:eastAsia="Times New Roman" w:hAnsi="Sylfaen" w:cs="Sylfaen"/>
                <w:bCs/>
                <w:iCs/>
                <w:color w:val="000000"/>
                <w:sz w:val="20"/>
              </w:rPr>
              <w:t>მოწამვლადაგარემიზეზებისზემოქმედებები</w:t>
            </w:r>
          </w:p>
        </w:tc>
        <w:tc>
          <w:tcPr>
            <w:tcW w:w="1080" w:type="dxa"/>
            <w:tcBorders>
              <w:top w:val="nil"/>
              <w:left w:val="nil"/>
              <w:bottom w:val="single" w:sz="4" w:space="0" w:color="auto"/>
              <w:right w:val="single" w:sz="4" w:space="0" w:color="auto"/>
            </w:tcBorders>
            <w:shd w:val="clear" w:color="auto" w:fill="auto"/>
            <w:noWrap/>
            <w:vAlign w:val="bottom"/>
            <w:hideMark/>
          </w:tcPr>
          <w:p w:rsidR="007520D6" w:rsidRDefault="007520D6">
            <w:pPr>
              <w:jc w:val="right"/>
              <w:rPr>
                <w:rFonts w:cs="Calibri"/>
                <w:color w:val="000000"/>
                <w:szCs w:val="22"/>
              </w:rPr>
            </w:pPr>
            <w:r>
              <w:rPr>
                <w:rFonts w:cs="Calibri"/>
                <w:color w:val="000000"/>
                <w:szCs w:val="22"/>
              </w:rPr>
              <w:t>708</w:t>
            </w:r>
          </w:p>
        </w:tc>
        <w:tc>
          <w:tcPr>
            <w:tcW w:w="1170" w:type="dxa"/>
            <w:tcBorders>
              <w:top w:val="nil"/>
              <w:left w:val="nil"/>
              <w:bottom w:val="single" w:sz="4" w:space="0" w:color="auto"/>
              <w:right w:val="single" w:sz="4" w:space="0" w:color="auto"/>
            </w:tcBorders>
            <w:shd w:val="clear" w:color="auto" w:fill="auto"/>
            <w:noWrap/>
            <w:vAlign w:val="bottom"/>
            <w:hideMark/>
          </w:tcPr>
          <w:p w:rsidR="007520D6" w:rsidRDefault="007520D6" w:rsidP="00592E25">
            <w:pPr>
              <w:rPr>
                <w:rFonts w:cs="Calibri"/>
                <w:color w:val="000000"/>
              </w:rPr>
            </w:pPr>
            <w:r>
              <w:rPr>
                <w:rFonts w:cs="Calibri"/>
                <w:color w:val="000000"/>
              </w:rPr>
              <w:t>3.5%</w:t>
            </w:r>
          </w:p>
        </w:tc>
      </w:tr>
      <w:tr w:rsidR="007520D6" w:rsidRPr="00050695" w:rsidTr="00E9238E">
        <w:trPr>
          <w:trHeight w:val="300"/>
        </w:trPr>
        <w:tc>
          <w:tcPr>
            <w:tcW w:w="7488" w:type="dxa"/>
            <w:tcBorders>
              <w:top w:val="nil"/>
              <w:left w:val="single" w:sz="4" w:space="0" w:color="auto"/>
              <w:bottom w:val="single" w:sz="4" w:space="0" w:color="auto"/>
              <w:right w:val="single" w:sz="4" w:space="0" w:color="auto"/>
            </w:tcBorders>
            <w:shd w:val="clear" w:color="auto" w:fill="auto"/>
            <w:vAlign w:val="bottom"/>
            <w:hideMark/>
          </w:tcPr>
          <w:p w:rsidR="007520D6" w:rsidRPr="00D3585A" w:rsidRDefault="007520D6" w:rsidP="00592E25">
            <w:pPr>
              <w:spacing w:after="0" w:line="240" w:lineRule="auto"/>
              <w:rPr>
                <w:rFonts w:eastAsia="Times New Roman" w:cs="Calibri"/>
                <w:color w:val="000000"/>
                <w:sz w:val="20"/>
              </w:rPr>
            </w:pPr>
            <w:r w:rsidRPr="00D3585A">
              <w:rPr>
                <w:rFonts w:eastAsia="Times New Roman" w:cs="Calibri"/>
                <w:bCs/>
                <w:color w:val="000000"/>
                <w:sz w:val="20"/>
              </w:rPr>
              <w:t>J</w:t>
            </w:r>
            <w:r w:rsidRPr="00D3585A">
              <w:rPr>
                <w:rFonts w:ascii="Sylfaen" w:eastAsia="Times New Roman" w:hAnsi="Sylfaen" w:cs="Sylfaen"/>
                <w:color w:val="000000"/>
                <w:sz w:val="20"/>
              </w:rPr>
              <w:t>სასუნთქისისტემისდაავადებები</w:t>
            </w:r>
          </w:p>
        </w:tc>
        <w:tc>
          <w:tcPr>
            <w:tcW w:w="1080" w:type="dxa"/>
            <w:tcBorders>
              <w:top w:val="nil"/>
              <w:left w:val="nil"/>
              <w:bottom w:val="single" w:sz="4" w:space="0" w:color="auto"/>
              <w:right w:val="single" w:sz="4" w:space="0" w:color="auto"/>
            </w:tcBorders>
            <w:shd w:val="clear" w:color="auto" w:fill="auto"/>
            <w:noWrap/>
            <w:vAlign w:val="bottom"/>
            <w:hideMark/>
          </w:tcPr>
          <w:p w:rsidR="007520D6" w:rsidRDefault="007520D6">
            <w:pPr>
              <w:jc w:val="right"/>
              <w:rPr>
                <w:rFonts w:cs="Calibri"/>
                <w:color w:val="000000"/>
                <w:szCs w:val="22"/>
              </w:rPr>
            </w:pPr>
            <w:r>
              <w:rPr>
                <w:rFonts w:cs="Calibri"/>
                <w:color w:val="000000"/>
                <w:szCs w:val="22"/>
              </w:rPr>
              <w:t>1782</w:t>
            </w:r>
          </w:p>
        </w:tc>
        <w:tc>
          <w:tcPr>
            <w:tcW w:w="1170" w:type="dxa"/>
            <w:tcBorders>
              <w:top w:val="nil"/>
              <w:left w:val="nil"/>
              <w:bottom w:val="single" w:sz="4" w:space="0" w:color="auto"/>
              <w:right w:val="single" w:sz="4" w:space="0" w:color="auto"/>
            </w:tcBorders>
            <w:shd w:val="clear" w:color="auto" w:fill="DBE5F1" w:themeFill="accent1" w:themeFillTint="33"/>
            <w:noWrap/>
            <w:vAlign w:val="bottom"/>
            <w:hideMark/>
          </w:tcPr>
          <w:p w:rsidR="007520D6" w:rsidRDefault="007520D6" w:rsidP="00592E25">
            <w:pPr>
              <w:rPr>
                <w:rFonts w:cs="Calibri"/>
                <w:color w:val="000000"/>
              </w:rPr>
            </w:pPr>
            <w:r>
              <w:rPr>
                <w:rFonts w:cs="Calibri"/>
                <w:color w:val="000000"/>
              </w:rPr>
              <w:t>10.6%</w:t>
            </w:r>
          </w:p>
        </w:tc>
      </w:tr>
      <w:tr w:rsidR="007520D6" w:rsidRPr="00050695" w:rsidTr="00E9238E">
        <w:trPr>
          <w:trHeight w:val="780"/>
        </w:trPr>
        <w:tc>
          <w:tcPr>
            <w:tcW w:w="7488" w:type="dxa"/>
            <w:tcBorders>
              <w:top w:val="nil"/>
              <w:left w:val="single" w:sz="4" w:space="0" w:color="auto"/>
              <w:bottom w:val="single" w:sz="4" w:space="0" w:color="auto"/>
              <w:right w:val="single" w:sz="4" w:space="0" w:color="auto"/>
            </w:tcBorders>
            <w:shd w:val="clear" w:color="auto" w:fill="auto"/>
            <w:vAlign w:val="bottom"/>
            <w:hideMark/>
          </w:tcPr>
          <w:p w:rsidR="007520D6" w:rsidRPr="00050695" w:rsidRDefault="007520D6" w:rsidP="00592E25">
            <w:pPr>
              <w:spacing w:after="0" w:line="240" w:lineRule="auto"/>
              <w:rPr>
                <w:rFonts w:eastAsia="Times New Roman" w:cs="Calibri"/>
                <w:color w:val="000000"/>
                <w:sz w:val="20"/>
              </w:rPr>
            </w:pPr>
            <w:r w:rsidRPr="00050695">
              <w:rPr>
                <w:rFonts w:eastAsia="Times New Roman" w:cs="Calibri"/>
                <w:b/>
                <w:bCs/>
                <w:color w:val="000000"/>
                <w:sz w:val="20"/>
              </w:rPr>
              <w:t>R</w:t>
            </w:r>
            <w:r w:rsidRPr="00050695">
              <w:rPr>
                <w:rFonts w:ascii="Sylfaen" w:eastAsia="Times New Roman" w:hAnsi="Sylfaen" w:cs="Sylfaen"/>
                <w:color w:val="000000"/>
                <w:sz w:val="20"/>
              </w:rPr>
              <w:t>სიმპტომები</w:t>
            </w:r>
            <w:r w:rsidRPr="00050695">
              <w:rPr>
                <w:rFonts w:eastAsia="Times New Roman" w:cs="Calibri"/>
                <w:color w:val="000000"/>
                <w:sz w:val="20"/>
              </w:rPr>
              <w:t xml:space="preserve">, </w:t>
            </w:r>
            <w:r w:rsidRPr="00050695">
              <w:rPr>
                <w:rFonts w:ascii="Sylfaen" w:eastAsia="Times New Roman" w:hAnsi="Sylfaen" w:cs="Sylfaen"/>
                <w:color w:val="000000"/>
                <w:sz w:val="20"/>
              </w:rPr>
              <w:t>ნიშნებიდანორმიდანგადახრილიკლინიკურიდალაბორატორიულიმონაცემები</w:t>
            </w:r>
            <w:r w:rsidRPr="00050695">
              <w:rPr>
                <w:rFonts w:eastAsia="Times New Roman" w:cs="Calibri"/>
                <w:color w:val="000000"/>
                <w:sz w:val="20"/>
              </w:rPr>
              <w:t xml:space="preserve">, </w:t>
            </w:r>
            <w:r w:rsidRPr="00050695">
              <w:rPr>
                <w:rFonts w:ascii="Sylfaen" w:eastAsia="Times New Roman" w:hAnsi="Sylfaen" w:cs="Sylfaen"/>
                <w:color w:val="000000"/>
                <w:sz w:val="20"/>
              </w:rPr>
              <w:t>რომლებიცარარისშეტანილისხვაკლასიფიკაციებში</w:t>
            </w:r>
          </w:p>
        </w:tc>
        <w:tc>
          <w:tcPr>
            <w:tcW w:w="1080" w:type="dxa"/>
            <w:tcBorders>
              <w:top w:val="nil"/>
              <w:left w:val="nil"/>
              <w:bottom w:val="single" w:sz="4" w:space="0" w:color="auto"/>
              <w:right w:val="single" w:sz="4" w:space="0" w:color="auto"/>
            </w:tcBorders>
            <w:shd w:val="clear" w:color="auto" w:fill="auto"/>
            <w:noWrap/>
            <w:vAlign w:val="bottom"/>
            <w:hideMark/>
          </w:tcPr>
          <w:p w:rsidR="007520D6" w:rsidRDefault="007520D6">
            <w:pPr>
              <w:jc w:val="right"/>
              <w:rPr>
                <w:rFonts w:cs="Calibri"/>
                <w:color w:val="000000"/>
                <w:szCs w:val="22"/>
              </w:rPr>
            </w:pPr>
            <w:r>
              <w:rPr>
                <w:rFonts w:cs="Calibri"/>
                <w:color w:val="000000"/>
                <w:szCs w:val="22"/>
              </w:rPr>
              <w:t>2156</w:t>
            </w:r>
          </w:p>
        </w:tc>
        <w:tc>
          <w:tcPr>
            <w:tcW w:w="1170" w:type="dxa"/>
            <w:tcBorders>
              <w:top w:val="nil"/>
              <w:left w:val="nil"/>
              <w:bottom w:val="single" w:sz="4" w:space="0" w:color="auto"/>
              <w:right w:val="single" w:sz="4" w:space="0" w:color="auto"/>
            </w:tcBorders>
            <w:shd w:val="clear" w:color="auto" w:fill="auto"/>
            <w:noWrap/>
            <w:vAlign w:val="bottom"/>
            <w:hideMark/>
          </w:tcPr>
          <w:p w:rsidR="007520D6" w:rsidRDefault="007520D6" w:rsidP="00592E25">
            <w:pPr>
              <w:rPr>
                <w:rFonts w:cs="Calibri"/>
                <w:color w:val="000000"/>
              </w:rPr>
            </w:pPr>
            <w:r>
              <w:rPr>
                <w:rFonts w:cs="Calibri"/>
                <w:color w:val="000000"/>
              </w:rPr>
              <w:t>8.8%</w:t>
            </w:r>
          </w:p>
        </w:tc>
      </w:tr>
      <w:tr w:rsidR="007520D6" w:rsidRPr="00050695" w:rsidTr="00E9238E">
        <w:trPr>
          <w:trHeight w:val="300"/>
        </w:trPr>
        <w:tc>
          <w:tcPr>
            <w:tcW w:w="7488" w:type="dxa"/>
            <w:tcBorders>
              <w:top w:val="nil"/>
              <w:left w:val="single" w:sz="4" w:space="0" w:color="auto"/>
              <w:bottom w:val="single" w:sz="4" w:space="0" w:color="auto"/>
              <w:right w:val="single" w:sz="4" w:space="0" w:color="auto"/>
            </w:tcBorders>
            <w:shd w:val="clear" w:color="auto" w:fill="auto"/>
            <w:vAlign w:val="bottom"/>
            <w:hideMark/>
          </w:tcPr>
          <w:p w:rsidR="007520D6" w:rsidRPr="00050695" w:rsidRDefault="007520D6" w:rsidP="00592E25">
            <w:pPr>
              <w:spacing w:after="0" w:line="240" w:lineRule="auto"/>
              <w:rPr>
                <w:rFonts w:eastAsia="Times New Roman" w:cs="Calibri"/>
                <w:color w:val="000000"/>
                <w:sz w:val="20"/>
              </w:rPr>
            </w:pPr>
            <w:r w:rsidRPr="00050695">
              <w:rPr>
                <w:rFonts w:eastAsia="Times New Roman" w:cs="Calibri"/>
                <w:b/>
                <w:bCs/>
                <w:color w:val="000000"/>
                <w:sz w:val="20"/>
              </w:rPr>
              <w:t>K</w:t>
            </w:r>
            <w:r w:rsidRPr="00050695">
              <w:rPr>
                <w:rFonts w:ascii="Sylfaen" w:eastAsia="Times New Roman" w:hAnsi="Sylfaen" w:cs="Sylfaen"/>
                <w:color w:val="000000"/>
                <w:sz w:val="20"/>
              </w:rPr>
              <w:t>საჭმლისმომნელებელისისტემისდაავადებები</w:t>
            </w:r>
          </w:p>
        </w:tc>
        <w:tc>
          <w:tcPr>
            <w:tcW w:w="1080" w:type="dxa"/>
            <w:tcBorders>
              <w:top w:val="nil"/>
              <w:left w:val="nil"/>
              <w:bottom w:val="single" w:sz="4" w:space="0" w:color="auto"/>
              <w:right w:val="single" w:sz="4" w:space="0" w:color="auto"/>
            </w:tcBorders>
            <w:shd w:val="clear" w:color="auto" w:fill="auto"/>
            <w:noWrap/>
            <w:vAlign w:val="bottom"/>
            <w:hideMark/>
          </w:tcPr>
          <w:p w:rsidR="007520D6" w:rsidRDefault="007520D6">
            <w:pPr>
              <w:jc w:val="right"/>
              <w:rPr>
                <w:rFonts w:cs="Calibri"/>
                <w:color w:val="000000"/>
                <w:szCs w:val="22"/>
              </w:rPr>
            </w:pPr>
            <w:r>
              <w:rPr>
                <w:rFonts w:cs="Calibri"/>
                <w:color w:val="000000"/>
                <w:szCs w:val="22"/>
              </w:rPr>
              <w:t>1060</w:t>
            </w:r>
          </w:p>
        </w:tc>
        <w:tc>
          <w:tcPr>
            <w:tcW w:w="1170" w:type="dxa"/>
            <w:tcBorders>
              <w:top w:val="nil"/>
              <w:left w:val="nil"/>
              <w:bottom w:val="single" w:sz="4" w:space="0" w:color="auto"/>
              <w:right w:val="single" w:sz="4" w:space="0" w:color="auto"/>
            </w:tcBorders>
            <w:shd w:val="clear" w:color="auto" w:fill="auto"/>
            <w:noWrap/>
            <w:vAlign w:val="bottom"/>
            <w:hideMark/>
          </w:tcPr>
          <w:p w:rsidR="007520D6" w:rsidRDefault="007520D6" w:rsidP="00592E25">
            <w:pPr>
              <w:rPr>
                <w:rFonts w:cs="Calibri"/>
                <w:color w:val="000000"/>
              </w:rPr>
            </w:pPr>
            <w:r>
              <w:rPr>
                <w:rFonts w:cs="Calibri"/>
                <w:color w:val="000000"/>
              </w:rPr>
              <w:t>5.2%</w:t>
            </w:r>
          </w:p>
        </w:tc>
      </w:tr>
      <w:tr w:rsidR="007520D6" w:rsidRPr="00050695" w:rsidTr="00E9238E">
        <w:trPr>
          <w:trHeight w:val="300"/>
        </w:trPr>
        <w:tc>
          <w:tcPr>
            <w:tcW w:w="7488" w:type="dxa"/>
            <w:tcBorders>
              <w:top w:val="nil"/>
              <w:left w:val="single" w:sz="4" w:space="0" w:color="auto"/>
              <w:bottom w:val="single" w:sz="4" w:space="0" w:color="auto"/>
              <w:right w:val="single" w:sz="4" w:space="0" w:color="auto"/>
            </w:tcBorders>
            <w:shd w:val="clear" w:color="auto" w:fill="auto"/>
            <w:vAlign w:val="bottom"/>
            <w:hideMark/>
          </w:tcPr>
          <w:p w:rsidR="007520D6" w:rsidRPr="00050695" w:rsidRDefault="007520D6" w:rsidP="00592E25">
            <w:pPr>
              <w:spacing w:after="0" w:line="240" w:lineRule="auto"/>
              <w:rPr>
                <w:rFonts w:eastAsia="Times New Roman" w:cs="Calibri"/>
                <w:color w:val="000000"/>
                <w:sz w:val="20"/>
              </w:rPr>
            </w:pPr>
            <w:r w:rsidRPr="00050695">
              <w:rPr>
                <w:rFonts w:eastAsia="Times New Roman" w:cs="Calibri"/>
                <w:b/>
                <w:bCs/>
                <w:color w:val="000000"/>
                <w:sz w:val="20"/>
              </w:rPr>
              <w:t>G</w:t>
            </w:r>
            <w:r w:rsidRPr="00050695">
              <w:rPr>
                <w:rFonts w:ascii="Sylfaen" w:eastAsia="Times New Roman" w:hAnsi="Sylfaen" w:cs="Sylfaen"/>
                <w:color w:val="000000"/>
                <w:sz w:val="20"/>
              </w:rPr>
              <w:t>ნერვულისისტემისდაავადებები</w:t>
            </w:r>
          </w:p>
        </w:tc>
        <w:tc>
          <w:tcPr>
            <w:tcW w:w="1080" w:type="dxa"/>
            <w:tcBorders>
              <w:top w:val="nil"/>
              <w:left w:val="nil"/>
              <w:bottom w:val="single" w:sz="4" w:space="0" w:color="auto"/>
              <w:right w:val="single" w:sz="4" w:space="0" w:color="auto"/>
            </w:tcBorders>
            <w:shd w:val="clear" w:color="auto" w:fill="auto"/>
            <w:noWrap/>
            <w:vAlign w:val="bottom"/>
            <w:hideMark/>
          </w:tcPr>
          <w:p w:rsidR="007520D6" w:rsidRDefault="007520D6">
            <w:pPr>
              <w:jc w:val="right"/>
              <w:rPr>
                <w:rFonts w:cs="Calibri"/>
                <w:color w:val="000000"/>
                <w:szCs w:val="22"/>
              </w:rPr>
            </w:pPr>
            <w:r>
              <w:rPr>
                <w:rFonts w:cs="Calibri"/>
                <w:color w:val="000000"/>
                <w:szCs w:val="22"/>
              </w:rPr>
              <w:t>846</w:t>
            </w:r>
          </w:p>
        </w:tc>
        <w:tc>
          <w:tcPr>
            <w:tcW w:w="1170" w:type="dxa"/>
            <w:tcBorders>
              <w:top w:val="nil"/>
              <w:left w:val="nil"/>
              <w:bottom w:val="single" w:sz="4" w:space="0" w:color="auto"/>
              <w:right w:val="single" w:sz="4" w:space="0" w:color="auto"/>
            </w:tcBorders>
            <w:shd w:val="clear" w:color="auto" w:fill="auto"/>
            <w:noWrap/>
            <w:vAlign w:val="bottom"/>
            <w:hideMark/>
          </w:tcPr>
          <w:p w:rsidR="007520D6" w:rsidRDefault="007520D6" w:rsidP="00592E25">
            <w:pPr>
              <w:rPr>
                <w:rFonts w:cs="Calibri"/>
                <w:color w:val="000000"/>
              </w:rPr>
            </w:pPr>
            <w:r>
              <w:rPr>
                <w:rFonts w:cs="Calibri"/>
                <w:color w:val="000000"/>
              </w:rPr>
              <w:t>4.2%</w:t>
            </w:r>
          </w:p>
        </w:tc>
      </w:tr>
      <w:tr w:rsidR="007520D6" w:rsidRPr="00050695" w:rsidTr="00E9238E">
        <w:trPr>
          <w:trHeight w:val="300"/>
        </w:trPr>
        <w:tc>
          <w:tcPr>
            <w:tcW w:w="7488" w:type="dxa"/>
            <w:tcBorders>
              <w:top w:val="nil"/>
              <w:left w:val="single" w:sz="4" w:space="0" w:color="auto"/>
              <w:bottom w:val="single" w:sz="4" w:space="0" w:color="auto"/>
              <w:right w:val="single" w:sz="4" w:space="0" w:color="auto"/>
            </w:tcBorders>
            <w:shd w:val="clear" w:color="auto" w:fill="auto"/>
            <w:vAlign w:val="bottom"/>
            <w:hideMark/>
          </w:tcPr>
          <w:p w:rsidR="007520D6" w:rsidRPr="00050695" w:rsidRDefault="007520D6" w:rsidP="00592E25">
            <w:pPr>
              <w:spacing w:after="0" w:line="240" w:lineRule="auto"/>
              <w:rPr>
                <w:rFonts w:eastAsia="Times New Roman" w:cs="Calibri"/>
                <w:color w:val="000000"/>
                <w:sz w:val="20"/>
              </w:rPr>
            </w:pPr>
            <w:r w:rsidRPr="00050695">
              <w:rPr>
                <w:rFonts w:eastAsia="Times New Roman" w:cs="Calibri"/>
                <w:b/>
                <w:bCs/>
                <w:color w:val="000000"/>
                <w:sz w:val="20"/>
              </w:rPr>
              <w:t>A-B</w:t>
            </w:r>
            <w:r w:rsidRPr="00050695">
              <w:rPr>
                <w:rFonts w:ascii="Sylfaen" w:eastAsia="Times New Roman" w:hAnsi="Sylfaen" w:cs="Sylfaen"/>
                <w:color w:val="000000"/>
                <w:sz w:val="20"/>
              </w:rPr>
              <w:t>ზოგიერთიინფექციურიდაპარაზიტულიდაავადებები</w:t>
            </w:r>
          </w:p>
        </w:tc>
        <w:tc>
          <w:tcPr>
            <w:tcW w:w="1080" w:type="dxa"/>
            <w:tcBorders>
              <w:top w:val="nil"/>
              <w:left w:val="nil"/>
              <w:bottom w:val="single" w:sz="4" w:space="0" w:color="auto"/>
              <w:right w:val="single" w:sz="4" w:space="0" w:color="auto"/>
            </w:tcBorders>
            <w:shd w:val="clear" w:color="auto" w:fill="auto"/>
            <w:noWrap/>
            <w:vAlign w:val="bottom"/>
            <w:hideMark/>
          </w:tcPr>
          <w:p w:rsidR="007520D6" w:rsidRDefault="007520D6">
            <w:pPr>
              <w:jc w:val="right"/>
              <w:rPr>
                <w:rFonts w:cs="Calibri"/>
                <w:color w:val="000000"/>
                <w:szCs w:val="22"/>
              </w:rPr>
            </w:pPr>
            <w:r>
              <w:rPr>
                <w:rFonts w:cs="Calibri"/>
                <w:color w:val="000000"/>
                <w:szCs w:val="22"/>
              </w:rPr>
              <w:t>866</w:t>
            </w:r>
          </w:p>
        </w:tc>
        <w:tc>
          <w:tcPr>
            <w:tcW w:w="1170" w:type="dxa"/>
            <w:tcBorders>
              <w:top w:val="nil"/>
              <w:left w:val="nil"/>
              <w:bottom w:val="single" w:sz="4" w:space="0" w:color="auto"/>
              <w:right w:val="single" w:sz="4" w:space="0" w:color="auto"/>
            </w:tcBorders>
            <w:shd w:val="clear" w:color="auto" w:fill="auto"/>
            <w:noWrap/>
            <w:vAlign w:val="bottom"/>
            <w:hideMark/>
          </w:tcPr>
          <w:p w:rsidR="007520D6" w:rsidRDefault="007520D6" w:rsidP="00592E25">
            <w:pPr>
              <w:rPr>
                <w:rFonts w:cs="Calibri"/>
                <w:color w:val="000000"/>
              </w:rPr>
            </w:pPr>
            <w:r>
              <w:rPr>
                <w:rFonts w:cs="Calibri"/>
                <w:color w:val="000000"/>
              </w:rPr>
              <w:t>4.3%</w:t>
            </w:r>
          </w:p>
        </w:tc>
      </w:tr>
    </w:tbl>
    <w:p w:rsidR="00E9238E" w:rsidRDefault="00E9238E" w:rsidP="00E9238E">
      <w:pPr>
        <w:ind w:left="-900"/>
        <w:rPr>
          <w:rFonts w:ascii="Sylfaen" w:hAnsi="Sylfaen"/>
          <w:lang w:val="ka-GE"/>
        </w:rPr>
      </w:pPr>
    </w:p>
    <w:p w:rsidR="00E9238E" w:rsidRDefault="00E9238E" w:rsidP="00E9238E">
      <w:pPr>
        <w:ind w:left="-900"/>
        <w:rPr>
          <w:rFonts w:ascii="Sylfaen" w:hAnsi="Sylfaen"/>
          <w:lang w:val="ka-GE"/>
        </w:rPr>
      </w:pPr>
    </w:p>
    <w:p w:rsidR="00E9238E" w:rsidRDefault="00E9238E" w:rsidP="00E9238E">
      <w:pPr>
        <w:ind w:left="-900"/>
        <w:rPr>
          <w:rFonts w:ascii="Sylfaen" w:hAnsi="Sylfaen"/>
          <w:lang w:val="ka-GE"/>
        </w:rPr>
      </w:pPr>
    </w:p>
    <w:p w:rsidR="00E9238E" w:rsidRDefault="00E9238E" w:rsidP="00E9238E">
      <w:pPr>
        <w:spacing w:after="120" w:line="240" w:lineRule="auto"/>
        <w:ind w:left="720"/>
        <w:jc w:val="both"/>
        <w:rPr>
          <w:rFonts w:ascii="Sylfaen" w:eastAsia="Times New Roman" w:hAnsi="Sylfaen" w:cs="Sylfaen"/>
          <w:color w:val="000000"/>
          <w:lang w:val="ka-GE"/>
        </w:rPr>
      </w:pPr>
    </w:p>
    <w:p w:rsidR="001F6907" w:rsidRDefault="001F6907" w:rsidP="00E9238E">
      <w:pPr>
        <w:spacing w:after="120" w:line="240" w:lineRule="auto"/>
        <w:ind w:left="720"/>
        <w:jc w:val="both"/>
        <w:rPr>
          <w:rFonts w:ascii="Sylfaen" w:eastAsia="Times New Roman" w:hAnsi="Sylfaen" w:cs="Calibri"/>
          <w:bCs/>
          <w:color w:val="000000"/>
          <w:lang w:val="ka-GE"/>
        </w:rPr>
        <w:sectPr w:rsidR="001F6907" w:rsidSect="00140951">
          <w:pgSz w:w="12240" w:h="15840"/>
          <w:pgMar w:top="1138" w:right="1354" w:bottom="1138" w:left="806" w:header="720" w:footer="720" w:gutter="0"/>
          <w:cols w:space="720"/>
          <w:docGrid w:linePitch="360"/>
        </w:sectPr>
      </w:pPr>
    </w:p>
    <w:p w:rsidR="00E9238E" w:rsidRDefault="00F35453" w:rsidP="00E9238E">
      <w:pPr>
        <w:spacing w:after="120" w:line="240" w:lineRule="auto"/>
        <w:ind w:left="720"/>
        <w:jc w:val="both"/>
        <w:rPr>
          <w:rFonts w:ascii="Sylfaen" w:hAnsi="Sylfaen" w:cs="Calibri"/>
          <w:color w:val="000000"/>
          <w:lang w:val="ka-GE"/>
        </w:rPr>
      </w:pPr>
      <w:r w:rsidRPr="00E9238E">
        <w:rPr>
          <w:rFonts w:ascii="Sylfaen" w:eastAsia="Times New Roman" w:hAnsi="Sylfaen" w:cs="Calibri"/>
          <w:bCs/>
          <w:color w:val="000000"/>
          <w:lang w:val="ka-GE"/>
        </w:rPr>
        <w:lastRenderedPageBreak/>
        <w:t>შემთხვევათა სრული რაოდენობის 1/3-ზე მეტს შეადგენს სისხლის მიმოქცევის სისტემის დაავადებები</w:t>
      </w:r>
      <w:r w:rsidR="00E9238E">
        <w:rPr>
          <w:rFonts w:ascii="Sylfaen" w:eastAsia="Times New Roman" w:hAnsi="Sylfaen" w:cs="Calibri"/>
          <w:bCs/>
          <w:color w:val="000000"/>
          <w:lang w:val="ka-GE"/>
        </w:rPr>
        <w:t>,</w:t>
      </w:r>
      <w:r w:rsidRPr="00E9238E">
        <w:rPr>
          <w:rFonts w:ascii="Sylfaen" w:eastAsia="Times New Roman" w:hAnsi="Sylfaen" w:cs="Calibri"/>
          <w:bCs/>
          <w:color w:val="000000"/>
          <w:lang w:val="ka-GE"/>
        </w:rPr>
        <w:t xml:space="preserve"> მ.შ ინსულტი -</w:t>
      </w:r>
      <w:r w:rsidRPr="00E9238E">
        <w:rPr>
          <w:rFonts w:ascii="Sylfaen" w:hAnsi="Sylfaen" w:cs="Calibri"/>
          <w:color w:val="000000"/>
        </w:rPr>
        <w:t>21.3%</w:t>
      </w:r>
      <w:r w:rsidRPr="00E9238E">
        <w:rPr>
          <w:rFonts w:ascii="Sylfaen" w:hAnsi="Sylfaen" w:cs="Calibri"/>
          <w:color w:val="000000"/>
          <w:lang w:val="ka-GE"/>
        </w:rPr>
        <w:t xml:space="preserve">, ინფარქტი -  </w:t>
      </w:r>
      <w:r w:rsidRPr="00E9238E">
        <w:rPr>
          <w:rFonts w:ascii="Sylfaen" w:hAnsi="Sylfaen" w:cs="Calibri"/>
          <w:color w:val="000000"/>
        </w:rPr>
        <w:t>12.7%</w:t>
      </w:r>
      <w:r w:rsidR="00E9238E">
        <w:rPr>
          <w:rFonts w:ascii="Sylfaen" w:hAnsi="Sylfaen" w:cs="Calibri"/>
          <w:color w:val="000000"/>
          <w:lang w:val="ka-GE"/>
        </w:rPr>
        <w:t xml:space="preserve">. </w:t>
      </w:r>
    </w:p>
    <w:p w:rsidR="00E9238E" w:rsidRDefault="00E9238E" w:rsidP="00E9238E">
      <w:pPr>
        <w:spacing w:after="120" w:line="240" w:lineRule="auto"/>
        <w:ind w:left="720"/>
        <w:jc w:val="both"/>
        <w:rPr>
          <w:rFonts w:ascii="Sylfaen" w:hAnsi="Sylfaen" w:cs="Calibri"/>
          <w:color w:val="000000"/>
          <w:lang w:val="ka-GE"/>
        </w:rPr>
      </w:pPr>
    </w:p>
    <w:p w:rsidR="00E9238E" w:rsidRDefault="00E9238E" w:rsidP="00E9238E">
      <w:pPr>
        <w:spacing w:after="120" w:line="240" w:lineRule="auto"/>
        <w:jc w:val="both"/>
        <w:rPr>
          <w:rFonts w:ascii="Sylfaen" w:hAnsi="Sylfaen" w:cs="Calibri"/>
          <w:color w:val="000000"/>
          <w:lang w:val="ka-GE"/>
        </w:rPr>
      </w:pPr>
      <w:r w:rsidRPr="00DD7065">
        <w:rPr>
          <w:rFonts w:ascii="Sylfaen" w:hAnsi="Sylfaen"/>
          <w:b/>
          <w:noProof/>
        </w:rPr>
        <w:drawing>
          <wp:inline distT="0" distB="0" distL="0" distR="0">
            <wp:extent cx="7121451" cy="5522026"/>
            <wp:effectExtent l="19050" t="0" r="22299" b="2474"/>
            <wp:docPr id="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1F6907" w:rsidRDefault="001F6907" w:rsidP="00E9238E">
      <w:pPr>
        <w:spacing w:after="120" w:line="240" w:lineRule="auto"/>
        <w:ind w:left="720"/>
        <w:jc w:val="both"/>
        <w:rPr>
          <w:rFonts w:ascii="Sylfaen" w:hAnsi="Sylfaen" w:cs="Calibri"/>
          <w:color w:val="000000"/>
          <w:lang w:val="ka-GE"/>
        </w:rPr>
        <w:sectPr w:rsidR="001F6907" w:rsidSect="00140951">
          <w:pgSz w:w="12240" w:h="15840"/>
          <w:pgMar w:top="1138" w:right="1354" w:bottom="1138" w:left="806" w:header="720" w:footer="720" w:gutter="0"/>
          <w:cols w:space="720"/>
          <w:docGrid w:linePitch="360"/>
        </w:sectPr>
      </w:pPr>
    </w:p>
    <w:p w:rsidR="00E9238E" w:rsidRDefault="00E9238E" w:rsidP="00E9238E">
      <w:pPr>
        <w:spacing w:after="120" w:line="240" w:lineRule="auto"/>
        <w:ind w:left="720"/>
        <w:jc w:val="both"/>
        <w:rPr>
          <w:rFonts w:ascii="Sylfaen" w:hAnsi="Sylfaen" w:cs="Calibri"/>
          <w:color w:val="000000"/>
          <w:lang w:val="ka-GE"/>
        </w:rPr>
      </w:pPr>
    </w:p>
    <w:p w:rsidR="00E9238E" w:rsidRDefault="00E9238E" w:rsidP="00E9238E">
      <w:pPr>
        <w:spacing w:after="120" w:line="240" w:lineRule="auto"/>
        <w:ind w:left="720"/>
        <w:jc w:val="both"/>
        <w:rPr>
          <w:rFonts w:ascii="Sylfaen" w:hAnsi="Sylfaen" w:cs="Calibri"/>
          <w:color w:val="000000"/>
          <w:lang w:val="ka-GE"/>
        </w:rPr>
      </w:pPr>
      <w:r w:rsidRPr="002B504A">
        <w:rPr>
          <w:rFonts w:ascii="Sylfaen" w:hAnsi="Sylfaen"/>
          <w:noProof/>
        </w:rPr>
        <w:drawing>
          <wp:inline distT="0" distB="0" distL="0" distR="0">
            <wp:extent cx="5600700" cy="3090545"/>
            <wp:effectExtent l="19050" t="0" r="19050" b="0"/>
            <wp:docPr id="20"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F35453" w:rsidRDefault="00F35453" w:rsidP="00E9238E">
      <w:pPr>
        <w:spacing w:after="120" w:line="240" w:lineRule="auto"/>
        <w:ind w:left="720"/>
        <w:jc w:val="both"/>
        <w:rPr>
          <w:rFonts w:ascii="Sylfaen" w:eastAsia="Times New Roman" w:hAnsi="Sylfaen" w:cs="Sylfaen"/>
          <w:color w:val="000000"/>
          <w:lang w:val="ka-GE"/>
        </w:rPr>
      </w:pPr>
      <w:r w:rsidRPr="00E9238E">
        <w:rPr>
          <w:rFonts w:ascii="Sylfaen" w:hAnsi="Sylfaen" w:cs="Calibri"/>
          <w:color w:val="000000"/>
          <w:lang w:val="ka-GE"/>
        </w:rPr>
        <w:t xml:space="preserve">ხოლო, რაც შეეხება შესრულებულ კონსულტაციებს ყველაზე ხშირია (51%) თანაკონსულტაციები </w:t>
      </w:r>
      <w:r w:rsidRPr="00E9238E">
        <w:rPr>
          <w:rFonts w:ascii="Sylfaen" w:eastAsia="Times New Roman" w:hAnsi="Sylfaen" w:cs="Sylfaen"/>
          <w:color w:val="000000"/>
        </w:rPr>
        <w:t>დაზიანებ</w:t>
      </w:r>
      <w:r w:rsidRPr="00E9238E">
        <w:rPr>
          <w:rFonts w:ascii="Sylfaen" w:eastAsia="Times New Roman" w:hAnsi="Sylfaen" w:cs="Sylfaen"/>
          <w:color w:val="000000"/>
          <w:lang w:val="ka-GE"/>
        </w:rPr>
        <w:t>ის</w:t>
      </w:r>
      <w:r w:rsidRPr="00E9238E">
        <w:rPr>
          <w:rFonts w:ascii="Sylfaen" w:eastAsia="Times New Roman" w:hAnsi="Sylfaen" w:cs="Calibri"/>
          <w:color w:val="000000"/>
        </w:rPr>
        <w:t xml:space="preserve">, </w:t>
      </w:r>
      <w:r w:rsidRPr="00E9238E">
        <w:rPr>
          <w:rFonts w:ascii="Sylfaen" w:eastAsia="Times New Roman" w:hAnsi="Sylfaen" w:cs="Sylfaen"/>
          <w:color w:val="000000"/>
        </w:rPr>
        <w:t>მოწამვლ</w:t>
      </w:r>
      <w:r w:rsidRPr="00E9238E">
        <w:rPr>
          <w:rFonts w:ascii="Sylfaen" w:eastAsia="Times New Roman" w:hAnsi="Sylfaen" w:cs="Sylfaen"/>
          <w:color w:val="000000"/>
          <w:lang w:val="ka-GE"/>
        </w:rPr>
        <w:t>ის</w:t>
      </w:r>
      <w:r w:rsidR="00D3585A">
        <w:rPr>
          <w:rFonts w:ascii="Sylfaen" w:eastAsia="Times New Roman" w:hAnsi="Sylfaen" w:cs="Sylfaen"/>
          <w:color w:val="000000"/>
          <w:lang w:val="ka-GE"/>
        </w:rPr>
        <w:t xml:space="preserve"> </w:t>
      </w:r>
      <w:r w:rsidRPr="00E9238E">
        <w:rPr>
          <w:rFonts w:ascii="Sylfaen" w:eastAsia="Times New Roman" w:hAnsi="Sylfaen" w:cs="Sylfaen"/>
          <w:color w:val="000000"/>
        </w:rPr>
        <w:t>და</w:t>
      </w:r>
      <w:r w:rsidR="00D3585A">
        <w:rPr>
          <w:rFonts w:ascii="Sylfaen" w:eastAsia="Times New Roman" w:hAnsi="Sylfaen" w:cs="Sylfaen"/>
          <w:color w:val="000000"/>
          <w:lang w:val="ka-GE"/>
        </w:rPr>
        <w:t xml:space="preserve"> </w:t>
      </w:r>
      <w:r w:rsidRPr="00E9238E">
        <w:rPr>
          <w:rFonts w:ascii="Sylfaen" w:eastAsia="Times New Roman" w:hAnsi="Sylfaen" w:cs="Sylfaen"/>
          <w:color w:val="000000"/>
        </w:rPr>
        <w:t>გარემიზეზების</w:t>
      </w:r>
      <w:r w:rsidR="00D3585A">
        <w:rPr>
          <w:rFonts w:ascii="Sylfaen" w:eastAsia="Times New Roman" w:hAnsi="Sylfaen" w:cs="Sylfaen"/>
          <w:color w:val="000000"/>
          <w:lang w:val="ka-GE"/>
        </w:rPr>
        <w:t xml:space="preserve"> </w:t>
      </w:r>
      <w:r w:rsidRPr="00E9238E">
        <w:rPr>
          <w:rFonts w:ascii="Sylfaen" w:eastAsia="Times New Roman" w:hAnsi="Sylfaen" w:cs="Sylfaen"/>
          <w:color w:val="000000"/>
        </w:rPr>
        <w:t>ზემოქმედებები</w:t>
      </w:r>
      <w:r w:rsidRPr="00E9238E">
        <w:rPr>
          <w:rFonts w:ascii="Sylfaen" w:eastAsia="Times New Roman" w:hAnsi="Sylfaen" w:cs="Sylfaen"/>
          <w:color w:val="000000"/>
          <w:lang w:val="ka-GE"/>
        </w:rPr>
        <w:t>ს შემთხვევაში.</w:t>
      </w:r>
    </w:p>
    <w:p w:rsidR="00F35453" w:rsidRDefault="00F35453" w:rsidP="00F35453">
      <w:pPr>
        <w:ind w:left="-900"/>
        <w:rPr>
          <w:rFonts w:ascii="Sylfaen" w:hAnsi="Sylfaen"/>
          <w:b/>
          <w:lang w:val="ka-GE"/>
        </w:rPr>
      </w:pPr>
    </w:p>
    <w:p w:rsidR="00F35453" w:rsidRDefault="00F35453" w:rsidP="00E9238E">
      <w:pPr>
        <w:ind w:left="720"/>
        <w:rPr>
          <w:rFonts w:ascii="Sylfaen" w:hAnsi="Sylfaen"/>
          <w:b/>
          <w:lang w:val="ka-GE"/>
        </w:rPr>
      </w:pPr>
      <w:r>
        <w:rPr>
          <w:rFonts w:ascii="Sylfaen" w:hAnsi="Sylfaen"/>
          <w:b/>
          <w:lang w:val="ka-GE"/>
        </w:rPr>
        <w:t>ხშირი თანაკონსულტაციები:</w:t>
      </w:r>
    </w:p>
    <w:p w:rsidR="00F35453" w:rsidRPr="00C903FF" w:rsidRDefault="00F35453" w:rsidP="00E9238E">
      <w:pPr>
        <w:jc w:val="center"/>
        <w:rPr>
          <w:rFonts w:ascii="Sylfaen" w:hAnsi="Sylfaen"/>
          <w:lang w:val="ka-GE"/>
        </w:rPr>
      </w:pPr>
      <w:r w:rsidRPr="00AD6778">
        <w:rPr>
          <w:rFonts w:ascii="Sylfaen" w:hAnsi="Sylfaen"/>
          <w:b/>
          <w:noProof/>
        </w:rPr>
        <w:drawing>
          <wp:inline distT="0" distB="0" distL="0" distR="0">
            <wp:extent cx="6381361" cy="2995126"/>
            <wp:effectExtent l="19050" t="0" r="19439" b="0"/>
            <wp:docPr id="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F35453" w:rsidRDefault="00F35453" w:rsidP="00F35453">
      <w:pPr>
        <w:ind w:left="-900"/>
        <w:rPr>
          <w:rFonts w:ascii="Sylfaen" w:hAnsi="Sylfaen"/>
          <w:b/>
          <w:lang w:val="ka-GE"/>
        </w:rPr>
      </w:pPr>
    </w:p>
    <w:p w:rsidR="00E9238E" w:rsidRDefault="00F35453" w:rsidP="00F35453">
      <w:pPr>
        <w:rPr>
          <w:rFonts w:ascii="Sylfaen" w:eastAsia="Times New Roman" w:hAnsi="Sylfaen" w:cs="Calibri"/>
          <w:b/>
          <w:szCs w:val="22"/>
          <w:lang w:val="ka-GE"/>
        </w:rPr>
      </w:pPr>
      <w:r>
        <w:rPr>
          <w:rFonts w:ascii="Sylfaen" w:eastAsia="Times New Roman" w:hAnsi="Sylfaen" w:cs="Calibri"/>
          <w:b/>
          <w:szCs w:val="22"/>
          <w:lang w:val="ka-GE"/>
        </w:rPr>
        <w:br w:type="page"/>
      </w:r>
    </w:p>
    <w:tbl>
      <w:tblPr>
        <w:tblpPr w:leftFromText="180" w:rightFromText="180" w:vertAnchor="text" w:horzAnchor="margin" w:tblpXSpec="center" w:tblpY="79"/>
        <w:tblW w:w="10714" w:type="dxa"/>
        <w:tblLayout w:type="fixed"/>
        <w:tblLook w:val="04A0"/>
      </w:tblPr>
      <w:tblGrid>
        <w:gridCol w:w="6462"/>
        <w:gridCol w:w="1273"/>
        <w:gridCol w:w="780"/>
        <w:gridCol w:w="733"/>
        <w:gridCol w:w="733"/>
        <w:gridCol w:w="733"/>
      </w:tblGrid>
      <w:tr w:rsidR="00E9238E" w:rsidRPr="00DD7065" w:rsidTr="00592E25">
        <w:trPr>
          <w:trHeight w:val="1879"/>
        </w:trPr>
        <w:tc>
          <w:tcPr>
            <w:tcW w:w="64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9238E" w:rsidRDefault="00E9238E" w:rsidP="00592E25">
            <w:pPr>
              <w:jc w:val="center"/>
              <w:rPr>
                <w:rFonts w:ascii="Sylfaen" w:hAnsi="Sylfaen"/>
                <w:b/>
                <w:sz w:val="20"/>
                <w:lang w:val="ka-GE"/>
              </w:rPr>
            </w:pPr>
            <w:r w:rsidRPr="00DD7065">
              <w:rPr>
                <w:rFonts w:ascii="Sylfaen" w:hAnsi="Sylfaen"/>
                <w:b/>
                <w:sz w:val="20"/>
                <w:lang w:val="ka-GE"/>
              </w:rPr>
              <w:lastRenderedPageBreak/>
              <w:t xml:space="preserve">შემთხვევათა განაწილება ნოზოლოგიური </w:t>
            </w:r>
            <w:r>
              <w:rPr>
                <w:rFonts w:ascii="Sylfaen" w:hAnsi="Sylfaen"/>
                <w:b/>
                <w:sz w:val="20"/>
                <w:lang w:val="ka-GE"/>
              </w:rPr>
              <w:t>ჯგუფ</w:t>
            </w:r>
            <w:r w:rsidRPr="00DD7065">
              <w:rPr>
                <w:rFonts w:ascii="Sylfaen" w:hAnsi="Sylfaen"/>
                <w:b/>
                <w:sz w:val="20"/>
                <w:lang w:val="ka-GE"/>
              </w:rPr>
              <w:t>ე</w:t>
            </w:r>
            <w:r>
              <w:rPr>
                <w:rFonts w:ascii="Sylfaen" w:hAnsi="Sylfaen"/>
                <w:b/>
                <w:sz w:val="20"/>
                <w:lang w:val="ka-GE"/>
              </w:rPr>
              <w:t>ბ</w:t>
            </w:r>
            <w:r w:rsidRPr="00DD7065">
              <w:rPr>
                <w:rFonts w:ascii="Sylfaen" w:hAnsi="Sylfaen"/>
                <w:b/>
                <w:sz w:val="20"/>
                <w:lang w:val="ka-GE"/>
              </w:rPr>
              <w:t>ის მიხედვით</w:t>
            </w:r>
          </w:p>
          <w:p w:rsidR="00E9238E" w:rsidRPr="00DD7065" w:rsidRDefault="00E9238E" w:rsidP="00592E25">
            <w:pPr>
              <w:ind w:left="-900"/>
              <w:jc w:val="center"/>
              <w:rPr>
                <w:rFonts w:ascii="Sylfaen" w:hAnsi="Sylfaen"/>
                <w:b/>
                <w:sz w:val="20"/>
                <w:lang w:val="ka-GE"/>
              </w:rPr>
            </w:pPr>
            <w:r>
              <w:rPr>
                <w:rFonts w:ascii="Sylfaen" w:hAnsi="Sylfaen"/>
                <w:b/>
                <w:sz w:val="20"/>
                <w:lang w:val="ka-GE"/>
              </w:rPr>
              <w:t xml:space="preserve"> 2014წ (იანვარი-</w:t>
            </w:r>
            <w:r w:rsidR="007520D6">
              <w:rPr>
                <w:rFonts w:ascii="Sylfaen" w:hAnsi="Sylfaen"/>
                <w:b/>
                <w:sz w:val="20"/>
                <w:lang w:val="ka-GE"/>
              </w:rPr>
              <w:t>აგვისტო</w:t>
            </w:r>
            <w:r>
              <w:rPr>
                <w:rFonts w:ascii="Sylfaen" w:hAnsi="Sylfaen"/>
                <w:b/>
                <w:sz w:val="20"/>
                <w:lang w:val="ka-GE"/>
              </w:rPr>
              <w:t xml:space="preserve"> )</w:t>
            </w:r>
          </w:p>
          <w:p w:rsidR="00E9238E" w:rsidRPr="00DD7065" w:rsidRDefault="00E9238E" w:rsidP="00592E25">
            <w:pPr>
              <w:spacing w:after="0" w:line="240" w:lineRule="auto"/>
              <w:jc w:val="center"/>
              <w:rPr>
                <w:rFonts w:eastAsia="Times New Roman" w:cs="Calibri"/>
                <w:color w:val="000000"/>
                <w:sz w:val="20"/>
              </w:rPr>
            </w:pPr>
            <w:r w:rsidRPr="00DD7065">
              <w:rPr>
                <w:rFonts w:eastAsia="Times New Roman" w:cs="Calibri"/>
                <w:b/>
                <w:bCs/>
                <w:color w:val="000000"/>
                <w:sz w:val="20"/>
              </w:rPr>
              <w:t>ICD10</w:t>
            </w:r>
          </w:p>
        </w:tc>
        <w:tc>
          <w:tcPr>
            <w:tcW w:w="1273" w:type="dxa"/>
            <w:tcBorders>
              <w:top w:val="single" w:sz="4" w:space="0" w:color="auto"/>
              <w:left w:val="nil"/>
              <w:bottom w:val="single" w:sz="4" w:space="0" w:color="auto"/>
              <w:right w:val="single" w:sz="4" w:space="0" w:color="auto"/>
            </w:tcBorders>
            <w:shd w:val="clear" w:color="auto" w:fill="auto"/>
            <w:textDirection w:val="btLr"/>
            <w:vAlign w:val="bottom"/>
            <w:hideMark/>
          </w:tcPr>
          <w:p w:rsidR="00E9238E" w:rsidRPr="00DD7065" w:rsidRDefault="00E9238E" w:rsidP="00592E25">
            <w:pPr>
              <w:rPr>
                <w:rFonts w:cs="Calibri"/>
                <w:color w:val="000000"/>
                <w:sz w:val="20"/>
              </w:rPr>
            </w:pPr>
            <w:r w:rsidRPr="00DD7065">
              <w:rPr>
                <w:rFonts w:ascii="Sylfaen" w:hAnsi="Sylfaen" w:cs="Sylfaen"/>
                <w:color w:val="000000"/>
                <w:sz w:val="20"/>
              </w:rPr>
              <w:t>რეფერალი</w:t>
            </w:r>
          </w:p>
        </w:tc>
        <w:tc>
          <w:tcPr>
            <w:tcW w:w="780" w:type="dxa"/>
            <w:tcBorders>
              <w:top w:val="single" w:sz="4" w:space="0" w:color="auto"/>
              <w:left w:val="nil"/>
              <w:bottom w:val="single" w:sz="4" w:space="0" w:color="auto"/>
              <w:right w:val="single" w:sz="4" w:space="0" w:color="auto"/>
            </w:tcBorders>
            <w:shd w:val="clear" w:color="auto" w:fill="auto"/>
            <w:textDirection w:val="btLr"/>
            <w:vAlign w:val="bottom"/>
            <w:hideMark/>
          </w:tcPr>
          <w:p w:rsidR="00E9238E" w:rsidRPr="00DD7065" w:rsidRDefault="00E9238E" w:rsidP="00592E25">
            <w:pPr>
              <w:rPr>
                <w:rFonts w:cs="Calibri"/>
                <w:color w:val="000000"/>
                <w:sz w:val="20"/>
              </w:rPr>
            </w:pPr>
            <w:r w:rsidRPr="00DD7065">
              <w:rPr>
                <w:rFonts w:ascii="Sylfaen" w:hAnsi="Sylfaen" w:cs="Sylfaen"/>
                <w:color w:val="000000"/>
                <w:sz w:val="20"/>
              </w:rPr>
              <w:t>გამოძახებები</w:t>
            </w:r>
          </w:p>
        </w:tc>
        <w:tc>
          <w:tcPr>
            <w:tcW w:w="733" w:type="dxa"/>
            <w:tcBorders>
              <w:top w:val="single" w:sz="4" w:space="0" w:color="auto"/>
              <w:left w:val="nil"/>
              <w:bottom w:val="single" w:sz="4" w:space="0" w:color="auto"/>
              <w:right w:val="single" w:sz="4" w:space="0" w:color="auto"/>
            </w:tcBorders>
            <w:shd w:val="clear" w:color="auto" w:fill="auto"/>
            <w:textDirection w:val="btLr"/>
            <w:vAlign w:val="bottom"/>
            <w:hideMark/>
          </w:tcPr>
          <w:p w:rsidR="00E9238E" w:rsidRPr="00DD7065" w:rsidRDefault="00E9238E" w:rsidP="00592E25">
            <w:pPr>
              <w:rPr>
                <w:rFonts w:cs="Calibri"/>
                <w:color w:val="000000"/>
                <w:sz w:val="20"/>
              </w:rPr>
            </w:pPr>
            <w:r w:rsidRPr="00DD7065">
              <w:rPr>
                <w:rFonts w:ascii="Sylfaen" w:hAnsi="Sylfaen" w:cs="Sylfaen"/>
                <w:color w:val="000000"/>
                <w:sz w:val="20"/>
              </w:rPr>
              <w:t>ტრანსპორტირება</w:t>
            </w:r>
          </w:p>
        </w:tc>
        <w:tc>
          <w:tcPr>
            <w:tcW w:w="733" w:type="dxa"/>
            <w:tcBorders>
              <w:top w:val="single" w:sz="4" w:space="0" w:color="auto"/>
              <w:left w:val="nil"/>
              <w:bottom w:val="single" w:sz="4" w:space="0" w:color="auto"/>
              <w:right w:val="single" w:sz="4" w:space="0" w:color="auto"/>
            </w:tcBorders>
            <w:shd w:val="clear" w:color="auto" w:fill="auto"/>
            <w:textDirection w:val="btLr"/>
            <w:vAlign w:val="bottom"/>
            <w:hideMark/>
          </w:tcPr>
          <w:p w:rsidR="00E9238E" w:rsidRPr="00DD7065" w:rsidRDefault="00E9238E" w:rsidP="00592E25">
            <w:pPr>
              <w:rPr>
                <w:rFonts w:cs="Calibri"/>
                <w:color w:val="000000"/>
                <w:sz w:val="20"/>
              </w:rPr>
            </w:pPr>
            <w:r w:rsidRPr="00DD7065">
              <w:rPr>
                <w:rFonts w:ascii="Sylfaen" w:hAnsi="Sylfaen" w:cs="Sylfaen"/>
                <w:color w:val="000000"/>
                <w:sz w:val="20"/>
              </w:rPr>
              <w:t>კონსულტაცია</w:t>
            </w:r>
          </w:p>
        </w:tc>
        <w:tc>
          <w:tcPr>
            <w:tcW w:w="733" w:type="dxa"/>
            <w:tcBorders>
              <w:top w:val="single" w:sz="4" w:space="0" w:color="auto"/>
              <w:left w:val="nil"/>
              <w:bottom w:val="single" w:sz="4" w:space="0" w:color="auto"/>
              <w:right w:val="single" w:sz="4" w:space="0" w:color="auto"/>
            </w:tcBorders>
            <w:shd w:val="clear" w:color="auto" w:fill="auto"/>
            <w:textDirection w:val="btLr"/>
            <w:vAlign w:val="bottom"/>
            <w:hideMark/>
          </w:tcPr>
          <w:p w:rsidR="00E9238E" w:rsidRPr="00DD7065" w:rsidRDefault="00E9238E" w:rsidP="00592E25">
            <w:pPr>
              <w:rPr>
                <w:rFonts w:cs="Calibri"/>
                <w:color w:val="000000"/>
                <w:sz w:val="20"/>
              </w:rPr>
            </w:pPr>
            <w:r w:rsidRPr="00DD7065">
              <w:rPr>
                <w:rFonts w:ascii="Sylfaen" w:hAnsi="Sylfaen" w:cs="Sylfaen"/>
                <w:color w:val="000000"/>
                <w:sz w:val="20"/>
              </w:rPr>
              <w:t>თანაკონსულტაცია</w:t>
            </w:r>
          </w:p>
        </w:tc>
      </w:tr>
      <w:tr w:rsidR="007520D6" w:rsidRPr="00DD7065" w:rsidTr="00592E25">
        <w:trPr>
          <w:trHeight w:val="439"/>
        </w:trPr>
        <w:tc>
          <w:tcPr>
            <w:tcW w:w="6462" w:type="dxa"/>
            <w:tcBorders>
              <w:top w:val="nil"/>
              <w:left w:val="single" w:sz="4" w:space="0" w:color="auto"/>
              <w:bottom w:val="single" w:sz="4" w:space="0" w:color="auto"/>
              <w:right w:val="single" w:sz="4" w:space="0" w:color="auto"/>
            </w:tcBorders>
            <w:shd w:val="clear" w:color="auto" w:fill="auto"/>
            <w:vAlign w:val="bottom"/>
            <w:hideMark/>
          </w:tcPr>
          <w:p w:rsidR="007520D6" w:rsidRPr="00DD7065" w:rsidRDefault="007520D6" w:rsidP="00592E25">
            <w:pPr>
              <w:spacing w:after="0" w:line="240" w:lineRule="auto"/>
              <w:rPr>
                <w:rFonts w:eastAsia="Times New Roman" w:cs="Calibri"/>
                <w:color w:val="000000"/>
                <w:sz w:val="20"/>
              </w:rPr>
            </w:pPr>
            <w:r w:rsidRPr="00DD7065">
              <w:rPr>
                <w:rFonts w:eastAsia="Times New Roman" w:cs="Calibri"/>
                <w:b/>
                <w:bCs/>
                <w:color w:val="000000"/>
                <w:sz w:val="20"/>
              </w:rPr>
              <w:t>A-B</w:t>
            </w:r>
            <w:r w:rsidRPr="00DD7065">
              <w:rPr>
                <w:rFonts w:ascii="Sylfaen" w:eastAsia="Times New Roman" w:hAnsi="Sylfaen" w:cs="Sylfaen"/>
                <w:color w:val="000000"/>
                <w:sz w:val="20"/>
              </w:rPr>
              <w:t>ზოგიერთიინფექციურიდაპარაზიტულიდაავადებები</w:t>
            </w:r>
          </w:p>
        </w:tc>
        <w:tc>
          <w:tcPr>
            <w:tcW w:w="1273" w:type="dxa"/>
            <w:tcBorders>
              <w:top w:val="nil"/>
              <w:left w:val="nil"/>
              <w:bottom w:val="single" w:sz="4" w:space="0" w:color="auto"/>
              <w:right w:val="single" w:sz="4" w:space="0" w:color="auto"/>
            </w:tcBorders>
            <w:shd w:val="clear" w:color="auto" w:fill="auto"/>
            <w:noWrap/>
            <w:vAlign w:val="bottom"/>
            <w:hideMark/>
          </w:tcPr>
          <w:p w:rsidR="007520D6" w:rsidRDefault="007520D6">
            <w:pPr>
              <w:jc w:val="right"/>
              <w:rPr>
                <w:rFonts w:cs="Calibri"/>
                <w:color w:val="000000"/>
                <w:sz w:val="20"/>
              </w:rPr>
            </w:pPr>
            <w:r>
              <w:rPr>
                <w:rFonts w:cs="Calibri"/>
                <w:color w:val="000000"/>
                <w:sz w:val="20"/>
              </w:rPr>
              <w:t>866</w:t>
            </w:r>
          </w:p>
        </w:tc>
        <w:tc>
          <w:tcPr>
            <w:tcW w:w="780" w:type="dxa"/>
            <w:tcBorders>
              <w:top w:val="nil"/>
              <w:left w:val="nil"/>
              <w:bottom w:val="single" w:sz="4" w:space="0" w:color="auto"/>
              <w:right w:val="single" w:sz="4" w:space="0" w:color="auto"/>
            </w:tcBorders>
            <w:shd w:val="clear" w:color="auto" w:fill="auto"/>
            <w:noWrap/>
            <w:vAlign w:val="bottom"/>
            <w:hideMark/>
          </w:tcPr>
          <w:p w:rsidR="007520D6" w:rsidRDefault="007520D6">
            <w:pPr>
              <w:jc w:val="right"/>
              <w:rPr>
                <w:rFonts w:cs="Calibri"/>
                <w:color w:val="000000"/>
                <w:sz w:val="20"/>
              </w:rPr>
            </w:pPr>
            <w:r>
              <w:rPr>
                <w:rFonts w:cs="Calibri"/>
                <w:color w:val="000000"/>
                <w:sz w:val="20"/>
              </w:rPr>
              <w:t>866</w:t>
            </w:r>
          </w:p>
        </w:tc>
        <w:tc>
          <w:tcPr>
            <w:tcW w:w="733" w:type="dxa"/>
            <w:tcBorders>
              <w:top w:val="nil"/>
              <w:left w:val="nil"/>
              <w:bottom w:val="single" w:sz="4" w:space="0" w:color="auto"/>
              <w:right w:val="single" w:sz="4" w:space="0" w:color="auto"/>
            </w:tcBorders>
            <w:shd w:val="clear" w:color="auto" w:fill="auto"/>
            <w:vAlign w:val="bottom"/>
            <w:hideMark/>
          </w:tcPr>
          <w:p w:rsidR="007520D6" w:rsidRDefault="007520D6">
            <w:pPr>
              <w:jc w:val="right"/>
              <w:rPr>
                <w:rFonts w:cs="Calibri"/>
                <w:color w:val="000000"/>
                <w:sz w:val="20"/>
              </w:rPr>
            </w:pPr>
            <w:r>
              <w:rPr>
                <w:rFonts w:cs="Calibri"/>
                <w:color w:val="000000"/>
                <w:sz w:val="20"/>
              </w:rPr>
              <w:t>638</w:t>
            </w:r>
          </w:p>
        </w:tc>
        <w:tc>
          <w:tcPr>
            <w:tcW w:w="733" w:type="dxa"/>
            <w:tcBorders>
              <w:top w:val="nil"/>
              <w:left w:val="nil"/>
              <w:bottom w:val="single" w:sz="4" w:space="0" w:color="auto"/>
              <w:right w:val="single" w:sz="4" w:space="0" w:color="auto"/>
            </w:tcBorders>
            <w:shd w:val="clear" w:color="auto" w:fill="auto"/>
            <w:noWrap/>
            <w:vAlign w:val="bottom"/>
            <w:hideMark/>
          </w:tcPr>
          <w:p w:rsidR="007520D6" w:rsidRDefault="007520D6">
            <w:pPr>
              <w:jc w:val="right"/>
              <w:rPr>
                <w:rFonts w:cs="Calibri"/>
                <w:color w:val="000000"/>
                <w:sz w:val="20"/>
              </w:rPr>
            </w:pPr>
            <w:r>
              <w:rPr>
                <w:rFonts w:cs="Calibri"/>
                <w:color w:val="000000"/>
                <w:sz w:val="20"/>
              </w:rPr>
              <w:t>30</w:t>
            </w:r>
          </w:p>
        </w:tc>
        <w:tc>
          <w:tcPr>
            <w:tcW w:w="733" w:type="dxa"/>
            <w:tcBorders>
              <w:top w:val="nil"/>
              <w:left w:val="nil"/>
              <w:bottom w:val="single" w:sz="4" w:space="0" w:color="auto"/>
              <w:right w:val="single" w:sz="4" w:space="0" w:color="auto"/>
            </w:tcBorders>
            <w:shd w:val="clear" w:color="auto" w:fill="auto"/>
            <w:noWrap/>
            <w:vAlign w:val="bottom"/>
            <w:hideMark/>
          </w:tcPr>
          <w:p w:rsidR="007520D6" w:rsidRDefault="007520D6">
            <w:pPr>
              <w:jc w:val="right"/>
              <w:rPr>
                <w:rFonts w:cs="Calibri"/>
                <w:color w:val="000000"/>
                <w:sz w:val="20"/>
              </w:rPr>
            </w:pPr>
            <w:r>
              <w:rPr>
                <w:rFonts w:cs="Calibri"/>
                <w:color w:val="000000"/>
                <w:sz w:val="20"/>
              </w:rPr>
              <w:t>0</w:t>
            </w:r>
          </w:p>
        </w:tc>
      </w:tr>
      <w:tr w:rsidR="007520D6" w:rsidRPr="00DD7065" w:rsidTr="00592E25">
        <w:trPr>
          <w:trHeight w:val="525"/>
        </w:trPr>
        <w:tc>
          <w:tcPr>
            <w:tcW w:w="6462" w:type="dxa"/>
            <w:tcBorders>
              <w:top w:val="nil"/>
              <w:left w:val="single" w:sz="4" w:space="0" w:color="auto"/>
              <w:bottom w:val="single" w:sz="4" w:space="0" w:color="auto"/>
              <w:right w:val="single" w:sz="4" w:space="0" w:color="auto"/>
            </w:tcBorders>
            <w:shd w:val="clear" w:color="auto" w:fill="auto"/>
            <w:vAlign w:val="bottom"/>
            <w:hideMark/>
          </w:tcPr>
          <w:p w:rsidR="007520D6" w:rsidRPr="00DD7065" w:rsidRDefault="007520D6" w:rsidP="00592E25">
            <w:pPr>
              <w:spacing w:after="0" w:line="240" w:lineRule="auto"/>
              <w:rPr>
                <w:rFonts w:eastAsia="Times New Roman" w:cs="Calibri"/>
                <w:color w:val="000000"/>
                <w:sz w:val="20"/>
              </w:rPr>
            </w:pPr>
            <w:r w:rsidRPr="00DD7065">
              <w:rPr>
                <w:rFonts w:eastAsia="Times New Roman" w:cs="Calibri"/>
                <w:b/>
                <w:bCs/>
                <w:color w:val="000000"/>
                <w:sz w:val="20"/>
              </w:rPr>
              <w:t>C-D</w:t>
            </w:r>
            <w:r w:rsidRPr="00DD7065">
              <w:rPr>
                <w:rFonts w:ascii="Sylfaen" w:eastAsia="Times New Roman" w:hAnsi="Sylfaen" w:cs="Sylfaen"/>
                <w:color w:val="000000"/>
                <w:sz w:val="20"/>
              </w:rPr>
              <w:t>სიმსივნეები</w:t>
            </w:r>
            <w:r w:rsidRPr="00DD7065">
              <w:rPr>
                <w:rFonts w:eastAsia="Times New Roman" w:cs="Calibri"/>
                <w:color w:val="000000"/>
                <w:sz w:val="20"/>
              </w:rPr>
              <w:t>/</w:t>
            </w:r>
            <w:r w:rsidRPr="00DD7065">
              <w:rPr>
                <w:rFonts w:ascii="Sylfaen" w:eastAsia="Times New Roman" w:hAnsi="Sylfaen" w:cs="Sylfaen"/>
                <w:color w:val="000000"/>
                <w:sz w:val="20"/>
              </w:rPr>
              <w:t>სისხლისადასისხლმბადიორგანოებისდაავადებებიდაიმუნურიმექანიზმითმიმდინარეზოგიერთიდარღვევები</w:t>
            </w:r>
          </w:p>
        </w:tc>
        <w:tc>
          <w:tcPr>
            <w:tcW w:w="1273" w:type="dxa"/>
            <w:tcBorders>
              <w:top w:val="nil"/>
              <w:left w:val="nil"/>
              <w:bottom w:val="single" w:sz="4" w:space="0" w:color="auto"/>
              <w:right w:val="single" w:sz="4" w:space="0" w:color="auto"/>
            </w:tcBorders>
            <w:shd w:val="clear" w:color="auto" w:fill="auto"/>
            <w:noWrap/>
            <w:vAlign w:val="bottom"/>
            <w:hideMark/>
          </w:tcPr>
          <w:p w:rsidR="007520D6" w:rsidRDefault="007520D6">
            <w:pPr>
              <w:jc w:val="right"/>
              <w:rPr>
                <w:rFonts w:cs="Calibri"/>
                <w:color w:val="000000"/>
                <w:sz w:val="20"/>
              </w:rPr>
            </w:pPr>
            <w:r>
              <w:rPr>
                <w:rFonts w:cs="Calibri"/>
                <w:color w:val="000000"/>
                <w:sz w:val="20"/>
              </w:rPr>
              <w:t>504</w:t>
            </w:r>
          </w:p>
        </w:tc>
        <w:tc>
          <w:tcPr>
            <w:tcW w:w="780" w:type="dxa"/>
            <w:tcBorders>
              <w:top w:val="nil"/>
              <w:left w:val="nil"/>
              <w:bottom w:val="single" w:sz="4" w:space="0" w:color="auto"/>
              <w:right w:val="single" w:sz="4" w:space="0" w:color="auto"/>
            </w:tcBorders>
            <w:shd w:val="clear" w:color="auto" w:fill="auto"/>
            <w:noWrap/>
            <w:vAlign w:val="bottom"/>
            <w:hideMark/>
          </w:tcPr>
          <w:p w:rsidR="007520D6" w:rsidRDefault="007520D6">
            <w:pPr>
              <w:jc w:val="right"/>
              <w:rPr>
                <w:rFonts w:cs="Calibri"/>
                <w:color w:val="000000"/>
                <w:sz w:val="20"/>
              </w:rPr>
            </w:pPr>
            <w:r>
              <w:rPr>
                <w:rFonts w:cs="Calibri"/>
                <w:color w:val="000000"/>
                <w:sz w:val="20"/>
              </w:rPr>
              <w:t>502</w:t>
            </w:r>
          </w:p>
        </w:tc>
        <w:tc>
          <w:tcPr>
            <w:tcW w:w="733" w:type="dxa"/>
            <w:tcBorders>
              <w:top w:val="nil"/>
              <w:left w:val="nil"/>
              <w:bottom w:val="single" w:sz="4" w:space="0" w:color="auto"/>
              <w:right w:val="single" w:sz="4" w:space="0" w:color="auto"/>
            </w:tcBorders>
            <w:shd w:val="clear" w:color="auto" w:fill="auto"/>
            <w:vAlign w:val="bottom"/>
            <w:hideMark/>
          </w:tcPr>
          <w:p w:rsidR="007520D6" w:rsidRDefault="007520D6">
            <w:pPr>
              <w:jc w:val="right"/>
              <w:rPr>
                <w:rFonts w:cs="Calibri"/>
                <w:color w:val="000000"/>
                <w:sz w:val="20"/>
              </w:rPr>
            </w:pPr>
            <w:r>
              <w:rPr>
                <w:rFonts w:cs="Calibri"/>
                <w:color w:val="000000"/>
                <w:sz w:val="20"/>
              </w:rPr>
              <w:t>306</w:t>
            </w:r>
          </w:p>
        </w:tc>
        <w:tc>
          <w:tcPr>
            <w:tcW w:w="733" w:type="dxa"/>
            <w:tcBorders>
              <w:top w:val="nil"/>
              <w:left w:val="nil"/>
              <w:bottom w:val="single" w:sz="4" w:space="0" w:color="auto"/>
              <w:right w:val="single" w:sz="4" w:space="0" w:color="auto"/>
            </w:tcBorders>
            <w:shd w:val="clear" w:color="auto" w:fill="auto"/>
            <w:noWrap/>
            <w:vAlign w:val="bottom"/>
            <w:hideMark/>
          </w:tcPr>
          <w:p w:rsidR="007520D6" w:rsidRDefault="007520D6">
            <w:pPr>
              <w:jc w:val="right"/>
              <w:rPr>
                <w:rFonts w:cs="Calibri"/>
                <w:color w:val="000000"/>
                <w:sz w:val="20"/>
              </w:rPr>
            </w:pPr>
            <w:r>
              <w:rPr>
                <w:rFonts w:cs="Calibri"/>
                <w:color w:val="000000"/>
                <w:sz w:val="20"/>
              </w:rPr>
              <w:t>30</w:t>
            </w:r>
          </w:p>
        </w:tc>
        <w:tc>
          <w:tcPr>
            <w:tcW w:w="733" w:type="dxa"/>
            <w:tcBorders>
              <w:top w:val="nil"/>
              <w:left w:val="nil"/>
              <w:bottom w:val="single" w:sz="4" w:space="0" w:color="auto"/>
              <w:right w:val="single" w:sz="4" w:space="0" w:color="auto"/>
            </w:tcBorders>
            <w:shd w:val="clear" w:color="auto" w:fill="auto"/>
            <w:noWrap/>
            <w:vAlign w:val="bottom"/>
            <w:hideMark/>
          </w:tcPr>
          <w:p w:rsidR="007520D6" w:rsidRDefault="007520D6">
            <w:pPr>
              <w:jc w:val="right"/>
              <w:rPr>
                <w:rFonts w:cs="Calibri"/>
                <w:color w:val="000000"/>
                <w:sz w:val="20"/>
              </w:rPr>
            </w:pPr>
            <w:r>
              <w:rPr>
                <w:rFonts w:cs="Calibri"/>
                <w:color w:val="000000"/>
                <w:sz w:val="20"/>
              </w:rPr>
              <w:t>2</w:t>
            </w:r>
          </w:p>
        </w:tc>
      </w:tr>
      <w:tr w:rsidR="007520D6" w:rsidRPr="00DD7065" w:rsidTr="00592E25">
        <w:trPr>
          <w:trHeight w:val="525"/>
        </w:trPr>
        <w:tc>
          <w:tcPr>
            <w:tcW w:w="6462" w:type="dxa"/>
            <w:tcBorders>
              <w:top w:val="nil"/>
              <w:left w:val="single" w:sz="4" w:space="0" w:color="auto"/>
              <w:bottom w:val="single" w:sz="4" w:space="0" w:color="auto"/>
              <w:right w:val="single" w:sz="4" w:space="0" w:color="auto"/>
            </w:tcBorders>
            <w:shd w:val="clear" w:color="auto" w:fill="auto"/>
            <w:vAlign w:val="bottom"/>
            <w:hideMark/>
          </w:tcPr>
          <w:p w:rsidR="007520D6" w:rsidRPr="00DD7065" w:rsidRDefault="007520D6" w:rsidP="00592E25">
            <w:pPr>
              <w:spacing w:after="0" w:line="240" w:lineRule="auto"/>
              <w:rPr>
                <w:rFonts w:eastAsia="Times New Roman" w:cs="Calibri"/>
                <w:color w:val="000000"/>
                <w:sz w:val="20"/>
              </w:rPr>
            </w:pPr>
            <w:r w:rsidRPr="00DD7065">
              <w:rPr>
                <w:rFonts w:eastAsia="Times New Roman" w:cs="Calibri"/>
                <w:b/>
                <w:bCs/>
                <w:color w:val="000000"/>
                <w:sz w:val="20"/>
              </w:rPr>
              <w:t>E</w:t>
            </w:r>
            <w:r w:rsidRPr="00DD7065">
              <w:rPr>
                <w:rFonts w:ascii="Sylfaen" w:eastAsia="Times New Roman" w:hAnsi="Sylfaen" w:cs="Sylfaen"/>
                <w:color w:val="000000"/>
                <w:sz w:val="20"/>
              </w:rPr>
              <w:t>ენდოკრინულისისტემის</w:t>
            </w:r>
            <w:r w:rsidRPr="00DD7065">
              <w:rPr>
                <w:rFonts w:eastAsia="Times New Roman" w:cs="Calibri"/>
                <w:color w:val="000000"/>
                <w:sz w:val="20"/>
              </w:rPr>
              <w:t xml:space="preserve">, </w:t>
            </w:r>
            <w:r w:rsidRPr="00DD7065">
              <w:rPr>
                <w:rFonts w:ascii="Sylfaen" w:eastAsia="Times New Roman" w:hAnsi="Sylfaen" w:cs="Sylfaen"/>
                <w:color w:val="000000"/>
                <w:sz w:val="20"/>
              </w:rPr>
              <w:t>კვლევებისადანივთიერებათაცვლისდარღვევითგამოვლენილიდაავადებები</w:t>
            </w:r>
          </w:p>
        </w:tc>
        <w:tc>
          <w:tcPr>
            <w:tcW w:w="1273" w:type="dxa"/>
            <w:tcBorders>
              <w:top w:val="nil"/>
              <w:left w:val="nil"/>
              <w:bottom w:val="single" w:sz="4" w:space="0" w:color="auto"/>
              <w:right w:val="single" w:sz="4" w:space="0" w:color="auto"/>
            </w:tcBorders>
            <w:shd w:val="clear" w:color="auto" w:fill="auto"/>
            <w:noWrap/>
            <w:vAlign w:val="bottom"/>
            <w:hideMark/>
          </w:tcPr>
          <w:p w:rsidR="007520D6" w:rsidRDefault="007520D6">
            <w:pPr>
              <w:jc w:val="right"/>
              <w:rPr>
                <w:rFonts w:cs="Calibri"/>
                <w:color w:val="000000"/>
                <w:sz w:val="20"/>
              </w:rPr>
            </w:pPr>
            <w:r>
              <w:rPr>
                <w:rFonts w:cs="Calibri"/>
                <w:color w:val="000000"/>
                <w:sz w:val="20"/>
              </w:rPr>
              <w:t>90</w:t>
            </w:r>
          </w:p>
        </w:tc>
        <w:tc>
          <w:tcPr>
            <w:tcW w:w="780" w:type="dxa"/>
            <w:tcBorders>
              <w:top w:val="nil"/>
              <w:left w:val="nil"/>
              <w:bottom w:val="single" w:sz="4" w:space="0" w:color="auto"/>
              <w:right w:val="single" w:sz="4" w:space="0" w:color="auto"/>
            </w:tcBorders>
            <w:shd w:val="clear" w:color="auto" w:fill="auto"/>
            <w:noWrap/>
            <w:vAlign w:val="bottom"/>
            <w:hideMark/>
          </w:tcPr>
          <w:p w:rsidR="007520D6" w:rsidRDefault="007520D6">
            <w:pPr>
              <w:jc w:val="right"/>
              <w:rPr>
                <w:rFonts w:cs="Calibri"/>
                <w:color w:val="000000"/>
                <w:sz w:val="20"/>
              </w:rPr>
            </w:pPr>
            <w:r>
              <w:rPr>
                <w:rFonts w:cs="Calibri"/>
                <w:color w:val="000000"/>
                <w:sz w:val="20"/>
              </w:rPr>
              <w:t>90</w:t>
            </w:r>
          </w:p>
        </w:tc>
        <w:tc>
          <w:tcPr>
            <w:tcW w:w="733" w:type="dxa"/>
            <w:tcBorders>
              <w:top w:val="nil"/>
              <w:left w:val="nil"/>
              <w:bottom w:val="single" w:sz="4" w:space="0" w:color="auto"/>
              <w:right w:val="single" w:sz="4" w:space="0" w:color="auto"/>
            </w:tcBorders>
            <w:shd w:val="clear" w:color="auto" w:fill="auto"/>
            <w:vAlign w:val="bottom"/>
            <w:hideMark/>
          </w:tcPr>
          <w:p w:rsidR="007520D6" w:rsidRDefault="007520D6">
            <w:pPr>
              <w:jc w:val="right"/>
              <w:rPr>
                <w:rFonts w:cs="Calibri"/>
                <w:color w:val="000000"/>
                <w:sz w:val="20"/>
              </w:rPr>
            </w:pPr>
            <w:r>
              <w:rPr>
                <w:rFonts w:cs="Calibri"/>
                <w:color w:val="000000"/>
                <w:sz w:val="20"/>
              </w:rPr>
              <w:t>64</w:t>
            </w:r>
          </w:p>
        </w:tc>
        <w:tc>
          <w:tcPr>
            <w:tcW w:w="733" w:type="dxa"/>
            <w:tcBorders>
              <w:top w:val="nil"/>
              <w:left w:val="nil"/>
              <w:bottom w:val="single" w:sz="4" w:space="0" w:color="auto"/>
              <w:right w:val="single" w:sz="4" w:space="0" w:color="auto"/>
            </w:tcBorders>
            <w:shd w:val="clear" w:color="auto" w:fill="auto"/>
            <w:noWrap/>
            <w:vAlign w:val="bottom"/>
            <w:hideMark/>
          </w:tcPr>
          <w:p w:rsidR="007520D6" w:rsidRDefault="007520D6">
            <w:pPr>
              <w:jc w:val="right"/>
              <w:rPr>
                <w:rFonts w:cs="Calibri"/>
                <w:color w:val="000000"/>
                <w:sz w:val="20"/>
              </w:rPr>
            </w:pPr>
            <w:r>
              <w:rPr>
                <w:rFonts w:cs="Calibri"/>
                <w:color w:val="000000"/>
                <w:sz w:val="20"/>
              </w:rPr>
              <w:t>8</w:t>
            </w:r>
          </w:p>
        </w:tc>
        <w:tc>
          <w:tcPr>
            <w:tcW w:w="733" w:type="dxa"/>
            <w:tcBorders>
              <w:top w:val="nil"/>
              <w:left w:val="nil"/>
              <w:bottom w:val="single" w:sz="4" w:space="0" w:color="auto"/>
              <w:right w:val="single" w:sz="4" w:space="0" w:color="auto"/>
            </w:tcBorders>
            <w:shd w:val="clear" w:color="auto" w:fill="auto"/>
            <w:noWrap/>
            <w:vAlign w:val="bottom"/>
            <w:hideMark/>
          </w:tcPr>
          <w:p w:rsidR="007520D6" w:rsidRDefault="007520D6">
            <w:pPr>
              <w:jc w:val="right"/>
              <w:rPr>
                <w:rFonts w:cs="Calibri"/>
                <w:color w:val="000000"/>
                <w:sz w:val="20"/>
              </w:rPr>
            </w:pPr>
            <w:r>
              <w:rPr>
                <w:rFonts w:cs="Calibri"/>
                <w:color w:val="000000"/>
                <w:sz w:val="20"/>
              </w:rPr>
              <w:t>0</w:t>
            </w:r>
          </w:p>
        </w:tc>
      </w:tr>
      <w:tr w:rsidR="007520D6" w:rsidRPr="00DD7065" w:rsidTr="00592E25">
        <w:trPr>
          <w:trHeight w:val="300"/>
        </w:trPr>
        <w:tc>
          <w:tcPr>
            <w:tcW w:w="6462" w:type="dxa"/>
            <w:tcBorders>
              <w:top w:val="nil"/>
              <w:left w:val="single" w:sz="4" w:space="0" w:color="auto"/>
              <w:bottom w:val="single" w:sz="4" w:space="0" w:color="auto"/>
              <w:right w:val="single" w:sz="4" w:space="0" w:color="auto"/>
            </w:tcBorders>
            <w:shd w:val="clear" w:color="auto" w:fill="auto"/>
            <w:vAlign w:val="bottom"/>
            <w:hideMark/>
          </w:tcPr>
          <w:p w:rsidR="007520D6" w:rsidRPr="00DD7065" w:rsidRDefault="007520D6" w:rsidP="00592E25">
            <w:pPr>
              <w:spacing w:after="0" w:line="240" w:lineRule="auto"/>
              <w:rPr>
                <w:rFonts w:eastAsia="Times New Roman" w:cs="Calibri"/>
                <w:color w:val="000000"/>
                <w:sz w:val="20"/>
              </w:rPr>
            </w:pPr>
            <w:r w:rsidRPr="00DD7065">
              <w:rPr>
                <w:rFonts w:eastAsia="Times New Roman" w:cs="Calibri"/>
                <w:b/>
                <w:bCs/>
                <w:color w:val="000000"/>
                <w:sz w:val="20"/>
              </w:rPr>
              <w:t>F</w:t>
            </w:r>
            <w:r w:rsidRPr="00DD7065">
              <w:rPr>
                <w:rFonts w:ascii="Sylfaen" w:eastAsia="Times New Roman" w:hAnsi="Sylfaen" w:cs="Sylfaen"/>
                <w:color w:val="000000"/>
                <w:sz w:val="20"/>
              </w:rPr>
              <w:t>ფსიქიკურიდაქცევითიაშლილოებები</w:t>
            </w:r>
          </w:p>
        </w:tc>
        <w:tc>
          <w:tcPr>
            <w:tcW w:w="1273" w:type="dxa"/>
            <w:tcBorders>
              <w:top w:val="nil"/>
              <w:left w:val="nil"/>
              <w:bottom w:val="single" w:sz="4" w:space="0" w:color="auto"/>
              <w:right w:val="single" w:sz="4" w:space="0" w:color="auto"/>
            </w:tcBorders>
            <w:shd w:val="clear" w:color="auto" w:fill="auto"/>
            <w:noWrap/>
            <w:vAlign w:val="bottom"/>
            <w:hideMark/>
          </w:tcPr>
          <w:p w:rsidR="007520D6" w:rsidRDefault="007520D6">
            <w:pPr>
              <w:jc w:val="right"/>
              <w:rPr>
                <w:rFonts w:cs="Calibri"/>
                <w:color w:val="000000"/>
                <w:sz w:val="20"/>
              </w:rPr>
            </w:pPr>
            <w:r>
              <w:rPr>
                <w:rFonts w:cs="Calibri"/>
                <w:color w:val="000000"/>
                <w:sz w:val="20"/>
              </w:rPr>
              <w:t>382</w:t>
            </w:r>
          </w:p>
        </w:tc>
        <w:tc>
          <w:tcPr>
            <w:tcW w:w="780" w:type="dxa"/>
            <w:tcBorders>
              <w:top w:val="nil"/>
              <w:left w:val="nil"/>
              <w:bottom w:val="single" w:sz="4" w:space="0" w:color="auto"/>
              <w:right w:val="single" w:sz="4" w:space="0" w:color="auto"/>
            </w:tcBorders>
            <w:shd w:val="clear" w:color="auto" w:fill="auto"/>
            <w:noWrap/>
            <w:vAlign w:val="bottom"/>
            <w:hideMark/>
          </w:tcPr>
          <w:p w:rsidR="007520D6" w:rsidRDefault="007520D6">
            <w:pPr>
              <w:jc w:val="right"/>
              <w:rPr>
                <w:rFonts w:cs="Calibri"/>
                <w:color w:val="000000"/>
                <w:sz w:val="20"/>
              </w:rPr>
            </w:pPr>
            <w:r>
              <w:rPr>
                <w:rFonts w:cs="Calibri"/>
                <w:color w:val="000000"/>
                <w:sz w:val="20"/>
              </w:rPr>
              <w:t>378</w:t>
            </w:r>
          </w:p>
        </w:tc>
        <w:tc>
          <w:tcPr>
            <w:tcW w:w="733" w:type="dxa"/>
            <w:tcBorders>
              <w:top w:val="nil"/>
              <w:left w:val="nil"/>
              <w:bottom w:val="single" w:sz="4" w:space="0" w:color="auto"/>
              <w:right w:val="single" w:sz="4" w:space="0" w:color="auto"/>
            </w:tcBorders>
            <w:shd w:val="clear" w:color="auto" w:fill="auto"/>
            <w:vAlign w:val="bottom"/>
            <w:hideMark/>
          </w:tcPr>
          <w:p w:rsidR="007520D6" w:rsidRDefault="007520D6">
            <w:pPr>
              <w:jc w:val="right"/>
              <w:rPr>
                <w:rFonts w:cs="Calibri"/>
                <w:color w:val="000000"/>
                <w:sz w:val="20"/>
              </w:rPr>
            </w:pPr>
            <w:r>
              <w:rPr>
                <w:rFonts w:cs="Calibri"/>
                <w:color w:val="000000"/>
                <w:sz w:val="20"/>
              </w:rPr>
              <w:t>288</w:t>
            </w:r>
          </w:p>
        </w:tc>
        <w:tc>
          <w:tcPr>
            <w:tcW w:w="733" w:type="dxa"/>
            <w:tcBorders>
              <w:top w:val="nil"/>
              <w:left w:val="nil"/>
              <w:bottom w:val="single" w:sz="4" w:space="0" w:color="auto"/>
              <w:right w:val="single" w:sz="4" w:space="0" w:color="auto"/>
            </w:tcBorders>
            <w:shd w:val="clear" w:color="auto" w:fill="auto"/>
            <w:noWrap/>
            <w:vAlign w:val="bottom"/>
            <w:hideMark/>
          </w:tcPr>
          <w:p w:rsidR="007520D6" w:rsidRDefault="007520D6">
            <w:pPr>
              <w:jc w:val="right"/>
              <w:rPr>
                <w:rFonts w:cs="Calibri"/>
                <w:color w:val="000000"/>
                <w:sz w:val="20"/>
              </w:rPr>
            </w:pPr>
            <w:r>
              <w:rPr>
                <w:rFonts w:cs="Calibri"/>
                <w:color w:val="000000"/>
                <w:sz w:val="20"/>
              </w:rPr>
              <w:t>26</w:t>
            </w:r>
          </w:p>
        </w:tc>
        <w:tc>
          <w:tcPr>
            <w:tcW w:w="733" w:type="dxa"/>
            <w:tcBorders>
              <w:top w:val="nil"/>
              <w:left w:val="nil"/>
              <w:bottom w:val="single" w:sz="4" w:space="0" w:color="auto"/>
              <w:right w:val="single" w:sz="4" w:space="0" w:color="auto"/>
            </w:tcBorders>
            <w:shd w:val="clear" w:color="auto" w:fill="auto"/>
            <w:noWrap/>
            <w:vAlign w:val="bottom"/>
            <w:hideMark/>
          </w:tcPr>
          <w:p w:rsidR="007520D6" w:rsidRDefault="007520D6">
            <w:pPr>
              <w:jc w:val="right"/>
              <w:rPr>
                <w:rFonts w:cs="Calibri"/>
                <w:color w:val="000000"/>
                <w:sz w:val="20"/>
              </w:rPr>
            </w:pPr>
            <w:r>
              <w:rPr>
                <w:rFonts w:cs="Calibri"/>
                <w:color w:val="000000"/>
                <w:sz w:val="20"/>
              </w:rPr>
              <w:t>4</w:t>
            </w:r>
          </w:p>
        </w:tc>
      </w:tr>
      <w:tr w:rsidR="007520D6" w:rsidRPr="00DD7065" w:rsidTr="00592E25">
        <w:trPr>
          <w:trHeight w:val="300"/>
        </w:trPr>
        <w:tc>
          <w:tcPr>
            <w:tcW w:w="6462" w:type="dxa"/>
            <w:tcBorders>
              <w:top w:val="nil"/>
              <w:left w:val="single" w:sz="4" w:space="0" w:color="auto"/>
              <w:bottom w:val="single" w:sz="4" w:space="0" w:color="auto"/>
              <w:right w:val="single" w:sz="4" w:space="0" w:color="auto"/>
            </w:tcBorders>
            <w:shd w:val="clear" w:color="auto" w:fill="auto"/>
            <w:vAlign w:val="bottom"/>
            <w:hideMark/>
          </w:tcPr>
          <w:p w:rsidR="007520D6" w:rsidRPr="00DD7065" w:rsidRDefault="007520D6" w:rsidP="00592E25">
            <w:pPr>
              <w:spacing w:after="0" w:line="240" w:lineRule="auto"/>
              <w:rPr>
                <w:rFonts w:eastAsia="Times New Roman" w:cs="Calibri"/>
                <w:color w:val="000000"/>
                <w:sz w:val="20"/>
              </w:rPr>
            </w:pPr>
            <w:r w:rsidRPr="00DD7065">
              <w:rPr>
                <w:rFonts w:eastAsia="Times New Roman" w:cs="Calibri"/>
                <w:b/>
                <w:bCs/>
                <w:color w:val="000000"/>
                <w:sz w:val="20"/>
              </w:rPr>
              <w:t>G</w:t>
            </w:r>
            <w:r w:rsidRPr="00DD7065">
              <w:rPr>
                <w:rFonts w:ascii="Sylfaen" w:eastAsia="Times New Roman" w:hAnsi="Sylfaen" w:cs="Sylfaen"/>
                <w:color w:val="000000"/>
                <w:sz w:val="20"/>
              </w:rPr>
              <w:t>ნერვულისისტემისდაავადებები</w:t>
            </w:r>
          </w:p>
        </w:tc>
        <w:tc>
          <w:tcPr>
            <w:tcW w:w="1273" w:type="dxa"/>
            <w:tcBorders>
              <w:top w:val="nil"/>
              <w:left w:val="nil"/>
              <w:bottom w:val="single" w:sz="4" w:space="0" w:color="auto"/>
              <w:right w:val="single" w:sz="4" w:space="0" w:color="auto"/>
            </w:tcBorders>
            <w:shd w:val="clear" w:color="auto" w:fill="auto"/>
            <w:noWrap/>
            <w:vAlign w:val="bottom"/>
            <w:hideMark/>
          </w:tcPr>
          <w:p w:rsidR="007520D6" w:rsidRDefault="007520D6">
            <w:pPr>
              <w:jc w:val="right"/>
              <w:rPr>
                <w:rFonts w:cs="Calibri"/>
                <w:color w:val="000000"/>
                <w:sz w:val="20"/>
              </w:rPr>
            </w:pPr>
            <w:r>
              <w:rPr>
                <w:rFonts w:cs="Calibri"/>
                <w:color w:val="000000"/>
                <w:sz w:val="20"/>
              </w:rPr>
              <w:t>846</w:t>
            </w:r>
          </w:p>
        </w:tc>
        <w:tc>
          <w:tcPr>
            <w:tcW w:w="780" w:type="dxa"/>
            <w:tcBorders>
              <w:top w:val="nil"/>
              <w:left w:val="nil"/>
              <w:bottom w:val="single" w:sz="4" w:space="0" w:color="auto"/>
              <w:right w:val="single" w:sz="4" w:space="0" w:color="auto"/>
            </w:tcBorders>
            <w:shd w:val="clear" w:color="auto" w:fill="auto"/>
            <w:noWrap/>
            <w:vAlign w:val="bottom"/>
            <w:hideMark/>
          </w:tcPr>
          <w:p w:rsidR="007520D6" w:rsidRDefault="007520D6">
            <w:pPr>
              <w:jc w:val="right"/>
              <w:rPr>
                <w:rFonts w:cs="Calibri"/>
                <w:color w:val="000000"/>
                <w:sz w:val="20"/>
              </w:rPr>
            </w:pPr>
            <w:r>
              <w:rPr>
                <w:rFonts w:cs="Calibri"/>
                <w:color w:val="000000"/>
                <w:sz w:val="20"/>
              </w:rPr>
              <w:t>840</w:t>
            </w:r>
          </w:p>
        </w:tc>
        <w:tc>
          <w:tcPr>
            <w:tcW w:w="733" w:type="dxa"/>
            <w:tcBorders>
              <w:top w:val="nil"/>
              <w:left w:val="nil"/>
              <w:bottom w:val="single" w:sz="4" w:space="0" w:color="auto"/>
              <w:right w:val="single" w:sz="4" w:space="0" w:color="auto"/>
            </w:tcBorders>
            <w:shd w:val="clear" w:color="auto" w:fill="auto"/>
            <w:vAlign w:val="bottom"/>
            <w:hideMark/>
          </w:tcPr>
          <w:p w:rsidR="007520D6" w:rsidRDefault="007520D6">
            <w:pPr>
              <w:jc w:val="right"/>
              <w:rPr>
                <w:rFonts w:cs="Calibri"/>
                <w:color w:val="000000"/>
                <w:sz w:val="20"/>
              </w:rPr>
            </w:pPr>
            <w:r>
              <w:rPr>
                <w:rFonts w:cs="Calibri"/>
                <w:color w:val="000000"/>
                <w:sz w:val="20"/>
              </w:rPr>
              <w:t>562</w:t>
            </w:r>
          </w:p>
        </w:tc>
        <w:tc>
          <w:tcPr>
            <w:tcW w:w="733" w:type="dxa"/>
            <w:tcBorders>
              <w:top w:val="nil"/>
              <w:left w:val="nil"/>
              <w:bottom w:val="single" w:sz="4" w:space="0" w:color="auto"/>
              <w:right w:val="single" w:sz="4" w:space="0" w:color="auto"/>
            </w:tcBorders>
            <w:shd w:val="clear" w:color="auto" w:fill="auto"/>
            <w:noWrap/>
            <w:vAlign w:val="bottom"/>
            <w:hideMark/>
          </w:tcPr>
          <w:p w:rsidR="007520D6" w:rsidRDefault="007520D6">
            <w:pPr>
              <w:jc w:val="right"/>
              <w:rPr>
                <w:rFonts w:cs="Calibri"/>
                <w:color w:val="000000"/>
                <w:sz w:val="20"/>
              </w:rPr>
            </w:pPr>
            <w:r>
              <w:rPr>
                <w:rFonts w:cs="Calibri"/>
                <w:color w:val="000000"/>
                <w:sz w:val="20"/>
              </w:rPr>
              <w:t>40</w:t>
            </w:r>
          </w:p>
        </w:tc>
        <w:tc>
          <w:tcPr>
            <w:tcW w:w="733" w:type="dxa"/>
            <w:tcBorders>
              <w:top w:val="nil"/>
              <w:left w:val="nil"/>
              <w:bottom w:val="single" w:sz="4" w:space="0" w:color="auto"/>
              <w:right w:val="single" w:sz="4" w:space="0" w:color="auto"/>
            </w:tcBorders>
            <w:shd w:val="clear" w:color="auto" w:fill="auto"/>
            <w:noWrap/>
            <w:vAlign w:val="bottom"/>
            <w:hideMark/>
          </w:tcPr>
          <w:p w:rsidR="007520D6" w:rsidRDefault="007520D6">
            <w:pPr>
              <w:jc w:val="right"/>
              <w:rPr>
                <w:rFonts w:cs="Calibri"/>
                <w:color w:val="000000"/>
                <w:sz w:val="20"/>
              </w:rPr>
            </w:pPr>
            <w:r>
              <w:rPr>
                <w:rFonts w:cs="Calibri"/>
                <w:color w:val="000000"/>
                <w:sz w:val="20"/>
              </w:rPr>
              <w:t>6</w:t>
            </w:r>
          </w:p>
        </w:tc>
      </w:tr>
      <w:tr w:rsidR="007520D6" w:rsidRPr="00DD7065" w:rsidTr="00592E25">
        <w:trPr>
          <w:trHeight w:val="300"/>
        </w:trPr>
        <w:tc>
          <w:tcPr>
            <w:tcW w:w="6462" w:type="dxa"/>
            <w:tcBorders>
              <w:top w:val="nil"/>
              <w:left w:val="single" w:sz="4" w:space="0" w:color="auto"/>
              <w:bottom w:val="single" w:sz="4" w:space="0" w:color="auto"/>
              <w:right w:val="single" w:sz="4" w:space="0" w:color="auto"/>
            </w:tcBorders>
            <w:shd w:val="clear" w:color="auto" w:fill="auto"/>
            <w:vAlign w:val="bottom"/>
            <w:hideMark/>
          </w:tcPr>
          <w:p w:rsidR="007520D6" w:rsidRPr="00DD7065" w:rsidRDefault="007520D6" w:rsidP="00592E25">
            <w:pPr>
              <w:spacing w:after="0" w:line="240" w:lineRule="auto"/>
              <w:rPr>
                <w:rFonts w:eastAsia="Times New Roman" w:cs="Calibri"/>
                <w:color w:val="000000"/>
                <w:sz w:val="20"/>
              </w:rPr>
            </w:pPr>
            <w:r w:rsidRPr="00DD7065">
              <w:rPr>
                <w:rFonts w:eastAsia="Times New Roman" w:cs="Calibri"/>
                <w:b/>
                <w:bCs/>
                <w:color w:val="000000"/>
                <w:sz w:val="20"/>
              </w:rPr>
              <w:t>I</w:t>
            </w:r>
            <w:r w:rsidRPr="00DD7065">
              <w:rPr>
                <w:rFonts w:ascii="Sylfaen" w:eastAsia="Times New Roman" w:hAnsi="Sylfaen" w:cs="Sylfaen"/>
                <w:color w:val="000000"/>
                <w:sz w:val="20"/>
              </w:rPr>
              <w:t>სისხლისმიმოქცევისსისტემისდაავადებები</w:t>
            </w:r>
          </w:p>
        </w:tc>
        <w:tc>
          <w:tcPr>
            <w:tcW w:w="1273" w:type="dxa"/>
            <w:tcBorders>
              <w:top w:val="nil"/>
              <w:left w:val="nil"/>
              <w:bottom w:val="single" w:sz="4" w:space="0" w:color="auto"/>
              <w:right w:val="single" w:sz="4" w:space="0" w:color="auto"/>
            </w:tcBorders>
            <w:shd w:val="clear" w:color="auto" w:fill="DAEEF3" w:themeFill="accent5" w:themeFillTint="33"/>
            <w:noWrap/>
            <w:vAlign w:val="bottom"/>
            <w:hideMark/>
          </w:tcPr>
          <w:p w:rsidR="007520D6" w:rsidRDefault="007520D6">
            <w:pPr>
              <w:jc w:val="right"/>
              <w:rPr>
                <w:rFonts w:cs="Calibri"/>
                <w:color w:val="000000"/>
                <w:sz w:val="20"/>
              </w:rPr>
            </w:pPr>
            <w:r>
              <w:rPr>
                <w:rFonts w:cs="Calibri"/>
                <w:color w:val="000000"/>
                <w:sz w:val="20"/>
              </w:rPr>
              <w:t>7454</w:t>
            </w:r>
          </w:p>
        </w:tc>
        <w:tc>
          <w:tcPr>
            <w:tcW w:w="780" w:type="dxa"/>
            <w:tcBorders>
              <w:top w:val="nil"/>
              <w:left w:val="nil"/>
              <w:bottom w:val="single" w:sz="4" w:space="0" w:color="auto"/>
              <w:right w:val="single" w:sz="4" w:space="0" w:color="auto"/>
            </w:tcBorders>
            <w:shd w:val="clear" w:color="auto" w:fill="DAEEF3" w:themeFill="accent5" w:themeFillTint="33"/>
            <w:noWrap/>
            <w:vAlign w:val="bottom"/>
            <w:hideMark/>
          </w:tcPr>
          <w:p w:rsidR="007520D6" w:rsidRDefault="007520D6">
            <w:pPr>
              <w:jc w:val="right"/>
              <w:rPr>
                <w:rFonts w:cs="Calibri"/>
                <w:color w:val="000000"/>
                <w:sz w:val="20"/>
              </w:rPr>
            </w:pPr>
            <w:r>
              <w:rPr>
                <w:rFonts w:cs="Calibri"/>
                <w:color w:val="000000"/>
                <w:sz w:val="20"/>
              </w:rPr>
              <w:t>7442</w:t>
            </w:r>
          </w:p>
        </w:tc>
        <w:tc>
          <w:tcPr>
            <w:tcW w:w="733" w:type="dxa"/>
            <w:tcBorders>
              <w:top w:val="nil"/>
              <w:left w:val="nil"/>
              <w:bottom w:val="single" w:sz="4" w:space="0" w:color="auto"/>
              <w:right w:val="single" w:sz="4" w:space="0" w:color="auto"/>
            </w:tcBorders>
            <w:shd w:val="clear" w:color="auto" w:fill="DAEEF3" w:themeFill="accent5" w:themeFillTint="33"/>
            <w:vAlign w:val="bottom"/>
            <w:hideMark/>
          </w:tcPr>
          <w:p w:rsidR="007520D6" w:rsidRDefault="007520D6">
            <w:pPr>
              <w:jc w:val="right"/>
              <w:rPr>
                <w:rFonts w:cs="Calibri"/>
                <w:color w:val="000000"/>
                <w:sz w:val="20"/>
              </w:rPr>
            </w:pPr>
            <w:r>
              <w:rPr>
                <w:rFonts w:cs="Calibri"/>
                <w:color w:val="000000"/>
                <w:sz w:val="20"/>
              </w:rPr>
              <w:t>5118</w:t>
            </w:r>
          </w:p>
        </w:tc>
        <w:tc>
          <w:tcPr>
            <w:tcW w:w="733" w:type="dxa"/>
            <w:tcBorders>
              <w:top w:val="nil"/>
              <w:left w:val="nil"/>
              <w:bottom w:val="single" w:sz="4" w:space="0" w:color="auto"/>
              <w:right w:val="single" w:sz="4" w:space="0" w:color="auto"/>
            </w:tcBorders>
            <w:shd w:val="clear" w:color="auto" w:fill="DAEEF3" w:themeFill="accent5" w:themeFillTint="33"/>
            <w:noWrap/>
            <w:vAlign w:val="bottom"/>
            <w:hideMark/>
          </w:tcPr>
          <w:p w:rsidR="007520D6" w:rsidRDefault="007520D6">
            <w:pPr>
              <w:jc w:val="right"/>
              <w:rPr>
                <w:rFonts w:cs="Calibri"/>
                <w:color w:val="000000"/>
                <w:sz w:val="20"/>
              </w:rPr>
            </w:pPr>
            <w:r>
              <w:rPr>
                <w:rFonts w:cs="Calibri"/>
                <w:color w:val="000000"/>
                <w:sz w:val="20"/>
              </w:rPr>
              <w:t>154</w:t>
            </w:r>
          </w:p>
        </w:tc>
        <w:tc>
          <w:tcPr>
            <w:tcW w:w="733" w:type="dxa"/>
            <w:tcBorders>
              <w:top w:val="nil"/>
              <w:left w:val="nil"/>
              <w:bottom w:val="single" w:sz="4" w:space="0" w:color="auto"/>
              <w:right w:val="single" w:sz="4" w:space="0" w:color="auto"/>
            </w:tcBorders>
            <w:shd w:val="clear" w:color="auto" w:fill="auto"/>
            <w:noWrap/>
            <w:vAlign w:val="bottom"/>
            <w:hideMark/>
          </w:tcPr>
          <w:p w:rsidR="007520D6" w:rsidRDefault="007520D6">
            <w:pPr>
              <w:jc w:val="right"/>
              <w:rPr>
                <w:rFonts w:cs="Calibri"/>
                <w:color w:val="000000"/>
                <w:sz w:val="20"/>
              </w:rPr>
            </w:pPr>
            <w:r>
              <w:rPr>
                <w:rFonts w:cs="Calibri"/>
                <w:color w:val="000000"/>
                <w:sz w:val="20"/>
              </w:rPr>
              <w:t>12</w:t>
            </w:r>
          </w:p>
        </w:tc>
      </w:tr>
      <w:tr w:rsidR="007520D6" w:rsidRPr="00DD7065" w:rsidTr="00592E25">
        <w:trPr>
          <w:trHeight w:val="360"/>
        </w:trPr>
        <w:tc>
          <w:tcPr>
            <w:tcW w:w="6462" w:type="dxa"/>
            <w:tcBorders>
              <w:top w:val="nil"/>
              <w:left w:val="single" w:sz="4" w:space="0" w:color="auto"/>
              <w:bottom w:val="single" w:sz="4" w:space="0" w:color="auto"/>
              <w:right w:val="single" w:sz="4" w:space="0" w:color="auto"/>
            </w:tcBorders>
            <w:shd w:val="clear" w:color="auto" w:fill="auto"/>
            <w:vAlign w:val="bottom"/>
            <w:hideMark/>
          </w:tcPr>
          <w:p w:rsidR="007520D6" w:rsidRPr="00DD7065" w:rsidRDefault="007520D6" w:rsidP="00592E25">
            <w:pPr>
              <w:spacing w:after="0" w:line="240" w:lineRule="auto"/>
              <w:rPr>
                <w:rFonts w:eastAsia="Times New Roman" w:cs="Calibri"/>
                <w:color w:val="000000"/>
                <w:sz w:val="20"/>
              </w:rPr>
            </w:pPr>
            <w:r w:rsidRPr="00DD7065">
              <w:rPr>
                <w:rFonts w:eastAsia="Times New Roman" w:cs="Calibri"/>
                <w:b/>
                <w:bCs/>
                <w:color w:val="000000"/>
                <w:sz w:val="20"/>
              </w:rPr>
              <w:t>H</w:t>
            </w:r>
            <w:r w:rsidRPr="00DD7065">
              <w:rPr>
                <w:rFonts w:ascii="Sylfaen" w:eastAsia="Times New Roman" w:hAnsi="Sylfaen" w:cs="Sylfaen"/>
                <w:color w:val="000000"/>
                <w:sz w:val="20"/>
              </w:rPr>
              <w:t>თვალისადამისიდანამატებისავადმყოფობები</w:t>
            </w:r>
            <w:r w:rsidRPr="00DD7065">
              <w:rPr>
                <w:rFonts w:eastAsia="Times New Roman" w:cs="Calibri"/>
                <w:color w:val="000000"/>
                <w:sz w:val="20"/>
              </w:rPr>
              <w:t>/</w:t>
            </w:r>
            <w:r w:rsidRPr="00DD7065">
              <w:rPr>
                <w:rFonts w:ascii="Sylfaen" w:eastAsia="Times New Roman" w:hAnsi="Sylfaen" w:cs="Sylfaen"/>
                <w:color w:val="000000"/>
                <w:sz w:val="20"/>
              </w:rPr>
              <w:t>ყურისადადვრილისებრიმორჩისდაავადებები</w:t>
            </w:r>
          </w:p>
        </w:tc>
        <w:tc>
          <w:tcPr>
            <w:tcW w:w="1273" w:type="dxa"/>
            <w:tcBorders>
              <w:top w:val="nil"/>
              <w:left w:val="nil"/>
              <w:bottom w:val="single" w:sz="4" w:space="0" w:color="auto"/>
              <w:right w:val="single" w:sz="4" w:space="0" w:color="auto"/>
            </w:tcBorders>
            <w:shd w:val="clear" w:color="auto" w:fill="auto"/>
            <w:noWrap/>
            <w:vAlign w:val="bottom"/>
            <w:hideMark/>
          </w:tcPr>
          <w:p w:rsidR="007520D6" w:rsidRDefault="007520D6">
            <w:pPr>
              <w:jc w:val="right"/>
              <w:rPr>
                <w:rFonts w:cs="Calibri"/>
                <w:color w:val="000000"/>
                <w:sz w:val="20"/>
              </w:rPr>
            </w:pPr>
            <w:r>
              <w:rPr>
                <w:rFonts w:cs="Calibri"/>
                <w:color w:val="000000"/>
                <w:sz w:val="20"/>
              </w:rPr>
              <w:t>86</w:t>
            </w:r>
          </w:p>
        </w:tc>
        <w:tc>
          <w:tcPr>
            <w:tcW w:w="780" w:type="dxa"/>
            <w:tcBorders>
              <w:top w:val="nil"/>
              <w:left w:val="nil"/>
              <w:bottom w:val="single" w:sz="4" w:space="0" w:color="auto"/>
              <w:right w:val="single" w:sz="4" w:space="0" w:color="auto"/>
            </w:tcBorders>
            <w:shd w:val="clear" w:color="auto" w:fill="auto"/>
            <w:noWrap/>
            <w:vAlign w:val="bottom"/>
            <w:hideMark/>
          </w:tcPr>
          <w:p w:rsidR="007520D6" w:rsidRDefault="007520D6">
            <w:pPr>
              <w:jc w:val="right"/>
              <w:rPr>
                <w:rFonts w:cs="Calibri"/>
                <w:color w:val="000000"/>
                <w:sz w:val="20"/>
              </w:rPr>
            </w:pPr>
            <w:r>
              <w:rPr>
                <w:rFonts w:cs="Calibri"/>
                <w:color w:val="000000"/>
                <w:sz w:val="20"/>
              </w:rPr>
              <w:t>86</w:t>
            </w:r>
          </w:p>
        </w:tc>
        <w:tc>
          <w:tcPr>
            <w:tcW w:w="733" w:type="dxa"/>
            <w:tcBorders>
              <w:top w:val="nil"/>
              <w:left w:val="nil"/>
              <w:bottom w:val="single" w:sz="4" w:space="0" w:color="auto"/>
              <w:right w:val="single" w:sz="4" w:space="0" w:color="auto"/>
            </w:tcBorders>
            <w:shd w:val="clear" w:color="auto" w:fill="auto"/>
            <w:vAlign w:val="bottom"/>
            <w:hideMark/>
          </w:tcPr>
          <w:p w:rsidR="007520D6" w:rsidRDefault="007520D6">
            <w:pPr>
              <w:jc w:val="right"/>
              <w:rPr>
                <w:rFonts w:cs="Calibri"/>
                <w:color w:val="000000"/>
                <w:sz w:val="20"/>
              </w:rPr>
            </w:pPr>
            <w:r>
              <w:rPr>
                <w:rFonts w:cs="Calibri"/>
                <w:color w:val="000000"/>
                <w:sz w:val="20"/>
              </w:rPr>
              <w:t>62</w:t>
            </w:r>
          </w:p>
        </w:tc>
        <w:tc>
          <w:tcPr>
            <w:tcW w:w="733" w:type="dxa"/>
            <w:tcBorders>
              <w:top w:val="nil"/>
              <w:left w:val="nil"/>
              <w:bottom w:val="single" w:sz="4" w:space="0" w:color="auto"/>
              <w:right w:val="single" w:sz="4" w:space="0" w:color="auto"/>
            </w:tcBorders>
            <w:shd w:val="clear" w:color="auto" w:fill="auto"/>
            <w:noWrap/>
            <w:vAlign w:val="bottom"/>
            <w:hideMark/>
          </w:tcPr>
          <w:p w:rsidR="007520D6" w:rsidRDefault="007520D6">
            <w:pPr>
              <w:jc w:val="right"/>
              <w:rPr>
                <w:rFonts w:cs="Calibri"/>
                <w:color w:val="000000"/>
                <w:sz w:val="20"/>
              </w:rPr>
            </w:pPr>
            <w:r>
              <w:rPr>
                <w:rFonts w:cs="Calibri"/>
                <w:color w:val="000000"/>
                <w:sz w:val="20"/>
              </w:rPr>
              <w:t>4</w:t>
            </w:r>
          </w:p>
        </w:tc>
        <w:tc>
          <w:tcPr>
            <w:tcW w:w="733" w:type="dxa"/>
            <w:tcBorders>
              <w:top w:val="nil"/>
              <w:left w:val="nil"/>
              <w:bottom w:val="single" w:sz="4" w:space="0" w:color="auto"/>
              <w:right w:val="single" w:sz="4" w:space="0" w:color="auto"/>
            </w:tcBorders>
            <w:shd w:val="clear" w:color="auto" w:fill="auto"/>
            <w:noWrap/>
            <w:vAlign w:val="bottom"/>
            <w:hideMark/>
          </w:tcPr>
          <w:p w:rsidR="007520D6" w:rsidRDefault="007520D6">
            <w:pPr>
              <w:jc w:val="right"/>
              <w:rPr>
                <w:rFonts w:cs="Calibri"/>
                <w:color w:val="000000"/>
                <w:sz w:val="20"/>
              </w:rPr>
            </w:pPr>
            <w:r>
              <w:rPr>
                <w:rFonts w:cs="Calibri"/>
                <w:color w:val="000000"/>
                <w:sz w:val="20"/>
              </w:rPr>
              <w:t>0</w:t>
            </w:r>
          </w:p>
        </w:tc>
      </w:tr>
      <w:tr w:rsidR="007520D6" w:rsidRPr="00DD7065" w:rsidTr="00592E25">
        <w:trPr>
          <w:trHeight w:val="371"/>
        </w:trPr>
        <w:tc>
          <w:tcPr>
            <w:tcW w:w="6462" w:type="dxa"/>
            <w:tcBorders>
              <w:top w:val="nil"/>
              <w:left w:val="single" w:sz="4" w:space="0" w:color="auto"/>
              <w:bottom w:val="single" w:sz="4" w:space="0" w:color="auto"/>
              <w:right w:val="single" w:sz="4" w:space="0" w:color="auto"/>
            </w:tcBorders>
            <w:shd w:val="clear" w:color="auto" w:fill="auto"/>
            <w:vAlign w:val="bottom"/>
            <w:hideMark/>
          </w:tcPr>
          <w:p w:rsidR="007520D6" w:rsidRPr="00DD7065" w:rsidRDefault="007520D6" w:rsidP="00592E25">
            <w:pPr>
              <w:spacing w:after="0" w:line="240" w:lineRule="auto"/>
              <w:rPr>
                <w:rFonts w:eastAsia="Times New Roman" w:cs="Calibri"/>
                <w:color w:val="000000"/>
                <w:sz w:val="20"/>
              </w:rPr>
            </w:pPr>
            <w:r w:rsidRPr="00DD7065">
              <w:rPr>
                <w:rFonts w:eastAsia="Times New Roman" w:cs="Calibri"/>
                <w:b/>
                <w:bCs/>
                <w:color w:val="000000"/>
                <w:sz w:val="20"/>
              </w:rPr>
              <w:t>K</w:t>
            </w:r>
            <w:r w:rsidRPr="00DD7065">
              <w:rPr>
                <w:rFonts w:ascii="Sylfaen" w:eastAsia="Times New Roman" w:hAnsi="Sylfaen" w:cs="Sylfaen"/>
                <w:color w:val="000000"/>
                <w:sz w:val="20"/>
              </w:rPr>
              <w:t>საჭმლისმომნელებელისისტემისდაავადებები</w:t>
            </w:r>
          </w:p>
        </w:tc>
        <w:tc>
          <w:tcPr>
            <w:tcW w:w="1273" w:type="dxa"/>
            <w:tcBorders>
              <w:top w:val="nil"/>
              <w:left w:val="nil"/>
              <w:bottom w:val="single" w:sz="4" w:space="0" w:color="auto"/>
              <w:right w:val="single" w:sz="4" w:space="0" w:color="auto"/>
            </w:tcBorders>
            <w:shd w:val="clear" w:color="auto" w:fill="auto"/>
            <w:noWrap/>
            <w:vAlign w:val="bottom"/>
            <w:hideMark/>
          </w:tcPr>
          <w:p w:rsidR="007520D6" w:rsidRDefault="007520D6">
            <w:pPr>
              <w:jc w:val="right"/>
              <w:rPr>
                <w:rFonts w:cs="Calibri"/>
                <w:color w:val="000000"/>
                <w:sz w:val="20"/>
              </w:rPr>
            </w:pPr>
            <w:r>
              <w:rPr>
                <w:rFonts w:cs="Calibri"/>
                <w:color w:val="000000"/>
                <w:sz w:val="20"/>
              </w:rPr>
              <w:t>1060</w:t>
            </w:r>
          </w:p>
        </w:tc>
        <w:tc>
          <w:tcPr>
            <w:tcW w:w="780" w:type="dxa"/>
            <w:tcBorders>
              <w:top w:val="nil"/>
              <w:left w:val="nil"/>
              <w:bottom w:val="single" w:sz="4" w:space="0" w:color="auto"/>
              <w:right w:val="single" w:sz="4" w:space="0" w:color="auto"/>
            </w:tcBorders>
            <w:shd w:val="clear" w:color="auto" w:fill="auto"/>
            <w:noWrap/>
            <w:vAlign w:val="bottom"/>
            <w:hideMark/>
          </w:tcPr>
          <w:p w:rsidR="007520D6" w:rsidRDefault="007520D6">
            <w:pPr>
              <w:jc w:val="right"/>
              <w:rPr>
                <w:rFonts w:cs="Calibri"/>
                <w:color w:val="000000"/>
                <w:sz w:val="20"/>
              </w:rPr>
            </w:pPr>
            <w:r>
              <w:rPr>
                <w:rFonts w:cs="Calibri"/>
                <w:color w:val="000000"/>
                <w:sz w:val="20"/>
              </w:rPr>
              <w:t>1056</w:t>
            </w:r>
          </w:p>
        </w:tc>
        <w:tc>
          <w:tcPr>
            <w:tcW w:w="733" w:type="dxa"/>
            <w:tcBorders>
              <w:top w:val="nil"/>
              <w:left w:val="nil"/>
              <w:bottom w:val="single" w:sz="4" w:space="0" w:color="auto"/>
              <w:right w:val="single" w:sz="4" w:space="0" w:color="auto"/>
            </w:tcBorders>
            <w:shd w:val="clear" w:color="auto" w:fill="auto"/>
            <w:vAlign w:val="bottom"/>
            <w:hideMark/>
          </w:tcPr>
          <w:p w:rsidR="007520D6" w:rsidRDefault="007520D6">
            <w:pPr>
              <w:jc w:val="right"/>
              <w:rPr>
                <w:rFonts w:cs="Calibri"/>
                <w:color w:val="000000"/>
                <w:sz w:val="20"/>
              </w:rPr>
            </w:pPr>
            <w:r>
              <w:rPr>
                <w:rFonts w:cs="Calibri"/>
                <w:color w:val="000000"/>
                <w:sz w:val="20"/>
              </w:rPr>
              <w:t>730</w:t>
            </w:r>
          </w:p>
        </w:tc>
        <w:tc>
          <w:tcPr>
            <w:tcW w:w="733" w:type="dxa"/>
            <w:tcBorders>
              <w:top w:val="nil"/>
              <w:left w:val="nil"/>
              <w:bottom w:val="single" w:sz="4" w:space="0" w:color="auto"/>
              <w:right w:val="single" w:sz="4" w:space="0" w:color="auto"/>
            </w:tcBorders>
            <w:shd w:val="clear" w:color="auto" w:fill="auto"/>
            <w:noWrap/>
            <w:vAlign w:val="bottom"/>
            <w:hideMark/>
          </w:tcPr>
          <w:p w:rsidR="007520D6" w:rsidRDefault="007520D6">
            <w:pPr>
              <w:jc w:val="right"/>
              <w:rPr>
                <w:rFonts w:cs="Calibri"/>
                <w:color w:val="000000"/>
                <w:sz w:val="20"/>
              </w:rPr>
            </w:pPr>
            <w:r>
              <w:rPr>
                <w:rFonts w:cs="Calibri"/>
                <w:color w:val="000000"/>
                <w:sz w:val="20"/>
              </w:rPr>
              <w:t>64</w:t>
            </w:r>
          </w:p>
        </w:tc>
        <w:tc>
          <w:tcPr>
            <w:tcW w:w="733" w:type="dxa"/>
            <w:tcBorders>
              <w:top w:val="nil"/>
              <w:left w:val="nil"/>
              <w:bottom w:val="single" w:sz="4" w:space="0" w:color="auto"/>
              <w:right w:val="single" w:sz="4" w:space="0" w:color="auto"/>
            </w:tcBorders>
            <w:shd w:val="clear" w:color="auto" w:fill="auto"/>
            <w:noWrap/>
            <w:vAlign w:val="bottom"/>
            <w:hideMark/>
          </w:tcPr>
          <w:p w:rsidR="007520D6" w:rsidRDefault="007520D6">
            <w:pPr>
              <w:jc w:val="right"/>
              <w:rPr>
                <w:rFonts w:cs="Calibri"/>
                <w:color w:val="000000"/>
                <w:sz w:val="20"/>
              </w:rPr>
            </w:pPr>
            <w:r>
              <w:rPr>
                <w:rFonts w:cs="Calibri"/>
                <w:color w:val="000000"/>
                <w:sz w:val="20"/>
              </w:rPr>
              <w:t>4</w:t>
            </w:r>
          </w:p>
        </w:tc>
      </w:tr>
      <w:tr w:rsidR="007520D6" w:rsidRPr="00DD7065" w:rsidTr="00592E25">
        <w:trPr>
          <w:trHeight w:val="300"/>
        </w:trPr>
        <w:tc>
          <w:tcPr>
            <w:tcW w:w="6462" w:type="dxa"/>
            <w:tcBorders>
              <w:top w:val="nil"/>
              <w:left w:val="single" w:sz="4" w:space="0" w:color="auto"/>
              <w:bottom w:val="single" w:sz="4" w:space="0" w:color="auto"/>
              <w:right w:val="single" w:sz="4" w:space="0" w:color="auto"/>
            </w:tcBorders>
            <w:shd w:val="clear" w:color="auto" w:fill="auto"/>
            <w:vAlign w:val="bottom"/>
            <w:hideMark/>
          </w:tcPr>
          <w:p w:rsidR="007520D6" w:rsidRPr="00DD7065" w:rsidRDefault="007520D6" w:rsidP="00592E25">
            <w:pPr>
              <w:spacing w:after="0" w:line="240" w:lineRule="auto"/>
              <w:rPr>
                <w:rFonts w:eastAsia="Times New Roman" w:cs="Calibri"/>
                <w:color w:val="000000"/>
                <w:sz w:val="20"/>
              </w:rPr>
            </w:pPr>
            <w:r w:rsidRPr="00DD7065">
              <w:rPr>
                <w:rFonts w:eastAsia="Times New Roman" w:cs="Calibri"/>
                <w:b/>
                <w:bCs/>
                <w:color w:val="000000"/>
                <w:sz w:val="20"/>
              </w:rPr>
              <w:t>J</w:t>
            </w:r>
            <w:r w:rsidRPr="00DD7065">
              <w:rPr>
                <w:rFonts w:ascii="Sylfaen" w:eastAsia="Times New Roman" w:hAnsi="Sylfaen" w:cs="Sylfaen"/>
                <w:color w:val="000000"/>
                <w:sz w:val="20"/>
              </w:rPr>
              <w:t>სასუნთქისისტემისდაავადებები</w:t>
            </w:r>
          </w:p>
        </w:tc>
        <w:tc>
          <w:tcPr>
            <w:tcW w:w="1273" w:type="dxa"/>
            <w:tcBorders>
              <w:top w:val="nil"/>
              <w:left w:val="nil"/>
              <w:bottom w:val="single" w:sz="4" w:space="0" w:color="auto"/>
              <w:right w:val="single" w:sz="4" w:space="0" w:color="auto"/>
            </w:tcBorders>
            <w:shd w:val="clear" w:color="auto" w:fill="DAEEF3" w:themeFill="accent5" w:themeFillTint="33"/>
            <w:noWrap/>
            <w:vAlign w:val="bottom"/>
            <w:hideMark/>
          </w:tcPr>
          <w:p w:rsidR="007520D6" w:rsidRDefault="007520D6">
            <w:pPr>
              <w:jc w:val="right"/>
              <w:rPr>
                <w:rFonts w:cs="Calibri"/>
                <w:color w:val="000000"/>
                <w:sz w:val="20"/>
              </w:rPr>
            </w:pPr>
            <w:r>
              <w:rPr>
                <w:rFonts w:cs="Calibri"/>
                <w:color w:val="000000"/>
                <w:sz w:val="20"/>
              </w:rPr>
              <w:t>2156</w:t>
            </w:r>
          </w:p>
        </w:tc>
        <w:tc>
          <w:tcPr>
            <w:tcW w:w="780" w:type="dxa"/>
            <w:tcBorders>
              <w:top w:val="nil"/>
              <w:left w:val="nil"/>
              <w:bottom w:val="single" w:sz="4" w:space="0" w:color="auto"/>
              <w:right w:val="single" w:sz="4" w:space="0" w:color="auto"/>
            </w:tcBorders>
            <w:shd w:val="clear" w:color="auto" w:fill="DAEEF3" w:themeFill="accent5" w:themeFillTint="33"/>
            <w:noWrap/>
            <w:vAlign w:val="bottom"/>
            <w:hideMark/>
          </w:tcPr>
          <w:p w:rsidR="007520D6" w:rsidRDefault="007520D6">
            <w:pPr>
              <w:jc w:val="right"/>
              <w:rPr>
                <w:rFonts w:cs="Calibri"/>
                <w:color w:val="000000"/>
                <w:sz w:val="20"/>
              </w:rPr>
            </w:pPr>
            <w:r>
              <w:rPr>
                <w:rFonts w:cs="Calibri"/>
                <w:color w:val="000000"/>
                <w:sz w:val="20"/>
              </w:rPr>
              <w:t>2148</w:t>
            </w:r>
          </w:p>
        </w:tc>
        <w:tc>
          <w:tcPr>
            <w:tcW w:w="733" w:type="dxa"/>
            <w:tcBorders>
              <w:top w:val="nil"/>
              <w:left w:val="nil"/>
              <w:bottom w:val="single" w:sz="4" w:space="0" w:color="auto"/>
              <w:right w:val="single" w:sz="4" w:space="0" w:color="auto"/>
            </w:tcBorders>
            <w:shd w:val="clear" w:color="auto" w:fill="DAEEF3" w:themeFill="accent5" w:themeFillTint="33"/>
            <w:vAlign w:val="bottom"/>
            <w:hideMark/>
          </w:tcPr>
          <w:p w:rsidR="007520D6" w:rsidRDefault="007520D6">
            <w:pPr>
              <w:jc w:val="right"/>
              <w:rPr>
                <w:rFonts w:cs="Calibri"/>
                <w:color w:val="000000"/>
                <w:sz w:val="20"/>
              </w:rPr>
            </w:pPr>
            <w:r>
              <w:rPr>
                <w:rFonts w:cs="Calibri"/>
                <w:color w:val="000000"/>
                <w:sz w:val="20"/>
              </w:rPr>
              <w:t>1630</w:t>
            </w:r>
          </w:p>
        </w:tc>
        <w:tc>
          <w:tcPr>
            <w:tcW w:w="733" w:type="dxa"/>
            <w:tcBorders>
              <w:top w:val="nil"/>
              <w:left w:val="nil"/>
              <w:bottom w:val="single" w:sz="4" w:space="0" w:color="auto"/>
              <w:right w:val="single" w:sz="4" w:space="0" w:color="auto"/>
            </w:tcBorders>
            <w:shd w:val="clear" w:color="auto" w:fill="DAEEF3" w:themeFill="accent5" w:themeFillTint="33"/>
            <w:noWrap/>
            <w:vAlign w:val="bottom"/>
            <w:hideMark/>
          </w:tcPr>
          <w:p w:rsidR="007520D6" w:rsidRDefault="007520D6">
            <w:pPr>
              <w:jc w:val="right"/>
              <w:rPr>
                <w:rFonts w:cs="Calibri"/>
                <w:color w:val="000000"/>
                <w:sz w:val="20"/>
              </w:rPr>
            </w:pPr>
            <w:r>
              <w:rPr>
                <w:rFonts w:cs="Calibri"/>
                <w:color w:val="000000"/>
                <w:sz w:val="20"/>
              </w:rPr>
              <w:t>72</w:t>
            </w:r>
          </w:p>
        </w:tc>
        <w:tc>
          <w:tcPr>
            <w:tcW w:w="733" w:type="dxa"/>
            <w:tcBorders>
              <w:top w:val="nil"/>
              <w:left w:val="nil"/>
              <w:bottom w:val="single" w:sz="4" w:space="0" w:color="auto"/>
              <w:right w:val="single" w:sz="4" w:space="0" w:color="auto"/>
            </w:tcBorders>
            <w:shd w:val="clear" w:color="auto" w:fill="auto"/>
            <w:noWrap/>
            <w:vAlign w:val="bottom"/>
            <w:hideMark/>
          </w:tcPr>
          <w:p w:rsidR="007520D6" w:rsidRDefault="007520D6">
            <w:pPr>
              <w:jc w:val="right"/>
              <w:rPr>
                <w:rFonts w:cs="Calibri"/>
                <w:color w:val="000000"/>
                <w:sz w:val="20"/>
              </w:rPr>
            </w:pPr>
            <w:r>
              <w:rPr>
                <w:rFonts w:cs="Calibri"/>
                <w:color w:val="000000"/>
                <w:sz w:val="20"/>
              </w:rPr>
              <w:t>8</w:t>
            </w:r>
          </w:p>
        </w:tc>
      </w:tr>
      <w:tr w:rsidR="007520D6" w:rsidRPr="00DD7065" w:rsidTr="00592E25">
        <w:trPr>
          <w:trHeight w:val="300"/>
        </w:trPr>
        <w:tc>
          <w:tcPr>
            <w:tcW w:w="6462" w:type="dxa"/>
            <w:tcBorders>
              <w:top w:val="nil"/>
              <w:left w:val="single" w:sz="4" w:space="0" w:color="auto"/>
              <w:bottom w:val="single" w:sz="4" w:space="0" w:color="auto"/>
              <w:right w:val="single" w:sz="4" w:space="0" w:color="auto"/>
            </w:tcBorders>
            <w:shd w:val="clear" w:color="auto" w:fill="auto"/>
            <w:vAlign w:val="bottom"/>
            <w:hideMark/>
          </w:tcPr>
          <w:p w:rsidR="007520D6" w:rsidRPr="00DD7065" w:rsidRDefault="007520D6" w:rsidP="00592E25">
            <w:pPr>
              <w:spacing w:after="0" w:line="240" w:lineRule="auto"/>
              <w:rPr>
                <w:rFonts w:eastAsia="Times New Roman" w:cs="Calibri"/>
                <w:color w:val="000000"/>
                <w:sz w:val="20"/>
              </w:rPr>
            </w:pPr>
            <w:r w:rsidRPr="00DD7065">
              <w:rPr>
                <w:rFonts w:eastAsia="Times New Roman" w:cs="Calibri"/>
                <w:b/>
                <w:bCs/>
                <w:color w:val="000000"/>
                <w:sz w:val="20"/>
              </w:rPr>
              <w:t>L</w:t>
            </w:r>
            <w:r w:rsidRPr="00DD7065">
              <w:rPr>
                <w:rFonts w:ascii="Sylfaen" w:eastAsia="Times New Roman" w:hAnsi="Sylfaen" w:cs="Sylfaen"/>
                <w:color w:val="000000"/>
                <w:sz w:val="20"/>
              </w:rPr>
              <w:t>კანისადაკანქვეშაქსოვილებისდაავადებები</w:t>
            </w:r>
          </w:p>
        </w:tc>
        <w:tc>
          <w:tcPr>
            <w:tcW w:w="1273" w:type="dxa"/>
            <w:tcBorders>
              <w:top w:val="nil"/>
              <w:left w:val="nil"/>
              <w:bottom w:val="single" w:sz="4" w:space="0" w:color="auto"/>
              <w:right w:val="single" w:sz="4" w:space="0" w:color="auto"/>
            </w:tcBorders>
            <w:shd w:val="clear" w:color="auto" w:fill="auto"/>
            <w:noWrap/>
            <w:vAlign w:val="bottom"/>
            <w:hideMark/>
          </w:tcPr>
          <w:p w:rsidR="007520D6" w:rsidRDefault="007520D6">
            <w:pPr>
              <w:jc w:val="right"/>
              <w:rPr>
                <w:rFonts w:cs="Calibri"/>
                <w:color w:val="000000"/>
                <w:sz w:val="20"/>
              </w:rPr>
            </w:pPr>
            <w:r>
              <w:rPr>
                <w:rFonts w:cs="Calibri"/>
                <w:color w:val="000000"/>
                <w:sz w:val="20"/>
              </w:rPr>
              <w:t>306</w:t>
            </w:r>
          </w:p>
        </w:tc>
        <w:tc>
          <w:tcPr>
            <w:tcW w:w="780" w:type="dxa"/>
            <w:tcBorders>
              <w:top w:val="nil"/>
              <w:left w:val="nil"/>
              <w:bottom w:val="single" w:sz="4" w:space="0" w:color="auto"/>
              <w:right w:val="single" w:sz="4" w:space="0" w:color="auto"/>
            </w:tcBorders>
            <w:shd w:val="clear" w:color="auto" w:fill="auto"/>
            <w:noWrap/>
            <w:vAlign w:val="bottom"/>
            <w:hideMark/>
          </w:tcPr>
          <w:p w:rsidR="007520D6" w:rsidRDefault="007520D6">
            <w:pPr>
              <w:jc w:val="right"/>
              <w:rPr>
                <w:rFonts w:cs="Calibri"/>
                <w:color w:val="000000"/>
                <w:sz w:val="20"/>
              </w:rPr>
            </w:pPr>
            <w:r>
              <w:rPr>
                <w:rFonts w:cs="Calibri"/>
                <w:color w:val="000000"/>
                <w:sz w:val="20"/>
              </w:rPr>
              <w:t>304</w:t>
            </w:r>
          </w:p>
        </w:tc>
        <w:tc>
          <w:tcPr>
            <w:tcW w:w="733" w:type="dxa"/>
            <w:tcBorders>
              <w:top w:val="nil"/>
              <w:left w:val="nil"/>
              <w:bottom w:val="single" w:sz="4" w:space="0" w:color="auto"/>
              <w:right w:val="single" w:sz="4" w:space="0" w:color="auto"/>
            </w:tcBorders>
            <w:shd w:val="clear" w:color="auto" w:fill="auto"/>
            <w:vAlign w:val="bottom"/>
            <w:hideMark/>
          </w:tcPr>
          <w:p w:rsidR="007520D6" w:rsidRDefault="007520D6">
            <w:pPr>
              <w:jc w:val="right"/>
              <w:rPr>
                <w:rFonts w:cs="Calibri"/>
                <w:color w:val="000000"/>
                <w:sz w:val="20"/>
              </w:rPr>
            </w:pPr>
            <w:r>
              <w:rPr>
                <w:rFonts w:cs="Calibri"/>
                <w:color w:val="000000"/>
                <w:sz w:val="20"/>
              </w:rPr>
              <w:t>238</w:t>
            </w:r>
          </w:p>
        </w:tc>
        <w:tc>
          <w:tcPr>
            <w:tcW w:w="733" w:type="dxa"/>
            <w:tcBorders>
              <w:top w:val="nil"/>
              <w:left w:val="nil"/>
              <w:bottom w:val="single" w:sz="4" w:space="0" w:color="auto"/>
              <w:right w:val="single" w:sz="4" w:space="0" w:color="auto"/>
            </w:tcBorders>
            <w:shd w:val="clear" w:color="auto" w:fill="auto"/>
            <w:noWrap/>
            <w:vAlign w:val="bottom"/>
            <w:hideMark/>
          </w:tcPr>
          <w:p w:rsidR="007520D6" w:rsidRDefault="007520D6">
            <w:pPr>
              <w:jc w:val="right"/>
              <w:rPr>
                <w:rFonts w:cs="Calibri"/>
                <w:color w:val="000000"/>
                <w:sz w:val="20"/>
              </w:rPr>
            </w:pPr>
            <w:r>
              <w:rPr>
                <w:rFonts w:cs="Calibri"/>
                <w:color w:val="000000"/>
                <w:sz w:val="20"/>
              </w:rPr>
              <w:t>26</w:t>
            </w:r>
          </w:p>
        </w:tc>
        <w:tc>
          <w:tcPr>
            <w:tcW w:w="733" w:type="dxa"/>
            <w:tcBorders>
              <w:top w:val="nil"/>
              <w:left w:val="nil"/>
              <w:bottom w:val="single" w:sz="4" w:space="0" w:color="auto"/>
              <w:right w:val="single" w:sz="4" w:space="0" w:color="auto"/>
            </w:tcBorders>
            <w:shd w:val="clear" w:color="auto" w:fill="auto"/>
            <w:noWrap/>
            <w:vAlign w:val="bottom"/>
            <w:hideMark/>
          </w:tcPr>
          <w:p w:rsidR="007520D6" w:rsidRDefault="007520D6">
            <w:pPr>
              <w:jc w:val="right"/>
              <w:rPr>
                <w:rFonts w:cs="Calibri"/>
                <w:color w:val="000000"/>
                <w:sz w:val="20"/>
              </w:rPr>
            </w:pPr>
            <w:r>
              <w:rPr>
                <w:rFonts w:cs="Calibri"/>
                <w:color w:val="000000"/>
                <w:sz w:val="20"/>
              </w:rPr>
              <w:t>2</w:t>
            </w:r>
          </w:p>
        </w:tc>
      </w:tr>
      <w:tr w:rsidR="007520D6" w:rsidRPr="00DD7065" w:rsidTr="00592E25">
        <w:trPr>
          <w:trHeight w:val="300"/>
        </w:trPr>
        <w:tc>
          <w:tcPr>
            <w:tcW w:w="6462" w:type="dxa"/>
            <w:tcBorders>
              <w:top w:val="nil"/>
              <w:left w:val="single" w:sz="4" w:space="0" w:color="auto"/>
              <w:bottom w:val="single" w:sz="4" w:space="0" w:color="auto"/>
              <w:right w:val="single" w:sz="4" w:space="0" w:color="auto"/>
            </w:tcBorders>
            <w:shd w:val="clear" w:color="auto" w:fill="auto"/>
            <w:vAlign w:val="bottom"/>
            <w:hideMark/>
          </w:tcPr>
          <w:p w:rsidR="007520D6" w:rsidRPr="00DD7065" w:rsidRDefault="007520D6" w:rsidP="00592E25">
            <w:pPr>
              <w:spacing w:after="0" w:line="240" w:lineRule="auto"/>
              <w:rPr>
                <w:rFonts w:eastAsia="Times New Roman" w:cs="Calibri"/>
                <w:color w:val="000000"/>
                <w:sz w:val="20"/>
              </w:rPr>
            </w:pPr>
            <w:r w:rsidRPr="00DD7065">
              <w:rPr>
                <w:rFonts w:eastAsia="Times New Roman" w:cs="Calibri"/>
                <w:b/>
                <w:bCs/>
                <w:color w:val="000000"/>
                <w:sz w:val="20"/>
              </w:rPr>
              <w:t>M</w:t>
            </w:r>
            <w:r w:rsidRPr="00DD7065">
              <w:rPr>
                <w:rFonts w:ascii="Sylfaen" w:eastAsia="Times New Roman" w:hAnsi="Sylfaen" w:cs="Sylfaen"/>
                <w:color w:val="000000"/>
                <w:sz w:val="20"/>
              </w:rPr>
              <w:t>ძვალ</w:t>
            </w:r>
            <w:r w:rsidRPr="00DD7065">
              <w:rPr>
                <w:rFonts w:eastAsia="Times New Roman" w:cs="Calibri"/>
                <w:color w:val="000000"/>
                <w:sz w:val="20"/>
              </w:rPr>
              <w:t xml:space="preserve"> - </w:t>
            </w:r>
            <w:r w:rsidRPr="00DD7065">
              <w:rPr>
                <w:rFonts w:ascii="Sylfaen" w:eastAsia="Times New Roman" w:hAnsi="Sylfaen" w:cs="Sylfaen"/>
                <w:color w:val="000000"/>
                <w:sz w:val="20"/>
              </w:rPr>
              <w:t>კუნთოვანისისტემისდაშემადგენელიქსოვილებისდაავადებები</w:t>
            </w:r>
          </w:p>
        </w:tc>
        <w:tc>
          <w:tcPr>
            <w:tcW w:w="1273" w:type="dxa"/>
            <w:tcBorders>
              <w:top w:val="nil"/>
              <w:left w:val="nil"/>
              <w:bottom w:val="single" w:sz="4" w:space="0" w:color="auto"/>
              <w:right w:val="single" w:sz="4" w:space="0" w:color="auto"/>
            </w:tcBorders>
            <w:shd w:val="clear" w:color="auto" w:fill="auto"/>
            <w:noWrap/>
            <w:vAlign w:val="bottom"/>
            <w:hideMark/>
          </w:tcPr>
          <w:p w:rsidR="007520D6" w:rsidRDefault="007520D6">
            <w:pPr>
              <w:jc w:val="right"/>
              <w:rPr>
                <w:rFonts w:cs="Calibri"/>
                <w:color w:val="000000"/>
                <w:sz w:val="20"/>
              </w:rPr>
            </w:pPr>
            <w:r>
              <w:rPr>
                <w:rFonts w:cs="Calibri"/>
                <w:color w:val="000000"/>
                <w:sz w:val="20"/>
              </w:rPr>
              <w:t>224</w:t>
            </w:r>
          </w:p>
        </w:tc>
        <w:tc>
          <w:tcPr>
            <w:tcW w:w="780" w:type="dxa"/>
            <w:tcBorders>
              <w:top w:val="nil"/>
              <w:left w:val="nil"/>
              <w:bottom w:val="single" w:sz="4" w:space="0" w:color="auto"/>
              <w:right w:val="single" w:sz="4" w:space="0" w:color="auto"/>
            </w:tcBorders>
            <w:shd w:val="clear" w:color="auto" w:fill="auto"/>
            <w:noWrap/>
            <w:vAlign w:val="bottom"/>
            <w:hideMark/>
          </w:tcPr>
          <w:p w:rsidR="007520D6" w:rsidRDefault="007520D6">
            <w:pPr>
              <w:jc w:val="right"/>
              <w:rPr>
                <w:rFonts w:cs="Calibri"/>
                <w:color w:val="000000"/>
                <w:sz w:val="20"/>
              </w:rPr>
            </w:pPr>
            <w:r>
              <w:rPr>
                <w:rFonts w:cs="Calibri"/>
                <w:color w:val="000000"/>
                <w:sz w:val="20"/>
              </w:rPr>
              <w:t>220</w:t>
            </w:r>
          </w:p>
        </w:tc>
        <w:tc>
          <w:tcPr>
            <w:tcW w:w="733" w:type="dxa"/>
            <w:tcBorders>
              <w:top w:val="nil"/>
              <w:left w:val="nil"/>
              <w:bottom w:val="single" w:sz="4" w:space="0" w:color="auto"/>
              <w:right w:val="single" w:sz="4" w:space="0" w:color="auto"/>
            </w:tcBorders>
            <w:shd w:val="clear" w:color="auto" w:fill="auto"/>
            <w:vAlign w:val="bottom"/>
            <w:hideMark/>
          </w:tcPr>
          <w:p w:rsidR="007520D6" w:rsidRDefault="007520D6">
            <w:pPr>
              <w:jc w:val="right"/>
              <w:rPr>
                <w:rFonts w:cs="Calibri"/>
                <w:color w:val="000000"/>
                <w:sz w:val="20"/>
              </w:rPr>
            </w:pPr>
            <w:r>
              <w:rPr>
                <w:rFonts w:cs="Calibri"/>
                <w:color w:val="000000"/>
                <w:sz w:val="20"/>
              </w:rPr>
              <w:t>112</w:t>
            </w:r>
          </w:p>
        </w:tc>
        <w:tc>
          <w:tcPr>
            <w:tcW w:w="733" w:type="dxa"/>
            <w:tcBorders>
              <w:top w:val="nil"/>
              <w:left w:val="nil"/>
              <w:bottom w:val="single" w:sz="4" w:space="0" w:color="auto"/>
              <w:right w:val="single" w:sz="4" w:space="0" w:color="auto"/>
            </w:tcBorders>
            <w:shd w:val="clear" w:color="auto" w:fill="auto"/>
            <w:noWrap/>
            <w:vAlign w:val="bottom"/>
            <w:hideMark/>
          </w:tcPr>
          <w:p w:rsidR="007520D6" w:rsidRDefault="007520D6">
            <w:pPr>
              <w:jc w:val="right"/>
              <w:rPr>
                <w:rFonts w:cs="Calibri"/>
                <w:color w:val="000000"/>
                <w:sz w:val="20"/>
              </w:rPr>
            </w:pPr>
            <w:r>
              <w:rPr>
                <w:rFonts w:cs="Calibri"/>
                <w:color w:val="000000"/>
                <w:sz w:val="20"/>
              </w:rPr>
              <w:t>32</w:t>
            </w:r>
          </w:p>
        </w:tc>
        <w:tc>
          <w:tcPr>
            <w:tcW w:w="733" w:type="dxa"/>
            <w:tcBorders>
              <w:top w:val="nil"/>
              <w:left w:val="nil"/>
              <w:bottom w:val="single" w:sz="4" w:space="0" w:color="auto"/>
              <w:right w:val="single" w:sz="4" w:space="0" w:color="auto"/>
            </w:tcBorders>
            <w:shd w:val="clear" w:color="auto" w:fill="auto"/>
            <w:noWrap/>
            <w:vAlign w:val="bottom"/>
            <w:hideMark/>
          </w:tcPr>
          <w:p w:rsidR="007520D6" w:rsidRDefault="007520D6">
            <w:pPr>
              <w:jc w:val="right"/>
              <w:rPr>
                <w:rFonts w:cs="Calibri"/>
                <w:color w:val="000000"/>
                <w:sz w:val="20"/>
              </w:rPr>
            </w:pPr>
            <w:r>
              <w:rPr>
                <w:rFonts w:cs="Calibri"/>
                <w:color w:val="000000"/>
                <w:sz w:val="20"/>
              </w:rPr>
              <w:t>4</w:t>
            </w:r>
          </w:p>
        </w:tc>
      </w:tr>
      <w:tr w:rsidR="007520D6" w:rsidRPr="00DD7065" w:rsidTr="00592E25">
        <w:trPr>
          <w:trHeight w:val="300"/>
        </w:trPr>
        <w:tc>
          <w:tcPr>
            <w:tcW w:w="6462" w:type="dxa"/>
            <w:tcBorders>
              <w:top w:val="nil"/>
              <w:left w:val="single" w:sz="4" w:space="0" w:color="auto"/>
              <w:bottom w:val="single" w:sz="4" w:space="0" w:color="auto"/>
              <w:right w:val="single" w:sz="4" w:space="0" w:color="auto"/>
            </w:tcBorders>
            <w:shd w:val="clear" w:color="auto" w:fill="auto"/>
            <w:vAlign w:val="bottom"/>
            <w:hideMark/>
          </w:tcPr>
          <w:p w:rsidR="007520D6" w:rsidRPr="00DD7065" w:rsidRDefault="007520D6" w:rsidP="00592E25">
            <w:pPr>
              <w:spacing w:after="0" w:line="240" w:lineRule="auto"/>
              <w:rPr>
                <w:rFonts w:eastAsia="Times New Roman" w:cs="Calibri"/>
                <w:color w:val="000000"/>
                <w:sz w:val="20"/>
              </w:rPr>
            </w:pPr>
            <w:r w:rsidRPr="00DD7065">
              <w:rPr>
                <w:rFonts w:eastAsia="Times New Roman" w:cs="Calibri"/>
                <w:b/>
                <w:bCs/>
                <w:color w:val="000000"/>
                <w:sz w:val="20"/>
              </w:rPr>
              <w:t xml:space="preserve">N </w:t>
            </w:r>
            <w:r w:rsidRPr="00DD7065">
              <w:rPr>
                <w:rFonts w:ascii="Sylfaen" w:eastAsia="Times New Roman" w:hAnsi="Sylfaen" w:cs="Sylfaen"/>
                <w:color w:val="000000"/>
                <w:sz w:val="20"/>
              </w:rPr>
              <w:t>შარდ</w:t>
            </w:r>
            <w:r w:rsidRPr="00DD7065">
              <w:rPr>
                <w:rFonts w:eastAsia="Times New Roman" w:cs="Calibri"/>
                <w:color w:val="000000"/>
                <w:sz w:val="20"/>
              </w:rPr>
              <w:t xml:space="preserve"> - </w:t>
            </w:r>
            <w:r w:rsidRPr="00DD7065">
              <w:rPr>
                <w:rFonts w:ascii="Sylfaen" w:eastAsia="Times New Roman" w:hAnsi="Sylfaen" w:cs="Sylfaen"/>
                <w:color w:val="000000"/>
                <w:sz w:val="20"/>
              </w:rPr>
              <w:t>სასქესოსისტემისდაავადებები</w:t>
            </w:r>
          </w:p>
        </w:tc>
        <w:tc>
          <w:tcPr>
            <w:tcW w:w="1273" w:type="dxa"/>
            <w:tcBorders>
              <w:top w:val="nil"/>
              <w:left w:val="nil"/>
              <w:bottom w:val="single" w:sz="4" w:space="0" w:color="auto"/>
              <w:right w:val="single" w:sz="4" w:space="0" w:color="auto"/>
            </w:tcBorders>
            <w:shd w:val="clear" w:color="auto" w:fill="auto"/>
            <w:noWrap/>
            <w:vAlign w:val="bottom"/>
            <w:hideMark/>
          </w:tcPr>
          <w:p w:rsidR="007520D6" w:rsidRDefault="007520D6">
            <w:pPr>
              <w:jc w:val="right"/>
              <w:rPr>
                <w:rFonts w:cs="Calibri"/>
                <w:color w:val="000000"/>
                <w:sz w:val="20"/>
              </w:rPr>
            </w:pPr>
            <w:r>
              <w:rPr>
                <w:rFonts w:cs="Calibri"/>
                <w:color w:val="000000"/>
                <w:sz w:val="20"/>
              </w:rPr>
              <w:t>634</w:t>
            </w:r>
          </w:p>
        </w:tc>
        <w:tc>
          <w:tcPr>
            <w:tcW w:w="780" w:type="dxa"/>
            <w:tcBorders>
              <w:top w:val="nil"/>
              <w:left w:val="nil"/>
              <w:bottom w:val="single" w:sz="4" w:space="0" w:color="auto"/>
              <w:right w:val="single" w:sz="4" w:space="0" w:color="auto"/>
            </w:tcBorders>
            <w:shd w:val="clear" w:color="auto" w:fill="auto"/>
            <w:noWrap/>
            <w:vAlign w:val="bottom"/>
            <w:hideMark/>
          </w:tcPr>
          <w:p w:rsidR="007520D6" w:rsidRDefault="007520D6">
            <w:pPr>
              <w:jc w:val="right"/>
              <w:rPr>
                <w:rFonts w:cs="Calibri"/>
                <w:color w:val="000000"/>
                <w:sz w:val="20"/>
              </w:rPr>
            </w:pPr>
            <w:r>
              <w:rPr>
                <w:rFonts w:cs="Calibri"/>
                <w:color w:val="000000"/>
                <w:sz w:val="20"/>
              </w:rPr>
              <w:t>632</w:t>
            </w:r>
          </w:p>
        </w:tc>
        <w:tc>
          <w:tcPr>
            <w:tcW w:w="733" w:type="dxa"/>
            <w:tcBorders>
              <w:top w:val="nil"/>
              <w:left w:val="nil"/>
              <w:bottom w:val="single" w:sz="4" w:space="0" w:color="auto"/>
              <w:right w:val="single" w:sz="4" w:space="0" w:color="auto"/>
            </w:tcBorders>
            <w:shd w:val="clear" w:color="auto" w:fill="auto"/>
            <w:vAlign w:val="bottom"/>
            <w:hideMark/>
          </w:tcPr>
          <w:p w:rsidR="007520D6" w:rsidRDefault="007520D6">
            <w:pPr>
              <w:jc w:val="right"/>
              <w:rPr>
                <w:rFonts w:cs="Calibri"/>
                <w:color w:val="000000"/>
                <w:sz w:val="20"/>
              </w:rPr>
            </w:pPr>
            <w:r>
              <w:rPr>
                <w:rFonts w:cs="Calibri"/>
                <w:color w:val="000000"/>
                <w:sz w:val="20"/>
              </w:rPr>
              <w:t>414</w:t>
            </w:r>
          </w:p>
        </w:tc>
        <w:tc>
          <w:tcPr>
            <w:tcW w:w="733" w:type="dxa"/>
            <w:tcBorders>
              <w:top w:val="nil"/>
              <w:left w:val="nil"/>
              <w:bottom w:val="single" w:sz="4" w:space="0" w:color="auto"/>
              <w:right w:val="single" w:sz="4" w:space="0" w:color="auto"/>
            </w:tcBorders>
            <w:shd w:val="clear" w:color="auto" w:fill="auto"/>
            <w:noWrap/>
            <w:vAlign w:val="bottom"/>
            <w:hideMark/>
          </w:tcPr>
          <w:p w:rsidR="007520D6" w:rsidRDefault="007520D6">
            <w:pPr>
              <w:jc w:val="right"/>
              <w:rPr>
                <w:rFonts w:cs="Calibri"/>
                <w:color w:val="000000"/>
                <w:sz w:val="20"/>
              </w:rPr>
            </w:pPr>
            <w:r>
              <w:rPr>
                <w:rFonts w:cs="Calibri"/>
                <w:color w:val="000000"/>
                <w:sz w:val="20"/>
              </w:rPr>
              <w:t>44</w:t>
            </w:r>
          </w:p>
        </w:tc>
        <w:tc>
          <w:tcPr>
            <w:tcW w:w="733" w:type="dxa"/>
            <w:tcBorders>
              <w:top w:val="nil"/>
              <w:left w:val="nil"/>
              <w:bottom w:val="single" w:sz="4" w:space="0" w:color="auto"/>
              <w:right w:val="single" w:sz="4" w:space="0" w:color="auto"/>
            </w:tcBorders>
            <w:shd w:val="clear" w:color="auto" w:fill="auto"/>
            <w:noWrap/>
            <w:vAlign w:val="bottom"/>
            <w:hideMark/>
          </w:tcPr>
          <w:p w:rsidR="007520D6" w:rsidRDefault="007520D6">
            <w:pPr>
              <w:jc w:val="right"/>
              <w:rPr>
                <w:rFonts w:cs="Calibri"/>
                <w:color w:val="000000"/>
                <w:sz w:val="20"/>
              </w:rPr>
            </w:pPr>
            <w:r>
              <w:rPr>
                <w:rFonts w:cs="Calibri"/>
                <w:color w:val="000000"/>
                <w:sz w:val="20"/>
              </w:rPr>
              <w:t>2</w:t>
            </w:r>
          </w:p>
        </w:tc>
      </w:tr>
      <w:tr w:rsidR="007520D6" w:rsidRPr="00DD7065" w:rsidTr="00592E25">
        <w:trPr>
          <w:trHeight w:val="300"/>
        </w:trPr>
        <w:tc>
          <w:tcPr>
            <w:tcW w:w="6462" w:type="dxa"/>
            <w:tcBorders>
              <w:top w:val="nil"/>
              <w:left w:val="single" w:sz="4" w:space="0" w:color="auto"/>
              <w:bottom w:val="single" w:sz="4" w:space="0" w:color="auto"/>
              <w:right w:val="single" w:sz="4" w:space="0" w:color="auto"/>
            </w:tcBorders>
            <w:shd w:val="clear" w:color="auto" w:fill="auto"/>
            <w:vAlign w:val="bottom"/>
            <w:hideMark/>
          </w:tcPr>
          <w:p w:rsidR="007520D6" w:rsidRPr="00DD7065" w:rsidRDefault="007520D6" w:rsidP="00592E25">
            <w:pPr>
              <w:spacing w:after="0" w:line="240" w:lineRule="auto"/>
              <w:rPr>
                <w:rFonts w:eastAsia="Times New Roman" w:cs="Calibri"/>
                <w:color w:val="000000"/>
                <w:sz w:val="20"/>
              </w:rPr>
            </w:pPr>
            <w:r w:rsidRPr="00DD7065">
              <w:rPr>
                <w:rFonts w:eastAsia="Times New Roman" w:cs="Calibri"/>
                <w:b/>
                <w:bCs/>
                <w:color w:val="000000"/>
                <w:sz w:val="20"/>
              </w:rPr>
              <w:t>O</w:t>
            </w:r>
            <w:r w:rsidRPr="00DD7065">
              <w:rPr>
                <w:rFonts w:ascii="Sylfaen" w:eastAsia="Times New Roman" w:hAnsi="Sylfaen" w:cs="Sylfaen"/>
                <w:color w:val="000000"/>
                <w:sz w:val="20"/>
              </w:rPr>
              <w:t>ორსულობა</w:t>
            </w:r>
            <w:r w:rsidRPr="00DD7065">
              <w:rPr>
                <w:rFonts w:eastAsia="Times New Roman" w:cs="Calibri"/>
                <w:color w:val="000000"/>
                <w:sz w:val="20"/>
              </w:rPr>
              <w:t xml:space="preserve">, </w:t>
            </w:r>
            <w:r w:rsidRPr="00DD7065">
              <w:rPr>
                <w:rFonts w:ascii="Sylfaen" w:eastAsia="Times New Roman" w:hAnsi="Sylfaen" w:cs="Sylfaen"/>
                <w:color w:val="000000"/>
                <w:sz w:val="20"/>
              </w:rPr>
              <w:t>მშობიარობადალოგინობისხანა</w:t>
            </w:r>
          </w:p>
        </w:tc>
        <w:tc>
          <w:tcPr>
            <w:tcW w:w="1273" w:type="dxa"/>
            <w:tcBorders>
              <w:top w:val="nil"/>
              <w:left w:val="nil"/>
              <w:bottom w:val="single" w:sz="4" w:space="0" w:color="auto"/>
              <w:right w:val="single" w:sz="4" w:space="0" w:color="auto"/>
            </w:tcBorders>
            <w:shd w:val="clear" w:color="auto" w:fill="auto"/>
            <w:noWrap/>
            <w:vAlign w:val="bottom"/>
            <w:hideMark/>
          </w:tcPr>
          <w:p w:rsidR="007520D6" w:rsidRDefault="007520D6">
            <w:pPr>
              <w:jc w:val="right"/>
              <w:rPr>
                <w:rFonts w:cs="Calibri"/>
                <w:color w:val="000000"/>
                <w:sz w:val="20"/>
              </w:rPr>
            </w:pPr>
            <w:r>
              <w:rPr>
                <w:rFonts w:cs="Calibri"/>
                <w:color w:val="000000"/>
                <w:sz w:val="20"/>
              </w:rPr>
              <w:t>220</w:t>
            </w:r>
          </w:p>
        </w:tc>
        <w:tc>
          <w:tcPr>
            <w:tcW w:w="780" w:type="dxa"/>
            <w:tcBorders>
              <w:top w:val="nil"/>
              <w:left w:val="nil"/>
              <w:bottom w:val="single" w:sz="4" w:space="0" w:color="auto"/>
              <w:right w:val="single" w:sz="4" w:space="0" w:color="auto"/>
            </w:tcBorders>
            <w:shd w:val="clear" w:color="auto" w:fill="auto"/>
            <w:noWrap/>
            <w:vAlign w:val="bottom"/>
            <w:hideMark/>
          </w:tcPr>
          <w:p w:rsidR="007520D6" w:rsidRDefault="007520D6">
            <w:pPr>
              <w:jc w:val="right"/>
              <w:rPr>
                <w:rFonts w:cs="Calibri"/>
                <w:color w:val="000000"/>
                <w:sz w:val="20"/>
              </w:rPr>
            </w:pPr>
            <w:r>
              <w:rPr>
                <w:rFonts w:cs="Calibri"/>
                <w:color w:val="000000"/>
                <w:sz w:val="20"/>
              </w:rPr>
              <w:t>220</w:t>
            </w:r>
          </w:p>
        </w:tc>
        <w:tc>
          <w:tcPr>
            <w:tcW w:w="733" w:type="dxa"/>
            <w:tcBorders>
              <w:top w:val="nil"/>
              <w:left w:val="nil"/>
              <w:bottom w:val="single" w:sz="4" w:space="0" w:color="auto"/>
              <w:right w:val="single" w:sz="4" w:space="0" w:color="auto"/>
            </w:tcBorders>
            <w:shd w:val="clear" w:color="auto" w:fill="auto"/>
            <w:vAlign w:val="bottom"/>
            <w:hideMark/>
          </w:tcPr>
          <w:p w:rsidR="007520D6" w:rsidRDefault="007520D6">
            <w:pPr>
              <w:jc w:val="right"/>
              <w:rPr>
                <w:rFonts w:cs="Calibri"/>
                <w:color w:val="000000"/>
                <w:sz w:val="20"/>
              </w:rPr>
            </w:pPr>
            <w:r>
              <w:rPr>
                <w:rFonts w:cs="Calibri"/>
                <w:color w:val="000000"/>
                <w:sz w:val="20"/>
              </w:rPr>
              <w:t>146</w:t>
            </w:r>
          </w:p>
        </w:tc>
        <w:tc>
          <w:tcPr>
            <w:tcW w:w="733" w:type="dxa"/>
            <w:tcBorders>
              <w:top w:val="nil"/>
              <w:left w:val="nil"/>
              <w:bottom w:val="single" w:sz="4" w:space="0" w:color="auto"/>
              <w:right w:val="single" w:sz="4" w:space="0" w:color="auto"/>
            </w:tcBorders>
            <w:shd w:val="clear" w:color="auto" w:fill="auto"/>
            <w:noWrap/>
            <w:vAlign w:val="bottom"/>
            <w:hideMark/>
          </w:tcPr>
          <w:p w:rsidR="007520D6" w:rsidRDefault="007520D6">
            <w:pPr>
              <w:jc w:val="right"/>
              <w:rPr>
                <w:rFonts w:cs="Calibri"/>
                <w:color w:val="000000"/>
                <w:sz w:val="20"/>
              </w:rPr>
            </w:pPr>
            <w:r>
              <w:rPr>
                <w:rFonts w:cs="Calibri"/>
                <w:color w:val="000000"/>
                <w:sz w:val="20"/>
              </w:rPr>
              <w:t>16</w:t>
            </w:r>
          </w:p>
        </w:tc>
        <w:tc>
          <w:tcPr>
            <w:tcW w:w="733" w:type="dxa"/>
            <w:tcBorders>
              <w:top w:val="nil"/>
              <w:left w:val="nil"/>
              <w:bottom w:val="single" w:sz="4" w:space="0" w:color="auto"/>
              <w:right w:val="single" w:sz="4" w:space="0" w:color="auto"/>
            </w:tcBorders>
            <w:shd w:val="clear" w:color="auto" w:fill="auto"/>
            <w:noWrap/>
            <w:vAlign w:val="bottom"/>
            <w:hideMark/>
          </w:tcPr>
          <w:p w:rsidR="007520D6" w:rsidRDefault="007520D6">
            <w:pPr>
              <w:jc w:val="right"/>
              <w:rPr>
                <w:rFonts w:cs="Calibri"/>
                <w:color w:val="000000"/>
                <w:sz w:val="20"/>
              </w:rPr>
            </w:pPr>
            <w:r>
              <w:rPr>
                <w:rFonts w:cs="Calibri"/>
                <w:color w:val="000000"/>
                <w:sz w:val="20"/>
              </w:rPr>
              <w:t>0</w:t>
            </w:r>
          </w:p>
        </w:tc>
      </w:tr>
      <w:tr w:rsidR="007520D6" w:rsidRPr="00DD7065" w:rsidTr="00592E25">
        <w:trPr>
          <w:trHeight w:val="300"/>
        </w:trPr>
        <w:tc>
          <w:tcPr>
            <w:tcW w:w="6462" w:type="dxa"/>
            <w:tcBorders>
              <w:top w:val="nil"/>
              <w:left w:val="single" w:sz="4" w:space="0" w:color="auto"/>
              <w:bottom w:val="single" w:sz="4" w:space="0" w:color="auto"/>
              <w:right w:val="single" w:sz="4" w:space="0" w:color="auto"/>
            </w:tcBorders>
            <w:shd w:val="clear" w:color="auto" w:fill="auto"/>
            <w:vAlign w:val="bottom"/>
            <w:hideMark/>
          </w:tcPr>
          <w:p w:rsidR="007520D6" w:rsidRPr="00DD7065" w:rsidRDefault="007520D6" w:rsidP="00592E25">
            <w:pPr>
              <w:spacing w:after="0" w:line="240" w:lineRule="auto"/>
              <w:rPr>
                <w:rFonts w:eastAsia="Times New Roman" w:cs="Calibri"/>
                <w:color w:val="000000"/>
                <w:sz w:val="20"/>
              </w:rPr>
            </w:pPr>
            <w:r w:rsidRPr="00DD7065">
              <w:rPr>
                <w:rFonts w:eastAsia="Times New Roman" w:cs="Calibri"/>
                <w:b/>
                <w:bCs/>
                <w:color w:val="000000"/>
                <w:sz w:val="20"/>
              </w:rPr>
              <w:t>P</w:t>
            </w:r>
            <w:r w:rsidRPr="00DD7065">
              <w:rPr>
                <w:rFonts w:ascii="Sylfaen" w:eastAsia="Times New Roman" w:hAnsi="Sylfaen" w:cs="Sylfaen"/>
                <w:color w:val="000000"/>
                <w:sz w:val="20"/>
              </w:rPr>
              <w:t>პერინატალურპერიოდშიგანვითარებულიზოგიერთიმდგომარეობები</w:t>
            </w:r>
          </w:p>
        </w:tc>
        <w:tc>
          <w:tcPr>
            <w:tcW w:w="1273" w:type="dxa"/>
            <w:tcBorders>
              <w:top w:val="nil"/>
              <w:left w:val="nil"/>
              <w:bottom w:val="single" w:sz="4" w:space="0" w:color="auto"/>
              <w:right w:val="single" w:sz="4" w:space="0" w:color="auto"/>
            </w:tcBorders>
            <w:shd w:val="clear" w:color="auto" w:fill="auto"/>
            <w:noWrap/>
            <w:vAlign w:val="bottom"/>
            <w:hideMark/>
          </w:tcPr>
          <w:p w:rsidR="007520D6" w:rsidRDefault="007520D6">
            <w:pPr>
              <w:jc w:val="right"/>
              <w:rPr>
                <w:rFonts w:cs="Calibri"/>
                <w:color w:val="000000"/>
                <w:sz w:val="20"/>
              </w:rPr>
            </w:pPr>
            <w:r>
              <w:rPr>
                <w:rFonts w:cs="Calibri"/>
                <w:color w:val="000000"/>
                <w:sz w:val="20"/>
              </w:rPr>
              <w:t>412</w:t>
            </w:r>
          </w:p>
        </w:tc>
        <w:tc>
          <w:tcPr>
            <w:tcW w:w="780" w:type="dxa"/>
            <w:tcBorders>
              <w:top w:val="nil"/>
              <w:left w:val="nil"/>
              <w:bottom w:val="single" w:sz="4" w:space="0" w:color="auto"/>
              <w:right w:val="single" w:sz="4" w:space="0" w:color="auto"/>
            </w:tcBorders>
            <w:shd w:val="clear" w:color="auto" w:fill="auto"/>
            <w:noWrap/>
            <w:vAlign w:val="bottom"/>
            <w:hideMark/>
          </w:tcPr>
          <w:p w:rsidR="007520D6" w:rsidRDefault="007520D6">
            <w:pPr>
              <w:jc w:val="right"/>
              <w:rPr>
                <w:rFonts w:cs="Calibri"/>
                <w:color w:val="000000"/>
                <w:sz w:val="20"/>
              </w:rPr>
            </w:pPr>
            <w:r>
              <w:rPr>
                <w:rFonts w:cs="Calibri"/>
                <w:color w:val="000000"/>
                <w:sz w:val="20"/>
              </w:rPr>
              <w:t>412</w:t>
            </w:r>
          </w:p>
        </w:tc>
        <w:tc>
          <w:tcPr>
            <w:tcW w:w="733" w:type="dxa"/>
            <w:tcBorders>
              <w:top w:val="nil"/>
              <w:left w:val="nil"/>
              <w:bottom w:val="single" w:sz="4" w:space="0" w:color="auto"/>
              <w:right w:val="single" w:sz="4" w:space="0" w:color="auto"/>
            </w:tcBorders>
            <w:shd w:val="clear" w:color="auto" w:fill="auto"/>
            <w:vAlign w:val="bottom"/>
            <w:hideMark/>
          </w:tcPr>
          <w:p w:rsidR="007520D6" w:rsidRDefault="007520D6">
            <w:pPr>
              <w:jc w:val="right"/>
              <w:rPr>
                <w:rFonts w:cs="Calibri"/>
                <w:color w:val="000000"/>
                <w:sz w:val="20"/>
              </w:rPr>
            </w:pPr>
            <w:r>
              <w:rPr>
                <w:rFonts w:cs="Calibri"/>
                <w:color w:val="000000"/>
                <w:sz w:val="20"/>
              </w:rPr>
              <w:t>304</w:t>
            </w:r>
          </w:p>
        </w:tc>
        <w:tc>
          <w:tcPr>
            <w:tcW w:w="733" w:type="dxa"/>
            <w:tcBorders>
              <w:top w:val="nil"/>
              <w:left w:val="nil"/>
              <w:bottom w:val="single" w:sz="4" w:space="0" w:color="auto"/>
              <w:right w:val="single" w:sz="4" w:space="0" w:color="auto"/>
            </w:tcBorders>
            <w:shd w:val="clear" w:color="auto" w:fill="auto"/>
            <w:noWrap/>
            <w:vAlign w:val="bottom"/>
            <w:hideMark/>
          </w:tcPr>
          <w:p w:rsidR="007520D6" w:rsidRDefault="007520D6">
            <w:pPr>
              <w:jc w:val="right"/>
              <w:rPr>
                <w:rFonts w:cs="Calibri"/>
                <w:color w:val="000000"/>
                <w:sz w:val="20"/>
              </w:rPr>
            </w:pPr>
            <w:r>
              <w:rPr>
                <w:rFonts w:cs="Calibri"/>
                <w:color w:val="000000"/>
                <w:sz w:val="20"/>
              </w:rPr>
              <w:t>8</w:t>
            </w:r>
          </w:p>
        </w:tc>
        <w:tc>
          <w:tcPr>
            <w:tcW w:w="733" w:type="dxa"/>
            <w:tcBorders>
              <w:top w:val="nil"/>
              <w:left w:val="nil"/>
              <w:bottom w:val="single" w:sz="4" w:space="0" w:color="auto"/>
              <w:right w:val="single" w:sz="4" w:space="0" w:color="auto"/>
            </w:tcBorders>
            <w:shd w:val="clear" w:color="auto" w:fill="auto"/>
            <w:noWrap/>
            <w:vAlign w:val="bottom"/>
            <w:hideMark/>
          </w:tcPr>
          <w:p w:rsidR="007520D6" w:rsidRDefault="007520D6">
            <w:pPr>
              <w:jc w:val="right"/>
              <w:rPr>
                <w:rFonts w:cs="Calibri"/>
                <w:color w:val="000000"/>
                <w:sz w:val="20"/>
              </w:rPr>
            </w:pPr>
            <w:r>
              <w:rPr>
                <w:rFonts w:cs="Calibri"/>
                <w:color w:val="000000"/>
                <w:sz w:val="20"/>
              </w:rPr>
              <w:t>0</w:t>
            </w:r>
          </w:p>
        </w:tc>
      </w:tr>
      <w:tr w:rsidR="007520D6" w:rsidRPr="00DD7065" w:rsidTr="00592E25">
        <w:trPr>
          <w:trHeight w:val="300"/>
        </w:trPr>
        <w:tc>
          <w:tcPr>
            <w:tcW w:w="6462" w:type="dxa"/>
            <w:tcBorders>
              <w:top w:val="nil"/>
              <w:left w:val="single" w:sz="4" w:space="0" w:color="auto"/>
              <w:bottom w:val="single" w:sz="4" w:space="0" w:color="auto"/>
              <w:right w:val="single" w:sz="4" w:space="0" w:color="auto"/>
            </w:tcBorders>
            <w:shd w:val="clear" w:color="auto" w:fill="auto"/>
            <w:vAlign w:val="bottom"/>
            <w:hideMark/>
          </w:tcPr>
          <w:p w:rsidR="007520D6" w:rsidRPr="00DD7065" w:rsidRDefault="007520D6" w:rsidP="00592E25">
            <w:pPr>
              <w:spacing w:after="0" w:line="240" w:lineRule="auto"/>
              <w:rPr>
                <w:rFonts w:eastAsia="Times New Roman" w:cs="Calibri"/>
                <w:color w:val="000000"/>
                <w:sz w:val="20"/>
              </w:rPr>
            </w:pPr>
            <w:r w:rsidRPr="00DD7065">
              <w:rPr>
                <w:rFonts w:eastAsia="Times New Roman" w:cs="Calibri"/>
                <w:b/>
                <w:bCs/>
                <w:color w:val="000000"/>
                <w:sz w:val="20"/>
              </w:rPr>
              <w:t>S-T</w:t>
            </w:r>
            <w:r w:rsidRPr="00DD7065">
              <w:rPr>
                <w:rFonts w:ascii="Sylfaen" w:eastAsia="Times New Roman" w:hAnsi="Sylfaen" w:cs="Sylfaen"/>
                <w:color w:val="000000"/>
                <w:sz w:val="20"/>
              </w:rPr>
              <w:t>დაზიანება</w:t>
            </w:r>
            <w:r w:rsidRPr="00DD7065">
              <w:rPr>
                <w:rFonts w:eastAsia="Times New Roman" w:cs="Calibri"/>
                <w:color w:val="000000"/>
                <w:sz w:val="20"/>
              </w:rPr>
              <w:t xml:space="preserve">, </w:t>
            </w:r>
            <w:r w:rsidRPr="00DD7065">
              <w:rPr>
                <w:rFonts w:ascii="Sylfaen" w:eastAsia="Times New Roman" w:hAnsi="Sylfaen" w:cs="Sylfaen"/>
                <w:color w:val="000000"/>
                <w:sz w:val="20"/>
              </w:rPr>
              <w:t>მოწამვლადაგარემიზეზებისზემოქმედებები</w:t>
            </w:r>
          </w:p>
        </w:tc>
        <w:tc>
          <w:tcPr>
            <w:tcW w:w="1273" w:type="dxa"/>
            <w:tcBorders>
              <w:top w:val="nil"/>
              <w:left w:val="nil"/>
              <w:bottom w:val="single" w:sz="4" w:space="0" w:color="auto"/>
              <w:right w:val="single" w:sz="4" w:space="0" w:color="auto"/>
            </w:tcBorders>
            <w:shd w:val="clear" w:color="auto" w:fill="DAEEF3" w:themeFill="accent5" w:themeFillTint="33"/>
            <w:noWrap/>
            <w:vAlign w:val="bottom"/>
            <w:hideMark/>
          </w:tcPr>
          <w:p w:rsidR="007520D6" w:rsidRDefault="007520D6">
            <w:pPr>
              <w:jc w:val="right"/>
              <w:rPr>
                <w:rFonts w:cs="Calibri"/>
                <w:color w:val="000000"/>
                <w:sz w:val="20"/>
              </w:rPr>
            </w:pPr>
            <w:r>
              <w:rPr>
                <w:rFonts w:cs="Calibri"/>
                <w:color w:val="000000"/>
                <w:sz w:val="20"/>
              </w:rPr>
              <w:t>2672</w:t>
            </w:r>
          </w:p>
        </w:tc>
        <w:tc>
          <w:tcPr>
            <w:tcW w:w="780" w:type="dxa"/>
            <w:tcBorders>
              <w:top w:val="nil"/>
              <w:left w:val="nil"/>
              <w:bottom w:val="single" w:sz="4" w:space="0" w:color="auto"/>
              <w:right w:val="single" w:sz="4" w:space="0" w:color="auto"/>
            </w:tcBorders>
            <w:shd w:val="clear" w:color="auto" w:fill="DAEEF3" w:themeFill="accent5" w:themeFillTint="33"/>
            <w:noWrap/>
            <w:vAlign w:val="bottom"/>
            <w:hideMark/>
          </w:tcPr>
          <w:p w:rsidR="007520D6" w:rsidRDefault="007520D6">
            <w:pPr>
              <w:jc w:val="right"/>
              <w:rPr>
                <w:rFonts w:cs="Calibri"/>
                <w:color w:val="000000"/>
                <w:sz w:val="20"/>
              </w:rPr>
            </w:pPr>
            <w:r>
              <w:rPr>
                <w:rFonts w:cs="Calibri"/>
                <w:color w:val="000000"/>
                <w:sz w:val="20"/>
              </w:rPr>
              <w:t>2586</w:t>
            </w:r>
          </w:p>
        </w:tc>
        <w:tc>
          <w:tcPr>
            <w:tcW w:w="733" w:type="dxa"/>
            <w:tcBorders>
              <w:top w:val="nil"/>
              <w:left w:val="nil"/>
              <w:bottom w:val="single" w:sz="4" w:space="0" w:color="auto"/>
              <w:right w:val="single" w:sz="4" w:space="0" w:color="auto"/>
            </w:tcBorders>
            <w:shd w:val="clear" w:color="auto" w:fill="DAEEF3" w:themeFill="accent5" w:themeFillTint="33"/>
            <w:vAlign w:val="bottom"/>
            <w:hideMark/>
          </w:tcPr>
          <w:p w:rsidR="007520D6" w:rsidRDefault="007520D6">
            <w:pPr>
              <w:jc w:val="right"/>
              <w:rPr>
                <w:rFonts w:cs="Calibri"/>
                <w:color w:val="000000"/>
                <w:sz w:val="20"/>
              </w:rPr>
            </w:pPr>
            <w:r>
              <w:rPr>
                <w:rFonts w:cs="Calibri"/>
                <w:color w:val="000000"/>
                <w:sz w:val="20"/>
              </w:rPr>
              <w:t>1698</w:t>
            </w:r>
          </w:p>
        </w:tc>
        <w:tc>
          <w:tcPr>
            <w:tcW w:w="733" w:type="dxa"/>
            <w:tcBorders>
              <w:top w:val="nil"/>
              <w:left w:val="nil"/>
              <w:bottom w:val="single" w:sz="4" w:space="0" w:color="auto"/>
              <w:right w:val="single" w:sz="4" w:space="0" w:color="auto"/>
            </w:tcBorders>
            <w:shd w:val="clear" w:color="auto" w:fill="DAEEF3" w:themeFill="accent5" w:themeFillTint="33"/>
            <w:noWrap/>
            <w:vAlign w:val="bottom"/>
            <w:hideMark/>
          </w:tcPr>
          <w:p w:rsidR="007520D6" w:rsidRDefault="007520D6">
            <w:pPr>
              <w:jc w:val="right"/>
              <w:rPr>
                <w:rFonts w:cs="Calibri"/>
                <w:color w:val="000000"/>
                <w:sz w:val="20"/>
              </w:rPr>
            </w:pPr>
            <w:r>
              <w:rPr>
                <w:rFonts w:cs="Calibri"/>
                <w:color w:val="000000"/>
                <w:sz w:val="20"/>
              </w:rPr>
              <w:t>80</w:t>
            </w:r>
          </w:p>
        </w:tc>
        <w:tc>
          <w:tcPr>
            <w:tcW w:w="733" w:type="dxa"/>
            <w:tcBorders>
              <w:top w:val="nil"/>
              <w:left w:val="nil"/>
              <w:bottom w:val="single" w:sz="4" w:space="0" w:color="auto"/>
              <w:right w:val="single" w:sz="4" w:space="0" w:color="auto"/>
            </w:tcBorders>
            <w:shd w:val="clear" w:color="auto" w:fill="auto"/>
            <w:noWrap/>
            <w:vAlign w:val="bottom"/>
            <w:hideMark/>
          </w:tcPr>
          <w:p w:rsidR="007520D6" w:rsidRDefault="007520D6">
            <w:pPr>
              <w:jc w:val="right"/>
              <w:rPr>
                <w:rFonts w:cs="Calibri"/>
                <w:color w:val="000000"/>
                <w:sz w:val="20"/>
              </w:rPr>
            </w:pPr>
            <w:r>
              <w:rPr>
                <w:rFonts w:cs="Calibri"/>
                <w:color w:val="000000"/>
                <w:sz w:val="20"/>
              </w:rPr>
              <w:t>86</w:t>
            </w:r>
          </w:p>
        </w:tc>
      </w:tr>
      <w:tr w:rsidR="007520D6" w:rsidRPr="00DD7065" w:rsidTr="00592E25">
        <w:trPr>
          <w:trHeight w:val="300"/>
        </w:trPr>
        <w:tc>
          <w:tcPr>
            <w:tcW w:w="6462" w:type="dxa"/>
            <w:tcBorders>
              <w:top w:val="nil"/>
              <w:left w:val="single" w:sz="4" w:space="0" w:color="auto"/>
              <w:bottom w:val="single" w:sz="4" w:space="0" w:color="auto"/>
              <w:right w:val="single" w:sz="4" w:space="0" w:color="auto"/>
            </w:tcBorders>
            <w:shd w:val="clear" w:color="auto" w:fill="auto"/>
            <w:vAlign w:val="bottom"/>
            <w:hideMark/>
          </w:tcPr>
          <w:p w:rsidR="007520D6" w:rsidRPr="00DD7065" w:rsidRDefault="007520D6" w:rsidP="00592E25">
            <w:pPr>
              <w:spacing w:after="0" w:line="240" w:lineRule="auto"/>
              <w:rPr>
                <w:rFonts w:eastAsia="Times New Roman" w:cs="Calibri"/>
                <w:color w:val="000000"/>
                <w:sz w:val="20"/>
              </w:rPr>
            </w:pPr>
            <w:r w:rsidRPr="00DD7065">
              <w:rPr>
                <w:rFonts w:eastAsia="Times New Roman" w:cs="Calibri"/>
                <w:b/>
                <w:bCs/>
                <w:color w:val="000000"/>
                <w:sz w:val="20"/>
              </w:rPr>
              <w:t>Q</w:t>
            </w:r>
            <w:r w:rsidRPr="00DD7065">
              <w:rPr>
                <w:rFonts w:ascii="Sylfaen" w:eastAsia="Times New Roman" w:hAnsi="Sylfaen" w:cs="Sylfaen"/>
                <w:color w:val="000000"/>
                <w:sz w:val="20"/>
              </w:rPr>
              <w:t>თანდაყოლილიმანკები</w:t>
            </w:r>
            <w:r w:rsidRPr="00DD7065">
              <w:rPr>
                <w:rFonts w:eastAsia="Times New Roman" w:cs="Calibri"/>
                <w:color w:val="000000"/>
                <w:sz w:val="20"/>
              </w:rPr>
              <w:t xml:space="preserve">, </w:t>
            </w:r>
            <w:r w:rsidRPr="00DD7065">
              <w:rPr>
                <w:rFonts w:ascii="Sylfaen" w:eastAsia="Times New Roman" w:hAnsi="Sylfaen" w:cs="Sylfaen"/>
                <w:color w:val="000000"/>
                <w:sz w:val="20"/>
              </w:rPr>
              <w:t>დეფორმაციებიდაქრომოსომულიდარღვევები</w:t>
            </w:r>
          </w:p>
        </w:tc>
        <w:tc>
          <w:tcPr>
            <w:tcW w:w="1273" w:type="dxa"/>
            <w:tcBorders>
              <w:top w:val="nil"/>
              <w:left w:val="nil"/>
              <w:bottom w:val="single" w:sz="4" w:space="0" w:color="auto"/>
              <w:right w:val="single" w:sz="4" w:space="0" w:color="auto"/>
            </w:tcBorders>
            <w:shd w:val="clear" w:color="auto" w:fill="auto"/>
            <w:noWrap/>
            <w:vAlign w:val="bottom"/>
            <w:hideMark/>
          </w:tcPr>
          <w:p w:rsidR="007520D6" w:rsidRDefault="007520D6">
            <w:pPr>
              <w:jc w:val="right"/>
              <w:rPr>
                <w:rFonts w:cs="Calibri"/>
                <w:color w:val="000000"/>
                <w:sz w:val="20"/>
              </w:rPr>
            </w:pPr>
            <w:r>
              <w:rPr>
                <w:rFonts w:cs="Calibri"/>
                <w:color w:val="000000"/>
                <w:sz w:val="20"/>
              </w:rPr>
              <w:t>142</w:t>
            </w:r>
          </w:p>
        </w:tc>
        <w:tc>
          <w:tcPr>
            <w:tcW w:w="780" w:type="dxa"/>
            <w:tcBorders>
              <w:top w:val="nil"/>
              <w:left w:val="nil"/>
              <w:bottom w:val="single" w:sz="4" w:space="0" w:color="auto"/>
              <w:right w:val="single" w:sz="4" w:space="0" w:color="auto"/>
            </w:tcBorders>
            <w:shd w:val="clear" w:color="auto" w:fill="auto"/>
            <w:noWrap/>
            <w:vAlign w:val="bottom"/>
            <w:hideMark/>
          </w:tcPr>
          <w:p w:rsidR="007520D6" w:rsidRDefault="007520D6">
            <w:pPr>
              <w:jc w:val="right"/>
              <w:rPr>
                <w:rFonts w:cs="Calibri"/>
                <w:color w:val="000000"/>
                <w:sz w:val="20"/>
              </w:rPr>
            </w:pPr>
            <w:r>
              <w:rPr>
                <w:rFonts w:cs="Calibri"/>
                <w:color w:val="000000"/>
                <w:sz w:val="20"/>
              </w:rPr>
              <w:t>142</w:t>
            </w:r>
          </w:p>
        </w:tc>
        <w:tc>
          <w:tcPr>
            <w:tcW w:w="733" w:type="dxa"/>
            <w:tcBorders>
              <w:top w:val="nil"/>
              <w:left w:val="nil"/>
              <w:bottom w:val="single" w:sz="4" w:space="0" w:color="auto"/>
              <w:right w:val="single" w:sz="4" w:space="0" w:color="auto"/>
            </w:tcBorders>
            <w:shd w:val="clear" w:color="auto" w:fill="auto"/>
            <w:vAlign w:val="bottom"/>
            <w:hideMark/>
          </w:tcPr>
          <w:p w:rsidR="007520D6" w:rsidRDefault="007520D6">
            <w:pPr>
              <w:jc w:val="right"/>
              <w:rPr>
                <w:rFonts w:cs="Calibri"/>
                <w:color w:val="000000"/>
                <w:sz w:val="20"/>
              </w:rPr>
            </w:pPr>
            <w:r>
              <w:rPr>
                <w:rFonts w:cs="Calibri"/>
                <w:color w:val="000000"/>
                <w:sz w:val="20"/>
              </w:rPr>
              <w:t>124</w:t>
            </w:r>
          </w:p>
        </w:tc>
        <w:tc>
          <w:tcPr>
            <w:tcW w:w="733" w:type="dxa"/>
            <w:tcBorders>
              <w:top w:val="nil"/>
              <w:left w:val="nil"/>
              <w:bottom w:val="single" w:sz="4" w:space="0" w:color="auto"/>
              <w:right w:val="single" w:sz="4" w:space="0" w:color="auto"/>
            </w:tcBorders>
            <w:shd w:val="clear" w:color="auto" w:fill="auto"/>
            <w:noWrap/>
            <w:vAlign w:val="bottom"/>
            <w:hideMark/>
          </w:tcPr>
          <w:p w:rsidR="007520D6" w:rsidRDefault="007520D6">
            <w:pPr>
              <w:jc w:val="right"/>
              <w:rPr>
                <w:rFonts w:cs="Calibri"/>
                <w:color w:val="000000"/>
                <w:sz w:val="20"/>
              </w:rPr>
            </w:pPr>
            <w:r>
              <w:rPr>
                <w:rFonts w:cs="Calibri"/>
                <w:color w:val="000000"/>
                <w:sz w:val="20"/>
              </w:rPr>
              <w:t>2</w:t>
            </w:r>
          </w:p>
        </w:tc>
        <w:tc>
          <w:tcPr>
            <w:tcW w:w="733" w:type="dxa"/>
            <w:tcBorders>
              <w:top w:val="nil"/>
              <w:left w:val="nil"/>
              <w:bottom w:val="single" w:sz="4" w:space="0" w:color="auto"/>
              <w:right w:val="single" w:sz="4" w:space="0" w:color="auto"/>
            </w:tcBorders>
            <w:shd w:val="clear" w:color="auto" w:fill="auto"/>
            <w:noWrap/>
            <w:vAlign w:val="bottom"/>
            <w:hideMark/>
          </w:tcPr>
          <w:p w:rsidR="007520D6" w:rsidRDefault="007520D6">
            <w:pPr>
              <w:jc w:val="right"/>
              <w:rPr>
                <w:rFonts w:cs="Calibri"/>
                <w:color w:val="000000"/>
                <w:sz w:val="20"/>
              </w:rPr>
            </w:pPr>
            <w:r>
              <w:rPr>
                <w:rFonts w:cs="Calibri"/>
                <w:color w:val="000000"/>
                <w:sz w:val="20"/>
              </w:rPr>
              <w:t>0</w:t>
            </w:r>
          </w:p>
        </w:tc>
      </w:tr>
      <w:tr w:rsidR="007520D6" w:rsidRPr="00DD7065" w:rsidTr="00592E25">
        <w:trPr>
          <w:trHeight w:val="525"/>
        </w:trPr>
        <w:tc>
          <w:tcPr>
            <w:tcW w:w="6462" w:type="dxa"/>
            <w:tcBorders>
              <w:top w:val="nil"/>
              <w:left w:val="single" w:sz="4" w:space="0" w:color="auto"/>
              <w:bottom w:val="single" w:sz="4" w:space="0" w:color="auto"/>
              <w:right w:val="single" w:sz="4" w:space="0" w:color="auto"/>
            </w:tcBorders>
            <w:shd w:val="clear" w:color="auto" w:fill="auto"/>
            <w:vAlign w:val="bottom"/>
            <w:hideMark/>
          </w:tcPr>
          <w:p w:rsidR="007520D6" w:rsidRPr="00DD7065" w:rsidRDefault="007520D6" w:rsidP="00592E25">
            <w:pPr>
              <w:spacing w:after="0" w:line="240" w:lineRule="auto"/>
              <w:rPr>
                <w:rFonts w:eastAsia="Times New Roman" w:cs="Calibri"/>
                <w:color w:val="000000"/>
                <w:sz w:val="20"/>
              </w:rPr>
            </w:pPr>
            <w:r w:rsidRPr="00DD7065">
              <w:rPr>
                <w:rFonts w:eastAsia="Times New Roman" w:cs="Calibri"/>
                <w:b/>
                <w:bCs/>
                <w:color w:val="000000"/>
                <w:sz w:val="20"/>
              </w:rPr>
              <w:t>R</w:t>
            </w:r>
            <w:r w:rsidRPr="00DD7065">
              <w:rPr>
                <w:rFonts w:ascii="Sylfaen" w:eastAsia="Times New Roman" w:hAnsi="Sylfaen" w:cs="Sylfaen"/>
                <w:color w:val="000000"/>
                <w:sz w:val="20"/>
              </w:rPr>
              <w:t>სიმპტომები</w:t>
            </w:r>
            <w:r w:rsidRPr="00DD7065">
              <w:rPr>
                <w:rFonts w:eastAsia="Times New Roman" w:cs="Calibri"/>
                <w:color w:val="000000"/>
                <w:sz w:val="20"/>
              </w:rPr>
              <w:t xml:space="preserve">, </w:t>
            </w:r>
            <w:r w:rsidRPr="00DD7065">
              <w:rPr>
                <w:rFonts w:ascii="Sylfaen" w:eastAsia="Times New Roman" w:hAnsi="Sylfaen" w:cs="Sylfaen"/>
                <w:color w:val="000000"/>
                <w:sz w:val="20"/>
              </w:rPr>
              <w:t>ნიშნებიდანორმიდანგადახრილიკლინიკურიდალაბორატორიულიმონაცემები</w:t>
            </w:r>
            <w:r w:rsidRPr="00DD7065">
              <w:rPr>
                <w:rFonts w:eastAsia="Times New Roman" w:cs="Calibri"/>
                <w:color w:val="000000"/>
                <w:sz w:val="20"/>
              </w:rPr>
              <w:t xml:space="preserve">, </w:t>
            </w:r>
            <w:r w:rsidRPr="00DD7065">
              <w:rPr>
                <w:rFonts w:ascii="Sylfaen" w:eastAsia="Times New Roman" w:hAnsi="Sylfaen" w:cs="Sylfaen"/>
                <w:color w:val="000000"/>
                <w:sz w:val="20"/>
              </w:rPr>
              <w:t>რომლებიცარარისშეტანილისხვაკლასიფიკაციებში</w:t>
            </w:r>
          </w:p>
        </w:tc>
        <w:tc>
          <w:tcPr>
            <w:tcW w:w="1273" w:type="dxa"/>
            <w:tcBorders>
              <w:top w:val="nil"/>
              <w:left w:val="nil"/>
              <w:bottom w:val="single" w:sz="4" w:space="0" w:color="auto"/>
              <w:right w:val="single" w:sz="4" w:space="0" w:color="auto"/>
            </w:tcBorders>
            <w:shd w:val="clear" w:color="auto" w:fill="auto"/>
            <w:noWrap/>
            <w:vAlign w:val="bottom"/>
            <w:hideMark/>
          </w:tcPr>
          <w:p w:rsidR="007520D6" w:rsidRDefault="007520D6">
            <w:pPr>
              <w:jc w:val="right"/>
              <w:rPr>
                <w:rFonts w:cs="Calibri"/>
                <w:color w:val="000000"/>
                <w:sz w:val="20"/>
              </w:rPr>
            </w:pPr>
            <w:r>
              <w:rPr>
                <w:rFonts w:cs="Calibri"/>
                <w:color w:val="000000"/>
                <w:sz w:val="20"/>
              </w:rPr>
              <w:t>1782</w:t>
            </w:r>
          </w:p>
        </w:tc>
        <w:tc>
          <w:tcPr>
            <w:tcW w:w="780" w:type="dxa"/>
            <w:tcBorders>
              <w:top w:val="nil"/>
              <w:left w:val="nil"/>
              <w:bottom w:val="single" w:sz="4" w:space="0" w:color="auto"/>
              <w:right w:val="single" w:sz="4" w:space="0" w:color="auto"/>
            </w:tcBorders>
            <w:shd w:val="clear" w:color="auto" w:fill="auto"/>
            <w:noWrap/>
            <w:vAlign w:val="bottom"/>
            <w:hideMark/>
          </w:tcPr>
          <w:p w:rsidR="007520D6" w:rsidRDefault="007520D6">
            <w:pPr>
              <w:jc w:val="right"/>
              <w:rPr>
                <w:rFonts w:cs="Calibri"/>
                <w:color w:val="000000"/>
                <w:sz w:val="20"/>
              </w:rPr>
            </w:pPr>
            <w:r>
              <w:rPr>
                <w:rFonts w:cs="Calibri"/>
                <w:color w:val="000000"/>
                <w:sz w:val="20"/>
              </w:rPr>
              <w:t>1770</w:t>
            </w:r>
          </w:p>
        </w:tc>
        <w:tc>
          <w:tcPr>
            <w:tcW w:w="733" w:type="dxa"/>
            <w:tcBorders>
              <w:top w:val="nil"/>
              <w:left w:val="nil"/>
              <w:bottom w:val="single" w:sz="4" w:space="0" w:color="auto"/>
              <w:right w:val="single" w:sz="4" w:space="0" w:color="auto"/>
            </w:tcBorders>
            <w:shd w:val="clear" w:color="auto" w:fill="auto"/>
            <w:vAlign w:val="bottom"/>
            <w:hideMark/>
          </w:tcPr>
          <w:p w:rsidR="007520D6" w:rsidRDefault="007520D6">
            <w:pPr>
              <w:jc w:val="right"/>
              <w:rPr>
                <w:rFonts w:cs="Calibri"/>
                <w:color w:val="000000"/>
                <w:sz w:val="20"/>
              </w:rPr>
            </w:pPr>
            <w:r>
              <w:rPr>
                <w:rFonts w:cs="Calibri"/>
                <w:color w:val="000000"/>
                <w:sz w:val="20"/>
              </w:rPr>
              <w:t>1124</w:t>
            </w:r>
          </w:p>
        </w:tc>
        <w:tc>
          <w:tcPr>
            <w:tcW w:w="733" w:type="dxa"/>
            <w:tcBorders>
              <w:top w:val="nil"/>
              <w:left w:val="nil"/>
              <w:bottom w:val="single" w:sz="4" w:space="0" w:color="auto"/>
              <w:right w:val="single" w:sz="4" w:space="0" w:color="auto"/>
            </w:tcBorders>
            <w:shd w:val="clear" w:color="auto" w:fill="auto"/>
            <w:noWrap/>
            <w:vAlign w:val="bottom"/>
            <w:hideMark/>
          </w:tcPr>
          <w:p w:rsidR="007520D6" w:rsidRDefault="007520D6">
            <w:pPr>
              <w:jc w:val="right"/>
              <w:rPr>
                <w:rFonts w:cs="Calibri"/>
                <w:color w:val="000000"/>
                <w:sz w:val="20"/>
              </w:rPr>
            </w:pPr>
            <w:r>
              <w:rPr>
                <w:rFonts w:cs="Calibri"/>
                <w:color w:val="000000"/>
                <w:sz w:val="20"/>
              </w:rPr>
              <w:t>156</w:t>
            </w:r>
          </w:p>
        </w:tc>
        <w:tc>
          <w:tcPr>
            <w:tcW w:w="733" w:type="dxa"/>
            <w:tcBorders>
              <w:top w:val="nil"/>
              <w:left w:val="nil"/>
              <w:bottom w:val="single" w:sz="4" w:space="0" w:color="auto"/>
              <w:right w:val="single" w:sz="4" w:space="0" w:color="auto"/>
            </w:tcBorders>
            <w:shd w:val="clear" w:color="auto" w:fill="auto"/>
            <w:noWrap/>
            <w:vAlign w:val="bottom"/>
            <w:hideMark/>
          </w:tcPr>
          <w:p w:rsidR="007520D6" w:rsidRDefault="007520D6">
            <w:pPr>
              <w:jc w:val="right"/>
              <w:rPr>
                <w:rFonts w:cs="Calibri"/>
                <w:color w:val="000000"/>
                <w:sz w:val="20"/>
              </w:rPr>
            </w:pPr>
            <w:r>
              <w:rPr>
                <w:rFonts w:cs="Calibri"/>
                <w:color w:val="000000"/>
                <w:sz w:val="20"/>
              </w:rPr>
              <w:t>12</w:t>
            </w:r>
          </w:p>
        </w:tc>
      </w:tr>
      <w:tr w:rsidR="007520D6" w:rsidRPr="00DD7065" w:rsidTr="00592E25">
        <w:trPr>
          <w:trHeight w:val="525"/>
        </w:trPr>
        <w:tc>
          <w:tcPr>
            <w:tcW w:w="6462" w:type="dxa"/>
            <w:tcBorders>
              <w:top w:val="nil"/>
              <w:left w:val="single" w:sz="4" w:space="0" w:color="auto"/>
              <w:bottom w:val="single" w:sz="4" w:space="0" w:color="auto"/>
              <w:right w:val="single" w:sz="4" w:space="0" w:color="auto"/>
            </w:tcBorders>
            <w:shd w:val="clear" w:color="auto" w:fill="auto"/>
            <w:vAlign w:val="bottom"/>
            <w:hideMark/>
          </w:tcPr>
          <w:p w:rsidR="007520D6" w:rsidRPr="00DD7065" w:rsidRDefault="007520D6" w:rsidP="00592E25">
            <w:pPr>
              <w:spacing w:after="0" w:line="240" w:lineRule="auto"/>
              <w:rPr>
                <w:rFonts w:eastAsia="Times New Roman" w:cs="Calibri"/>
                <w:color w:val="000000"/>
                <w:sz w:val="20"/>
              </w:rPr>
            </w:pPr>
            <w:r w:rsidRPr="00DD7065">
              <w:rPr>
                <w:rFonts w:eastAsia="Times New Roman" w:cs="Calibri"/>
                <w:b/>
                <w:bCs/>
                <w:color w:val="000000"/>
                <w:sz w:val="20"/>
              </w:rPr>
              <w:t>Z</w:t>
            </w:r>
            <w:r w:rsidRPr="00DD7065">
              <w:rPr>
                <w:rFonts w:ascii="Sylfaen" w:eastAsia="Times New Roman" w:hAnsi="Sylfaen" w:cs="Sylfaen"/>
                <w:color w:val="000000"/>
                <w:sz w:val="20"/>
              </w:rPr>
              <w:t>ფაქტორები</w:t>
            </w:r>
            <w:r w:rsidRPr="00DD7065">
              <w:rPr>
                <w:rFonts w:eastAsia="Times New Roman" w:cs="Calibri"/>
                <w:color w:val="000000"/>
                <w:sz w:val="20"/>
              </w:rPr>
              <w:t xml:space="preserve">, </w:t>
            </w:r>
            <w:r w:rsidRPr="00DD7065">
              <w:rPr>
                <w:rFonts w:ascii="Sylfaen" w:eastAsia="Times New Roman" w:hAnsi="Sylfaen" w:cs="Sylfaen"/>
                <w:color w:val="000000"/>
                <w:sz w:val="20"/>
              </w:rPr>
              <w:t>რომლებიცმოქმედებსჯანმრთელობისმდგომარეობაზედადაკავშირებულიასამედიცინოსამსახურთან</w:t>
            </w:r>
          </w:p>
        </w:tc>
        <w:tc>
          <w:tcPr>
            <w:tcW w:w="1273" w:type="dxa"/>
            <w:tcBorders>
              <w:top w:val="nil"/>
              <w:left w:val="nil"/>
              <w:bottom w:val="single" w:sz="4" w:space="0" w:color="auto"/>
              <w:right w:val="single" w:sz="4" w:space="0" w:color="auto"/>
            </w:tcBorders>
            <w:shd w:val="clear" w:color="auto" w:fill="auto"/>
            <w:noWrap/>
            <w:vAlign w:val="bottom"/>
            <w:hideMark/>
          </w:tcPr>
          <w:p w:rsidR="007520D6" w:rsidRDefault="007520D6">
            <w:pPr>
              <w:jc w:val="right"/>
              <w:rPr>
                <w:rFonts w:cs="Calibri"/>
                <w:color w:val="000000"/>
                <w:sz w:val="20"/>
              </w:rPr>
            </w:pPr>
            <w:r>
              <w:rPr>
                <w:rFonts w:cs="Calibri"/>
                <w:color w:val="000000"/>
                <w:sz w:val="20"/>
              </w:rPr>
              <w:t>144</w:t>
            </w:r>
          </w:p>
        </w:tc>
        <w:tc>
          <w:tcPr>
            <w:tcW w:w="780" w:type="dxa"/>
            <w:tcBorders>
              <w:top w:val="nil"/>
              <w:left w:val="nil"/>
              <w:bottom w:val="single" w:sz="4" w:space="0" w:color="auto"/>
              <w:right w:val="single" w:sz="4" w:space="0" w:color="auto"/>
            </w:tcBorders>
            <w:shd w:val="clear" w:color="auto" w:fill="auto"/>
            <w:noWrap/>
            <w:vAlign w:val="bottom"/>
            <w:hideMark/>
          </w:tcPr>
          <w:p w:rsidR="007520D6" w:rsidRDefault="007520D6">
            <w:pPr>
              <w:jc w:val="right"/>
              <w:rPr>
                <w:rFonts w:cs="Calibri"/>
                <w:color w:val="000000"/>
                <w:sz w:val="20"/>
              </w:rPr>
            </w:pPr>
            <w:r>
              <w:rPr>
                <w:rFonts w:cs="Calibri"/>
                <w:color w:val="000000"/>
                <w:sz w:val="20"/>
              </w:rPr>
              <w:t>140</w:t>
            </w:r>
          </w:p>
        </w:tc>
        <w:tc>
          <w:tcPr>
            <w:tcW w:w="733" w:type="dxa"/>
            <w:tcBorders>
              <w:top w:val="nil"/>
              <w:left w:val="nil"/>
              <w:bottom w:val="single" w:sz="4" w:space="0" w:color="auto"/>
              <w:right w:val="single" w:sz="4" w:space="0" w:color="auto"/>
            </w:tcBorders>
            <w:shd w:val="clear" w:color="auto" w:fill="auto"/>
            <w:vAlign w:val="bottom"/>
            <w:hideMark/>
          </w:tcPr>
          <w:p w:rsidR="007520D6" w:rsidRDefault="007520D6">
            <w:pPr>
              <w:jc w:val="right"/>
              <w:rPr>
                <w:rFonts w:cs="Calibri"/>
                <w:color w:val="000000"/>
                <w:sz w:val="20"/>
              </w:rPr>
            </w:pPr>
            <w:r>
              <w:rPr>
                <w:rFonts w:cs="Calibri"/>
                <w:color w:val="000000"/>
                <w:sz w:val="20"/>
              </w:rPr>
              <w:t>62</w:t>
            </w:r>
          </w:p>
        </w:tc>
        <w:tc>
          <w:tcPr>
            <w:tcW w:w="733" w:type="dxa"/>
            <w:tcBorders>
              <w:top w:val="nil"/>
              <w:left w:val="nil"/>
              <w:bottom w:val="single" w:sz="4" w:space="0" w:color="auto"/>
              <w:right w:val="single" w:sz="4" w:space="0" w:color="auto"/>
            </w:tcBorders>
            <w:shd w:val="clear" w:color="auto" w:fill="auto"/>
            <w:noWrap/>
            <w:vAlign w:val="bottom"/>
            <w:hideMark/>
          </w:tcPr>
          <w:p w:rsidR="007520D6" w:rsidRDefault="007520D6">
            <w:pPr>
              <w:jc w:val="right"/>
              <w:rPr>
                <w:rFonts w:cs="Calibri"/>
                <w:color w:val="000000"/>
                <w:sz w:val="20"/>
              </w:rPr>
            </w:pPr>
            <w:r>
              <w:rPr>
                <w:rFonts w:cs="Calibri"/>
                <w:color w:val="000000"/>
                <w:sz w:val="20"/>
              </w:rPr>
              <w:t>40</w:t>
            </w:r>
          </w:p>
        </w:tc>
        <w:tc>
          <w:tcPr>
            <w:tcW w:w="733" w:type="dxa"/>
            <w:tcBorders>
              <w:top w:val="nil"/>
              <w:left w:val="nil"/>
              <w:bottom w:val="single" w:sz="4" w:space="0" w:color="auto"/>
              <w:right w:val="single" w:sz="4" w:space="0" w:color="auto"/>
            </w:tcBorders>
            <w:shd w:val="clear" w:color="auto" w:fill="auto"/>
            <w:noWrap/>
            <w:vAlign w:val="bottom"/>
            <w:hideMark/>
          </w:tcPr>
          <w:p w:rsidR="007520D6" w:rsidRDefault="007520D6">
            <w:pPr>
              <w:jc w:val="right"/>
              <w:rPr>
                <w:rFonts w:cs="Calibri"/>
                <w:color w:val="000000"/>
                <w:sz w:val="20"/>
              </w:rPr>
            </w:pPr>
            <w:r>
              <w:rPr>
                <w:rFonts w:cs="Calibri"/>
                <w:color w:val="000000"/>
                <w:sz w:val="20"/>
              </w:rPr>
              <w:t>4</w:t>
            </w:r>
          </w:p>
        </w:tc>
      </w:tr>
      <w:tr w:rsidR="007520D6" w:rsidRPr="00DD7065" w:rsidTr="00592E25">
        <w:trPr>
          <w:trHeight w:val="300"/>
        </w:trPr>
        <w:tc>
          <w:tcPr>
            <w:tcW w:w="6462" w:type="dxa"/>
            <w:tcBorders>
              <w:top w:val="nil"/>
              <w:left w:val="single" w:sz="4" w:space="0" w:color="auto"/>
              <w:bottom w:val="single" w:sz="4" w:space="0" w:color="auto"/>
              <w:right w:val="single" w:sz="4" w:space="0" w:color="auto"/>
            </w:tcBorders>
            <w:shd w:val="clear" w:color="auto" w:fill="auto"/>
            <w:vAlign w:val="bottom"/>
            <w:hideMark/>
          </w:tcPr>
          <w:p w:rsidR="007520D6" w:rsidRPr="00DD7065" w:rsidRDefault="007520D6" w:rsidP="00592E25">
            <w:pPr>
              <w:spacing w:after="0" w:line="240" w:lineRule="auto"/>
              <w:rPr>
                <w:rFonts w:eastAsia="Times New Roman" w:cs="Calibri"/>
                <w:color w:val="000000"/>
                <w:sz w:val="20"/>
              </w:rPr>
            </w:pPr>
            <w:r w:rsidRPr="00DD7065">
              <w:rPr>
                <w:rFonts w:eastAsia="Times New Roman" w:cs="Calibri"/>
                <w:b/>
                <w:bCs/>
                <w:color w:val="000000"/>
                <w:sz w:val="20"/>
              </w:rPr>
              <w:t xml:space="preserve">W-Y-X </w:t>
            </w:r>
            <w:r w:rsidRPr="00DD7065">
              <w:rPr>
                <w:rFonts w:ascii="Sylfaen" w:eastAsia="Times New Roman" w:hAnsi="Sylfaen" w:cs="Sylfaen"/>
                <w:color w:val="000000"/>
                <w:sz w:val="20"/>
              </w:rPr>
              <w:t>ავადობისადასიკვდილიანობისგარემიზეზები</w:t>
            </w:r>
          </w:p>
        </w:tc>
        <w:tc>
          <w:tcPr>
            <w:tcW w:w="1273" w:type="dxa"/>
            <w:tcBorders>
              <w:top w:val="nil"/>
              <w:left w:val="nil"/>
              <w:bottom w:val="single" w:sz="4" w:space="0" w:color="auto"/>
              <w:right w:val="single" w:sz="4" w:space="0" w:color="auto"/>
            </w:tcBorders>
            <w:shd w:val="clear" w:color="auto" w:fill="auto"/>
            <w:noWrap/>
            <w:vAlign w:val="bottom"/>
            <w:hideMark/>
          </w:tcPr>
          <w:p w:rsidR="007520D6" w:rsidRDefault="007520D6">
            <w:pPr>
              <w:jc w:val="right"/>
              <w:rPr>
                <w:rFonts w:cs="Calibri"/>
                <w:color w:val="000000"/>
                <w:sz w:val="20"/>
              </w:rPr>
            </w:pPr>
            <w:r>
              <w:rPr>
                <w:rFonts w:cs="Calibri"/>
                <w:color w:val="000000"/>
                <w:sz w:val="20"/>
              </w:rPr>
              <w:t>328</w:t>
            </w:r>
          </w:p>
        </w:tc>
        <w:tc>
          <w:tcPr>
            <w:tcW w:w="780" w:type="dxa"/>
            <w:tcBorders>
              <w:top w:val="nil"/>
              <w:left w:val="nil"/>
              <w:bottom w:val="single" w:sz="4" w:space="0" w:color="auto"/>
              <w:right w:val="single" w:sz="4" w:space="0" w:color="auto"/>
            </w:tcBorders>
            <w:shd w:val="clear" w:color="auto" w:fill="auto"/>
            <w:noWrap/>
            <w:vAlign w:val="bottom"/>
            <w:hideMark/>
          </w:tcPr>
          <w:p w:rsidR="007520D6" w:rsidRDefault="007520D6">
            <w:pPr>
              <w:jc w:val="right"/>
              <w:rPr>
                <w:rFonts w:cs="Calibri"/>
                <w:color w:val="000000"/>
                <w:sz w:val="20"/>
              </w:rPr>
            </w:pPr>
            <w:r>
              <w:rPr>
                <w:rFonts w:cs="Calibri"/>
                <w:color w:val="000000"/>
                <w:sz w:val="20"/>
              </w:rPr>
              <w:t>308</w:t>
            </w:r>
          </w:p>
        </w:tc>
        <w:tc>
          <w:tcPr>
            <w:tcW w:w="733" w:type="dxa"/>
            <w:tcBorders>
              <w:top w:val="nil"/>
              <w:left w:val="nil"/>
              <w:bottom w:val="single" w:sz="4" w:space="0" w:color="auto"/>
              <w:right w:val="single" w:sz="4" w:space="0" w:color="auto"/>
            </w:tcBorders>
            <w:shd w:val="clear" w:color="auto" w:fill="auto"/>
            <w:vAlign w:val="bottom"/>
            <w:hideMark/>
          </w:tcPr>
          <w:p w:rsidR="007520D6" w:rsidRDefault="007520D6">
            <w:pPr>
              <w:jc w:val="right"/>
              <w:rPr>
                <w:rFonts w:cs="Calibri"/>
                <w:color w:val="000000"/>
                <w:sz w:val="20"/>
              </w:rPr>
            </w:pPr>
            <w:r>
              <w:rPr>
                <w:rFonts w:cs="Calibri"/>
                <w:color w:val="000000"/>
                <w:sz w:val="20"/>
              </w:rPr>
              <w:t>166</w:t>
            </w:r>
          </w:p>
        </w:tc>
        <w:tc>
          <w:tcPr>
            <w:tcW w:w="733" w:type="dxa"/>
            <w:tcBorders>
              <w:top w:val="nil"/>
              <w:left w:val="nil"/>
              <w:bottom w:val="single" w:sz="4" w:space="0" w:color="auto"/>
              <w:right w:val="single" w:sz="4" w:space="0" w:color="auto"/>
            </w:tcBorders>
            <w:shd w:val="clear" w:color="auto" w:fill="auto"/>
            <w:noWrap/>
            <w:vAlign w:val="bottom"/>
            <w:hideMark/>
          </w:tcPr>
          <w:p w:rsidR="007520D6" w:rsidRDefault="007520D6">
            <w:pPr>
              <w:jc w:val="right"/>
              <w:rPr>
                <w:rFonts w:cs="Calibri"/>
                <w:color w:val="000000"/>
                <w:sz w:val="20"/>
              </w:rPr>
            </w:pPr>
            <w:r>
              <w:rPr>
                <w:rFonts w:cs="Calibri"/>
                <w:color w:val="000000"/>
                <w:sz w:val="20"/>
              </w:rPr>
              <w:t>76</w:t>
            </w:r>
          </w:p>
        </w:tc>
        <w:tc>
          <w:tcPr>
            <w:tcW w:w="733" w:type="dxa"/>
            <w:tcBorders>
              <w:top w:val="nil"/>
              <w:left w:val="nil"/>
              <w:bottom w:val="single" w:sz="4" w:space="0" w:color="auto"/>
              <w:right w:val="single" w:sz="4" w:space="0" w:color="auto"/>
            </w:tcBorders>
            <w:shd w:val="clear" w:color="auto" w:fill="auto"/>
            <w:noWrap/>
            <w:vAlign w:val="bottom"/>
            <w:hideMark/>
          </w:tcPr>
          <w:p w:rsidR="007520D6" w:rsidRDefault="007520D6">
            <w:pPr>
              <w:jc w:val="right"/>
              <w:rPr>
                <w:rFonts w:cs="Calibri"/>
                <w:color w:val="000000"/>
                <w:sz w:val="20"/>
              </w:rPr>
            </w:pPr>
            <w:r>
              <w:rPr>
                <w:rFonts w:cs="Calibri"/>
                <w:color w:val="000000"/>
                <w:sz w:val="20"/>
              </w:rPr>
              <w:t>20</w:t>
            </w:r>
          </w:p>
        </w:tc>
      </w:tr>
      <w:tr w:rsidR="007520D6" w:rsidRPr="00DD7065" w:rsidTr="00592E25">
        <w:trPr>
          <w:trHeight w:val="300"/>
        </w:trPr>
        <w:tc>
          <w:tcPr>
            <w:tcW w:w="6462" w:type="dxa"/>
            <w:tcBorders>
              <w:top w:val="nil"/>
              <w:left w:val="single" w:sz="4" w:space="0" w:color="auto"/>
              <w:bottom w:val="single" w:sz="4" w:space="0" w:color="auto"/>
              <w:right w:val="single" w:sz="4" w:space="0" w:color="auto"/>
            </w:tcBorders>
            <w:shd w:val="clear" w:color="auto" w:fill="auto"/>
            <w:noWrap/>
            <w:vAlign w:val="bottom"/>
            <w:hideMark/>
          </w:tcPr>
          <w:p w:rsidR="007520D6" w:rsidRPr="00DD7065" w:rsidRDefault="007520D6" w:rsidP="00592E25">
            <w:pPr>
              <w:spacing w:after="0" w:line="240" w:lineRule="auto"/>
              <w:rPr>
                <w:rFonts w:ascii="Sylfaen" w:eastAsia="Times New Roman" w:hAnsi="Sylfaen" w:cs="Calibri"/>
                <w:b/>
                <w:i/>
                <w:color w:val="000000"/>
                <w:sz w:val="20"/>
                <w:lang w:val="ka-GE"/>
              </w:rPr>
            </w:pPr>
            <w:r w:rsidRPr="00DD7065">
              <w:rPr>
                <w:rFonts w:eastAsia="Times New Roman" w:cs="Calibri"/>
                <w:b/>
                <w:i/>
                <w:color w:val="000000"/>
                <w:sz w:val="20"/>
              </w:rPr>
              <w:t> </w:t>
            </w:r>
            <w:r w:rsidRPr="00DD7065">
              <w:rPr>
                <w:rFonts w:ascii="Sylfaen" w:eastAsia="Times New Roman" w:hAnsi="Sylfaen" w:cs="Calibri"/>
                <w:b/>
                <w:i/>
                <w:color w:val="000000"/>
                <w:sz w:val="20"/>
                <w:lang w:val="ka-GE"/>
              </w:rPr>
              <w:t>სულ</w:t>
            </w:r>
          </w:p>
        </w:tc>
        <w:tc>
          <w:tcPr>
            <w:tcW w:w="1273" w:type="dxa"/>
            <w:tcBorders>
              <w:top w:val="nil"/>
              <w:left w:val="nil"/>
              <w:bottom w:val="single" w:sz="4" w:space="0" w:color="auto"/>
              <w:right w:val="single" w:sz="4" w:space="0" w:color="auto"/>
            </w:tcBorders>
            <w:shd w:val="clear" w:color="auto" w:fill="auto"/>
            <w:noWrap/>
            <w:vAlign w:val="bottom"/>
            <w:hideMark/>
          </w:tcPr>
          <w:p w:rsidR="007520D6" w:rsidRDefault="007520D6">
            <w:pPr>
              <w:jc w:val="right"/>
              <w:rPr>
                <w:rFonts w:cs="Calibri"/>
                <w:b/>
                <w:bCs/>
                <w:i/>
                <w:iCs/>
                <w:color w:val="000000"/>
                <w:sz w:val="20"/>
              </w:rPr>
            </w:pPr>
            <w:r>
              <w:rPr>
                <w:rFonts w:cs="Calibri"/>
                <w:b/>
                <w:bCs/>
                <w:i/>
                <w:iCs/>
                <w:color w:val="000000"/>
                <w:sz w:val="20"/>
              </w:rPr>
              <w:t>20308</w:t>
            </w:r>
          </w:p>
        </w:tc>
        <w:tc>
          <w:tcPr>
            <w:tcW w:w="780" w:type="dxa"/>
            <w:tcBorders>
              <w:top w:val="nil"/>
              <w:left w:val="nil"/>
              <w:bottom w:val="single" w:sz="4" w:space="0" w:color="auto"/>
              <w:right w:val="single" w:sz="4" w:space="0" w:color="auto"/>
            </w:tcBorders>
            <w:shd w:val="clear" w:color="auto" w:fill="auto"/>
            <w:noWrap/>
            <w:vAlign w:val="bottom"/>
            <w:hideMark/>
          </w:tcPr>
          <w:p w:rsidR="007520D6" w:rsidRDefault="007520D6">
            <w:pPr>
              <w:jc w:val="right"/>
              <w:rPr>
                <w:rFonts w:cs="Calibri"/>
                <w:b/>
                <w:bCs/>
                <w:i/>
                <w:iCs/>
                <w:color w:val="000000"/>
                <w:sz w:val="20"/>
              </w:rPr>
            </w:pPr>
            <w:r>
              <w:rPr>
                <w:rFonts w:cs="Calibri"/>
                <w:b/>
                <w:bCs/>
                <w:i/>
                <w:iCs/>
                <w:color w:val="000000"/>
                <w:sz w:val="20"/>
              </w:rPr>
              <w:t>20142</w:t>
            </w:r>
          </w:p>
        </w:tc>
        <w:tc>
          <w:tcPr>
            <w:tcW w:w="733" w:type="dxa"/>
            <w:tcBorders>
              <w:top w:val="nil"/>
              <w:left w:val="nil"/>
              <w:bottom w:val="single" w:sz="4" w:space="0" w:color="auto"/>
              <w:right w:val="single" w:sz="4" w:space="0" w:color="auto"/>
            </w:tcBorders>
            <w:shd w:val="clear" w:color="auto" w:fill="auto"/>
            <w:noWrap/>
            <w:vAlign w:val="bottom"/>
            <w:hideMark/>
          </w:tcPr>
          <w:p w:rsidR="007520D6" w:rsidRDefault="007520D6">
            <w:pPr>
              <w:jc w:val="right"/>
              <w:rPr>
                <w:rFonts w:cs="Calibri"/>
                <w:b/>
                <w:bCs/>
                <w:i/>
                <w:iCs/>
                <w:color w:val="000000"/>
                <w:sz w:val="20"/>
              </w:rPr>
            </w:pPr>
            <w:r>
              <w:rPr>
                <w:rFonts w:cs="Calibri"/>
                <w:b/>
                <w:bCs/>
                <w:i/>
                <w:iCs/>
                <w:color w:val="000000"/>
                <w:sz w:val="20"/>
              </w:rPr>
              <w:t>13786</w:t>
            </w:r>
          </w:p>
        </w:tc>
        <w:tc>
          <w:tcPr>
            <w:tcW w:w="733" w:type="dxa"/>
            <w:tcBorders>
              <w:top w:val="nil"/>
              <w:left w:val="nil"/>
              <w:bottom w:val="single" w:sz="4" w:space="0" w:color="auto"/>
              <w:right w:val="single" w:sz="4" w:space="0" w:color="auto"/>
            </w:tcBorders>
            <w:shd w:val="clear" w:color="auto" w:fill="auto"/>
            <w:noWrap/>
            <w:vAlign w:val="bottom"/>
            <w:hideMark/>
          </w:tcPr>
          <w:p w:rsidR="007520D6" w:rsidRDefault="007520D6">
            <w:pPr>
              <w:jc w:val="right"/>
              <w:rPr>
                <w:rFonts w:cs="Calibri"/>
                <w:b/>
                <w:bCs/>
                <w:i/>
                <w:iCs/>
                <w:color w:val="000000"/>
                <w:sz w:val="20"/>
              </w:rPr>
            </w:pPr>
            <w:r>
              <w:rPr>
                <w:rFonts w:cs="Calibri"/>
                <w:b/>
                <w:bCs/>
                <w:i/>
                <w:iCs/>
                <w:color w:val="000000"/>
                <w:sz w:val="20"/>
              </w:rPr>
              <w:t>908</w:t>
            </w:r>
          </w:p>
        </w:tc>
        <w:tc>
          <w:tcPr>
            <w:tcW w:w="733" w:type="dxa"/>
            <w:tcBorders>
              <w:top w:val="nil"/>
              <w:left w:val="nil"/>
              <w:bottom w:val="single" w:sz="4" w:space="0" w:color="auto"/>
              <w:right w:val="single" w:sz="4" w:space="0" w:color="auto"/>
            </w:tcBorders>
            <w:shd w:val="clear" w:color="auto" w:fill="auto"/>
            <w:noWrap/>
            <w:vAlign w:val="bottom"/>
            <w:hideMark/>
          </w:tcPr>
          <w:p w:rsidR="007520D6" w:rsidRDefault="007520D6">
            <w:pPr>
              <w:jc w:val="right"/>
              <w:rPr>
                <w:rFonts w:cs="Calibri"/>
                <w:b/>
                <w:bCs/>
                <w:i/>
                <w:iCs/>
                <w:color w:val="000000"/>
                <w:sz w:val="20"/>
              </w:rPr>
            </w:pPr>
            <w:r>
              <w:rPr>
                <w:rFonts w:cs="Calibri"/>
                <w:b/>
                <w:bCs/>
                <w:i/>
                <w:iCs/>
                <w:color w:val="000000"/>
                <w:sz w:val="20"/>
              </w:rPr>
              <w:t>166</w:t>
            </w:r>
          </w:p>
        </w:tc>
      </w:tr>
    </w:tbl>
    <w:p w:rsidR="00842C3F" w:rsidRPr="00842C3F" w:rsidRDefault="00842C3F" w:rsidP="00A35826">
      <w:pPr>
        <w:rPr>
          <w:rFonts w:ascii="Sylfaen" w:eastAsia="Sylfaen" w:hAnsi="Sylfaen"/>
          <w:b/>
          <w:sz w:val="24"/>
          <w:lang w:val="ka-GE"/>
        </w:rPr>
      </w:pPr>
      <w:r>
        <w:rPr>
          <w:rFonts w:ascii="Sylfaen" w:eastAsia="Sylfaen" w:hAnsi="Sylfaen"/>
          <w:sz w:val="24"/>
          <w:lang w:val="ka-GE"/>
        </w:rPr>
        <w:br w:type="page"/>
      </w:r>
      <w:r>
        <w:rPr>
          <w:rFonts w:ascii="Sylfaen" w:eastAsia="Sylfaen" w:hAnsi="Sylfaen"/>
          <w:b/>
          <w:sz w:val="24"/>
          <w:lang w:val="ka-GE"/>
        </w:rPr>
        <w:lastRenderedPageBreak/>
        <w:t>მომსახურების მოცულობა</w:t>
      </w:r>
    </w:p>
    <w:p w:rsidR="00167577" w:rsidRPr="00842C3F" w:rsidRDefault="007A2504" w:rsidP="007A2504">
      <w:pPr>
        <w:ind w:firstLine="720"/>
        <w:jc w:val="both"/>
        <w:rPr>
          <w:rFonts w:ascii="Sylfaen" w:eastAsia="Sylfaen" w:hAnsi="Sylfaen"/>
          <w:vanish/>
          <w:sz w:val="24"/>
          <w:lang w:val="ka-GE"/>
          <w:specVanish/>
        </w:rPr>
      </w:pPr>
      <w:r>
        <w:rPr>
          <w:rFonts w:ascii="Sylfaen" w:eastAsia="Sylfaen" w:hAnsi="Sylfaen"/>
          <w:sz w:val="24"/>
          <w:lang w:val="ka-GE"/>
        </w:rPr>
        <w:t xml:space="preserve">მოქმედი კანონმდებლობის შესაბამისად, </w:t>
      </w:r>
      <w:r>
        <w:rPr>
          <w:rFonts w:ascii="Sylfaen" w:eastAsia="Sylfaen" w:hAnsi="Sylfaen"/>
          <w:sz w:val="24"/>
        </w:rPr>
        <w:t>რეფერალური დახმარებ</w:t>
      </w:r>
      <w:r>
        <w:rPr>
          <w:rFonts w:ascii="Sylfaen" w:eastAsia="Sylfaen" w:hAnsi="Sylfaen"/>
          <w:sz w:val="24"/>
          <w:lang w:val="ka-GE"/>
        </w:rPr>
        <w:t xml:space="preserve">ის კომპონენტით გათვალისწინებული </w:t>
      </w:r>
      <w:r w:rsidR="00167577" w:rsidRPr="00842C3F">
        <w:rPr>
          <w:rFonts w:ascii="Sylfaen" w:eastAsia="Sylfaen" w:hAnsi="Sylfaen"/>
          <w:sz w:val="24"/>
        </w:rPr>
        <w:t>მომსახურებ</w:t>
      </w:r>
      <w:r w:rsidR="00842C3F" w:rsidRPr="00842C3F">
        <w:rPr>
          <w:rFonts w:ascii="Sylfaen" w:eastAsia="Sylfaen" w:hAnsi="Sylfaen"/>
          <w:sz w:val="24"/>
          <w:lang w:val="ka-GE"/>
        </w:rPr>
        <w:t>ა</w:t>
      </w:r>
      <w:r w:rsidRPr="00842C3F">
        <w:rPr>
          <w:rFonts w:ascii="Sylfaen" w:eastAsia="Sylfaen" w:hAnsi="Sylfaen"/>
          <w:sz w:val="24"/>
          <w:lang w:val="ka-GE"/>
        </w:rPr>
        <w:t xml:space="preserve"> მოიცავს - </w:t>
      </w:r>
    </w:p>
    <w:p w:rsidR="00167577" w:rsidRPr="005119A1" w:rsidRDefault="00167577" w:rsidP="007A25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ka-GE"/>
        </w:rPr>
      </w:pPr>
      <w:r w:rsidRPr="00842C3F">
        <w:rPr>
          <w:rFonts w:ascii="Sylfaen" w:eastAsia="Sylfaen" w:hAnsi="Sylfaen"/>
          <w:sz w:val="24"/>
        </w:rPr>
        <w:t>კრიტიკული</w:t>
      </w:r>
      <w:r>
        <w:rPr>
          <w:rFonts w:ascii="Sylfaen" w:eastAsia="Sylfaen" w:hAnsi="Sylfaen"/>
          <w:sz w:val="24"/>
        </w:rPr>
        <w:t xml:space="preserve"> და გადაუდებელი მდგომარეობების რეფერალური შემთხვევების მართვა</w:t>
      </w:r>
      <w:r w:rsidR="007A2504">
        <w:rPr>
          <w:rFonts w:ascii="Sylfaen" w:eastAsia="Sylfaen" w:hAnsi="Sylfaen"/>
          <w:sz w:val="24"/>
          <w:lang w:val="ka-GE"/>
        </w:rPr>
        <w:t>ს</w:t>
      </w:r>
      <w:r>
        <w:rPr>
          <w:rFonts w:ascii="Sylfaen" w:eastAsia="Sylfaen" w:hAnsi="Sylfaen"/>
          <w:sz w:val="24"/>
        </w:rPr>
        <w:t>, ადგილზე რეფერალური ბრიგადის მიერ კონსულტაცია</w:t>
      </w:r>
      <w:r w:rsidR="007A2504">
        <w:rPr>
          <w:rFonts w:ascii="Sylfaen" w:eastAsia="Sylfaen" w:hAnsi="Sylfaen"/>
          <w:sz w:val="24"/>
          <w:lang w:val="ka-GE"/>
        </w:rPr>
        <w:t>ს</w:t>
      </w:r>
      <w:r>
        <w:rPr>
          <w:rFonts w:ascii="Sylfaen" w:eastAsia="Sylfaen" w:hAnsi="Sylfaen"/>
          <w:sz w:val="24"/>
        </w:rPr>
        <w:t>, მდგომარეობის სტაბილიზაცია</w:t>
      </w:r>
      <w:r w:rsidR="007A2504">
        <w:rPr>
          <w:rFonts w:ascii="Sylfaen" w:eastAsia="Sylfaen" w:hAnsi="Sylfaen"/>
          <w:sz w:val="24"/>
          <w:lang w:val="ka-GE"/>
        </w:rPr>
        <w:t>ს</w:t>
      </w:r>
      <w:r>
        <w:rPr>
          <w:rFonts w:ascii="Sylfaen" w:eastAsia="Sylfaen" w:hAnsi="Sylfaen"/>
          <w:sz w:val="24"/>
        </w:rPr>
        <w:t>, გართულებული შემთხვევების სამედიცინო ტრანსპორტირება</w:t>
      </w:r>
      <w:r w:rsidR="007A2504">
        <w:rPr>
          <w:rFonts w:ascii="Sylfaen" w:eastAsia="Sylfaen" w:hAnsi="Sylfaen"/>
          <w:sz w:val="24"/>
          <w:lang w:val="ka-GE"/>
        </w:rPr>
        <w:t>ს</w:t>
      </w:r>
      <w:r w:rsidR="005119A1">
        <w:rPr>
          <w:rFonts w:ascii="Sylfaen" w:eastAsia="Sylfaen" w:hAnsi="Sylfaen"/>
          <w:sz w:val="24"/>
          <w:lang w:val="ka-GE"/>
        </w:rPr>
        <w:t>.</w:t>
      </w:r>
    </w:p>
    <w:p w:rsidR="00167577" w:rsidRDefault="00167577" w:rsidP="00FF40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ka-GE"/>
        </w:rPr>
      </w:pPr>
    </w:p>
    <w:p w:rsidR="00FF40FB" w:rsidRDefault="00FF40FB" w:rsidP="008F1C2A">
      <w:pPr>
        <w:shd w:val="clear" w:color="auto" w:fill="D9D9D9" w:themeFill="background1" w:themeFillShade="D9"/>
        <w:rPr>
          <w:rFonts w:ascii="Sylfaen" w:eastAsia="Sylfaen" w:hAnsi="Sylfaen"/>
          <w:b/>
          <w:sz w:val="24"/>
          <w:lang w:val="ka-GE"/>
        </w:rPr>
      </w:pPr>
      <w:proofErr w:type="gramStart"/>
      <w:r>
        <w:rPr>
          <w:rFonts w:ascii="Sylfaen" w:eastAsia="Sylfaen" w:hAnsi="Sylfaen"/>
          <w:b/>
          <w:sz w:val="24"/>
        </w:rPr>
        <w:t>დაფინანსების</w:t>
      </w:r>
      <w:proofErr w:type="gramEnd"/>
      <w:r>
        <w:rPr>
          <w:rFonts w:ascii="Sylfaen" w:eastAsia="Sylfaen" w:hAnsi="Sylfaen"/>
          <w:b/>
          <w:sz w:val="24"/>
        </w:rPr>
        <w:t xml:space="preserve"> მეთოდოლოგია და ანაზღაურების წესი</w:t>
      </w:r>
    </w:p>
    <w:p w:rsidR="007E322A" w:rsidRDefault="007E322A" w:rsidP="007E32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Pr>
          <w:rFonts w:ascii="Sylfaen" w:eastAsia="Sylfaen" w:hAnsi="Sylfaen"/>
          <w:sz w:val="24"/>
        </w:rPr>
        <w:t xml:space="preserve">3. </w:t>
      </w:r>
      <w:proofErr w:type="gramStart"/>
      <w:r>
        <w:rPr>
          <w:rFonts w:ascii="Sylfaen" w:eastAsia="Sylfaen" w:hAnsi="Sylfaen"/>
          <w:sz w:val="24"/>
        </w:rPr>
        <w:t>სამედიცინო</w:t>
      </w:r>
      <w:proofErr w:type="gramEnd"/>
      <w:r>
        <w:rPr>
          <w:rFonts w:ascii="Sylfaen" w:eastAsia="Sylfaen" w:hAnsi="Sylfaen"/>
          <w:sz w:val="24"/>
        </w:rPr>
        <w:t xml:space="preserve"> ტრანსპორტირება:</w:t>
      </w:r>
    </w:p>
    <w:p w:rsidR="007E322A" w:rsidRDefault="007E322A" w:rsidP="007E32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Pr>
          <w:rFonts w:ascii="Sylfaen" w:eastAsia="Sylfaen" w:hAnsi="Sylfaen"/>
          <w:sz w:val="24"/>
        </w:rPr>
        <w:t xml:space="preserve">ა) </w:t>
      </w:r>
      <w:proofErr w:type="gramStart"/>
      <w:r>
        <w:rPr>
          <w:rFonts w:ascii="Sylfaen" w:eastAsia="Sylfaen" w:hAnsi="Sylfaen"/>
          <w:sz w:val="24"/>
        </w:rPr>
        <w:t>რეფერალური</w:t>
      </w:r>
      <w:proofErr w:type="gramEnd"/>
      <w:r>
        <w:rPr>
          <w:rFonts w:ascii="Sylfaen" w:eastAsia="Sylfaen" w:hAnsi="Sylfaen"/>
          <w:sz w:val="24"/>
        </w:rPr>
        <w:t xml:space="preserve"> დახმარება კრიტიკული და გადაუდებელი მდგომარეობების რეფერალური შემთხვევების მართვის, ადგილზე კონსულტაციის, მდგომარეობის სტაბილიზაციის და პაციენტთა ტრანსპორტირების დაფინანსება ხორციელდება შემდეგნაირად:</w:t>
      </w:r>
    </w:p>
    <w:p w:rsidR="007E322A" w:rsidRDefault="007E322A" w:rsidP="007E32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Pr>
          <w:rFonts w:ascii="Sylfaen" w:eastAsia="Sylfaen" w:hAnsi="Sylfaen"/>
          <w:sz w:val="24"/>
        </w:rPr>
        <w:t>ა.ა) სამედიცინო დახმარება რეანიმობილით (კონსულტაცია, სტაბილიზაცია, ტრანსპორტირება):</w:t>
      </w:r>
    </w:p>
    <w:p w:rsidR="007E322A" w:rsidRDefault="007E322A" w:rsidP="007E32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Pr>
          <w:rFonts w:ascii="Sylfaen" w:eastAsia="Sylfaen" w:hAnsi="Sylfaen"/>
          <w:sz w:val="24"/>
        </w:rPr>
        <w:t>ა.ა.ა) 25 კმ-იანი ზონა – 79 ლარი;</w:t>
      </w:r>
    </w:p>
    <w:p w:rsidR="0004638A" w:rsidRDefault="007E322A" w:rsidP="000463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ka-GE"/>
        </w:rPr>
      </w:pPr>
      <w:r>
        <w:rPr>
          <w:rFonts w:ascii="Sylfaen" w:eastAsia="Sylfaen" w:hAnsi="Sylfaen"/>
          <w:sz w:val="24"/>
        </w:rPr>
        <w:t>ა.ა.ბ) 150 კმ-იანი ზონა – 373 ლარი</w:t>
      </w:r>
      <w:r w:rsidR="0004638A">
        <w:rPr>
          <w:rFonts w:ascii="Sylfaen" w:eastAsia="Sylfaen" w:hAnsi="Sylfaen"/>
          <w:sz w:val="24"/>
        </w:rPr>
        <w:t>;</w:t>
      </w:r>
    </w:p>
    <w:p w:rsidR="00A3449E" w:rsidRPr="0004638A" w:rsidRDefault="007E322A" w:rsidP="000463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proofErr w:type="gramStart"/>
      <w:r>
        <w:rPr>
          <w:rFonts w:ascii="Sylfaen" w:eastAsia="Sylfaen" w:hAnsi="Sylfaen"/>
          <w:sz w:val="24"/>
        </w:rPr>
        <w:t>ა.ა.გ) 250 კმ-იანი ზონა – 553 ლარი.</w:t>
      </w:r>
      <w:proofErr w:type="gramEnd"/>
    </w:p>
    <w:p w:rsidR="0004638A" w:rsidRDefault="0004638A" w:rsidP="007E32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ka-GE"/>
        </w:rPr>
      </w:pPr>
    </w:p>
    <w:p w:rsidR="007E322A" w:rsidRDefault="007E322A" w:rsidP="007E32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Pr>
          <w:rFonts w:ascii="Sylfaen" w:eastAsia="Sylfaen" w:hAnsi="Sylfaen"/>
          <w:sz w:val="24"/>
        </w:rPr>
        <w:t>ა.ბ) სამედიცინო დახმარება (კონსულტაცია):</w:t>
      </w:r>
    </w:p>
    <w:p w:rsidR="007E322A" w:rsidRDefault="007E322A" w:rsidP="007E32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Pr>
          <w:rFonts w:ascii="Sylfaen" w:eastAsia="Sylfaen" w:hAnsi="Sylfaen"/>
          <w:sz w:val="24"/>
        </w:rPr>
        <w:t>ა.ბ.ა) 25 კმ-იანი ზონა – 44 ლარი;</w:t>
      </w:r>
    </w:p>
    <w:p w:rsidR="007E322A" w:rsidRDefault="007E322A" w:rsidP="007E32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Pr>
          <w:rFonts w:ascii="Sylfaen" w:eastAsia="Sylfaen" w:hAnsi="Sylfaen"/>
          <w:sz w:val="24"/>
        </w:rPr>
        <w:t>ა.ბ.ბ) 150 კმ-იანი ზონა – 266 ლარი;</w:t>
      </w:r>
    </w:p>
    <w:p w:rsidR="0004638A" w:rsidRDefault="007E322A" w:rsidP="00A3449E">
      <w:pPr>
        <w:pStyle w:val="CommentText"/>
        <w:ind w:firstLine="720"/>
        <w:rPr>
          <w:rFonts w:ascii="Sylfaen" w:eastAsia="Sylfaen" w:hAnsi="Sylfaen"/>
          <w:sz w:val="24"/>
          <w:lang w:val="ka-GE"/>
        </w:rPr>
      </w:pPr>
      <w:proofErr w:type="gramStart"/>
      <w:r>
        <w:rPr>
          <w:rFonts w:ascii="Sylfaen" w:eastAsia="Sylfaen" w:hAnsi="Sylfaen"/>
          <w:sz w:val="24"/>
        </w:rPr>
        <w:t>ა.ბ.გ) 250 კმ-იანი ზონა – 444 ლარი.</w:t>
      </w:r>
      <w:proofErr w:type="gramEnd"/>
    </w:p>
    <w:p w:rsidR="00A3449E" w:rsidRPr="0005230E" w:rsidRDefault="00D2156E" w:rsidP="00A3449E">
      <w:pPr>
        <w:pStyle w:val="CommentText"/>
        <w:ind w:firstLine="720"/>
        <w:rPr>
          <w:rFonts w:ascii="Sylfaen" w:hAnsi="Sylfaen"/>
          <w:lang w:val="ka-GE"/>
        </w:rPr>
      </w:pPr>
      <w:r>
        <w:rPr>
          <w:rFonts w:ascii="Sylfaen" w:eastAsia="Sylfaen" w:hAnsi="Sylfaen"/>
          <w:sz w:val="24"/>
        </w:rPr>
        <w:t xml:space="preserve">ა.გ) </w:t>
      </w:r>
      <w:r w:rsidR="00553628">
        <w:rPr>
          <w:rFonts w:ascii="Sylfaen" w:eastAsia="Sylfaen" w:hAnsi="Sylfaen"/>
          <w:sz w:val="24"/>
          <w:lang w:val="ka-GE"/>
        </w:rPr>
        <w:t>150 კმ-იან და 250 კმ-იან ზონაში</w:t>
      </w:r>
      <w:r>
        <w:rPr>
          <w:rFonts w:ascii="Sylfaen" w:eastAsia="Sylfaen" w:hAnsi="Sylfaen"/>
          <w:sz w:val="24"/>
        </w:rPr>
        <w:t xml:space="preserve"> მომსახურების მიწოდების ერთეული შემთხვევის თანმხლები კონსულტაცია – 50 ლარი;</w:t>
      </w:r>
    </w:p>
    <w:p w:rsidR="00FF40FB" w:rsidRPr="00EB1E6A" w:rsidRDefault="00FF40FB" w:rsidP="00FF40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ka-GE"/>
        </w:rPr>
      </w:pPr>
      <w:r>
        <w:rPr>
          <w:rFonts w:ascii="Sylfaen" w:eastAsia="Sylfaen" w:hAnsi="Sylfaen"/>
          <w:sz w:val="24"/>
        </w:rPr>
        <w:t xml:space="preserve">ბ) </w:t>
      </w:r>
      <w:proofErr w:type="gramStart"/>
      <w:r>
        <w:rPr>
          <w:rFonts w:ascii="Sylfaen" w:eastAsia="Sylfaen" w:hAnsi="Sylfaen"/>
          <w:sz w:val="24"/>
          <w:lang w:val="ka-GE"/>
        </w:rPr>
        <w:t>რეფერალური</w:t>
      </w:r>
      <w:proofErr w:type="gramEnd"/>
      <w:r>
        <w:rPr>
          <w:rFonts w:ascii="Sylfaen" w:eastAsia="Sylfaen" w:hAnsi="Sylfaen"/>
          <w:sz w:val="24"/>
          <w:lang w:val="ka-GE"/>
        </w:rPr>
        <w:t xml:space="preserve"> დახმარების კომპონენტით </w:t>
      </w:r>
      <w:r>
        <w:rPr>
          <w:rFonts w:ascii="Sylfaen" w:eastAsia="Sylfaen" w:hAnsi="Sylfaen"/>
          <w:sz w:val="24"/>
        </w:rPr>
        <w:t>გათვალისწინებული მომსახურების მიმწოდებელი დაწესებულებების დაფინანსება ხორციელდება შესრულებული სამუშაოს შესაბამისად, სამინისტროს საგანგებო სიტუაციების კოორდინაციისა და რეჟიმის დეპარტამენტის მიერ მიწოდებული დოკუმენტაციის საფუძველზე</w:t>
      </w:r>
      <w:r w:rsidR="00EB1E6A">
        <w:rPr>
          <w:rFonts w:ascii="Sylfaen" w:eastAsia="Sylfaen" w:hAnsi="Sylfaen"/>
          <w:sz w:val="24"/>
          <w:lang w:val="ka-GE"/>
        </w:rPr>
        <w:t>.</w:t>
      </w:r>
    </w:p>
    <w:p w:rsidR="00FF40FB" w:rsidRDefault="00FF40FB" w:rsidP="00FF40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ka-GE"/>
        </w:rPr>
      </w:pPr>
    </w:p>
    <w:p w:rsidR="00FF40FB" w:rsidRDefault="00FF40FB" w:rsidP="008F1C2A">
      <w:pPr>
        <w:shd w:val="clear" w:color="auto" w:fill="D9D9D9" w:themeFill="background1" w:themeFillShade="D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proofErr w:type="gramStart"/>
      <w:r>
        <w:rPr>
          <w:rFonts w:ascii="Sylfaen" w:eastAsia="Sylfaen" w:hAnsi="Sylfaen"/>
          <w:b/>
          <w:sz w:val="24"/>
        </w:rPr>
        <w:t>პროგრამის</w:t>
      </w:r>
      <w:proofErr w:type="gramEnd"/>
      <w:r>
        <w:rPr>
          <w:rFonts w:ascii="Sylfaen" w:eastAsia="Sylfaen" w:hAnsi="Sylfaen"/>
          <w:b/>
          <w:sz w:val="24"/>
        </w:rPr>
        <w:t xml:space="preserve"> განხორციელების მექანიზმები</w:t>
      </w:r>
    </w:p>
    <w:p w:rsidR="00FF40FB" w:rsidRDefault="00FF40FB" w:rsidP="00FF40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eastAsia="Sylfaen" w:hAnsi="Sylfaen"/>
          <w:sz w:val="24"/>
          <w:highlight w:val="yellow"/>
          <w:lang w:val="ka-GE"/>
        </w:rPr>
      </w:pPr>
    </w:p>
    <w:p w:rsidR="00FF40FB" w:rsidRDefault="00FF40FB" w:rsidP="00FF40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ka-GE"/>
        </w:rPr>
      </w:pPr>
      <w:r w:rsidRPr="008B047B">
        <w:rPr>
          <w:rFonts w:ascii="Sylfaen" w:eastAsia="Sylfaen" w:hAnsi="Sylfaen"/>
          <w:sz w:val="24"/>
          <w:lang w:val="ka-GE"/>
        </w:rPr>
        <w:t xml:space="preserve">რეფერალური დახმარების კომპონენტით </w:t>
      </w:r>
      <w:r w:rsidRPr="008B047B">
        <w:rPr>
          <w:rFonts w:ascii="Sylfaen" w:eastAsia="Sylfaen" w:hAnsi="Sylfaen"/>
          <w:sz w:val="24"/>
        </w:rPr>
        <w:t>გათვალისწინებული მომსახურება დაფინანსდება არამატერიალიზებული სამედიცინო ვაუჩერის მეშვეობით.</w:t>
      </w:r>
    </w:p>
    <w:p w:rsidR="00FF40FB" w:rsidRPr="008B047B" w:rsidRDefault="00FF40FB" w:rsidP="00FF40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ka-GE"/>
        </w:rPr>
      </w:pPr>
    </w:p>
    <w:p w:rsidR="00FF40FB" w:rsidRPr="00F211AD" w:rsidRDefault="00FF40FB" w:rsidP="008F1C2A">
      <w:pPr>
        <w:shd w:val="clear" w:color="auto" w:fill="D9D9D9" w:themeFill="background1" w:themeFillShade="D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sz w:val="24"/>
        </w:rPr>
      </w:pPr>
      <w:proofErr w:type="gramStart"/>
      <w:r>
        <w:rPr>
          <w:rFonts w:ascii="Sylfaen" w:eastAsia="Sylfaen" w:hAnsi="Sylfaen"/>
          <w:b/>
          <w:sz w:val="24"/>
        </w:rPr>
        <w:t>მომსახურების</w:t>
      </w:r>
      <w:proofErr w:type="gramEnd"/>
      <w:r>
        <w:rPr>
          <w:rFonts w:ascii="Sylfaen" w:eastAsia="Sylfaen" w:hAnsi="Sylfaen"/>
          <w:b/>
          <w:sz w:val="24"/>
        </w:rPr>
        <w:t xml:space="preserve"> მიმწოდებელი</w:t>
      </w:r>
    </w:p>
    <w:p w:rsidR="00FF40FB" w:rsidRDefault="00FF40FB" w:rsidP="00FF40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eastAsia="Sylfaen" w:hAnsi="Sylfaen"/>
          <w:sz w:val="24"/>
          <w:highlight w:val="yellow"/>
          <w:lang w:val="ka-GE"/>
        </w:rPr>
      </w:pPr>
    </w:p>
    <w:p w:rsidR="00FF40FB" w:rsidRDefault="00FF40FB" w:rsidP="00FF40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Pr>
          <w:rFonts w:ascii="Sylfaen" w:eastAsia="Sylfaen" w:hAnsi="Sylfaen"/>
          <w:sz w:val="24"/>
          <w:lang w:val="ka-GE"/>
        </w:rPr>
        <w:t xml:space="preserve">რეფერალური დახმარების კომპონენტით </w:t>
      </w:r>
      <w:r>
        <w:rPr>
          <w:rFonts w:ascii="Sylfaen" w:eastAsia="Sylfaen" w:hAnsi="Sylfaen"/>
          <w:sz w:val="24"/>
        </w:rPr>
        <w:t xml:space="preserve">გათვალისწინებული მომსახურების მიმწოდებელია პირი, რომელიც აკმაყოფილებს შესაბამისი სამედიცინო საქმიანობისათვის </w:t>
      </w:r>
      <w:r>
        <w:rPr>
          <w:rFonts w:ascii="Sylfaen" w:eastAsia="Sylfaen" w:hAnsi="Sylfaen"/>
          <w:sz w:val="24"/>
        </w:rPr>
        <w:lastRenderedPageBreak/>
        <w:t xml:space="preserve">კანონმდებლობით დადგენილ და საქართველოს შრომის, ჯანმრთელობისა და სოციალური დაცვის მინისტრის შესაბამისი ნორმატიული აქტით განსაზღვრულ მოთხოვნებს, ეთანხმება ვაუჩერის პირობებს და წერილობით დაადასტურებს პროგრამაში მონაწილეობის სურვილს. </w:t>
      </w:r>
      <w:proofErr w:type="gramStart"/>
      <w:r>
        <w:rPr>
          <w:rFonts w:ascii="Sylfaen" w:eastAsia="Sylfaen" w:hAnsi="Sylfaen"/>
          <w:sz w:val="24"/>
        </w:rPr>
        <w:t>ამასთან</w:t>
      </w:r>
      <w:proofErr w:type="gramEnd"/>
      <w:r>
        <w:rPr>
          <w:rFonts w:ascii="Sylfaen" w:eastAsia="Sylfaen" w:hAnsi="Sylfaen"/>
          <w:sz w:val="24"/>
        </w:rPr>
        <w:t>, მიმწოდებლად რეგისტრაცია განხორციელდება მაკოორდინირებელ ორგანოსთან შეთანხმებით</w:t>
      </w:r>
      <w:r w:rsidR="00F211AD">
        <w:rPr>
          <w:rFonts w:ascii="Sylfaen" w:eastAsia="Sylfaen" w:hAnsi="Sylfaen"/>
          <w:sz w:val="24"/>
          <w:lang w:val="ka-GE"/>
        </w:rPr>
        <w:t xml:space="preserve"> (იხ. ცხრილი N</w:t>
      </w:r>
      <w:r w:rsidR="00F8420A">
        <w:rPr>
          <w:rFonts w:ascii="Sylfaen" w:eastAsia="Sylfaen" w:hAnsi="Sylfaen"/>
          <w:sz w:val="24"/>
          <w:lang w:val="ka-GE"/>
        </w:rPr>
        <w:t>4</w:t>
      </w:r>
      <w:r w:rsidR="00F211AD">
        <w:rPr>
          <w:rFonts w:ascii="Sylfaen" w:eastAsia="Sylfaen" w:hAnsi="Sylfaen"/>
          <w:sz w:val="24"/>
          <w:lang w:val="ka-GE"/>
        </w:rPr>
        <w:t>)</w:t>
      </w:r>
      <w:r>
        <w:rPr>
          <w:rFonts w:ascii="Sylfaen" w:eastAsia="Sylfaen" w:hAnsi="Sylfaen"/>
          <w:sz w:val="24"/>
        </w:rPr>
        <w:t>.</w:t>
      </w:r>
    </w:p>
    <w:p w:rsidR="008F33A6" w:rsidRDefault="008F33A6" w:rsidP="00FF40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eastAsia="Sylfaen" w:hAnsi="Sylfaen"/>
          <w:sz w:val="24"/>
          <w:lang w:val="ka-GE"/>
        </w:rPr>
      </w:pPr>
    </w:p>
    <w:tbl>
      <w:tblPr>
        <w:tblStyle w:val="TableGrid"/>
        <w:tblW w:w="0" w:type="auto"/>
        <w:tblInd w:w="360" w:type="dxa"/>
        <w:tblLook w:val="04A0"/>
      </w:tblPr>
      <w:tblGrid>
        <w:gridCol w:w="828"/>
        <w:gridCol w:w="3150"/>
        <w:gridCol w:w="2160"/>
        <w:gridCol w:w="2814"/>
      </w:tblGrid>
      <w:tr w:rsidR="002038DA" w:rsidRPr="003E71B6" w:rsidTr="003E71B6">
        <w:tc>
          <w:tcPr>
            <w:tcW w:w="828" w:type="dxa"/>
          </w:tcPr>
          <w:p w:rsidR="002038DA" w:rsidRPr="003E71B6" w:rsidRDefault="002038DA" w:rsidP="008F33A6">
            <w:pPr>
              <w:pStyle w:val="ListParagraph"/>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jc w:val="both"/>
              <w:rPr>
                <w:rFonts w:ascii="Sylfaen" w:eastAsia="Sylfaen" w:hAnsi="Sylfaen"/>
                <w:sz w:val="16"/>
                <w:szCs w:val="16"/>
                <w:lang w:val="ka-GE"/>
              </w:rPr>
            </w:pPr>
            <w:r>
              <w:rPr>
                <w:rFonts w:ascii="Sylfaen" w:eastAsia="Sylfaen" w:hAnsi="Sylfaen"/>
                <w:sz w:val="16"/>
                <w:szCs w:val="16"/>
                <w:lang w:val="ka-GE"/>
              </w:rPr>
              <w:t>წელი</w:t>
            </w:r>
          </w:p>
        </w:tc>
        <w:tc>
          <w:tcPr>
            <w:tcW w:w="3150" w:type="dxa"/>
          </w:tcPr>
          <w:p w:rsidR="002038DA" w:rsidRPr="003E71B6" w:rsidRDefault="002038DA" w:rsidP="008F33A6">
            <w:pPr>
              <w:pStyle w:val="ListParagraph"/>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jc w:val="both"/>
              <w:rPr>
                <w:rFonts w:ascii="Sylfaen" w:eastAsia="Sylfaen" w:hAnsi="Sylfaen"/>
                <w:sz w:val="16"/>
                <w:szCs w:val="16"/>
                <w:lang w:val="ka-GE"/>
              </w:rPr>
            </w:pPr>
            <w:r>
              <w:rPr>
                <w:rFonts w:ascii="Sylfaen" w:eastAsia="Sylfaen" w:hAnsi="Sylfaen"/>
                <w:sz w:val="16"/>
                <w:szCs w:val="16"/>
                <w:lang w:val="ka-GE"/>
              </w:rPr>
              <w:t>მიმწოდებელი დაწესებულებების N</w:t>
            </w:r>
          </w:p>
        </w:tc>
        <w:tc>
          <w:tcPr>
            <w:tcW w:w="2160" w:type="dxa"/>
          </w:tcPr>
          <w:p w:rsidR="002038DA" w:rsidRPr="003E71B6" w:rsidRDefault="002038DA" w:rsidP="008F33A6">
            <w:pPr>
              <w:pStyle w:val="ListParagraph"/>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jc w:val="both"/>
              <w:rPr>
                <w:rFonts w:ascii="Sylfaen" w:eastAsia="Sylfaen" w:hAnsi="Sylfaen"/>
                <w:sz w:val="16"/>
                <w:szCs w:val="16"/>
                <w:lang w:val="ka-GE"/>
              </w:rPr>
            </w:pPr>
            <w:r>
              <w:rPr>
                <w:rFonts w:ascii="Sylfaen" w:eastAsia="Sylfaen" w:hAnsi="Sylfaen"/>
                <w:sz w:val="16"/>
                <w:szCs w:val="16"/>
                <w:lang w:val="ka-GE"/>
              </w:rPr>
              <w:t>მანქანების რაოდენობა</w:t>
            </w:r>
          </w:p>
        </w:tc>
        <w:tc>
          <w:tcPr>
            <w:tcW w:w="2814" w:type="dxa"/>
          </w:tcPr>
          <w:p w:rsidR="002038DA" w:rsidRPr="003E71B6" w:rsidRDefault="002038DA" w:rsidP="008F33A6">
            <w:pPr>
              <w:pStyle w:val="ListParagraph"/>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jc w:val="both"/>
              <w:rPr>
                <w:rFonts w:ascii="Sylfaen" w:eastAsia="Sylfaen" w:hAnsi="Sylfaen"/>
                <w:sz w:val="16"/>
                <w:szCs w:val="16"/>
                <w:lang w:val="ka-GE"/>
              </w:rPr>
            </w:pPr>
            <w:r>
              <w:rPr>
                <w:rFonts w:ascii="Sylfaen" w:eastAsia="Sylfaen" w:hAnsi="Sylfaen"/>
                <w:sz w:val="16"/>
                <w:szCs w:val="16"/>
                <w:lang w:val="ka-GE"/>
              </w:rPr>
              <w:t>მ.შ. პედიატრიული/ახალშობილთა</w:t>
            </w:r>
          </w:p>
        </w:tc>
      </w:tr>
      <w:tr w:rsidR="002038DA" w:rsidRPr="003E71B6" w:rsidTr="003E71B6">
        <w:tc>
          <w:tcPr>
            <w:tcW w:w="828" w:type="dxa"/>
          </w:tcPr>
          <w:p w:rsidR="002038DA" w:rsidRPr="003E71B6" w:rsidRDefault="002038DA" w:rsidP="008F33A6">
            <w:pPr>
              <w:pStyle w:val="ListParagraph"/>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jc w:val="both"/>
              <w:rPr>
                <w:rFonts w:ascii="Sylfaen" w:eastAsia="Sylfaen" w:hAnsi="Sylfaen"/>
                <w:sz w:val="16"/>
                <w:szCs w:val="16"/>
                <w:lang w:val="ka-GE"/>
              </w:rPr>
            </w:pPr>
            <w:r>
              <w:rPr>
                <w:rFonts w:ascii="Sylfaen" w:eastAsia="Sylfaen" w:hAnsi="Sylfaen"/>
                <w:sz w:val="16"/>
                <w:szCs w:val="16"/>
                <w:lang w:val="ka-GE"/>
              </w:rPr>
              <w:t>2011</w:t>
            </w:r>
          </w:p>
        </w:tc>
        <w:tc>
          <w:tcPr>
            <w:tcW w:w="3150" w:type="dxa"/>
          </w:tcPr>
          <w:p w:rsidR="002038DA" w:rsidRPr="003E71B6" w:rsidRDefault="002038DA" w:rsidP="002038DA">
            <w:pPr>
              <w:pStyle w:val="ListParagraph"/>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jc w:val="center"/>
              <w:rPr>
                <w:rFonts w:ascii="Sylfaen" w:eastAsia="Sylfaen" w:hAnsi="Sylfaen"/>
                <w:sz w:val="16"/>
                <w:szCs w:val="16"/>
                <w:lang w:val="ka-GE"/>
              </w:rPr>
            </w:pPr>
            <w:r>
              <w:rPr>
                <w:rFonts w:ascii="Sylfaen" w:eastAsia="Sylfaen" w:hAnsi="Sylfaen"/>
                <w:sz w:val="16"/>
                <w:szCs w:val="16"/>
                <w:lang w:val="ka-GE"/>
              </w:rPr>
              <w:t>8</w:t>
            </w:r>
          </w:p>
        </w:tc>
        <w:tc>
          <w:tcPr>
            <w:tcW w:w="2160" w:type="dxa"/>
          </w:tcPr>
          <w:p w:rsidR="002038DA" w:rsidRPr="003E71B6" w:rsidRDefault="002038DA" w:rsidP="002038DA">
            <w:pPr>
              <w:pStyle w:val="ListParagraph"/>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jc w:val="center"/>
              <w:rPr>
                <w:rFonts w:ascii="Sylfaen" w:eastAsia="Sylfaen" w:hAnsi="Sylfaen"/>
                <w:sz w:val="16"/>
                <w:szCs w:val="16"/>
                <w:lang w:val="ka-GE"/>
              </w:rPr>
            </w:pPr>
            <w:r>
              <w:rPr>
                <w:rFonts w:ascii="Sylfaen" w:eastAsia="Sylfaen" w:hAnsi="Sylfaen"/>
                <w:sz w:val="16"/>
                <w:szCs w:val="16"/>
                <w:lang w:val="ka-GE"/>
              </w:rPr>
              <w:t>31</w:t>
            </w:r>
          </w:p>
        </w:tc>
        <w:tc>
          <w:tcPr>
            <w:tcW w:w="2814" w:type="dxa"/>
          </w:tcPr>
          <w:p w:rsidR="002038DA" w:rsidRPr="003E71B6" w:rsidRDefault="002038DA" w:rsidP="002038DA">
            <w:pPr>
              <w:pStyle w:val="ListParagraph"/>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jc w:val="center"/>
              <w:rPr>
                <w:rFonts w:ascii="Sylfaen" w:eastAsia="Sylfaen" w:hAnsi="Sylfaen"/>
                <w:sz w:val="16"/>
                <w:szCs w:val="16"/>
                <w:lang w:val="ka-GE"/>
              </w:rPr>
            </w:pPr>
            <w:r>
              <w:rPr>
                <w:rFonts w:ascii="Sylfaen" w:eastAsia="Sylfaen" w:hAnsi="Sylfaen"/>
                <w:sz w:val="16"/>
                <w:szCs w:val="16"/>
                <w:lang w:val="ka-GE"/>
              </w:rPr>
              <w:t>4</w:t>
            </w:r>
          </w:p>
        </w:tc>
      </w:tr>
      <w:tr w:rsidR="002038DA" w:rsidRPr="003E71B6" w:rsidTr="003E71B6">
        <w:tc>
          <w:tcPr>
            <w:tcW w:w="828" w:type="dxa"/>
          </w:tcPr>
          <w:p w:rsidR="002038DA" w:rsidRPr="003E71B6" w:rsidRDefault="002038DA" w:rsidP="008F33A6">
            <w:pPr>
              <w:pStyle w:val="ListParagraph"/>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jc w:val="both"/>
              <w:rPr>
                <w:rFonts w:ascii="Sylfaen" w:eastAsia="Sylfaen" w:hAnsi="Sylfaen"/>
                <w:sz w:val="16"/>
                <w:szCs w:val="16"/>
                <w:lang w:val="ka-GE"/>
              </w:rPr>
            </w:pPr>
            <w:r>
              <w:rPr>
                <w:rFonts w:ascii="Sylfaen" w:eastAsia="Sylfaen" w:hAnsi="Sylfaen"/>
                <w:sz w:val="16"/>
                <w:szCs w:val="16"/>
                <w:lang w:val="ka-GE"/>
              </w:rPr>
              <w:t>2012</w:t>
            </w:r>
          </w:p>
        </w:tc>
        <w:tc>
          <w:tcPr>
            <w:tcW w:w="3150" w:type="dxa"/>
          </w:tcPr>
          <w:p w:rsidR="002038DA" w:rsidRPr="003E71B6" w:rsidRDefault="002038DA" w:rsidP="002038DA">
            <w:pPr>
              <w:pStyle w:val="ListParagraph"/>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jc w:val="center"/>
              <w:rPr>
                <w:rFonts w:ascii="Sylfaen" w:eastAsia="Sylfaen" w:hAnsi="Sylfaen"/>
                <w:sz w:val="16"/>
                <w:szCs w:val="16"/>
                <w:lang w:val="ka-GE"/>
              </w:rPr>
            </w:pPr>
            <w:r>
              <w:rPr>
                <w:rFonts w:ascii="Sylfaen" w:eastAsia="Sylfaen" w:hAnsi="Sylfaen"/>
                <w:sz w:val="16"/>
                <w:szCs w:val="16"/>
                <w:lang w:val="ka-GE"/>
              </w:rPr>
              <w:t>10</w:t>
            </w:r>
          </w:p>
        </w:tc>
        <w:tc>
          <w:tcPr>
            <w:tcW w:w="2160" w:type="dxa"/>
          </w:tcPr>
          <w:p w:rsidR="002038DA" w:rsidRPr="003E71B6" w:rsidRDefault="002038DA" w:rsidP="002038DA">
            <w:pPr>
              <w:pStyle w:val="ListParagraph"/>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jc w:val="center"/>
              <w:rPr>
                <w:rFonts w:ascii="Sylfaen" w:eastAsia="Sylfaen" w:hAnsi="Sylfaen"/>
                <w:sz w:val="16"/>
                <w:szCs w:val="16"/>
                <w:lang w:val="ka-GE"/>
              </w:rPr>
            </w:pPr>
            <w:r>
              <w:rPr>
                <w:rFonts w:ascii="Sylfaen" w:eastAsia="Sylfaen" w:hAnsi="Sylfaen"/>
                <w:sz w:val="16"/>
                <w:szCs w:val="16"/>
                <w:lang w:val="ka-GE"/>
              </w:rPr>
              <w:t>39</w:t>
            </w:r>
          </w:p>
        </w:tc>
        <w:tc>
          <w:tcPr>
            <w:tcW w:w="2814" w:type="dxa"/>
          </w:tcPr>
          <w:p w:rsidR="002038DA" w:rsidRPr="003E71B6" w:rsidRDefault="002038DA" w:rsidP="002038DA">
            <w:pPr>
              <w:pStyle w:val="ListParagraph"/>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jc w:val="center"/>
              <w:rPr>
                <w:rFonts w:ascii="Sylfaen" w:eastAsia="Sylfaen" w:hAnsi="Sylfaen"/>
                <w:sz w:val="16"/>
                <w:szCs w:val="16"/>
                <w:lang w:val="ka-GE"/>
              </w:rPr>
            </w:pPr>
            <w:r>
              <w:rPr>
                <w:rFonts w:ascii="Sylfaen" w:eastAsia="Sylfaen" w:hAnsi="Sylfaen"/>
                <w:sz w:val="16"/>
                <w:szCs w:val="16"/>
                <w:lang w:val="ka-GE"/>
              </w:rPr>
              <w:t>5</w:t>
            </w:r>
          </w:p>
        </w:tc>
      </w:tr>
      <w:tr w:rsidR="002038DA" w:rsidRPr="003E71B6" w:rsidTr="003E71B6">
        <w:tc>
          <w:tcPr>
            <w:tcW w:w="828" w:type="dxa"/>
          </w:tcPr>
          <w:p w:rsidR="002038DA" w:rsidRPr="003E71B6" w:rsidRDefault="002038DA" w:rsidP="008F33A6">
            <w:pPr>
              <w:pStyle w:val="ListParagraph"/>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jc w:val="both"/>
              <w:rPr>
                <w:rFonts w:ascii="Sylfaen" w:eastAsia="Sylfaen" w:hAnsi="Sylfaen"/>
                <w:sz w:val="16"/>
                <w:szCs w:val="16"/>
                <w:lang w:val="ka-GE"/>
              </w:rPr>
            </w:pPr>
            <w:r>
              <w:rPr>
                <w:rFonts w:ascii="Sylfaen" w:eastAsia="Sylfaen" w:hAnsi="Sylfaen"/>
                <w:sz w:val="16"/>
                <w:szCs w:val="16"/>
                <w:lang w:val="ka-GE"/>
              </w:rPr>
              <w:t>2013</w:t>
            </w:r>
          </w:p>
        </w:tc>
        <w:tc>
          <w:tcPr>
            <w:tcW w:w="3150" w:type="dxa"/>
          </w:tcPr>
          <w:p w:rsidR="002038DA" w:rsidRPr="003E71B6" w:rsidRDefault="002038DA" w:rsidP="002038DA">
            <w:pPr>
              <w:pStyle w:val="ListParagraph"/>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jc w:val="center"/>
              <w:rPr>
                <w:rFonts w:ascii="Sylfaen" w:eastAsia="Sylfaen" w:hAnsi="Sylfaen"/>
                <w:sz w:val="16"/>
                <w:szCs w:val="16"/>
                <w:lang w:val="ka-GE"/>
              </w:rPr>
            </w:pPr>
            <w:r>
              <w:rPr>
                <w:rFonts w:ascii="Sylfaen" w:eastAsia="Sylfaen" w:hAnsi="Sylfaen"/>
                <w:sz w:val="16"/>
                <w:szCs w:val="16"/>
                <w:lang w:val="ka-GE"/>
              </w:rPr>
              <w:t>14</w:t>
            </w:r>
          </w:p>
        </w:tc>
        <w:tc>
          <w:tcPr>
            <w:tcW w:w="2160" w:type="dxa"/>
          </w:tcPr>
          <w:p w:rsidR="002038DA" w:rsidRPr="003E71B6" w:rsidRDefault="002038DA" w:rsidP="002038DA">
            <w:pPr>
              <w:pStyle w:val="ListParagraph"/>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jc w:val="center"/>
              <w:rPr>
                <w:rFonts w:ascii="Sylfaen" w:eastAsia="Sylfaen" w:hAnsi="Sylfaen"/>
                <w:sz w:val="16"/>
                <w:szCs w:val="16"/>
                <w:lang w:val="ka-GE"/>
              </w:rPr>
            </w:pPr>
            <w:r>
              <w:rPr>
                <w:rFonts w:ascii="Sylfaen" w:eastAsia="Sylfaen" w:hAnsi="Sylfaen"/>
                <w:sz w:val="16"/>
                <w:szCs w:val="16"/>
                <w:lang w:val="ka-GE"/>
              </w:rPr>
              <w:t>53</w:t>
            </w:r>
          </w:p>
        </w:tc>
        <w:tc>
          <w:tcPr>
            <w:tcW w:w="2814" w:type="dxa"/>
          </w:tcPr>
          <w:p w:rsidR="002038DA" w:rsidRPr="003E71B6" w:rsidRDefault="002038DA" w:rsidP="002038DA">
            <w:pPr>
              <w:pStyle w:val="ListParagraph"/>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jc w:val="center"/>
              <w:rPr>
                <w:rFonts w:ascii="Sylfaen" w:eastAsia="Sylfaen" w:hAnsi="Sylfaen"/>
                <w:sz w:val="16"/>
                <w:szCs w:val="16"/>
                <w:lang w:val="ka-GE"/>
              </w:rPr>
            </w:pPr>
            <w:r>
              <w:rPr>
                <w:rFonts w:ascii="Sylfaen" w:eastAsia="Sylfaen" w:hAnsi="Sylfaen"/>
                <w:sz w:val="16"/>
                <w:szCs w:val="16"/>
                <w:lang w:val="ka-GE"/>
              </w:rPr>
              <w:t>7</w:t>
            </w:r>
          </w:p>
        </w:tc>
      </w:tr>
      <w:tr w:rsidR="002038DA" w:rsidRPr="003E71B6" w:rsidTr="003E71B6">
        <w:tc>
          <w:tcPr>
            <w:tcW w:w="828" w:type="dxa"/>
          </w:tcPr>
          <w:p w:rsidR="002038DA" w:rsidRPr="003E71B6" w:rsidRDefault="002038DA" w:rsidP="008F33A6">
            <w:pPr>
              <w:pStyle w:val="ListParagraph"/>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jc w:val="both"/>
              <w:rPr>
                <w:rFonts w:ascii="Sylfaen" w:eastAsia="Sylfaen" w:hAnsi="Sylfaen"/>
                <w:sz w:val="16"/>
                <w:szCs w:val="16"/>
                <w:lang w:val="ka-GE"/>
              </w:rPr>
            </w:pPr>
            <w:r>
              <w:rPr>
                <w:rFonts w:ascii="Sylfaen" w:eastAsia="Sylfaen" w:hAnsi="Sylfaen"/>
                <w:sz w:val="16"/>
                <w:szCs w:val="16"/>
                <w:lang w:val="ka-GE"/>
              </w:rPr>
              <w:t>2014</w:t>
            </w:r>
          </w:p>
        </w:tc>
        <w:tc>
          <w:tcPr>
            <w:tcW w:w="3150" w:type="dxa"/>
          </w:tcPr>
          <w:p w:rsidR="002038DA" w:rsidRPr="003E71B6" w:rsidRDefault="002038DA" w:rsidP="002038DA">
            <w:pPr>
              <w:pStyle w:val="ListParagraph"/>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jc w:val="center"/>
              <w:rPr>
                <w:rFonts w:ascii="Sylfaen" w:eastAsia="Sylfaen" w:hAnsi="Sylfaen"/>
                <w:sz w:val="16"/>
                <w:szCs w:val="16"/>
                <w:lang w:val="ka-GE"/>
              </w:rPr>
            </w:pPr>
            <w:r>
              <w:rPr>
                <w:rFonts w:ascii="Sylfaen" w:eastAsia="Sylfaen" w:hAnsi="Sylfaen"/>
                <w:sz w:val="16"/>
                <w:szCs w:val="16"/>
                <w:lang w:val="ka-GE"/>
              </w:rPr>
              <w:t>14</w:t>
            </w:r>
          </w:p>
        </w:tc>
        <w:tc>
          <w:tcPr>
            <w:tcW w:w="2160" w:type="dxa"/>
          </w:tcPr>
          <w:p w:rsidR="002038DA" w:rsidRPr="003E71B6" w:rsidRDefault="000612AD" w:rsidP="002038DA">
            <w:pPr>
              <w:pStyle w:val="ListParagraph"/>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jc w:val="center"/>
              <w:rPr>
                <w:rFonts w:ascii="Sylfaen" w:eastAsia="Sylfaen" w:hAnsi="Sylfaen"/>
                <w:sz w:val="16"/>
                <w:szCs w:val="16"/>
                <w:lang w:val="ka-GE"/>
              </w:rPr>
            </w:pPr>
            <w:r>
              <w:rPr>
                <w:rFonts w:ascii="Sylfaen" w:eastAsia="Sylfaen" w:hAnsi="Sylfaen"/>
                <w:sz w:val="16"/>
                <w:szCs w:val="16"/>
                <w:lang w:val="ka-GE"/>
              </w:rPr>
              <w:t>6</w:t>
            </w:r>
            <w:r w:rsidR="002038DA">
              <w:rPr>
                <w:rFonts w:ascii="Sylfaen" w:eastAsia="Sylfaen" w:hAnsi="Sylfaen"/>
                <w:sz w:val="16"/>
                <w:szCs w:val="16"/>
                <w:lang w:val="ka-GE"/>
              </w:rPr>
              <w:t>4</w:t>
            </w:r>
          </w:p>
        </w:tc>
        <w:tc>
          <w:tcPr>
            <w:tcW w:w="2814" w:type="dxa"/>
          </w:tcPr>
          <w:p w:rsidR="002038DA" w:rsidRPr="003E71B6" w:rsidRDefault="000612AD" w:rsidP="002038DA">
            <w:pPr>
              <w:pStyle w:val="ListParagraph"/>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jc w:val="center"/>
              <w:rPr>
                <w:rFonts w:ascii="Sylfaen" w:eastAsia="Sylfaen" w:hAnsi="Sylfaen"/>
                <w:sz w:val="16"/>
                <w:szCs w:val="16"/>
                <w:lang w:val="ka-GE"/>
              </w:rPr>
            </w:pPr>
            <w:r>
              <w:rPr>
                <w:rFonts w:ascii="Sylfaen" w:eastAsia="Sylfaen" w:hAnsi="Sylfaen"/>
                <w:sz w:val="16"/>
                <w:szCs w:val="16"/>
                <w:lang w:val="ka-GE"/>
              </w:rPr>
              <w:t>10</w:t>
            </w:r>
          </w:p>
        </w:tc>
      </w:tr>
    </w:tbl>
    <w:p w:rsidR="00553628" w:rsidRDefault="00553628" w:rsidP="008F33A6">
      <w:pPr>
        <w:pStyle w:val="ListParagraph"/>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jc w:val="both"/>
        <w:rPr>
          <w:rFonts w:ascii="Sylfaen" w:eastAsia="Sylfaen" w:hAnsi="Sylfaen"/>
          <w:lang w:val="ka-GE"/>
        </w:rPr>
      </w:pPr>
    </w:p>
    <w:p w:rsidR="00592E25" w:rsidRPr="00CD7313" w:rsidRDefault="00592E25" w:rsidP="00592E25">
      <w:pPr>
        <w:shd w:val="clear" w:color="auto" w:fill="F2F2F2" w:themeFill="background1" w:themeFillShade="F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sz w:val="24"/>
          <w:lang w:val="ka-GE"/>
        </w:rPr>
      </w:pPr>
      <w:r w:rsidRPr="00CD7313">
        <w:rPr>
          <w:rFonts w:ascii="Sylfaen" w:eastAsia="Sylfaen" w:hAnsi="Sylfaen"/>
          <w:b/>
          <w:sz w:val="24"/>
          <w:lang w:val="ka-GE"/>
        </w:rPr>
        <w:t>პროგრამის ზედამხედველობა</w:t>
      </w:r>
    </w:p>
    <w:p w:rsidR="00592E25" w:rsidRPr="00D75DB3" w:rsidRDefault="00592E25" w:rsidP="00592E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left="360"/>
        <w:jc w:val="both"/>
        <w:rPr>
          <w:rFonts w:ascii="Sylfaen" w:eastAsia="Sylfaen" w:hAnsi="Sylfaen"/>
          <w:sz w:val="24"/>
          <w:lang w:val="ka-GE"/>
        </w:rPr>
      </w:pPr>
      <w:r w:rsidRPr="00D75DB3">
        <w:rPr>
          <w:rFonts w:ascii="Sylfaen" w:eastAsia="Sylfaen" w:hAnsi="Sylfaen" w:cs="Sylfaen"/>
          <w:sz w:val="24"/>
          <w:lang w:val="ka-GE"/>
        </w:rPr>
        <w:t>რეფერალური</w:t>
      </w:r>
      <w:r w:rsidRPr="00D75DB3">
        <w:rPr>
          <w:rFonts w:ascii="Sylfaen" w:eastAsia="Sylfaen" w:hAnsi="Sylfaen"/>
          <w:sz w:val="24"/>
          <w:lang w:val="ka-GE"/>
        </w:rPr>
        <w:t xml:space="preserve"> დახმარების კომპონენტით </w:t>
      </w:r>
      <w:r w:rsidRPr="00D75DB3">
        <w:rPr>
          <w:rFonts w:ascii="Sylfaen" w:eastAsia="Sylfaen" w:hAnsi="Sylfaen"/>
          <w:sz w:val="24"/>
        </w:rPr>
        <w:t>გათვალისწინებული სამედიცინო მომსახურების ზედამხედველობა ხორციელდება გადაუდებელი შემთხვევების ზედამხედველობის წესის შესაბამისად</w:t>
      </w:r>
      <w:r w:rsidRPr="00D75DB3">
        <w:rPr>
          <w:rFonts w:ascii="Sylfaen" w:eastAsia="Sylfaen" w:hAnsi="Sylfaen"/>
          <w:sz w:val="24"/>
          <w:lang w:val="ka-GE"/>
        </w:rPr>
        <w:t xml:space="preserve">, </w:t>
      </w:r>
      <w:r w:rsidRPr="00D75DB3">
        <w:rPr>
          <w:rFonts w:ascii="Sylfaen" w:hAnsi="Sylfaen" w:cs="Sylfaen"/>
          <w:sz w:val="24"/>
          <w:szCs w:val="24"/>
        </w:rPr>
        <w:t>გარდა შეტყობინების საფუძველზე შემთხვევების შერჩევითი შემოწმებ</w:t>
      </w:r>
      <w:r w:rsidRPr="00D75DB3">
        <w:rPr>
          <w:rFonts w:ascii="Sylfaen" w:hAnsi="Sylfaen" w:cs="Sylfaen"/>
          <w:sz w:val="24"/>
          <w:szCs w:val="24"/>
          <w:lang w:val="ka-GE"/>
        </w:rPr>
        <w:t>ისა.</w:t>
      </w:r>
    </w:p>
    <w:p w:rsidR="00592E25" w:rsidRPr="00B4001F" w:rsidRDefault="00592E25" w:rsidP="00592E25">
      <w:pPr>
        <w:pStyle w:val="ListParagraph"/>
        <w:numPr>
          <w:ilvl w:val="0"/>
          <w:numId w:val="2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lang w:val="ka-GE"/>
        </w:rPr>
      </w:pPr>
      <w:r w:rsidRPr="00CD7313">
        <w:rPr>
          <w:rFonts w:ascii="Sylfaen" w:eastAsia="Sylfaen" w:hAnsi="Sylfaen" w:cs="Sylfaen"/>
          <w:b/>
          <w:color w:val="000000" w:themeColor="text1"/>
          <w:sz w:val="24"/>
        </w:rPr>
        <w:t>შეტყობინება</w:t>
      </w:r>
      <w:r w:rsidRPr="00CD7313">
        <w:rPr>
          <w:rFonts w:ascii="Sylfaen" w:eastAsia="Sylfaen" w:hAnsi="Sylfaen"/>
          <w:b/>
          <w:color w:val="000000" w:themeColor="text1"/>
          <w:sz w:val="24"/>
        </w:rPr>
        <w:t>შემთხვევისშესახებ</w:t>
      </w:r>
      <w:r w:rsidRPr="00B4001F">
        <w:rPr>
          <w:rFonts w:ascii="Sylfaen" w:eastAsia="Sylfaen" w:hAnsi="Sylfaen"/>
          <w:sz w:val="24"/>
        </w:rPr>
        <w:t>ხორციელდება  მაკოორდინირებელ ორგანოსთან</w:t>
      </w:r>
      <w:r>
        <w:rPr>
          <w:rFonts w:ascii="Sylfaen" w:eastAsia="Sylfaen" w:hAnsi="Sylfaen"/>
          <w:sz w:val="24"/>
          <w:lang w:val="ka-GE"/>
        </w:rPr>
        <w:t xml:space="preserve"> -</w:t>
      </w:r>
      <w:r w:rsidRPr="00B4001F">
        <w:rPr>
          <w:rFonts w:ascii="Sylfaen" w:eastAsia="Sylfaen" w:hAnsi="Sylfaen"/>
          <w:sz w:val="24"/>
          <w:lang w:val="ka-GE"/>
        </w:rPr>
        <w:t>საგანგებო სიტუაციების კოორდინაციისა და რეჟიმის დეპარტამენტი</w:t>
      </w:r>
    </w:p>
    <w:p w:rsidR="00592E25" w:rsidRDefault="00592E25" w:rsidP="00592E25">
      <w:pPr>
        <w:ind w:left="720"/>
        <w:rPr>
          <w:rFonts w:ascii="Sylfaen" w:hAnsi="Sylfaen"/>
          <w:b/>
          <w:i/>
          <w:lang w:val="ka-GE"/>
        </w:rPr>
      </w:pPr>
    </w:p>
    <w:p w:rsidR="00592E25" w:rsidRPr="00D75DB3" w:rsidRDefault="00592E25" w:rsidP="00592E25">
      <w:pPr>
        <w:pStyle w:val="ListParagraph"/>
        <w:numPr>
          <w:ilvl w:val="0"/>
          <w:numId w:val="2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Sylfaen"/>
          <w:b/>
          <w:sz w:val="24"/>
        </w:rPr>
      </w:pPr>
      <w:r w:rsidRPr="00CB3012">
        <w:rPr>
          <w:rFonts w:ascii="Sylfaen" w:eastAsia="Sylfaen" w:hAnsi="Sylfaen" w:cs="Sylfaen"/>
          <w:b/>
          <w:color w:val="000000" w:themeColor="text1"/>
          <w:sz w:val="24"/>
          <w:lang w:val="ka-GE"/>
        </w:rPr>
        <w:t>ანგარიშგება</w:t>
      </w:r>
      <w:r w:rsidRPr="00D75DB3">
        <w:rPr>
          <w:rFonts w:ascii="Sylfaen" w:eastAsia="Sylfaen" w:hAnsi="Sylfaen" w:cs="Sylfaen"/>
          <w:b/>
          <w:sz w:val="24"/>
        </w:rPr>
        <w:t xml:space="preserve">- </w:t>
      </w:r>
      <w:r w:rsidRPr="008F1C2A">
        <w:rPr>
          <w:rFonts w:ascii="Sylfaen" w:eastAsia="Sylfaen" w:hAnsi="Sylfaen" w:cs="Sylfaen"/>
          <w:sz w:val="24"/>
          <w:lang w:val="ka-GE"/>
        </w:rPr>
        <w:t>სსიპ</w:t>
      </w:r>
      <w:r w:rsidRPr="00D75DB3">
        <w:rPr>
          <w:rFonts w:ascii="Sylfaen" w:eastAsia="Sylfaen" w:hAnsi="Sylfaen" w:cs="Sylfaen"/>
          <w:sz w:val="24"/>
        </w:rPr>
        <w:t>სოციალური მომსახურების სააგენტო</w:t>
      </w:r>
      <w:r>
        <w:rPr>
          <w:rFonts w:ascii="Sylfaen" w:eastAsia="Sylfaen" w:hAnsi="Sylfaen" w:cs="Sylfaen"/>
          <w:sz w:val="24"/>
          <w:lang w:val="ka-GE"/>
        </w:rPr>
        <w:t xml:space="preserve"> (განმახორციელებელი)</w:t>
      </w:r>
    </w:p>
    <w:p w:rsidR="00592E25" w:rsidRPr="00B4001F" w:rsidRDefault="00592E25" w:rsidP="00592E2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left="1080"/>
        <w:jc w:val="both"/>
        <w:rPr>
          <w:rFonts w:ascii="Sylfaen" w:eastAsia="Sylfaen" w:hAnsi="Sylfaen"/>
          <w:sz w:val="16"/>
          <w:szCs w:val="16"/>
          <w:lang w:val="ka-GE"/>
        </w:rPr>
      </w:pPr>
    </w:p>
    <w:p w:rsidR="00592E25" w:rsidRDefault="00592E25" w:rsidP="00592E25">
      <w:pPr>
        <w:ind w:left="720"/>
        <w:rPr>
          <w:rFonts w:ascii="Sylfaen" w:hAnsi="Sylfaen" w:cs="Sylfaen"/>
          <w:sz w:val="24"/>
          <w:szCs w:val="24"/>
          <w:lang w:val="ka-GE"/>
        </w:rPr>
      </w:pPr>
      <w:proofErr w:type="gramStart"/>
      <w:r w:rsidRPr="00B4001F">
        <w:rPr>
          <w:rFonts w:ascii="Sylfaen" w:hAnsi="Sylfaen" w:cs="Sylfaen"/>
          <w:sz w:val="24"/>
          <w:szCs w:val="24"/>
        </w:rPr>
        <w:t>ანგარიშგებისას</w:t>
      </w:r>
      <w:proofErr w:type="gramEnd"/>
      <w:r w:rsidRPr="00B4001F">
        <w:rPr>
          <w:rFonts w:ascii="Sylfaen" w:hAnsi="Sylfaen" w:cs="Sylfaen"/>
          <w:sz w:val="24"/>
          <w:szCs w:val="24"/>
        </w:rPr>
        <w:t xml:space="preserve"> წარდგენილი იქნება მხოლოდ დადგენილი ფორმის შემთხვევათა რეესტრი და ხარჯის დამადასტურებელი დოკუმენტი</w:t>
      </w:r>
      <w:r>
        <w:rPr>
          <w:rFonts w:ascii="Sylfaen" w:hAnsi="Sylfaen" w:cs="Sylfaen"/>
          <w:sz w:val="24"/>
          <w:szCs w:val="24"/>
          <w:lang w:val="ka-GE"/>
        </w:rPr>
        <w:t>.</w:t>
      </w:r>
    </w:p>
    <w:p w:rsidR="00553628" w:rsidRDefault="00553628" w:rsidP="008F33A6">
      <w:pPr>
        <w:pStyle w:val="ListParagraph"/>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jc w:val="both"/>
        <w:rPr>
          <w:rFonts w:ascii="Sylfaen" w:eastAsia="Sylfaen" w:hAnsi="Sylfaen"/>
          <w:lang w:val="ka-GE"/>
        </w:rPr>
      </w:pPr>
    </w:p>
    <w:p w:rsidR="00553628" w:rsidRDefault="00553628" w:rsidP="008F33A6">
      <w:pPr>
        <w:pStyle w:val="ListParagraph"/>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jc w:val="both"/>
        <w:rPr>
          <w:rFonts w:ascii="Sylfaen" w:eastAsia="Sylfaen" w:hAnsi="Sylfaen"/>
          <w:lang w:val="ka-GE"/>
        </w:rPr>
      </w:pPr>
    </w:p>
    <w:p w:rsidR="00A3449E" w:rsidRDefault="00A3449E" w:rsidP="00586362">
      <w:pPr>
        <w:ind w:left="720"/>
        <w:rPr>
          <w:rFonts w:ascii="Sylfaen" w:hAnsi="Sylfaen"/>
          <w:b/>
          <w:i/>
        </w:rPr>
        <w:sectPr w:rsidR="00A3449E" w:rsidSect="00140951">
          <w:pgSz w:w="12240" w:h="15840"/>
          <w:pgMar w:top="1138" w:right="1354" w:bottom="1138" w:left="806" w:header="720" w:footer="720" w:gutter="0"/>
          <w:cols w:space="720"/>
          <w:docGrid w:linePitch="360"/>
        </w:sectPr>
      </w:pPr>
    </w:p>
    <w:p w:rsidR="00D3077B" w:rsidRDefault="00D3077B" w:rsidP="00EF6D8A">
      <w:pPr>
        <w:jc w:val="right"/>
        <w:rPr>
          <w:rFonts w:ascii="Sylfaen" w:eastAsia="Sylfaen" w:hAnsi="Sylfaen"/>
          <w:szCs w:val="22"/>
          <w:lang w:val="ka-GE"/>
        </w:rPr>
      </w:pPr>
      <w:r>
        <w:rPr>
          <w:rFonts w:ascii="Sylfaen" w:eastAsia="Sylfaen" w:hAnsi="Sylfaen"/>
          <w:szCs w:val="22"/>
          <w:lang w:val="ka-GE"/>
        </w:rPr>
        <w:lastRenderedPageBreak/>
        <w:t>ცხრილი N</w:t>
      </w:r>
      <w:r w:rsidR="00F8420A">
        <w:rPr>
          <w:rFonts w:ascii="Sylfaen" w:eastAsia="Sylfaen" w:hAnsi="Sylfaen"/>
          <w:szCs w:val="22"/>
          <w:lang w:val="ka-GE"/>
        </w:rPr>
        <w:t>4</w:t>
      </w:r>
    </w:p>
    <w:p w:rsidR="00D3077B" w:rsidRDefault="00D3077B" w:rsidP="00D3077B">
      <w:pPr>
        <w:jc w:val="center"/>
        <w:rPr>
          <w:rFonts w:ascii="Sylfaen" w:eastAsia="Sylfaen" w:hAnsi="Sylfaen"/>
          <w:szCs w:val="22"/>
          <w:lang w:val="ka-GE"/>
        </w:rPr>
      </w:pPr>
      <w:r>
        <w:rPr>
          <w:rFonts w:ascii="Sylfaen" w:eastAsia="Sylfaen" w:hAnsi="Sylfaen"/>
          <w:szCs w:val="22"/>
          <w:lang w:val="ka-GE"/>
        </w:rPr>
        <w:t>მომსახურების მიმწოდებლები 2011-2014 წლებში</w:t>
      </w:r>
    </w:p>
    <w:tbl>
      <w:tblPr>
        <w:tblW w:w="1410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5"/>
        <w:gridCol w:w="4709"/>
        <w:gridCol w:w="368"/>
        <w:gridCol w:w="1223"/>
        <w:gridCol w:w="1350"/>
        <w:gridCol w:w="1350"/>
        <w:gridCol w:w="810"/>
        <w:gridCol w:w="1440"/>
        <w:gridCol w:w="1080"/>
        <w:gridCol w:w="1314"/>
      </w:tblGrid>
      <w:tr w:rsidR="00D3077B" w:rsidRPr="00BE56C3" w:rsidTr="00F8420A">
        <w:trPr>
          <w:trHeight w:val="300"/>
        </w:trPr>
        <w:tc>
          <w:tcPr>
            <w:tcW w:w="465" w:type="dxa"/>
            <w:vMerge w:val="restart"/>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w:t>
            </w:r>
          </w:p>
        </w:tc>
        <w:tc>
          <w:tcPr>
            <w:tcW w:w="4709" w:type="dxa"/>
            <w:vMerge w:val="restart"/>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Sylfaen"/>
                <w:color w:val="000000"/>
                <w:sz w:val="14"/>
                <w:szCs w:val="14"/>
              </w:rPr>
              <w:t>ცენტრები</w:t>
            </w:r>
          </w:p>
        </w:tc>
        <w:tc>
          <w:tcPr>
            <w:tcW w:w="8935" w:type="dxa"/>
            <w:gridSpan w:val="8"/>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Sylfaen"/>
                <w:color w:val="000000"/>
                <w:sz w:val="14"/>
                <w:szCs w:val="14"/>
              </w:rPr>
              <w:t>მანქანებისრაოდენობა</w:t>
            </w:r>
          </w:p>
        </w:tc>
      </w:tr>
      <w:tr w:rsidR="00D3077B" w:rsidRPr="00BE56C3" w:rsidTr="00F8420A">
        <w:trPr>
          <w:trHeight w:val="300"/>
        </w:trPr>
        <w:tc>
          <w:tcPr>
            <w:tcW w:w="465" w:type="dxa"/>
            <w:vMerge/>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p>
        </w:tc>
        <w:tc>
          <w:tcPr>
            <w:tcW w:w="4709" w:type="dxa"/>
            <w:vMerge/>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p>
        </w:tc>
        <w:tc>
          <w:tcPr>
            <w:tcW w:w="1591" w:type="dxa"/>
            <w:gridSpan w:val="2"/>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 xml:space="preserve">2011 </w:t>
            </w:r>
            <w:r w:rsidRPr="00BE56C3">
              <w:rPr>
                <w:rFonts w:ascii="Sylfaen" w:eastAsia="Times New Roman" w:hAnsi="Sylfaen" w:cs="Sylfaen"/>
                <w:color w:val="000000"/>
                <w:sz w:val="14"/>
                <w:szCs w:val="14"/>
              </w:rPr>
              <w:t>წელი</w:t>
            </w:r>
          </w:p>
        </w:tc>
        <w:tc>
          <w:tcPr>
            <w:tcW w:w="2700" w:type="dxa"/>
            <w:gridSpan w:val="2"/>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 xml:space="preserve">2012 </w:t>
            </w:r>
            <w:r w:rsidRPr="00BE56C3">
              <w:rPr>
                <w:rFonts w:ascii="Sylfaen" w:eastAsia="Times New Roman" w:hAnsi="Sylfaen" w:cs="Sylfaen"/>
                <w:color w:val="000000"/>
                <w:sz w:val="14"/>
                <w:szCs w:val="14"/>
              </w:rPr>
              <w:t>წელი</w:t>
            </w:r>
          </w:p>
        </w:tc>
        <w:tc>
          <w:tcPr>
            <w:tcW w:w="2250" w:type="dxa"/>
            <w:gridSpan w:val="2"/>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 xml:space="preserve">2013 </w:t>
            </w:r>
            <w:r w:rsidRPr="00BE56C3">
              <w:rPr>
                <w:rFonts w:ascii="Sylfaen" w:eastAsia="Times New Roman" w:hAnsi="Sylfaen" w:cs="Sylfaen"/>
                <w:color w:val="000000"/>
                <w:sz w:val="14"/>
                <w:szCs w:val="14"/>
              </w:rPr>
              <w:t>წ</w:t>
            </w:r>
          </w:p>
        </w:tc>
        <w:tc>
          <w:tcPr>
            <w:tcW w:w="2394" w:type="dxa"/>
            <w:gridSpan w:val="2"/>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 xml:space="preserve">2014 </w:t>
            </w:r>
            <w:r w:rsidRPr="00BE56C3">
              <w:rPr>
                <w:rFonts w:ascii="Sylfaen" w:eastAsia="Times New Roman" w:hAnsi="Sylfaen" w:cs="Sylfaen"/>
                <w:color w:val="000000"/>
                <w:sz w:val="14"/>
                <w:szCs w:val="14"/>
              </w:rPr>
              <w:t>წ</w:t>
            </w:r>
          </w:p>
        </w:tc>
      </w:tr>
      <w:tr w:rsidR="00D3077B" w:rsidRPr="00BE56C3" w:rsidTr="00F8420A">
        <w:trPr>
          <w:cantSplit/>
          <w:trHeight w:val="1277"/>
        </w:trPr>
        <w:tc>
          <w:tcPr>
            <w:tcW w:w="465" w:type="dxa"/>
            <w:vMerge/>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p>
        </w:tc>
        <w:tc>
          <w:tcPr>
            <w:tcW w:w="4709" w:type="dxa"/>
            <w:vMerge/>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p>
        </w:tc>
        <w:tc>
          <w:tcPr>
            <w:tcW w:w="368" w:type="dxa"/>
            <w:shd w:val="clear" w:color="auto" w:fill="auto"/>
            <w:textDirection w:val="btLr"/>
            <w:vAlign w:val="center"/>
            <w:hideMark/>
          </w:tcPr>
          <w:p w:rsidR="00D3077B" w:rsidRPr="00BE56C3" w:rsidRDefault="00D3077B" w:rsidP="00F8420A">
            <w:pPr>
              <w:spacing w:after="0" w:line="240" w:lineRule="auto"/>
              <w:ind w:left="113" w:right="113"/>
              <w:jc w:val="center"/>
              <w:rPr>
                <w:rFonts w:ascii="Sylfaen" w:eastAsia="Times New Roman" w:hAnsi="Sylfaen" w:cs="Calibri"/>
                <w:color w:val="000000"/>
                <w:sz w:val="14"/>
                <w:szCs w:val="14"/>
              </w:rPr>
            </w:pPr>
            <w:r w:rsidRPr="00BE56C3">
              <w:rPr>
                <w:rFonts w:ascii="Sylfaen" w:eastAsia="Times New Roman" w:hAnsi="Sylfaen" w:cs="Sylfaen"/>
                <w:color w:val="000000"/>
                <w:sz w:val="14"/>
                <w:szCs w:val="14"/>
              </w:rPr>
              <w:t>მოზრდილთა</w:t>
            </w:r>
          </w:p>
        </w:tc>
        <w:tc>
          <w:tcPr>
            <w:tcW w:w="1223" w:type="dxa"/>
            <w:shd w:val="clear" w:color="auto" w:fill="auto"/>
            <w:textDirection w:val="btLr"/>
            <w:vAlign w:val="center"/>
            <w:hideMark/>
          </w:tcPr>
          <w:p w:rsidR="00D3077B" w:rsidRPr="00BE56C3" w:rsidRDefault="00D3077B" w:rsidP="00F8420A">
            <w:pPr>
              <w:spacing w:after="0" w:line="240" w:lineRule="auto"/>
              <w:ind w:left="113" w:right="113"/>
              <w:jc w:val="center"/>
              <w:rPr>
                <w:rFonts w:ascii="Sylfaen" w:eastAsia="Times New Roman" w:hAnsi="Sylfaen" w:cs="Calibri"/>
                <w:color w:val="000000"/>
                <w:sz w:val="14"/>
                <w:szCs w:val="14"/>
              </w:rPr>
            </w:pPr>
            <w:r w:rsidRPr="00BE56C3">
              <w:rPr>
                <w:rFonts w:ascii="Sylfaen" w:eastAsia="Times New Roman" w:hAnsi="Sylfaen" w:cs="Sylfaen"/>
                <w:color w:val="000000"/>
                <w:sz w:val="14"/>
                <w:szCs w:val="14"/>
              </w:rPr>
              <w:t>პედიატრიული</w:t>
            </w:r>
          </w:p>
        </w:tc>
        <w:tc>
          <w:tcPr>
            <w:tcW w:w="1350" w:type="dxa"/>
            <w:shd w:val="clear" w:color="auto" w:fill="auto"/>
            <w:textDirection w:val="btLr"/>
            <w:vAlign w:val="center"/>
            <w:hideMark/>
          </w:tcPr>
          <w:p w:rsidR="00D3077B" w:rsidRPr="00BE56C3" w:rsidRDefault="00D3077B" w:rsidP="00F8420A">
            <w:pPr>
              <w:spacing w:after="0" w:line="240" w:lineRule="auto"/>
              <w:ind w:left="113" w:right="113"/>
              <w:jc w:val="center"/>
              <w:rPr>
                <w:rFonts w:ascii="Sylfaen" w:eastAsia="Times New Roman" w:hAnsi="Sylfaen" w:cs="Calibri"/>
                <w:color w:val="000000"/>
                <w:sz w:val="14"/>
                <w:szCs w:val="14"/>
              </w:rPr>
            </w:pPr>
            <w:r w:rsidRPr="00BE56C3">
              <w:rPr>
                <w:rFonts w:ascii="Sylfaen" w:eastAsia="Times New Roman" w:hAnsi="Sylfaen" w:cs="Sylfaen"/>
                <w:color w:val="000000"/>
                <w:sz w:val="14"/>
                <w:szCs w:val="14"/>
              </w:rPr>
              <w:t>მოზრდილთა</w:t>
            </w:r>
          </w:p>
        </w:tc>
        <w:tc>
          <w:tcPr>
            <w:tcW w:w="1350" w:type="dxa"/>
            <w:shd w:val="clear" w:color="auto" w:fill="auto"/>
            <w:textDirection w:val="btLr"/>
            <w:vAlign w:val="center"/>
            <w:hideMark/>
          </w:tcPr>
          <w:p w:rsidR="00D3077B" w:rsidRPr="00BE56C3" w:rsidRDefault="00D3077B" w:rsidP="00F8420A">
            <w:pPr>
              <w:spacing w:after="0" w:line="240" w:lineRule="auto"/>
              <w:ind w:left="113" w:right="113"/>
              <w:jc w:val="center"/>
              <w:rPr>
                <w:rFonts w:ascii="Sylfaen" w:eastAsia="Times New Roman" w:hAnsi="Sylfaen" w:cs="Calibri"/>
                <w:color w:val="000000"/>
                <w:sz w:val="14"/>
                <w:szCs w:val="14"/>
              </w:rPr>
            </w:pPr>
            <w:r w:rsidRPr="00BE56C3">
              <w:rPr>
                <w:rFonts w:ascii="Sylfaen" w:eastAsia="Times New Roman" w:hAnsi="Sylfaen" w:cs="Sylfaen"/>
                <w:color w:val="000000"/>
                <w:sz w:val="14"/>
                <w:szCs w:val="14"/>
              </w:rPr>
              <w:t>პედიატრიული</w:t>
            </w:r>
          </w:p>
        </w:tc>
        <w:tc>
          <w:tcPr>
            <w:tcW w:w="810" w:type="dxa"/>
            <w:shd w:val="clear" w:color="auto" w:fill="auto"/>
            <w:textDirection w:val="btLr"/>
            <w:vAlign w:val="center"/>
            <w:hideMark/>
          </w:tcPr>
          <w:p w:rsidR="00D3077B" w:rsidRPr="00BE56C3" w:rsidRDefault="00D3077B" w:rsidP="00F8420A">
            <w:pPr>
              <w:spacing w:after="0" w:line="240" w:lineRule="auto"/>
              <w:ind w:left="113" w:right="113"/>
              <w:jc w:val="center"/>
              <w:rPr>
                <w:rFonts w:ascii="Sylfaen" w:eastAsia="Times New Roman" w:hAnsi="Sylfaen" w:cs="Calibri"/>
                <w:color w:val="000000"/>
                <w:sz w:val="14"/>
                <w:szCs w:val="14"/>
              </w:rPr>
            </w:pPr>
            <w:r w:rsidRPr="00BE56C3">
              <w:rPr>
                <w:rFonts w:ascii="Sylfaen" w:eastAsia="Times New Roman" w:hAnsi="Sylfaen" w:cs="Sylfaen"/>
                <w:color w:val="000000"/>
                <w:sz w:val="14"/>
                <w:szCs w:val="14"/>
              </w:rPr>
              <w:t>მოზრდილთა</w:t>
            </w:r>
          </w:p>
        </w:tc>
        <w:tc>
          <w:tcPr>
            <w:tcW w:w="1440" w:type="dxa"/>
            <w:shd w:val="clear" w:color="auto" w:fill="auto"/>
            <w:textDirection w:val="btLr"/>
            <w:vAlign w:val="center"/>
            <w:hideMark/>
          </w:tcPr>
          <w:p w:rsidR="00D3077B" w:rsidRPr="00BE56C3" w:rsidRDefault="00D3077B" w:rsidP="00F8420A">
            <w:pPr>
              <w:spacing w:after="0" w:line="240" w:lineRule="auto"/>
              <w:ind w:left="113" w:right="113"/>
              <w:jc w:val="center"/>
              <w:rPr>
                <w:rFonts w:ascii="Sylfaen" w:eastAsia="Times New Roman" w:hAnsi="Sylfaen" w:cs="Calibri"/>
                <w:color w:val="000000"/>
                <w:sz w:val="14"/>
                <w:szCs w:val="14"/>
              </w:rPr>
            </w:pPr>
            <w:r w:rsidRPr="00BE56C3">
              <w:rPr>
                <w:rFonts w:ascii="Sylfaen" w:eastAsia="Times New Roman" w:hAnsi="Sylfaen" w:cs="Sylfaen"/>
                <w:color w:val="000000"/>
                <w:sz w:val="14"/>
                <w:szCs w:val="14"/>
              </w:rPr>
              <w:t>პედიატრიული</w:t>
            </w:r>
          </w:p>
        </w:tc>
        <w:tc>
          <w:tcPr>
            <w:tcW w:w="1080" w:type="dxa"/>
            <w:shd w:val="clear" w:color="auto" w:fill="auto"/>
            <w:textDirection w:val="btLr"/>
            <w:vAlign w:val="center"/>
            <w:hideMark/>
          </w:tcPr>
          <w:p w:rsidR="00D3077B" w:rsidRPr="00BE56C3" w:rsidRDefault="00D3077B" w:rsidP="00F8420A">
            <w:pPr>
              <w:spacing w:after="0" w:line="240" w:lineRule="auto"/>
              <w:ind w:left="113" w:right="113"/>
              <w:jc w:val="center"/>
              <w:rPr>
                <w:rFonts w:ascii="Sylfaen" w:eastAsia="Times New Roman" w:hAnsi="Sylfaen" w:cs="Calibri"/>
                <w:color w:val="000000"/>
                <w:sz w:val="14"/>
                <w:szCs w:val="14"/>
              </w:rPr>
            </w:pPr>
            <w:r w:rsidRPr="00BE56C3">
              <w:rPr>
                <w:rFonts w:ascii="Sylfaen" w:eastAsia="Times New Roman" w:hAnsi="Sylfaen" w:cs="Sylfaen"/>
                <w:color w:val="000000"/>
                <w:sz w:val="14"/>
                <w:szCs w:val="14"/>
              </w:rPr>
              <w:t>მოზრდილთა</w:t>
            </w:r>
          </w:p>
        </w:tc>
        <w:tc>
          <w:tcPr>
            <w:tcW w:w="1314" w:type="dxa"/>
            <w:shd w:val="clear" w:color="auto" w:fill="auto"/>
            <w:textDirection w:val="btLr"/>
            <w:vAlign w:val="center"/>
            <w:hideMark/>
          </w:tcPr>
          <w:p w:rsidR="00D3077B" w:rsidRPr="00BE56C3" w:rsidRDefault="00D3077B" w:rsidP="00F8420A">
            <w:pPr>
              <w:spacing w:after="0" w:line="240" w:lineRule="auto"/>
              <w:ind w:left="113" w:right="113"/>
              <w:jc w:val="center"/>
              <w:rPr>
                <w:rFonts w:ascii="Sylfaen" w:eastAsia="Times New Roman" w:hAnsi="Sylfaen" w:cs="Calibri"/>
                <w:color w:val="000000"/>
                <w:sz w:val="14"/>
                <w:szCs w:val="14"/>
              </w:rPr>
            </w:pPr>
            <w:r w:rsidRPr="00BE56C3">
              <w:rPr>
                <w:rFonts w:ascii="Sylfaen" w:eastAsia="Times New Roman" w:hAnsi="Sylfaen" w:cs="Sylfaen"/>
                <w:color w:val="000000"/>
                <w:sz w:val="14"/>
                <w:szCs w:val="14"/>
              </w:rPr>
              <w:t>პედიატრიული</w:t>
            </w:r>
          </w:p>
        </w:tc>
      </w:tr>
      <w:tr w:rsidR="00D3077B" w:rsidRPr="00BE56C3" w:rsidTr="00F8420A">
        <w:trPr>
          <w:trHeight w:val="689"/>
        </w:trPr>
        <w:tc>
          <w:tcPr>
            <w:tcW w:w="465"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olor w:val="000000"/>
                <w:sz w:val="14"/>
                <w:szCs w:val="14"/>
              </w:rPr>
            </w:pPr>
            <w:r w:rsidRPr="00BE56C3">
              <w:rPr>
                <w:rFonts w:ascii="Sylfaen" w:eastAsia="Times New Roman" w:hAnsi="Sylfaen"/>
                <w:color w:val="000000"/>
                <w:sz w:val="14"/>
                <w:szCs w:val="14"/>
              </w:rPr>
              <w:t>1</w:t>
            </w:r>
          </w:p>
        </w:tc>
        <w:tc>
          <w:tcPr>
            <w:tcW w:w="4709" w:type="dxa"/>
            <w:shd w:val="clear" w:color="auto" w:fill="auto"/>
            <w:vAlign w:val="center"/>
            <w:hideMark/>
          </w:tcPr>
          <w:p w:rsidR="00D3077B" w:rsidRPr="00BE56C3" w:rsidRDefault="00D3077B" w:rsidP="00F8420A">
            <w:pPr>
              <w:spacing w:after="0" w:line="240" w:lineRule="auto"/>
              <w:rPr>
                <w:rFonts w:ascii="Sylfaen" w:eastAsia="Times New Roman" w:hAnsi="Sylfaen" w:cs="Calibri"/>
                <w:color w:val="000000"/>
                <w:sz w:val="14"/>
                <w:szCs w:val="14"/>
              </w:rPr>
            </w:pPr>
            <w:r w:rsidRPr="00BE56C3">
              <w:rPr>
                <w:rFonts w:ascii="Sylfaen" w:eastAsia="Times New Roman" w:hAnsi="Sylfaen" w:cs="Calibri"/>
                <w:color w:val="000000"/>
                <w:sz w:val="14"/>
                <w:szCs w:val="14"/>
              </w:rPr>
              <w:t>შპს</w:t>
            </w:r>
            <w:r w:rsidRPr="00BE56C3">
              <w:rPr>
                <w:rFonts w:ascii="Sylfaen" w:eastAsia="Times New Roman" w:hAnsi="Sylfaen"/>
                <w:color w:val="000000"/>
                <w:sz w:val="14"/>
                <w:szCs w:val="14"/>
              </w:rPr>
              <w:t xml:space="preserve"> ,,</w:t>
            </w:r>
            <w:r w:rsidRPr="00BE56C3">
              <w:rPr>
                <w:rFonts w:ascii="Sylfaen" w:eastAsia="Times New Roman" w:hAnsi="Sylfaen" w:cs="Calibri"/>
                <w:color w:val="000000"/>
                <w:sz w:val="14"/>
                <w:szCs w:val="14"/>
              </w:rPr>
              <w:t>რეფერალურიდახმარებისცენტრი</w:t>
            </w:r>
            <w:r w:rsidRPr="00BE56C3">
              <w:rPr>
                <w:rFonts w:ascii="Sylfaen" w:eastAsia="Times New Roman" w:hAnsi="Sylfaen"/>
                <w:color w:val="000000"/>
                <w:sz w:val="14"/>
                <w:szCs w:val="14"/>
              </w:rPr>
              <w:t>”</w:t>
            </w:r>
          </w:p>
        </w:tc>
        <w:tc>
          <w:tcPr>
            <w:tcW w:w="368"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10</w:t>
            </w:r>
          </w:p>
        </w:tc>
        <w:tc>
          <w:tcPr>
            <w:tcW w:w="1223" w:type="dxa"/>
            <w:shd w:val="clear" w:color="auto" w:fill="auto"/>
            <w:vAlign w:val="center"/>
            <w:hideMark/>
          </w:tcPr>
          <w:p w:rsidR="00D3077B" w:rsidRPr="00F211AD" w:rsidRDefault="00D3077B" w:rsidP="00F8420A">
            <w:pPr>
              <w:spacing w:after="0" w:line="240" w:lineRule="auto"/>
              <w:jc w:val="center"/>
              <w:rPr>
                <w:rFonts w:ascii="Sylfaen" w:eastAsia="Times New Roman" w:hAnsi="Sylfaen" w:cs="Calibri"/>
                <w:color w:val="000000"/>
                <w:sz w:val="14"/>
                <w:szCs w:val="14"/>
                <w:lang w:val="ka-GE"/>
              </w:rPr>
            </w:pPr>
            <w:r w:rsidRPr="00BE56C3">
              <w:rPr>
                <w:rFonts w:ascii="Sylfaen" w:eastAsia="Times New Roman" w:hAnsi="Sylfaen" w:cs="Calibri"/>
                <w:color w:val="000000"/>
                <w:sz w:val="14"/>
                <w:szCs w:val="14"/>
              </w:rPr>
              <w:t xml:space="preserve">2 </w:t>
            </w:r>
            <w:r w:rsidRPr="00BE56C3">
              <w:rPr>
                <w:rFonts w:ascii="Sylfaen" w:eastAsia="Times New Roman" w:hAnsi="Sylfaen" w:cs="Sylfaen"/>
                <w:color w:val="000000"/>
                <w:sz w:val="14"/>
                <w:szCs w:val="14"/>
              </w:rPr>
              <w:t>კუვეზი</w:t>
            </w:r>
          </w:p>
        </w:tc>
        <w:tc>
          <w:tcPr>
            <w:tcW w:w="1350"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10</w:t>
            </w:r>
          </w:p>
        </w:tc>
        <w:tc>
          <w:tcPr>
            <w:tcW w:w="1350" w:type="dxa"/>
            <w:shd w:val="clear" w:color="auto" w:fill="auto"/>
            <w:vAlign w:val="center"/>
            <w:hideMark/>
          </w:tcPr>
          <w:p w:rsidR="00D3077B" w:rsidRPr="00F211AD" w:rsidRDefault="00D3077B" w:rsidP="00F8420A">
            <w:pPr>
              <w:spacing w:after="0" w:line="240" w:lineRule="auto"/>
              <w:jc w:val="center"/>
              <w:rPr>
                <w:rFonts w:ascii="Sylfaen" w:eastAsia="Times New Roman" w:hAnsi="Sylfaen" w:cs="Calibri"/>
                <w:color w:val="000000"/>
                <w:sz w:val="14"/>
                <w:szCs w:val="14"/>
                <w:lang w:val="ka-GE"/>
              </w:rPr>
            </w:pPr>
            <w:r w:rsidRPr="00BE56C3">
              <w:rPr>
                <w:rFonts w:ascii="Sylfaen" w:eastAsia="Times New Roman" w:hAnsi="Sylfaen" w:cs="Calibri"/>
                <w:color w:val="000000"/>
                <w:sz w:val="14"/>
                <w:szCs w:val="14"/>
              </w:rPr>
              <w:t xml:space="preserve">2 </w:t>
            </w:r>
            <w:r w:rsidRPr="00BE56C3">
              <w:rPr>
                <w:rFonts w:ascii="Sylfaen" w:eastAsia="Times New Roman" w:hAnsi="Sylfaen" w:cs="Sylfaen"/>
                <w:color w:val="000000"/>
                <w:sz w:val="14"/>
                <w:szCs w:val="14"/>
              </w:rPr>
              <w:t>კუვეზი</w:t>
            </w:r>
          </w:p>
        </w:tc>
        <w:tc>
          <w:tcPr>
            <w:tcW w:w="810"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7</w:t>
            </w:r>
          </w:p>
        </w:tc>
        <w:tc>
          <w:tcPr>
            <w:tcW w:w="1440"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1 ახალშობილთა</w:t>
            </w:r>
            <w:r w:rsidRPr="00BE56C3">
              <w:rPr>
                <w:rFonts w:ascii="Sylfaen" w:eastAsia="Times New Roman" w:hAnsi="Sylfaen"/>
                <w:color w:val="000000"/>
                <w:sz w:val="14"/>
                <w:szCs w:val="14"/>
              </w:rPr>
              <w:t xml:space="preserve">/ </w:t>
            </w:r>
            <w:r w:rsidRPr="00BE56C3">
              <w:rPr>
                <w:rFonts w:ascii="Sylfaen" w:eastAsia="Times New Roman" w:hAnsi="Sylfaen" w:cs="Calibri"/>
                <w:color w:val="000000"/>
                <w:sz w:val="14"/>
                <w:szCs w:val="14"/>
              </w:rPr>
              <w:t>მოზრდილთა</w:t>
            </w:r>
          </w:p>
        </w:tc>
        <w:tc>
          <w:tcPr>
            <w:tcW w:w="1080"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7</w:t>
            </w:r>
          </w:p>
        </w:tc>
        <w:tc>
          <w:tcPr>
            <w:tcW w:w="1314"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2ახალშობილთა</w:t>
            </w:r>
            <w:r w:rsidRPr="00BE56C3">
              <w:rPr>
                <w:rFonts w:ascii="Sylfaen" w:eastAsia="Times New Roman" w:hAnsi="Sylfaen"/>
                <w:color w:val="000000"/>
                <w:sz w:val="14"/>
                <w:szCs w:val="14"/>
              </w:rPr>
              <w:t xml:space="preserve">/ </w:t>
            </w:r>
            <w:r w:rsidRPr="00BE56C3">
              <w:rPr>
                <w:rFonts w:ascii="Sylfaen" w:eastAsia="Times New Roman" w:hAnsi="Sylfaen" w:cs="Calibri"/>
                <w:color w:val="000000"/>
                <w:sz w:val="14"/>
                <w:szCs w:val="14"/>
              </w:rPr>
              <w:t>მოზრდილთა</w:t>
            </w:r>
          </w:p>
        </w:tc>
      </w:tr>
      <w:tr w:rsidR="00D3077B" w:rsidRPr="00BE56C3" w:rsidTr="00F8420A">
        <w:trPr>
          <w:trHeight w:val="300"/>
        </w:trPr>
        <w:tc>
          <w:tcPr>
            <w:tcW w:w="465"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olor w:val="000000"/>
                <w:sz w:val="14"/>
                <w:szCs w:val="14"/>
              </w:rPr>
            </w:pPr>
            <w:r w:rsidRPr="00BE56C3">
              <w:rPr>
                <w:rFonts w:ascii="Sylfaen" w:eastAsia="Times New Roman" w:hAnsi="Sylfaen"/>
                <w:color w:val="000000"/>
                <w:sz w:val="14"/>
                <w:szCs w:val="14"/>
              </w:rPr>
              <w:t>2</w:t>
            </w:r>
          </w:p>
        </w:tc>
        <w:tc>
          <w:tcPr>
            <w:tcW w:w="4709" w:type="dxa"/>
            <w:shd w:val="clear" w:color="auto" w:fill="auto"/>
            <w:vAlign w:val="center"/>
            <w:hideMark/>
          </w:tcPr>
          <w:p w:rsidR="00D3077B" w:rsidRPr="00BE56C3" w:rsidRDefault="00D3077B" w:rsidP="00F8420A">
            <w:pPr>
              <w:spacing w:after="0" w:line="240" w:lineRule="auto"/>
              <w:rPr>
                <w:rFonts w:ascii="Sylfaen" w:eastAsia="Times New Roman" w:hAnsi="Sylfaen" w:cs="Calibri"/>
                <w:color w:val="000000"/>
                <w:sz w:val="14"/>
                <w:szCs w:val="14"/>
              </w:rPr>
            </w:pPr>
            <w:r w:rsidRPr="00BE56C3">
              <w:rPr>
                <w:rFonts w:ascii="Sylfaen" w:eastAsia="Times New Roman" w:hAnsi="Sylfaen" w:cs="Calibri"/>
                <w:color w:val="000000"/>
                <w:sz w:val="14"/>
                <w:szCs w:val="14"/>
              </w:rPr>
              <w:t>შპს</w:t>
            </w:r>
            <w:r w:rsidRPr="00BE56C3">
              <w:rPr>
                <w:rFonts w:ascii="Sylfaen" w:eastAsia="Times New Roman" w:hAnsi="Sylfaen"/>
                <w:color w:val="000000"/>
                <w:sz w:val="14"/>
                <w:szCs w:val="14"/>
              </w:rPr>
              <w:t xml:space="preserve"> ,,</w:t>
            </w:r>
            <w:r w:rsidRPr="00BE56C3">
              <w:rPr>
                <w:rFonts w:ascii="Sylfaen" w:eastAsia="Times New Roman" w:hAnsi="Sylfaen" w:cs="Calibri"/>
                <w:color w:val="000000"/>
                <w:sz w:val="14"/>
                <w:szCs w:val="14"/>
              </w:rPr>
              <w:t>კატასტროფისმედიცინისცენტრი</w:t>
            </w:r>
            <w:r w:rsidRPr="00BE56C3">
              <w:rPr>
                <w:rFonts w:ascii="Sylfaen" w:eastAsia="Times New Roman" w:hAnsi="Sylfaen"/>
                <w:color w:val="000000"/>
                <w:sz w:val="14"/>
                <w:szCs w:val="14"/>
              </w:rPr>
              <w:t>"</w:t>
            </w:r>
          </w:p>
        </w:tc>
        <w:tc>
          <w:tcPr>
            <w:tcW w:w="368"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4</w:t>
            </w:r>
          </w:p>
        </w:tc>
        <w:tc>
          <w:tcPr>
            <w:tcW w:w="1223"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2</w:t>
            </w:r>
          </w:p>
        </w:tc>
        <w:tc>
          <w:tcPr>
            <w:tcW w:w="1350"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6</w:t>
            </w:r>
          </w:p>
        </w:tc>
        <w:tc>
          <w:tcPr>
            <w:tcW w:w="1350"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3</w:t>
            </w:r>
          </w:p>
        </w:tc>
        <w:tc>
          <w:tcPr>
            <w:tcW w:w="810"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9</w:t>
            </w:r>
          </w:p>
        </w:tc>
        <w:tc>
          <w:tcPr>
            <w:tcW w:w="1440"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olor w:val="000000"/>
                <w:sz w:val="14"/>
                <w:szCs w:val="14"/>
              </w:rPr>
            </w:pPr>
            <w:r w:rsidRPr="00BE56C3">
              <w:rPr>
                <w:rFonts w:ascii="Sylfaen" w:eastAsia="Times New Roman" w:hAnsi="Sylfaen"/>
                <w:color w:val="000000"/>
                <w:sz w:val="14"/>
                <w:szCs w:val="14"/>
              </w:rPr>
              <w:t>1</w:t>
            </w:r>
          </w:p>
        </w:tc>
        <w:tc>
          <w:tcPr>
            <w:tcW w:w="1080" w:type="dxa"/>
            <w:shd w:val="clear" w:color="auto" w:fill="auto"/>
            <w:vAlign w:val="center"/>
            <w:hideMark/>
          </w:tcPr>
          <w:p w:rsidR="00D3077B" w:rsidRPr="000612AD" w:rsidRDefault="000612AD" w:rsidP="00F8420A">
            <w:pPr>
              <w:spacing w:after="0" w:line="240" w:lineRule="auto"/>
              <w:jc w:val="center"/>
              <w:rPr>
                <w:rFonts w:ascii="Sylfaen" w:eastAsia="Times New Roman" w:hAnsi="Sylfaen" w:cs="Calibri"/>
                <w:color w:val="000000"/>
                <w:sz w:val="14"/>
                <w:szCs w:val="14"/>
                <w:lang w:val="ka-GE"/>
              </w:rPr>
            </w:pPr>
            <w:r>
              <w:rPr>
                <w:rFonts w:ascii="Sylfaen" w:eastAsia="Times New Roman" w:hAnsi="Sylfaen" w:cs="Calibri"/>
                <w:color w:val="000000"/>
                <w:sz w:val="14"/>
                <w:szCs w:val="14"/>
                <w:lang w:val="ka-GE"/>
              </w:rPr>
              <w:t>10</w:t>
            </w:r>
          </w:p>
        </w:tc>
        <w:tc>
          <w:tcPr>
            <w:tcW w:w="1314"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olor w:val="000000"/>
                <w:sz w:val="14"/>
                <w:szCs w:val="14"/>
              </w:rPr>
            </w:pPr>
            <w:r w:rsidRPr="00BE56C3">
              <w:rPr>
                <w:rFonts w:ascii="Sylfaen" w:eastAsia="Times New Roman" w:hAnsi="Sylfaen"/>
                <w:color w:val="000000"/>
                <w:sz w:val="14"/>
                <w:szCs w:val="14"/>
              </w:rPr>
              <w:t>1</w:t>
            </w:r>
          </w:p>
        </w:tc>
      </w:tr>
      <w:tr w:rsidR="00D3077B" w:rsidRPr="00BE56C3" w:rsidTr="00F8420A">
        <w:trPr>
          <w:trHeight w:val="600"/>
        </w:trPr>
        <w:tc>
          <w:tcPr>
            <w:tcW w:w="465"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olor w:val="000000"/>
                <w:sz w:val="14"/>
                <w:szCs w:val="14"/>
              </w:rPr>
            </w:pPr>
            <w:r w:rsidRPr="00BE56C3">
              <w:rPr>
                <w:rFonts w:ascii="Sylfaen" w:eastAsia="Times New Roman" w:hAnsi="Sylfaen"/>
                <w:color w:val="000000"/>
                <w:sz w:val="14"/>
                <w:szCs w:val="14"/>
              </w:rPr>
              <w:t>3</w:t>
            </w:r>
          </w:p>
        </w:tc>
        <w:tc>
          <w:tcPr>
            <w:tcW w:w="4709" w:type="dxa"/>
            <w:shd w:val="clear" w:color="auto" w:fill="auto"/>
            <w:vAlign w:val="center"/>
            <w:hideMark/>
          </w:tcPr>
          <w:p w:rsidR="00D3077B" w:rsidRPr="00BE56C3" w:rsidRDefault="00D3077B" w:rsidP="00F8420A">
            <w:pPr>
              <w:spacing w:after="0" w:line="240" w:lineRule="auto"/>
              <w:rPr>
                <w:rFonts w:ascii="Sylfaen" w:eastAsia="Times New Roman" w:hAnsi="Sylfaen" w:cs="Calibri"/>
                <w:color w:val="000000"/>
                <w:sz w:val="14"/>
                <w:szCs w:val="14"/>
              </w:rPr>
            </w:pPr>
            <w:proofErr w:type="gramStart"/>
            <w:r w:rsidRPr="00BE56C3">
              <w:rPr>
                <w:rFonts w:ascii="Sylfaen" w:eastAsia="Times New Roman" w:hAnsi="Sylfaen" w:cs="Calibri"/>
                <w:color w:val="000000"/>
                <w:sz w:val="14"/>
                <w:szCs w:val="14"/>
              </w:rPr>
              <w:t>სსაკად</w:t>
            </w:r>
            <w:proofErr w:type="gramEnd"/>
            <w:r w:rsidRPr="00BE56C3">
              <w:rPr>
                <w:rFonts w:ascii="Sylfaen" w:eastAsia="Times New Roman" w:hAnsi="Sylfaen"/>
                <w:color w:val="000000"/>
                <w:sz w:val="14"/>
                <w:szCs w:val="14"/>
              </w:rPr>
              <w:t xml:space="preserve">. </w:t>
            </w:r>
            <w:r w:rsidRPr="00BE56C3">
              <w:rPr>
                <w:rFonts w:ascii="Sylfaen" w:eastAsia="Times New Roman" w:hAnsi="Sylfaen" w:cs="Calibri"/>
                <w:color w:val="000000"/>
                <w:sz w:val="14"/>
                <w:szCs w:val="14"/>
              </w:rPr>
              <w:t>ო</w:t>
            </w:r>
            <w:r w:rsidRPr="00BE56C3">
              <w:rPr>
                <w:rFonts w:ascii="Sylfaen" w:eastAsia="Times New Roman" w:hAnsi="Sylfaen"/>
                <w:color w:val="000000"/>
                <w:sz w:val="14"/>
                <w:szCs w:val="14"/>
              </w:rPr>
              <w:t>.</w:t>
            </w:r>
            <w:r w:rsidRPr="00BE56C3">
              <w:rPr>
                <w:rFonts w:ascii="Sylfaen" w:eastAsia="Times New Roman" w:hAnsi="Sylfaen" w:cs="Calibri"/>
                <w:color w:val="000000"/>
                <w:sz w:val="14"/>
                <w:szCs w:val="14"/>
              </w:rPr>
              <w:t>ღუდუშაურისსახელობისეროვნულისამედიცინოცენტრი</w:t>
            </w:r>
            <w:r w:rsidRPr="00BE56C3">
              <w:rPr>
                <w:rFonts w:ascii="Sylfaen" w:eastAsia="Times New Roman" w:hAnsi="Sylfaen"/>
                <w:color w:val="000000"/>
                <w:sz w:val="14"/>
                <w:szCs w:val="14"/>
              </w:rPr>
              <w:t>”</w:t>
            </w:r>
          </w:p>
        </w:tc>
        <w:tc>
          <w:tcPr>
            <w:tcW w:w="368"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2</w:t>
            </w:r>
          </w:p>
        </w:tc>
        <w:tc>
          <w:tcPr>
            <w:tcW w:w="1223"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0</w:t>
            </w:r>
          </w:p>
        </w:tc>
        <w:tc>
          <w:tcPr>
            <w:tcW w:w="1350"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2</w:t>
            </w:r>
          </w:p>
        </w:tc>
        <w:tc>
          <w:tcPr>
            <w:tcW w:w="1350"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0</w:t>
            </w:r>
          </w:p>
        </w:tc>
        <w:tc>
          <w:tcPr>
            <w:tcW w:w="810"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3</w:t>
            </w:r>
          </w:p>
        </w:tc>
        <w:tc>
          <w:tcPr>
            <w:tcW w:w="1440"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olor w:val="000000"/>
                <w:sz w:val="14"/>
                <w:szCs w:val="14"/>
              </w:rPr>
            </w:pPr>
            <w:r w:rsidRPr="00BE56C3">
              <w:rPr>
                <w:rFonts w:ascii="Sylfaen" w:eastAsia="Times New Roman" w:hAnsi="Sylfaen"/>
                <w:color w:val="000000"/>
                <w:sz w:val="14"/>
                <w:szCs w:val="14"/>
              </w:rPr>
              <w:t>0</w:t>
            </w:r>
          </w:p>
        </w:tc>
        <w:tc>
          <w:tcPr>
            <w:tcW w:w="1080"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1</w:t>
            </w:r>
          </w:p>
        </w:tc>
        <w:tc>
          <w:tcPr>
            <w:tcW w:w="1314"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olor w:val="000000"/>
                <w:sz w:val="14"/>
                <w:szCs w:val="14"/>
              </w:rPr>
            </w:pPr>
            <w:r w:rsidRPr="00BE56C3">
              <w:rPr>
                <w:rFonts w:ascii="Sylfaen" w:eastAsia="Times New Roman" w:hAnsi="Sylfaen"/>
                <w:color w:val="000000"/>
                <w:sz w:val="14"/>
                <w:szCs w:val="14"/>
              </w:rPr>
              <w:t>0</w:t>
            </w:r>
          </w:p>
        </w:tc>
      </w:tr>
      <w:tr w:rsidR="00D3077B" w:rsidRPr="00BE56C3" w:rsidTr="00A35826">
        <w:trPr>
          <w:trHeight w:val="300"/>
        </w:trPr>
        <w:tc>
          <w:tcPr>
            <w:tcW w:w="465"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4</w:t>
            </w:r>
          </w:p>
        </w:tc>
        <w:tc>
          <w:tcPr>
            <w:tcW w:w="4709" w:type="dxa"/>
            <w:shd w:val="clear" w:color="auto" w:fill="auto"/>
            <w:vAlign w:val="center"/>
            <w:hideMark/>
          </w:tcPr>
          <w:p w:rsidR="00D3077B" w:rsidRPr="00BE56C3" w:rsidRDefault="00D3077B" w:rsidP="00F8420A">
            <w:pPr>
              <w:spacing w:after="0" w:line="240" w:lineRule="auto"/>
              <w:rPr>
                <w:rFonts w:ascii="Sylfaen" w:eastAsia="Times New Roman" w:hAnsi="Sylfaen" w:cs="Calibri"/>
                <w:color w:val="000000"/>
                <w:sz w:val="14"/>
                <w:szCs w:val="14"/>
              </w:rPr>
            </w:pPr>
            <w:r w:rsidRPr="00BE56C3">
              <w:rPr>
                <w:rFonts w:ascii="Sylfaen" w:eastAsia="Times New Roman" w:hAnsi="Sylfaen" w:cs="Calibri"/>
                <w:color w:val="000000"/>
                <w:sz w:val="14"/>
                <w:szCs w:val="14"/>
              </w:rPr>
              <w:t>შპს</w:t>
            </w:r>
            <w:r w:rsidRPr="00BE56C3">
              <w:rPr>
                <w:rFonts w:ascii="Sylfaen" w:eastAsia="Times New Roman" w:hAnsi="Sylfaen"/>
                <w:color w:val="000000"/>
                <w:sz w:val="14"/>
                <w:szCs w:val="14"/>
              </w:rPr>
              <w:t xml:space="preserve"> ,,MED CARE"</w:t>
            </w:r>
          </w:p>
        </w:tc>
        <w:tc>
          <w:tcPr>
            <w:tcW w:w="1591" w:type="dxa"/>
            <w:gridSpan w:val="2"/>
            <w:shd w:val="clear" w:color="auto" w:fill="D9D9D9" w:themeFill="background1" w:themeFillShade="D9"/>
            <w:vAlign w:val="center"/>
            <w:hideMark/>
          </w:tcPr>
          <w:p w:rsidR="00D3077B" w:rsidRPr="00F211AD" w:rsidRDefault="00D3077B" w:rsidP="00F8420A">
            <w:pPr>
              <w:spacing w:after="0" w:line="240" w:lineRule="auto"/>
              <w:jc w:val="center"/>
              <w:rPr>
                <w:rFonts w:ascii="Sylfaen" w:eastAsia="Times New Roman" w:hAnsi="Sylfaen" w:cs="Calibri"/>
                <w:color w:val="000000"/>
                <w:sz w:val="14"/>
                <w:szCs w:val="14"/>
                <w:lang w:val="ka-GE"/>
              </w:rPr>
            </w:pPr>
            <w:r>
              <w:rPr>
                <w:rFonts w:ascii="Sylfaen" w:eastAsia="Times New Roman" w:hAnsi="Sylfaen" w:cs="Sylfaen"/>
                <w:color w:val="000000"/>
                <w:sz w:val="14"/>
                <w:szCs w:val="14"/>
                <w:lang w:val="ka-GE"/>
              </w:rPr>
              <w:t>_</w:t>
            </w:r>
          </w:p>
        </w:tc>
        <w:tc>
          <w:tcPr>
            <w:tcW w:w="1350"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2</w:t>
            </w:r>
          </w:p>
        </w:tc>
        <w:tc>
          <w:tcPr>
            <w:tcW w:w="1350"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0</w:t>
            </w:r>
          </w:p>
        </w:tc>
        <w:tc>
          <w:tcPr>
            <w:tcW w:w="810"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olor w:val="000000"/>
                <w:sz w:val="14"/>
                <w:szCs w:val="14"/>
              </w:rPr>
            </w:pPr>
            <w:r w:rsidRPr="00BE56C3">
              <w:rPr>
                <w:rFonts w:ascii="Sylfaen" w:eastAsia="Times New Roman" w:hAnsi="Sylfaen"/>
                <w:color w:val="000000"/>
                <w:sz w:val="14"/>
                <w:szCs w:val="14"/>
              </w:rPr>
              <w:t>2</w:t>
            </w:r>
          </w:p>
        </w:tc>
        <w:tc>
          <w:tcPr>
            <w:tcW w:w="1440"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olor w:val="000000"/>
                <w:sz w:val="14"/>
                <w:szCs w:val="14"/>
              </w:rPr>
            </w:pPr>
            <w:r w:rsidRPr="00BE56C3">
              <w:rPr>
                <w:rFonts w:ascii="Sylfaen" w:eastAsia="Times New Roman" w:hAnsi="Sylfaen"/>
                <w:color w:val="000000"/>
                <w:sz w:val="14"/>
                <w:szCs w:val="14"/>
              </w:rPr>
              <w:t>0</w:t>
            </w:r>
          </w:p>
        </w:tc>
        <w:tc>
          <w:tcPr>
            <w:tcW w:w="1080" w:type="dxa"/>
            <w:shd w:val="clear" w:color="auto" w:fill="auto"/>
            <w:vAlign w:val="center"/>
            <w:hideMark/>
          </w:tcPr>
          <w:p w:rsidR="00D3077B" w:rsidRPr="000612AD" w:rsidRDefault="000612AD" w:rsidP="00F8420A">
            <w:pPr>
              <w:spacing w:after="0" w:line="240" w:lineRule="auto"/>
              <w:jc w:val="center"/>
              <w:rPr>
                <w:rFonts w:ascii="Sylfaen" w:eastAsia="Times New Roman" w:hAnsi="Sylfaen"/>
                <w:color w:val="000000"/>
                <w:sz w:val="14"/>
                <w:szCs w:val="14"/>
                <w:lang w:val="ka-GE"/>
              </w:rPr>
            </w:pPr>
            <w:r>
              <w:rPr>
                <w:rFonts w:ascii="Sylfaen" w:eastAsia="Times New Roman" w:hAnsi="Sylfaen"/>
                <w:color w:val="000000"/>
                <w:sz w:val="14"/>
                <w:szCs w:val="14"/>
                <w:lang w:val="ka-GE"/>
              </w:rPr>
              <w:t>4</w:t>
            </w:r>
          </w:p>
        </w:tc>
        <w:tc>
          <w:tcPr>
            <w:tcW w:w="1314"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olor w:val="000000"/>
                <w:sz w:val="14"/>
                <w:szCs w:val="14"/>
              </w:rPr>
            </w:pPr>
            <w:r w:rsidRPr="00BE56C3">
              <w:rPr>
                <w:rFonts w:ascii="Sylfaen" w:eastAsia="Times New Roman" w:hAnsi="Sylfaen"/>
                <w:color w:val="000000"/>
                <w:sz w:val="14"/>
                <w:szCs w:val="14"/>
              </w:rPr>
              <w:t>0</w:t>
            </w:r>
          </w:p>
        </w:tc>
      </w:tr>
      <w:tr w:rsidR="00D3077B" w:rsidRPr="00BE56C3" w:rsidTr="00F8420A">
        <w:trPr>
          <w:trHeight w:val="494"/>
        </w:trPr>
        <w:tc>
          <w:tcPr>
            <w:tcW w:w="465"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5</w:t>
            </w:r>
          </w:p>
        </w:tc>
        <w:tc>
          <w:tcPr>
            <w:tcW w:w="4709" w:type="dxa"/>
            <w:shd w:val="clear" w:color="auto" w:fill="auto"/>
            <w:vAlign w:val="center"/>
            <w:hideMark/>
          </w:tcPr>
          <w:p w:rsidR="00D3077B" w:rsidRPr="00BE56C3" w:rsidRDefault="00D3077B" w:rsidP="00F8420A">
            <w:pPr>
              <w:spacing w:after="0" w:line="240" w:lineRule="auto"/>
              <w:rPr>
                <w:rFonts w:ascii="Sylfaen" w:eastAsia="Times New Roman" w:hAnsi="Sylfaen" w:cs="Calibri"/>
                <w:color w:val="000000"/>
                <w:sz w:val="14"/>
                <w:szCs w:val="14"/>
              </w:rPr>
            </w:pPr>
            <w:r w:rsidRPr="00BE56C3">
              <w:rPr>
                <w:rFonts w:ascii="Sylfaen" w:eastAsia="Times New Roman" w:hAnsi="Sylfaen" w:cs="Calibri"/>
                <w:color w:val="000000"/>
                <w:sz w:val="14"/>
                <w:szCs w:val="14"/>
              </w:rPr>
              <w:t>შპს</w:t>
            </w:r>
            <w:r w:rsidR="00F8420A">
              <w:rPr>
                <w:rFonts w:ascii="Sylfaen" w:eastAsia="Times New Roman" w:hAnsi="Sylfaen" w:cs="Calibri"/>
                <w:color w:val="000000"/>
                <w:sz w:val="14"/>
                <w:szCs w:val="14"/>
                <w:lang w:val="ka-GE"/>
              </w:rPr>
              <w:t xml:space="preserve"> „</w:t>
            </w:r>
            <w:r w:rsidRPr="00BE56C3">
              <w:rPr>
                <w:rFonts w:ascii="Sylfaen" w:eastAsia="Times New Roman" w:hAnsi="Sylfaen" w:cs="Calibri"/>
                <w:color w:val="000000"/>
                <w:sz w:val="14"/>
                <w:szCs w:val="14"/>
              </w:rPr>
              <w:t>ბათუმისსასწრაფოსამედიცინოდახმარებისცენტრი</w:t>
            </w:r>
            <w:r w:rsidRPr="00BE56C3">
              <w:rPr>
                <w:rFonts w:ascii="Sylfaen" w:eastAsia="Times New Roman" w:hAnsi="Sylfaen"/>
                <w:color w:val="000000"/>
                <w:sz w:val="14"/>
                <w:szCs w:val="14"/>
              </w:rPr>
              <w:t xml:space="preserve"> 03”</w:t>
            </w:r>
          </w:p>
        </w:tc>
        <w:tc>
          <w:tcPr>
            <w:tcW w:w="368"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2</w:t>
            </w:r>
          </w:p>
        </w:tc>
        <w:tc>
          <w:tcPr>
            <w:tcW w:w="1223"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0</w:t>
            </w:r>
          </w:p>
        </w:tc>
        <w:tc>
          <w:tcPr>
            <w:tcW w:w="1350"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1(</w:t>
            </w:r>
            <w:r w:rsidRPr="00BE56C3">
              <w:rPr>
                <w:rFonts w:ascii="Sylfaen" w:eastAsia="Times New Roman" w:hAnsi="Sylfaen" w:cs="Sylfaen"/>
                <w:color w:val="000000"/>
                <w:sz w:val="14"/>
                <w:szCs w:val="14"/>
              </w:rPr>
              <w:t>მეორემანქანადაზიანდა</w:t>
            </w:r>
            <w:r w:rsidRPr="00BE56C3">
              <w:rPr>
                <w:rFonts w:ascii="Sylfaen" w:eastAsia="Times New Roman" w:hAnsi="Sylfaen" w:cs="Calibri"/>
                <w:color w:val="000000"/>
                <w:sz w:val="14"/>
                <w:szCs w:val="14"/>
              </w:rPr>
              <w:t>)</w:t>
            </w:r>
          </w:p>
        </w:tc>
        <w:tc>
          <w:tcPr>
            <w:tcW w:w="1350"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0</w:t>
            </w:r>
          </w:p>
        </w:tc>
        <w:tc>
          <w:tcPr>
            <w:tcW w:w="810"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olor w:val="000000"/>
                <w:sz w:val="14"/>
                <w:szCs w:val="14"/>
              </w:rPr>
            </w:pPr>
            <w:r w:rsidRPr="00BE56C3">
              <w:rPr>
                <w:rFonts w:ascii="Sylfaen" w:eastAsia="Times New Roman" w:hAnsi="Sylfaen"/>
                <w:color w:val="000000"/>
                <w:sz w:val="14"/>
                <w:szCs w:val="14"/>
              </w:rPr>
              <w:t>1</w:t>
            </w:r>
          </w:p>
        </w:tc>
        <w:tc>
          <w:tcPr>
            <w:tcW w:w="1440"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olor w:val="000000"/>
                <w:sz w:val="14"/>
                <w:szCs w:val="14"/>
              </w:rPr>
            </w:pPr>
            <w:r w:rsidRPr="00BE56C3">
              <w:rPr>
                <w:rFonts w:ascii="Sylfaen" w:eastAsia="Times New Roman" w:hAnsi="Sylfaen"/>
                <w:color w:val="000000"/>
                <w:sz w:val="14"/>
                <w:szCs w:val="14"/>
              </w:rPr>
              <w:t>0</w:t>
            </w:r>
          </w:p>
        </w:tc>
        <w:tc>
          <w:tcPr>
            <w:tcW w:w="1080" w:type="dxa"/>
            <w:shd w:val="clear" w:color="auto" w:fill="auto"/>
            <w:vAlign w:val="center"/>
            <w:hideMark/>
          </w:tcPr>
          <w:p w:rsidR="00D3077B" w:rsidRPr="000612AD" w:rsidRDefault="00D3077B" w:rsidP="00F8420A">
            <w:pPr>
              <w:spacing w:after="0" w:line="240" w:lineRule="auto"/>
              <w:jc w:val="center"/>
              <w:rPr>
                <w:rFonts w:ascii="Sylfaen" w:eastAsia="Times New Roman" w:hAnsi="Sylfaen"/>
                <w:color w:val="000000"/>
                <w:sz w:val="14"/>
                <w:szCs w:val="14"/>
                <w:lang w:val="ka-GE"/>
              </w:rPr>
            </w:pPr>
            <w:r w:rsidRPr="00BE56C3">
              <w:rPr>
                <w:rFonts w:ascii="Sylfaen" w:eastAsia="Times New Roman" w:hAnsi="Sylfaen"/>
                <w:color w:val="000000"/>
                <w:sz w:val="14"/>
                <w:szCs w:val="14"/>
              </w:rPr>
              <w:t>1</w:t>
            </w:r>
            <w:r w:rsidR="000612AD">
              <w:rPr>
                <w:rFonts w:ascii="Sylfaen" w:eastAsia="Times New Roman" w:hAnsi="Sylfaen"/>
                <w:color w:val="000000"/>
                <w:sz w:val="14"/>
                <w:szCs w:val="14"/>
                <w:lang w:val="ka-GE"/>
              </w:rPr>
              <w:t>ახალშობილთა /მოზრდილთა</w:t>
            </w:r>
          </w:p>
        </w:tc>
        <w:tc>
          <w:tcPr>
            <w:tcW w:w="1314"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olor w:val="000000"/>
                <w:sz w:val="14"/>
                <w:szCs w:val="14"/>
              </w:rPr>
            </w:pPr>
            <w:r w:rsidRPr="00BE56C3">
              <w:rPr>
                <w:rFonts w:ascii="Sylfaen" w:eastAsia="Times New Roman" w:hAnsi="Sylfaen"/>
                <w:color w:val="000000"/>
                <w:sz w:val="14"/>
                <w:szCs w:val="14"/>
              </w:rPr>
              <w:t>0</w:t>
            </w:r>
          </w:p>
        </w:tc>
      </w:tr>
      <w:tr w:rsidR="00D3077B" w:rsidRPr="00BE56C3" w:rsidTr="00F8420A">
        <w:trPr>
          <w:trHeight w:val="300"/>
        </w:trPr>
        <w:tc>
          <w:tcPr>
            <w:tcW w:w="465"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6</w:t>
            </w:r>
          </w:p>
        </w:tc>
        <w:tc>
          <w:tcPr>
            <w:tcW w:w="4709" w:type="dxa"/>
            <w:shd w:val="clear" w:color="auto" w:fill="auto"/>
            <w:vAlign w:val="center"/>
            <w:hideMark/>
          </w:tcPr>
          <w:p w:rsidR="00D3077B" w:rsidRPr="00BE56C3" w:rsidRDefault="00D3077B" w:rsidP="00F8420A">
            <w:pPr>
              <w:spacing w:after="0" w:line="240" w:lineRule="auto"/>
              <w:rPr>
                <w:rFonts w:ascii="Sylfaen" w:eastAsia="Times New Roman" w:hAnsi="Sylfaen" w:cs="Calibri"/>
                <w:color w:val="000000"/>
                <w:sz w:val="14"/>
                <w:szCs w:val="14"/>
              </w:rPr>
            </w:pPr>
            <w:r w:rsidRPr="00BE56C3">
              <w:rPr>
                <w:rFonts w:ascii="Sylfaen" w:eastAsia="Times New Roman" w:hAnsi="Sylfaen" w:cs="Calibri"/>
                <w:color w:val="000000"/>
                <w:sz w:val="14"/>
                <w:szCs w:val="14"/>
              </w:rPr>
              <w:t>შპს</w:t>
            </w:r>
            <w:r w:rsidRPr="00BE56C3">
              <w:rPr>
                <w:rFonts w:ascii="Sylfaen" w:eastAsia="Times New Roman" w:hAnsi="Sylfaen"/>
                <w:color w:val="000000"/>
                <w:sz w:val="14"/>
                <w:szCs w:val="14"/>
              </w:rPr>
              <w:t xml:space="preserve"> ,,</w:t>
            </w:r>
            <w:r w:rsidRPr="00BE56C3">
              <w:rPr>
                <w:rFonts w:ascii="Sylfaen" w:eastAsia="Times New Roman" w:hAnsi="Sylfaen" w:cs="Calibri"/>
                <w:color w:val="000000"/>
                <w:sz w:val="14"/>
                <w:szCs w:val="14"/>
              </w:rPr>
              <w:t>გადაუდებელისამედიცინოდახმარება</w:t>
            </w:r>
            <w:r w:rsidRPr="00BE56C3">
              <w:rPr>
                <w:rFonts w:ascii="Sylfaen" w:eastAsia="Times New Roman" w:hAnsi="Sylfaen"/>
                <w:color w:val="000000"/>
                <w:sz w:val="14"/>
                <w:szCs w:val="14"/>
              </w:rPr>
              <w:t>”</w:t>
            </w:r>
          </w:p>
        </w:tc>
        <w:tc>
          <w:tcPr>
            <w:tcW w:w="4291" w:type="dxa"/>
            <w:gridSpan w:val="4"/>
            <w:shd w:val="clear" w:color="auto" w:fill="D9D9D9" w:themeFill="background1" w:themeFillShade="D9"/>
            <w:vAlign w:val="center"/>
            <w:hideMark/>
          </w:tcPr>
          <w:p w:rsidR="00D3077B" w:rsidRPr="00F211AD" w:rsidRDefault="00D3077B" w:rsidP="00F8420A">
            <w:pPr>
              <w:spacing w:after="0" w:line="240" w:lineRule="auto"/>
              <w:jc w:val="center"/>
              <w:rPr>
                <w:rFonts w:ascii="Sylfaen" w:eastAsia="Times New Roman" w:hAnsi="Sylfaen" w:cs="Calibri"/>
                <w:color w:val="000000"/>
                <w:sz w:val="14"/>
                <w:szCs w:val="14"/>
                <w:lang w:val="ka-GE"/>
              </w:rPr>
            </w:pPr>
            <w:r>
              <w:rPr>
                <w:rFonts w:ascii="Sylfaen" w:eastAsia="Times New Roman" w:hAnsi="Sylfaen" w:cs="Sylfaen"/>
                <w:color w:val="000000"/>
                <w:sz w:val="14"/>
                <w:szCs w:val="14"/>
                <w:lang w:val="ka-GE"/>
              </w:rPr>
              <w:t>_</w:t>
            </w:r>
          </w:p>
        </w:tc>
        <w:tc>
          <w:tcPr>
            <w:tcW w:w="810"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1</w:t>
            </w:r>
          </w:p>
        </w:tc>
        <w:tc>
          <w:tcPr>
            <w:tcW w:w="1440"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0</w:t>
            </w:r>
          </w:p>
        </w:tc>
        <w:tc>
          <w:tcPr>
            <w:tcW w:w="1080" w:type="dxa"/>
            <w:shd w:val="clear" w:color="auto" w:fill="auto"/>
            <w:vAlign w:val="center"/>
            <w:hideMark/>
          </w:tcPr>
          <w:p w:rsidR="00D3077B" w:rsidRPr="000612AD" w:rsidRDefault="000612AD" w:rsidP="00F8420A">
            <w:pPr>
              <w:spacing w:after="0" w:line="240" w:lineRule="auto"/>
              <w:jc w:val="center"/>
              <w:rPr>
                <w:rFonts w:ascii="Sylfaen" w:eastAsia="Times New Roman" w:hAnsi="Sylfaen" w:cs="Calibri"/>
                <w:color w:val="000000"/>
                <w:sz w:val="14"/>
                <w:szCs w:val="14"/>
                <w:lang w:val="ka-GE"/>
              </w:rPr>
            </w:pPr>
            <w:r>
              <w:rPr>
                <w:rFonts w:ascii="Sylfaen" w:eastAsia="Times New Roman" w:hAnsi="Sylfaen" w:cs="Calibri"/>
                <w:color w:val="000000"/>
                <w:sz w:val="14"/>
                <w:szCs w:val="14"/>
                <w:lang w:val="ka-GE"/>
              </w:rPr>
              <w:t>4</w:t>
            </w:r>
          </w:p>
        </w:tc>
        <w:tc>
          <w:tcPr>
            <w:tcW w:w="1314"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0</w:t>
            </w:r>
          </w:p>
        </w:tc>
      </w:tr>
      <w:tr w:rsidR="00D3077B" w:rsidRPr="00BE56C3" w:rsidTr="00F8420A">
        <w:trPr>
          <w:trHeight w:val="300"/>
        </w:trPr>
        <w:tc>
          <w:tcPr>
            <w:tcW w:w="465"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7</w:t>
            </w:r>
          </w:p>
        </w:tc>
        <w:tc>
          <w:tcPr>
            <w:tcW w:w="4709" w:type="dxa"/>
            <w:shd w:val="clear" w:color="auto" w:fill="auto"/>
            <w:vAlign w:val="center"/>
            <w:hideMark/>
          </w:tcPr>
          <w:p w:rsidR="00D3077B" w:rsidRPr="00BE56C3" w:rsidRDefault="00D3077B" w:rsidP="00F8420A">
            <w:pPr>
              <w:spacing w:after="0" w:line="240" w:lineRule="auto"/>
              <w:rPr>
                <w:rFonts w:ascii="Sylfaen" w:eastAsia="Times New Roman" w:hAnsi="Sylfaen" w:cs="Calibri"/>
                <w:color w:val="000000"/>
                <w:sz w:val="14"/>
                <w:szCs w:val="14"/>
              </w:rPr>
            </w:pPr>
            <w:r w:rsidRPr="00BE56C3">
              <w:rPr>
                <w:rFonts w:ascii="Sylfaen" w:eastAsia="Times New Roman" w:hAnsi="Sylfaen" w:cs="Calibri"/>
                <w:color w:val="000000"/>
                <w:sz w:val="14"/>
                <w:szCs w:val="14"/>
              </w:rPr>
              <w:t>შპს</w:t>
            </w:r>
            <w:r w:rsidRPr="00BE56C3">
              <w:rPr>
                <w:rFonts w:ascii="Sylfaen" w:eastAsia="Times New Roman" w:hAnsi="Sylfaen"/>
                <w:color w:val="000000"/>
                <w:sz w:val="14"/>
                <w:szCs w:val="14"/>
              </w:rPr>
              <w:t xml:space="preserve"> ,,</w:t>
            </w:r>
            <w:r w:rsidRPr="00BE56C3">
              <w:rPr>
                <w:rFonts w:ascii="Sylfaen" w:eastAsia="Times New Roman" w:hAnsi="Sylfaen" w:cs="Calibri"/>
                <w:color w:val="000000"/>
                <w:sz w:val="14"/>
                <w:szCs w:val="14"/>
              </w:rPr>
              <w:t>ემერჯენსისერვისი</w:t>
            </w:r>
            <w:r w:rsidRPr="00BE56C3">
              <w:rPr>
                <w:rFonts w:ascii="Sylfaen" w:eastAsia="Times New Roman" w:hAnsi="Sylfaen"/>
                <w:color w:val="000000"/>
                <w:sz w:val="14"/>
                <w:szCs w:val="14"/>
              </w:rPr>
              <w:t>”</w:t>
            </w:r>
          </w:p>
        </w:tc>
        <w:tc>
          <w:tcPr>
            <w:tcW w:w="368"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5</w:t>
            </w:r>
          </w:p>
        </w:tc>
        <w:tc>
          <w:tcPr>
            <w:tcW w:w="1223"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0</w:t>
            </w:r>
          </w:p>
        </w:tc>
        <w:tc>
          <w:tcPr>
            <w:tcW w:w="1350"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6</w:t>
            </w:r>
          </w:p>
        </w:tc>
        <w:tc>
          <w:tcPr>
            <w:tcW w:w="1350"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0</w:t>
            </w:r>
          </w:p>
        </w:tc>
        <w:tc>
          <w:tcPr>
            <w:tcW w:w="810"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olor w:val="000000"/>
                <w:sz w:val="14"/>
                <w:szCs w:val="14"/>
              </w:rPr>
            </w:pPr>
            <w:r w:rsidRPr="00BE56C3">
              <w:rPr>
                <w:rFonts w:ascii="Sylfaen" w:eastAsia="Times New Roman" w:hAnsi="Sylfaen"/>
                <w:color w:val="000000"/>
                <w:sz w:val="14"/>
                <w:szCs w:val="14"/>
              </w:rPr>
              <w:t>12</w:t>
            </w:r>
          </w:p>
        </w:tc>
        <w:tc>
          <w:tcPr>
            <w:tcW w:w="1440"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0</w:t>
            </w:r>
          </w:p>
        </w:tc>
        <w:tc>
          <w:tcPr>
            <w:tcW w:w="1080" w:type="dxa"/>
            <w:shd w:val="clear" w:color="auto" w:fill="auto"/>
            <w:vAlign w:val="center"/>
            <w:hideMark/>
          </w:tcPr>
          <w:p w:rsidR="00D3077B" w:rsidRPr="000612AD" w:rsidRDefault="000612AD" w:rsidP="00F8420A">
            <w:pPr>
              <w:spacing w:after="0" w:line="240" w:lineRule="auto"/>
              <w:jc w:val="center"/>
              <w:rPr>
                <w:rFonts w:ascii="Sylfaen" w:eastAsia="Times New Roman" w:hAnsi="Sylfaen" w:cs="Calibri"/>
                <w:color w:val="000000"/>
                <w:sz w:val="14"/>
                <w:szCs w:val="14"/>
                <w:lang w:val="ka-GE"/>
              </w:rPr>
            </w:pPr>
            <w:r>
              <w:rPr>
                <w:rFonts w:ascii="Sylfaen" w:eastAsia="Times New Roman" w:hAnsi="Sylfaen" w:cs="Calibri"/>
                <w:color w:val="000000"/>
                <w:sz w:val="14"/>
                <w:szCs w:val="14"/>
                <w:lang w:val="ka-GE"/>
              </w:rPr>
              <w:t>16</w:t>
            </w:r>
          </w:p>
        </w:tc>
        <w:tc>
          <w:tcPr>
            <w:tcW w:w="1314"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0</w:t>
            </w:r>
          </w:p>
        </w:tc>
      </w:tr>
      <w:tr w:rsidR="00D3077B" w:rsidRPr="00BE56C3" w:rsidTr="00F8420A">
        <w:trPr>
          <w:trHeight w:val="600"/>
        </w:trPr>
        <w:tc>
          <w:tcPr>
            <w:tcW w:w="465"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8</w:t>
            </w:r>
          </w:p>
        </w:tc>
        <w:tc>
          <w:tcPr>
            <w:tcW w:w="4709" w:type="dxa"/>
            <w:shd w:val="clear" w:color="auto" w:fill="auto"/>
            <w:vAlign w:val="center"/>
            <w:hideMark/>
          </w:tcPr>
          <w:p w:rsidR="00D3077B" w:rsidRPr="00BE56C3" w:rsidRDefault="00D3077B" w:rsidP="00F8420A">
            <w:pPr>
              <w:spacing w:after="0" w:line="240" w:lineRule="auto"/>
              <w:rPr>
                <w:rFonts w:ascii="Sylfaen" w:eastAsia="Times New Roman" w:hAnsi="Sylfaen" w:cs="Calibri"/>
                <w:color w:val="000000"/>
                <w:sz w:val="14"/>
                <w:szCs w:val="14"/>
              </w:rPr>
            </w:pPr>
            <w:r w:rsidRPr="00BE56C3">
              <w:rPr>
                <w:rFonts w:ascii="Sylfaen" w:eastAsia="Times New Roman" w:hAnsi="Sylfaen" w:cs="Calibri"/>
                <w:color w:val="000000"/>
                <w:sz w:val="14"/>
                <w:szCs w:val="14"/>
              </w:rPr>
              <w:t>სსზუგდიდისმრავალპროფილიანიკლინიკურისაავადმყოფო</w:t>
            </w:r>
            <w:r w:rsidRPr="00BE56C3">
              <w:rPr>
                <w:rFonts w:ascii="Sylfaen" w:eastAsia="Times New Roman" w:hAnsi="Sylfaen"/>
                <w:color w:val="000000"/>
                <w:sz w:val="14"/>
                <w:szCs w:val="14"/>
              </w:rPr>
              <w:t xml:space="preserve"> ”</w:t>
            </w:r>
            <w:r w:rsidRPr="00BE56C3">
              <w:rPr>
                <w:rFonts w:ascii="Sylfaen" w:eastAsia="Times New Roman" w:hAnsi="Sylfaen" w:cs="Calibri"/>
                <w:color w:val="000000"/>
                <w:sz w:val="14"/>
                <w:szCs w:val="14"/>
              </w:rPr>
              <w:t>რესპუბლიკა</w:t>
            </w:r>
            <w:r w:rsidRPr="00BE56C3">
              <w:rPr>
                <w:rFonts w:ascii="Sylfaen" w:eastAsia="Times New Roman" w:hAnsi="Sylfaen"/>
                <w:color w:val="000000"/>
                <w:sz w:val="14"/>
                <w:szCs w:val="14"/>
              </w:rPr>
              <w:t>”</w:t>
            </w:r>
          </w:p>
        </w:tc>
        <w:tc>
          <w:tcPr>
            <w:tcW w:w="368"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3</w:t>
            </w:r>
          </w:p>
        </w:tc>
        <w:tc>
          <w:tcPr>
            <w:tcW w:w="1223"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0</w:t>
            </w:r>
          </w:p>
        </w:tc>
        <w:tc>
          <w:tcPr>
            <w:tcW w:w="1350"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3</w:t>
            </w:r>
          </w:p>
        </w:tc>
        <w:tc>
          <w:tcPr>
            <w:tcW w:w="1350"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0</w:t>
            </w:r>
          </w:p>
        </w:tc>
        <w:tc>
          <w:tcPr>
            <w:tcW w:w="810"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3</w:t>
            </w:r>
          </w:p>
        </w:tc>
        <w:tc>
          <w:tcPr>
            <w:tcW w:w="1440"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0</w:t>
            </w:r>
          </w:p>
        </w:tc>
        <w:tc>
          <w:tcPr>
            <w:tcW w:w="1080"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olor w:val="000000"/>
                <w:sz w:val="14"/>
                <w:szCs w:val="14"/>
              </w:rPr>
            </w:pPr>
            <w:r w:rsidRPr="00BE56C3">
              <w:rPr>
                <w:rFonts w:ascii="Sylfaen" w:eastAsia="Times New Roman" w:hAnsi="Sylfaen"/>
                <w:color w:val="000000"/>
                <w:sz w:val="14"/>
                <w:szCs w:val="14"/>
              </w:rPr>
              <w:t>2</w:t>
            </w:r>
          </w:p>
        </w:tc>
        <w:tc>
          <w:tcPr>
            <w:tcW w:w="1314"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0</w:t>
            </w:r>
          </w:p>
        </w:tc>
      </w:tr>
      <w:tr w:rsidR="00D3077B" w:rsidRPr="00BE56C3" w:rsidTr="00F8420A">
        <w:trPr>
          <w:trHeight w:val="413"/>
        </w:trPr>
        <w:tc>
          <w:tcPr>
            <w:tcW w:w="465"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9</w:t>
            </w:r>
          </w:p>
        </w:tc>
        <w:tc>
          <w:tcPr>
            <w:tcW w:w="4709" w:type="dxa"/>
            <w:shd w:val="clear" w:color="auto" w:fill="auto"/>
            <w:vAlign w:val="center"/>
            <w:hideMark/>
          </w:tcPr>
          <w:p w:rsidR="00D3077B" w:rsidRPr="00BE56C3" w:rsidRDefault="00D3077B" w:rsidP="00F8420A">
            <w:pPr>
              <w:spacing w:after="0" w:line="240" w:lineRule="auto"/>
              <w:rPr>
                <w:rFonts w:ascii="Sylfaen" w:eastAsia="Times New Roman" w:hAnsi="Sylfaen" w:cs="Calibri"/>
                <w:color w:val="000000"/>
                <w:sz w:val="14"/>
                <w:szCs w:val="14"/>
              </w:rPr>
            </w:pPr>
            <w:r w:rsidRPr="00BE56C3">
              <w:rPr>
                <w:rFonts w:ascii="Sylfaen" w:eastAsia="Times New Roman" w:hAnsi="Sylfaen" w:cs="Calibri"/>
                <w:color w:val="000000"/>
                <w:sz w:val="14"/>
                <w:szCs w:val="14"/>
              </w:rPr>
              <w:t>შპსსამედიცინოკომპანია</w:t>
            </w:r>
            <w:r w:rsidRPr="00BE56C3">
              <w:rPr>
                <w:rFonts w:ascii="Sylfaen" w:eastAsia="Times New Roman" w:hAnsi="Sylfaen"/>
                <w:color w:val="000000"/>
                <w:sz w:val="14"/>
                <w:szCs w:val="14"/>
              </w:rPr>
              <w:t xml:space="preserve"> ,,</w:t>
            </w:r>
            <w:r w:rsidRPr="00BE56C3">
              <w:rPr>
                <w:rFonts w:ascii="Sylfaen" w:eastAsia="Times New Roman" w:hAnsi="Sylfaen" w:cs="Calibri"/>
                <w:color w:val="000000"/>
                <w:sz w:val="14"/>
                <w:szCs w:val="14"/>
              </w:rPr>
              <w:t>მაშველი</w:t>
            </w:r>
            <w:r w:rsidRPr="00BE56C3">
              <w:rPr>
                <w:rFonts w:ascii="Sylfaen" w:eastAsia="Times New Roman" w:hAnsi="Sylfaen"/>
                <w:color w:val="000000"/>
                <w:sz w:val="14"/>
                <w:szCs w:val="14"/>
              </w:rPr>
              <w:t>“</w:t>
            </w:r>
          </w:p>
        </w:tc>
        <w:tc>
          <w:tcPr>
            <w:tcW w:w="368"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1</w:t>
            </w:r>
          </w:p>
        </w:tc>
        <w:tc>
          <w:tcPr>
            <w:tcW w:w="1223"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0</w:t>
            </w:r>
          </w:p>
        </w:tc>
        <w:tc>
          <w:tcPr>
            <w:tcW w:w="1350"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1</w:t>
            </w:r>
          </w:p>
        </w:tc>
        <w:tc>
          <w:tcPr>
            <w:tcW w:w="1350"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0</w:t>
            </w:r>
          </w:p>
        </w:tc>
        <w:tc>
          <w:tcPr>
            <w:tcW w:w="810"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1</w:t>
            </w:r>
          </w:p>
        </w:tc>
        <w:tc>
          <w:tcPr>
            <w:tcW w:w="1440"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0</w:t>
            </w:r>
          </w:p>
        </w:tc>
        <w:tc>
          <w:tcPr>
            <w:tcW w:w="1080" w:type="dxa"/>
            <w:shd w:val="clear" w:color="auto" w:fill="auto"/>
            <w:vAlign w:val="center"/>
            <w:hideMark/>
          </w:tcPr>
          <w:p w:rsidR="00D3077B" w:rsidRPr="00BE56C3" w:rsidRDefault="00D3077B" w:rsidP="00F8420A">
            <w:pPr>
              <w:spacing w:after="0" w:line="240" w:lineRule="auto"/>
              <w:ind w:left="-108"/>
              <w:jc w:val="center"/>
              <w:rPr>
                <w:rFonts w:ascii="Sylfaen" w:eastAsia="Times New Roman" w:hAnsi="Sylfaen"/>
                <w:color w:val="000000"/>
                <w:sz w:val="14"/>
                <w:szCs w:val="14"/>
              </w:rPr>
            </w:pPr>
            <w:r w:rsidRPr="00BE56C3">
              <w:rPr>
                <w:rFonts w:ascii="Sylfaen" w:eastAsia="Times New Roman" w:hAnsi="Sylfaen"/>
                <w:color w:val="000000"/>
                <w:sz w:val="14"/>
                <w:szCs w:val="14"/>
              </w:rPr>
              <w:t>1 (</w:t>
            </w:r>
            <w:r w:rsidRPr="00BE56C3">
              <w:rPr>
                <w:rFonts w:ascii="Sylfaen" w:eastAsia="Times New Roman" w:hAnsi="Sylfaen" w:cs="Sylfaen"/>
                <w:color w:val="000000"/>
                <w:sz w:val="14"/>
                <w:szCs w:val="14"/>
              </w:rPr>
              <w:t>დროებითშეჩერებულია</w:t>
            </w:r>
            <w:r w:rsidRPr="00BE56C3">
              <w:rPr>
                <w:rFonts w:ascii="Sylfaen" w:eastAsia="Times New Roman" w:hAnsi="Sylfaen"/>
                <w:color w:val="000000"/>
                <w:sz w:val="14"/>
                <w:szCs w:val="14"/>
              </w:rPr>
              <w:t>)</w:t>
            </w:r>
          </w:p>
        </w:tc>
        <w:tc>
          <w:tcPr>
            <w:tcW w:w="1314"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p>
        </w:tc>
      </w:tr>
      <w:tr w:rsidR="00D3077B" w:rsidRPr="00BE56C3" w:rsidTr="00F8420A">
        <w:trPr>
          <w:trHeight w:val="584"/>
        </w:trPr>
        <w:tc>
          <w:tcPr>
            <w:tcW w:w="465"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10</w:t>
            </w:r>
          </w:p>
        </w:tc>
        <w:tc>
          <w:tcPr>
            <w:tcW w:w="4709" w:type="dxa"/>
            <w:shd w:val="clear" w:color="auto" w:fill="auto"/>
            <w:vAlign w:val="center"/>
            <w:hideMark/>
          </w:tcPr>
          <w:p w:rsidR="00D3077B" w:rsidRPr="00BE56C3" w:rsidRDefault="00D3077B" w:rsidP="00F8420A">
            <w:pPr>
              <w:spacing w:after="0" w:line="240" w:lineRule="auto"/>
              <w:rPr>
                <w:rFonts w:ascii="Sylfaen" w:eastAsia="Times New Roman" w:hAnsi="Sylfaen" w:cs="Calibri"/>
                <w:color w:val="000000"/>
                <w:sz w:val="14"/>
                <w:szCs w:val="14"/>
              </w:rPr>
            </w:pPr>
            <w:proofErr w:type="gramStart"/>
            <w:r w:rsidRPr="00BE56C3">
              <w:rPr>
                <w:rFonts w:ascii="Sylfaen" w:eastAsia="Times New Roman" w:hAnsi="Sylfaen" w:cs="Calibri"/>
                <w:color w:val="000000"/>
                <w:sz w:val="14"/>
                <w:szCs w:val="14"/>
              </w:rPr>
              <w:t>სსაკად</w:t>
            </w:r>
            <w:proofErr w:type="gramEnd"/>
            <w:r w:rsidRPr="00BE56C3">
              <w:rPr>
                <w:rFonts w:ascii="Sylfaen" w:eastAsia="Times New Roman" w:hAnsi="Sylfaen"/>
                <w:color w:val="000000"/>
                <w:sz w:val="14"/>
                <w:szCs w:val="14"/>
              </w:rPr>
              <w:t xml:space="preserve">. </w:t>
            </w:r>
            <w:r w:rsidRPr="00BE56C3">
              <w:rPr>
                <w:rFonts w:ascii="Sylfaen" w:eastAsia="Times New Roman" w:hAnsi="Sylfaen" w:cs="Calibri"/>
                <w:color w:val="000000"/>
                <w:sz w:val="14"/>
                <w:szCs w:val="14"/>
              </w:rPr>
              <w:t>ზ</w:t>
            </w:r>
            <w:r w:rsidRPr="00BE56C3">
              <w:rPr>
                <w:rFonts w:ascii="Sylfaen" w:eastAsia="Times New Roman" w:hAnsi="Sylfaen"/>
                <w:color w:val="000000"/>
                <w:sz w:val="14"/>
                <w:szCs w:val="14"/>
              </w:rPr>
              <w:t xml:space="preserve">. </w:t>
            </w:r>
            <w:r w:rsidRPr="00BE56C3">
              <w:rPr>
                <w:rFonts w:ascii="Sylfaen" w:eastAsia="Times New Roman" w:hAnsi="Sylfaen" w:cs="Calibri"/>
                <w:color w:val="000000"/>
                <w:sz w:val="14"/>
                <w:szCs w:val="14"/>
              </w:rPr>
              <w:t>ცხაკაიასსახელობისდასავლეთსაქართველოსინტერვენციულიმედიცინისეროვნულიცენტრი</w:t>
            </w:r>
            <w:r w:rsidRPr="00BE56C3">
              <w:rPr>
                <w:rFonts w:ascii="Sylfaen" w:eastAsia="Times New Roman" w:hAnsi="Sylfaen"/>
                <w:color w:val="000000"/>
                <w:sz w:val="14"/>
                <w:szCs w:val="14"/>
              </w:rPr>
              <w:t>”</w:t>
            </w:r>
          </w:p>
        </w:tc>
        <w:tc>
          <w:tcPr>
            <w:tcW w:w="368"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2</w:t>
            </w:r>
          </w:p>
        </w:tc>
        <w:tc>
          <w:tcPr>
            <w:tcW w:w="1223"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2</w:t>
            </w:r>
          </w:p>
        </w:tc>
        <w:tc>
          <w:tcPr>
            <w:tcW w:w="1350"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2</w:t>
            </w:r>
          </w:p>
        </w:tc>
        <w:tc>
          <w:tcPr>
            <w:tcW w:w="1350"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2</w:t>
            </w:r>
          </w:p>
        </w:tc>
        <w:tc>
          <w:tcPr>
            <w:tcW w:w="810"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2</w:t>
            </w:r>
          </w:p>
        </w:tc>
        <w:tc>
          <w:tcPr>
            <w:tcW w:w="1440" w:type="dxa"/>
            <w:shd w:val="clear" w:color="auto" w:fill="auto"/>
            <w:vAlign w:val="center"/>
            <w:hideMark/>
          </w:tcPr>
          <w:p w:rsidR="00D3077B" w:rsidRPr="00BE56C3" w:rsidRDefault="00D3077B" w:rsidP="00F8420A">
            <w:pPr>
              <w:spacing w:after="0" w:line="240" w:lineRule="auto"/>
              <w:ind w:left="-73"/>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2 (1 ახალშ</w:t>
            </w:r>
            <w:r w:rsidR="00A3449E">
              <w:rPr>
                <w:rFonts w:ascii="Sylfaen" w:eastAsia="Times New Roman" w:hAnsi="Sylfaen" w:cs="Calibri"/>
                <w:color w:val="000000"/>
                <w:sz w:val="14"/>
                <w:szCs w:val="14"/>
                <w:lang w:val="ka-GE"/>
              </w:rPr>
              <w:t xml:space="preserve">.  </w:t>
            </w:r>
            <w:r w:rsidRPr="00BE56C3">
              <w:rPr>
                <w:rFonts w:ascii="Sylfaen" w:eastAsia="Times New Roman" w:hAnsi="Sylfaen" w:cs="Calibri"/>
                <w:color w:val="000000"/>
                <w:sz w:val="14"/>
                <w:szCs w:val="14"/>
              </w:rPr>
              <w:t xml:space="preserve"> 1 პედიატრ/ მოზრდ)</w:t>
            </w:r>
          </w:p>
        </w:tc>
        <w:tc>
          <w:tcPr>
            <w:tcW w:w="1080"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olor w:val="000000"/>
                <w:sz w:val="14"/>
                <w:szCs w:val="14"/>
              </w:rPr>
            </w:pPr>
            <w:r w:rsidRPr="00BE56C3">
              <w:rPr>
                <w:rFonts w:ascii="Sylfaen" w:eastAsia="Times New Roman" w:hAnsi="Sylfaen"/>
                <w:color w:val="000000"/>
                <w:sz w:val="14"/>
                <w:szCs w:val="14"/>
              </w:rPr>
              <w:t>3</w:t>
            </w:r>
          </w:p>
        </w:tc>
        <w:tc>
          <w:tcPr>
            <w:tcW w:w="1314"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1</w:t>
            </w:r>
          </w:p>
        </w:tc>
      </w:tr>
      <w:tr w:rsidR="00D3077B" w:rsidRPr="00BE56C3" w:rsidTr="00F8420A">
        <w:trPr>
          <w:trHeight w:val="194"/>
        </w:trPr>
        <w:tc>
          <w:tcPr>
            <w:tcW w:w="465"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11</w:t>
            </w:r>
          </w:p>
        </w:tc>
        <w:tc>
          <w:tcPr>
            <w:tcW w:w="4709" w:type="dxa"/>
            <w:shd w:val="clear" w:color="auto" w:fill="auto"/>
            <w:vAlign w:val="center"/>
            <w:hideMark/>
          </w:tcPr>
          <w:p w:rsidR="00D3077B" w:rsidRPr="00BE56C3" w:rsidRDefault="00D3077B" w:rsidP="00F8420A">
            <w:pPr>
              <w:spacing w:after="0" w:line="240" w:lineRule="auto"/>
              <w:rPr>
                <w:rFonts w:ascii="Sylfaen" w:eastAsia="Times New Roman" w:hAnsi="Sylfaen" w:cs="Calibri"/>
                <w:color w:val="000000"/>
                <w:sz w:val="14"/>
                <w:szCs w:val="14"/>
              </w:rPr>
            </w:pPr>
            <w:r w:rsidRPr="00BE56C3">
              <w:rPr>
                <w:rFonts w:ascii="Sylfaen" w:eastAsia="Times New Roman" w:hAnsi="Sylfaen" w:cs="Calibri"/>
                <w:color w:val="000000"/>
                <w:sz w:val="14"/>
                <w:szCs w:val="14"/>
              </w:rPr>
              <w:t>შპს სამედიცინო სამსახური 009</w:t>
            </w:r>
          </w:p>
        </w:tc>
        <w:tc>
          <w:tcPr>
            <w:tcW w:w="1591" w:type="dxa"/>
            <w:gridSpan w:val="2"/>
            <w:shd w:val="clear" w:color="auto" w:fill="D9D9D9" w:themeFill="background1" w:themeFillShade="D9"/>
            <w:vAlign w:val="center"/>
            <w:hideMark/>
          </w:tcPr>
          <w:p w:rsidR="00D3077B" w:rsidRPr="00F211AD" w:rsidRDefault="00D3077B" w:rsidP="00F8420A">
            <w:pPr>
              <w:spacing w:after="0" w:line="240" w:lineRule="auto"/>
              <w:jc w:val="center"/>
              <w:rPr>
                <w:rFonts w:ascii="Sylfaen" w:eastAsia="Times New Roman" w:hAnsi="Sylfaen" w:cs="Calibri"/>
                <w:color w:val="000000"/>
                <w:sz w:val="14"/>
                <w:szCs w:val="14"/>
                <w:lang w:val="ka-GE"/>
              </w:rPr>
            </w:pPr>
            <w:r>
              <w:rPr>
                <w:rFonts w:ascii="Sylfaen" w:eastAsia="Times New Roman" w:hAnsi="Sylfaen" w:cs="Sylfaen"/>
                <w:color w:val="000000"/>
                <w:sz w:val="14"/>
                <w:szCs w:val="14"/>
                <w:lang w:val="ka-GE"/>
              </w:rPr>
              <w:t>_</w:t>
            </w:r>
          </w:p>
        </w:tc>
        <w:tc>
          <w:tcPr>
            <w:tcW w:w="1350"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1</w:t>
            </w:r>
          </w:p>
        </w:tc>
        <w:tc>
          <w:tcPr>
            <w:tcW w:w="1350"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0</w:t>
            </w:r>
          </w:p>
        </w:tc>
        <w:tc>
          <w:tcPr>
            <w:tcW w:w="2250" w:type="dxa"/>
            <w:gridSpan w:val="2"/>
            <w:shd w:val="clear" w:color="auto" w:fill="D9D9D9" w:themeFill="background1" w:themeFillShade="D9"/>
            <w:vAlign w:val="center"/>
            <w:hideMark/>
          </w:tcPr>
          <w:p w:rsidR="00D3077B" w:rsidRPr="00F211AD" w:rsidRDefault="00D3077B" w:rsidP="00F8420A">
            <w:pPr>
              <w:spacing w:after="0" w:line="240" w:lineRule="auto"/>
              <w:jc w:val="center"/>
              <w:rPr>
                <w:rFonts w:ascii="Sylfaen" w:eastAsia="Times New Roman" w:hAnsi="Sylfaen" w:cs="Calibri"/>
                <w:color w:val="000000"/>
                <w:sz w:val="14"/>
                <w:szCs w:val="14"/>
                <w:lang w:val="ka-GE"/>
              </w:rPr>
            </w:pPr>
            <w:r>
              <w:rPr>
                <w:rFonts w:ascii="Sylfaen" w:eastAsia="Times New Roman" w:hAnsi="Sylfaen" w:cs="Sylfaen"/>
                <w:color w:val="000000"/>
                <w:sz w:val="14"/>
                <w:szCs w:val="14"/>
                <w:lang w:val="ka-GE"/>
              </w:rPr>
              <w:t>_</w:t>
            </w:r>
          </w:p>
        </w:tc>
        <w:tc>
          <w:tcPr>
            <w:tcW w:w="2394" w:type="dxa"/>
            <w:gridSpan w:val="2"/>
            <w:shd w:val="clear" w:color="auto" w:fill="D9D9D9" w:themeFill="background1" w:themeFillShade="D9"/>
            <w:vAlign w:val="center"/>
            <w:hideMark/>
          </w:tcPr>
          <w:p w:rsidR="00D3077B" w:rsidRPr="00F211AD" w:rsidRDefault="00D3077B" w:rsidP="00F8420A">
            <w:pPr>
              <w:spacing w:after="0" w:line="240" w:lineRule="auto"/>
              <w:jc w:val="center"/>
              <w:rPr>
                <w:rFonts w:ascii="Sylfaen" w:eastAsia="Times New Roman" w:hAnsi="Sylfaen" w:cs="Calibri"/>
                <w:color w:val="000000"/>
                <w:sz w:val="14"/>
                <w:szCs w:val="14"/>
                <w:lang w:val="ka-GE"/>
              </w:rPr>
            </w:pPr>
            <w:r>
              <w:rPr>
                <w:rFonts w:ascii="Sylfaen" w:eastAsia="Times New Roman" w:hAnsi="Sylfaen" w:cs="Sylfaen"/>
                <w:color w:val="000000"/>
                <w:sz w:val="14"/>
                <w:szCs w:val="14"/>
                <w:lang w:val="ka-GE"/>
              </w:rPr>
              <w:t>_</w:t>
            </w:r>
          </w:p>
        </w:tc>
      </w:tr>
      <w:tr w:rsidR="00D3077B" w:rsidRPr="00BE56C3" w:rsidTr="00F8420A">
        <w:trPr>
          <w:trHeight w:val="242"/>
        </w:trPr>
        <w:tc>
          <w:tcPr>
            <w:tcW w:w="465"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12</w:t>
            </w:r>
          </w:p>
        </w:tc>
        <w:tc>
          <w:tcPr>
            <w:tcW w:w="4709" w:type="dxa"/>
            <w:shd w:val="clear" w:color="auto" w:fill="auto"/>
            <w:vAlign w:val="center"/>
            <w:hideMark/>
          </w:tcPr>
          <w:p w:rsidR="00D3077B" w:rsidRPr="000612AD" w:rsidRDefault="00D3077B" w:rsidP="00F8420A">
            <w:pPr>
              <w:spacing w:after="0" w:line="240" w:lineRule="auto"/>
              <w:rPr>
                <w:rFonts w:ascii="Sylfaen" w:eastAsia="Times New Roman" w:hAnsi="Sylfaen" w:cs="Calibri"/>
                <w:color w:val="000000"/>
                <w:sz w:val="14"/>
                <w:szCs w:val="14"/>
                <w:lang w:val="ka-GE"/>
              </w:rPr>
            </w:pPr>
            <w:r w:rsidRPr="00BE56C3">
              <w:rPr>
                <w:rFonts w:ascii="Sylfaen" w:eastAsia="Times New Roman" w:hAnsi="Sylfaen" w:cs="Calibri"/>
                <w:color w:val="000000"/>
                <w:sz w:val="14"/>
                <w:szCs w:val="14"/>
              </w:rPr>
              <w:t>შპს</w:t>
            </w:r>
            <w:r w:rsidRPr="00BE56C3">
              <w:rPr>
                <w:rFonts w:ascii="Sylfaen" w:eastAsia="Times New Roman" w:hAnsi="Sylfaen"/>
                <w:color w:val="000000"/>
                <w:sz w:val="14"/>
                <w:szCs w:val="14"/>
              </w:rPr>
              <w:t xml:space="preserve"> ,,</w:t>
            </w:r>
            <w:r w:rsidRPr="00BE56C3">
              <w:rPr>
                <w:rFonts w:ascii="Sylfaen" w:eastAsia="Times New Roman" w:hAnsi="Sylfaen" w:cs="Calibri"/>
                <w:color w:val="000000"/>
                <w:sz w:val="14"/>
                <w:szCs w:val="14"/>
              </w:rPr>
              <w:t>არქიმედესკლინიკა</w:t>
            </w:r>
            <w:r w:rsidRPr="00BE56C3">
              <w:rPr>
                <w:rFonts w:ascii="Sylfaen" w:eastAsia="Times New Roman" w:hAnsi="Sylfaen"/>
                <w:color w:val="000000"/>
                <w:sz w:val="14"/>
                <w:szCs w:val="14"/>
              </w:rPr>
              <w:t xml:space="preserve">” </w:t>
            </w:r>
            <w:r w:rsidRPr="00BE56C3">
              <w:rPr>
                <w:rFonts w:ascii="Sylfaen" w:eastAsia="Times New Roman" w:hAnsi="Sylfaen" w:cs="Calibri"/>
                <w:color w:val="000000"/>
                <w:sz w:val="14"/>
                <w:szCs w:val="14"/>
              </w:rPr>
              <w:t>სიღნაღი</w:t>
            </w:r>
            <w:r w:rsidR="000612AD">
              <w:rPr>
                <w:rFonts w:ascii="Sylfaen" w:eastAsia="Times New Roman" w:hAnsi="Sylfaen" w:cs="Calibri"/>
                <w:color w:val="000000"/>
                <w:sz w:val="14"/>
                <w:szCs w:val="14"/>
                <w:lang w:val="ka-GE"/>
              </w:rPr>
              <w:t>, სენაკი</w:t>
            </w:r>
          </w:p>
        </w:tc>
        <w:tc>
          <w:tcPr>
            <w:tcW w:w="4291" w:type="dxa"/>
            <w:gridSpan w:val="4"/>
            <w:shd w:val="clear" w:color="auto" w:fill="D9D9D9" w:themeFill="background1" w:themeFillShade="D9"/>
            <w:vAlign w:val="center"/>
            <w:hideMark/>
          </w:tcPr>
          <w:p w:rsidR="00D3077B" w:rsidRPr="00F211AD" w:rsidRDefault="00D3077B" w:rsidP="00F8420A">
            <w:pPr>
              <w:spacing w:after="0" w:line="240" w:lineRule="auto"/>
              <w:jc w:val="center"/>
              <w:rPr>
                <w:rFonts w:ascii="Sylfaen" w:eastAsia="Times New Roman" w:hAnsi="Sylfaen" w:cs="Calibri"/>
                <w:color w:val="000000"/>
                <w:sz w:val="14"/>
                <w:szCs w:val="14"/>
                <w:lang w:val="ka-GE"/>
              </w:rPr>
            </w:pPr>
            <w:r>
              <w:rPr>
                <w:rFonts w:ascii="Sylfaen" w:eastAsia="Times New Roman" w:hAnsi="Sylfaen" w:cs="Sylfaen"/>
                <w:color w:val="000000"/>
                <w:sz w:val="14"/>
                <w:szCs w:val="14"/>
                <w:lang w:val="ka-GE"/>
              </w:rPr>
              <w:t>_</w:t>
            </w:r>
          </w:p>
        </w:tc>
        <w:tc>
          <w:tcPr>
            <w:tcW w:w="810"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olor w:val="000000"/>
                <w:sz w:val="14"/>
                <w:szCs w:val="14"/>
              </w:rPr>
            </w:pPr>
            <w:r w:rsidRPr="00BE56C3">
              <w:rPr>
                <w:rFonts w:ascii="Sylfaen" w:eastAsia="Times New Roman" w:hAnsi="Sylfaen"/>
                <w:color w:val="000000"/>
                <w:sz w:val="14"/>
                <w:szCs w:val="14"/>
              </w:rPr>
              <w:t>1</w:t>
            </w:r>
          </w:p>
        </w:tc>
        <w:tc>
          <w:tcPr>
            <w:tcW w:w="1440"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0</w:t>
            </w:r>
          </w:p>
        </w:tc>
        <w:tc>
          <w:tcPr>
            <w:tcW w:w="1080" w:type="dxa"/>
            <w:shd w:val="clear" w:color="auto" w:fill="auto"/>
            <w:vAlign w:val="center"/>
            <w:hideMark/>
          </w:tcPr>
          <w:p w:rsidR="00D3077B" w:rsidRPr="000612AD" w:rsidRDefault="000612AD" w:rsidP="00F8420A">
            <w:pPr>
              <w:spacing w:after="0" w:line="240" w:lineRule="auto"/>
              <w:jc w:val="center"/>
              <w:rPr>
                <w:rFonts w:ascii="Sylfaen" w:eastAsia="Times New Roman" w:hAnsi="Sylfaen" w:cs="Calibri"/>
                <w:color w:val="000000"/>
                <w:sz w:val="14"/>
                <w:szCs w:val="14"/>
                <w:lang w:val="ka-GE"/>
              </w:rPr>
            </w:pPr>
            <w:r>
              <w:rPr>
                <w:rFonts w:ascii="Sylfaen" w:eastAsia="Times New Roman" w:hAnsi="Sylfaen" w:cs="Calibri"/>
                <w:color w:val="000000"/>
                <w:sz w:val="14"/>
                <w:szCs w:val="14"/>
                <w:lang w:val="ka-GE"/>
              </w:rPr>
              <w:t>2</w:t>
            </w:r>
          </w:p>
        </w:tc>
        <w:tc>
          <w:tcPr>
            <w:tcW w:w="1314"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0</w:t>
            </w:r>
          </w:p>
        </w:tc>
      </w:tr>
      <w:tr w:rsidR="00D3077B" w:rsidRPr="00BE56C3" w:rsidTr="00F8420A">
        <w:trPr>
          <w:trHeight w:val="134"/>
        </w:trPr>
        <w:tc>
          <w:tcPr>
            <w:tcW w:w="465"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13</w:t>
            </w:r>
          </w:p>
        </w:tc>
        <w:tc>
          <w:tcPr>
            <w:tcW w:w="4709" w:type="dxa"/>
            <w:shd w:val="clear" w:color="auto" w:fill="auto"/>
            <w:vAlign w:val="center"/>
            <w:hideMark/>
          </w:tcPr>
          <w:p w:rsidR="00D3077B" w:rsidRPr="00BE56C3" w:rsidRDefault="00D3077B" w:rsidP="00F8420A">
            <w:pPr>
              <w:spacing w:after="0" w:line="240" w:lineRule="auto"/>
              <w:rPr>
                <w:rFonts w:ascii="Sylfaen" w:eastAsia="Times New Roman" w:hAnsi="Sylfaen" w:cs="Calibri"/>
                <w:color w:val="000000"/>
                <w:sz w:val="14"/>
                <w:szCs w:val="14"/>
              </w:rPr>
            </w:pPr>
            <w:r w:rsidRPr="00BE56C3">
              <w:rPr>
                <w:rFonts w:ascii="Sylfaen" w:eastAsia="Times New Roman" w:hAnsi="Sylfaen" w:cs="Calibri"/>
                <w:color w:val="000000"/>
                <w:sz w:val="14"/>
                <w:szCs w:val="14"/>
              </w:rPr>
              <w:t>შპს</w:t>
            </w:r>
            <w:r w:rsidRPr="00BE56C3">
              <w:rPr>
                <w:rFonts w:ascii="Sylfaen" w:eastAsia="Times New Roman" w:hAnsi="Sylfaen"/>
                <w:color w:val="000000"/>
                <w:sz w:val="14"/>
                <w:szCs w:val="14"/>
              </w:rPr>
              <w:t xml:space="preserve"> ,,ICC – Intansive  Care Centre”</w:t>
            </w:r>
          </w:p>
        </w:tc>
        <w:tc>
          <w:tcPr>
            <w:tcW w:w="4291" w:type="dxa"/>
            <w:gridSpan w:val="4"/>
            <w:shd w:val="clear" w:color="auto" w:fill="D9D9D9" w:themeFill="background1" w:themeFillShade="D9"/>
            <w:vAlign w:val="center"/>
            <w:hideMark/>
          </w:tcPr>
          <w:p w:rsidR="00D3077B" w:rsidRPr="00F211AD" w:rsidRDefault="00D3077B" w:rsidP="00F8420A">
            <w:pPr>
              <w:spacing w:after="0" w:line="240" w:lineRule="auto"/>
              <w:jc w:val="center"/>
              <w:rPr>
                <w:rFonts w:ascii="Sylfaen" w:eastAsia="Times New Roman" w:hAnsi="Sylfaen" w:cs="Calibri"/>
                <w:color w:val="000000"/>
                <w:sz w:val="14"/>
                <w:szCs w:val="14"/>
                <w:lang w:val="ka-GE"/>
              </w:rPr>
            </w:pPr>
            <w:r>
              <w:rPr>
                <w:rFonts w:ascii="Sylfaen" w:eastAsia="Times New Roman" w:hAnsi="Sylfaen" w:cs="Sylfaen"/>
                <w:color w:val="000000"/>
                <w:sz w:val="14"/>
                <w:szCs w:val="14"/>
                <w:lang w:val="ka-GE"/>
              </w:rPr>
              <w:t>_</w:t>
            </w:r>
          </w:p>
        </w:tc>
        <w:tc>
          <w:tcPr>
            <w:tcW w:w="810"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olor w:val="000000"/>
                <w:sz w:val="14"/>
                <w:szCs w:val="14"/>
              </w:rPr>
            </w:pPr>
            <w:r w:rsidRPr="00BE56C3">
              <w:rPr>
                <w:rFonts w:ascii="Sylfaen" w:eastAsia="Times New Roman" w:hAnsi="Sylfaen"/>
                <w:color w:val="000000"/>
                <w:sz w:val="14"/>
                <w:szCs w:val="14"/>
              </w:rPr>
              <w:t>2</w:t>
            </w:r>
          </w:p>
        </w:tc>
        <w:tc>
          <w:tcPr>
            <w:tcW w:w="1440"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0</w:t>
            </w:r>
          </w:p>
        </w:tc>
        <w:tc>
          <w:tcPr>
            <w:tcW w:w="1080"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olor w:val="000000"/>
                <w:sz w:val="14"/>
                <w:szCs w:val="14"/>
              </w:rPr>
            </w:pPr>
            <w:r w:rsidRPr="00BE56C3">
              <w:rPr>
                <w:rFonts w:ascii="Sylfaen" w:eastAsia="Times New Roman" w:hAnsi="Sylfaen"/>
                <w:color w:val="000000"/>
                <w:sz w:val="14"/>
                <w:szCs w:val="14"/>
              </w:rPr>
              <w:t>2</w:t>
            </w:r>
          </w:p>
        </w:tc>
        <w:tc>
          <w:tcPr>
            <w:tcW w:w="1314"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0</w:t>
            </w:r>
          </w:p>
        </w:tc>
      </w:tr>
      <w:tr w:rsidR="00D3077B" w:rsidRPr="00BE56C3" w:rsidTr="00F8420A">
        <w:trPr>
          <w:trHeight w:val="300"/>
        </w:trPr>
        <w:tc>
          <w:tcPr>
            <w:tcW w:w="465"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14</w:t>
            </w:r>
          </w:p>
        </w:tc>
        <w:tc>
          <w:tcPr>
            <w:tcW w:w="4709" w:type="dxa"/>
            <w:shd w:val="clear" w:color="auto" w:fill="auto"/>
            <w:vAlign w:val="center"/>
            <w:hideMark/>
          </w:tcPr>
          <w:p w:rsidR="00D3077B" w:rsidRPr="00BE56C3" w:rsidRDefault="00D3077B" w:rsidP="00F8420A">
            <w:pPr>
              <w:spacing w:after="0" w:line="240" w:lineRule="auto"/>
              <w:rPr>
                <w:rFonts w:ascii="Sylfaen" w:eastAsia="Times New Roman" w:hAnsi="Sylfaen" w:cs="Calibri"/>
                <w:color w:val="000000"/>
                <w:sz w:val="14"/>
                <w:szCs w:val="14"/>
              </w:rPr>
            </w:pPr>
            <w:r w:rsidRPr="00BE56C3">
              <w:rPr>
                <w:rFonts w:ascii="Sylfaen" w:eastAsia="Times New Roman" w:hAnsi="Sylfaen" w:cs="Calibri"/>
                <w:color w:val="000000"/>
                <w:sz w:val="14"/>
                <w:szCs w:val="14"/>
              </w:rPr>
              <w:t>შპს</w:t>
            </w:r>
            <w:r w:rsidRPr="00BE56C3">
              <w:rPr>
                <w:rFonts w:ascii="Sylfaen" w:eastAsia="Times New Roman" w:hAnsi="Sylfaen"/>
                <w:color w:val="000000"/>
                <w:sz w:val="14"/>
                <w:szCs w:val="14"/>
              </w:rPr>
              <w:t xml:space="preserve"> ,,MEDLIFE''</w:t>
            </w:r>
          </w:p>
        </w:tc>
        <w:tc>
          <w:tcPr>
            <w:tcW w:w="4291" w:type="dxa"/>
            <w:gridSpan w:val="4"/>
            <w:shd w:val="clear" w:color="auto" w:fill="D9D9D9" w:themeFill="background1" w:themeFillShade="D9"/>
            <w:vAlign w:val="center"/>
            <w:hideMark/>
          </w:tcPr>
          <w:p w:rsidR="00D3077B" w:rsidRPr="00F211AD" w:rsidRDefault="00D3077B" w:rsidP="00F8420A">
            <w:pPr>
              <w:spacing w:after="0" w:line="240" w:lineRule="auto"/>
              <w:jc w:val="center"/>
              <w:rPr>
                <w:rFonts w:ascii="Sylfaen" w:eastAsia="Times New Roman" w:hAnsi="Sylfaen" w:cs="Calibri"/>
                <w:color w:val="000000"/>
                <w:sz w:val="14"/>
                <w:szCs w:val="14"/>
                <w:lang w:val="ka-GE"/>
              </w:rPr>
            </w:pPr>
            <w:r>
              <w:rPr>
                <w:rFonts w:ascii="Sylfaen" w:eastAsia="Times New Roman" w:hAnsi="Sylfaen" w:cs="Sylfaen"/>
                <w:color w:val="000000"/>
                <w:sz w:val="14"/>
                <w:szCs w:val="14"/>
                <w:lang w:val="ka-GE"/>
              </w:rPr>
              <w:t>_</w:t>
            </w:r>
          </w:p>
        </w:tc>
        <w:tc>
          <w:tcPr>
            <w:tcW w:w="810"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olor w:val="000000"/>
                <w:sz w:val="14"/>
                <w:szCs w:val="14"/>
              </w:rPr>
            </w:pPr>
            <w:r w:rsidRPr="00BE56C3">
              <w:rPr>
                <w:rFonts w:ascii="Sylfaen" w:eastAsia="Times New Roman" w:hAnsi="Sylfaen"/>
                <w:color w:val="000000"/>
                <w:sz w:val="14"/>
                <w:szCs w:val="14"/>
              </w:rPr>
              <w:t>2</w:t>
            </w:r>
          </w:p>
        </w:tc>
        <w:tc>
          <w:tcPr>
            <w:tcW w:w="1440"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0</w:t>
            </w:r>
          </w:p>
        </w:tc>
        <w:tc>
          <w:tcPr>
            <w:tcW w:w="1080"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olor w:val="000000"/>
                <w:sz w:val="14"/>
                <w:szCs w:val="14"/>
              </w:rPr>
            </w:pPr>
            <w:r w:rsidRPr="00BE56C3">
              <w:rPr>
                <w:rFonts w:ascii="Sylfaen" w:eastAsia="Times New Roman" w:hAnsi="Sylfaen"/>
                <w:color w:val="000000"/>
                <w:sz w:val="14"/>
                <w:szCs w:val="14"/>
              </w:rPr>
              <w:t>2</w:t>
            </w:r>
          </w:p>
        </w:tc>
        <w:tc>
          <w:tcPr>
            <w:tcW w:w="1314"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0</w:t>
            </w:r>
          </w:p>
        </w:tc>
      </w:tr>
      <w:tr w:rsidR="00D3077B" w:rsidRPr="00BE56C3" w:rsidTr="00F8420A">
        <w:trPr>
          <w:trHeight w:val="431"/>
        </w:trPr>
        <w:tc>
          <w:tcPr>
            <w:tcW w:w="465"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15</w:t>
            </w:r>
          </w:p>
        </w:tc>
        <w:tc>
          <w:tcPr>
            <w:tcW w:w="4709" w:type="dxa"/>
            <w:shd w:val="clear" w:color="auto" w:fill="auto"/>
            <w:vAlign w:val="center"/>
            <w:hideMark/>
          </w:tcPr>
          <w:p w:rsidR="00D3077B" w:rsidRPr="00BE56C3" w:rsidRDefault="00D3077B" w:rsidP="00F8420A">
            <w:pPr>
              <w:spacing w:after="0" w:line="240" w:lineRule="auto"/>
              <w:rPr>
                <w:rFonts w:ascii="Sylfaen" w:eastAsia="Times New Roman" w:hAnsi="Sylfaen" w:cs="Calibri"/>
                <w:color w:val="000000"/>
                <w:sz w:val="14"/>
                <w:szCs w:val="14"/>
              </w:rPr>
            </w:pPr>
            <w:r w:rsidRPr="00BE56C3">
              <w:rPr>
                <w:rFonts w:ascii="Sylfaen" w:eastAsia="Times New Roman" w:hAnsi="Sylfaen" w:cs="Calibri"/>
                <w:color w:val="000000"/>
                <w:sz w:val="14"/>
                <w:szCs w:val="14"/>
              </w:rPr>
              <w:t>შპს</w:t>
            </w:r>
            <w:r w:rsidRPr="00BE56C3">
              <w:rPr>
                <w:rFonts w:ascii="Sylfaen" w:eastAsia="Times New Roman" w:hAnsi="Sylfaen"/>
                <w:color w:val="000000"/>
                <w:sz w:val="14"/>
                <w:szCs w:val="14"/>
              </w:rPr>
              <w:t xml:space="preserve"> ,,</w:t>
            </w:r>
            <w:r w:rsidRPr="00BE56C3">
              <w:rPr>
                <w:rFonts w:ascii="Sylfaen" w:eastAsia="Times New Roman" w:hAnsi="Sylfaen" w:cs="Calibri"/>
                <w:color w:val="000000"/>
                <w:sz w:val="14"/>
                <w:szCs w:val="14"/>
              </w:rPr>
              <w:t>კატასტროფისმედიცინისპედიატრიულიცენტრი</w:t>
            </w:r>
            <w:r w:rsidRPr="00BE56C3">
              <w:rPr>
                <w:rFonts w:ascii="Sylfaen" w:eastAsia="Times New Roman" w:hAnsi="Sylfaen"/>
                <w:color w:val="000000"/>
                <w:sz w:val="14"/>
                <w:szCs w:val="14"/>
              </w:rPr>
              <w:t>”</w:t>
            </w:r>
          </w:p>
        </w:tc>
        <w:tc>
          <w:tcPr>
            <w:tcW w:w="4291" w:type="dxa"/>
            <w:gridSpan w:val="4"/>
            <w:shd w:val="clear" w:color="auto" w:fill="D9D9D9" w:themeFill="background1" w:themeFillShade="D9"/>
            <w:vAlign w:val="center"/>
            <w:hideMark/>
          </w:tcPr>
          <w:p w:rsidR="00D3077B" w:rsidRPr="00F211AD" w:rsidRDefault="00D3077B" w:rsidP="00F8420A">
            <w:pPr>
              <w:spacing w:after="0" w:line="240" w:lineRule="auto"/>
              <w:jc w:val="center"/>
              <w:rPr>
                <w:rFonts w:ascii="Sylfaen" w:eastAsia="Times New Roman" w:hAnsi="Sylfaen" w:cs="Calibri"/>
                <w:color w:val="000000"/>
                <w:sz w:val="14"/>
                <w:szCs w:val="14"/>
                <w:lang w:val="ka-GE"/>
              </w:rPr>
            </w:pPr>
            <w:r>
              <w:rPr>
                <w:rFonts w:ascii="Sylfaen" w:eastAsia="Times New Roman" w:hAnsi="Sylfaen" w:cs="Sylfaen"/>
                <w:color w:val="000000"/>
                <w:sz w:val="14"/>
                <w:szCs w:val="14"/>
                <w:lang w:val="ka-GE"/>
              </w:rPr>
              <w:t>_</w:t>
            </w:r>
          </w:p>
        </w:tc>
        <w:tc>
          <w:tcPr>
            <w:tcW w:w="810"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0</w:t>
            </w:r>
          </w:p>
        </w:tc>
        <w:tc>
          <w:tcPr>
            <w:tcW w:w="1440"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olor w:val="000000"/>
                <w:sz w:val="14"/>
                <w:szCs w:val="14"/>
              </w:rPr>
            </w:pPr>
            <w:r w:rsidRPr="00BE56C3">
              <w:rPr>
                <w:rFonts w:ascii="Sylfaen" w:eastAsia="Times New Roman" w:hAnsi="Sylfaen"/>
                <w:color w:val="000000"/>
                <w:sz w:val="14"/>
                <w:szCs w:val="14"/>
              </w:rPr>
              <w:t>3</w:t>
            </w:r>
          </w:p>
        </w:tc>
        <w:tc>
          <w:tcPr>
            <w:tcW w:w="1080"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0</w:t>
            </w:r>
          </w:p>
        </w:tc>
        <w:tc>
          <w:tcPr>
            <w:tcW w:w="1314" w:type="dxa"/>
            <w:shd w:val="clear" w:color="auto" w:fill="auto"/>
            <w:vAlign w:val="center"/>
            <w:hideMark/>
          </w:tcPr>
          <w:p w:rsidR="00D3077B" w:rsidRPr="000612AD" w:rsidRDefault="000612AD" w:rsidP="00F8420A">
            <w:pPr>
              <w:spacing w:after="0" w:line="240" w:lineRule="auto"/>
              <w:jc w:val="center"/>
              <w:rPr>
                <w:rFonts w:ascii="Sylfaen" w:eastAsia="Times New Roman" w:hAnsi="Sylfaen" w:cs="Calibri"/>
                <w:color w:val="000000"/>
                <w:sz w:val="14"/>
                <w:szCs w:val="14"/>
                <w:lang w:val="ka-GE"/>
              </w:rPr>
            </w:pPr>
            <w:r>
              <w:rPr>
                <w:rFonts w:ascii="Sylfaen" w:eastAsia="Times New Roman" w:hAnsi="Sylfaen" w:cs="Calibri"/>
                <w:color w:val="000000"/>
                <w:sz w:val="14"/>
                <w:szCs w:val="14"/>
                <w:lang w:val="ka-GE"/>
              </w:rPr>
              <w:t>6</w:t>
            </w:r>
          </w:p>
        </w:tc>
      </w:tr>
    </w:tbl>
    <w:p w:rsidR="00A3449E" w:rsidRDefault="00A3449E" w:rsidP="00586362">
      <w:pPr>
        <w:ind w:left="720"/>
        <w:rPr>
          <w:rFonts w:ascii="Sylfaen" w:hAnsi="Sylfaen"/>
          <w:b/>
          <w:i/>
        </w:rPr>
        <w:sectPr w:rsidR="00A3449E" w:rsidSect="00140951">
          <w:pgSz w:w="15840" w:h="12240" w:orient="landscape"/>
          <w:pgMar w:top="1354" w:right="1138" w:bottom="806" w:left="1138" w:header="720" w:footer="720" w:gutter="0"/>
          <w:cols w:space="720"/>
          <w:docGrid w:linePitch="360"/>
        </w:sectPr>
      </w:pPr>
    </w:p>
    <w:p w:rsidR="00586362" w:rsidRPr="001101F8" w:rsidRDefault="001101F8" w:rsidP="001101F8">
      <w:pPr>
        <w:shd w:val="clear" w:color="auto" w:fill="D9D9D9" w:themeFill="background1" w:themeFillShade="D9"/>
        <w:ind w:left="720"/>
        <w:rPr>
          <w:rFonts w:ascii="Sylfaen" w:hAnsi="Sylfaen"/>
          <w:b/>
          <w:sz w:val="24"/>
          <w:szCs w:val="24"/>
          <w:lang w:val="ka-GE"/>
        </w:rPr>
      </w:pPr>
      <w:r w:rsidRPr="001101F8">
        <w:rPr>
          <w:rFonts w:ascii="Sylfaen" w:hAnsi="Sylfaen"/>
          <w:b/>
          <w:sz w:val="24"/>
          <w:szCs w:val="24"/>
          <w:lang w:val="ka-GE"/>
        </w:rPr>
        <w:lastRenderedPageBreak/>
        <w:t>პრობლემები და გადაჭრის გზები/რეკომენდაციები</w:t>
      </w:r>
    </w:p>
    <w:p w:rsidR="001101F8" w:rsidRPr="001101F8" w:rsidRDefault="001101F8" w:rsidP="00B83377">
      <w:pPr>
        <w:spacing w:after="120" w:line="240" w:lineRule="auto"/>
        <w:ind w:left="720"/>
        <w:jc w:val="center"/>
        <w:rPr>
          <w:rFonts w:ascii="Sylfaen" w:hAnsi="Sylfaen"/>
          <w:b/>
          <w:sz w:val="32"/>
          <w:szCs w:val="32"/>
        </w:rPr>
      </w:pPr>
      <w:r w:rsidRPr="001101F8">
        <w:rPr>
          <w:rFonts w:ascii="Sylfaen" w:hAnsi="Sylfaen"/>
          <w:b/>
          <w:sz w:val="32"/>
          <w:szCs w:val="32"/>
        </w:rPr>
        <w:t>I.</w:t>
      </w:r>
    </w:p>
    <w:p w:rsidR="00586362" w:rsidRPr="001101F8" w:rsidRDefault="00586362" w:rsidP="002A6E86">
      <w:pPr>
        <w:pStyle w:val="ListParagraph"/>
        <w:numPr>
          <w:ilvl w:val="0"/>
          <w:numId w:val="13"/>
        </w:numPr>
        <w:ind w:left="540"/>
        <w:rPr>
          <w:rFonts w:ascii="Sylfaen" w:hAnsi="Sylfaen"/>
          <w:szCs w:val="22"/>
          <w:lang w:val="ka-GE"/>
        </w:rPr>
      </w:pPr>
      <w:r w:rsidRPr="00586362">
        <w:rPr>
          <w:rFonts w:ascii="Sylfaen" w:hAnsi="Sylfaen"/>
          <w:szCs w:val="22"/>
          <w:lang w:val="ka-GE"/>
        </w:rPr>
        <w:t>არ არის საკმარისი პედიატრიული ბრიგადები/რეანიმობილები</w:t>
      </w:r>
      <w:r w:rsidR="001101F8">
        <w:rPr>
          <w:rFonts w:ascii="Sylfaen" w:hAnsi="Sylfaen"/>
          <w:szCs w:val="22"/>
          <w:lang w:val="ka-GE"/>
        </w:rPr>
        <w:t xml:space="preserve"> (</w:t>
      </w:r>
      <w:r w:rsidRPr="001101F8">
        <w:rPr>
          <w:rFonts w:ascii="Sylfaen" w:hAnsi="Sylfaen" w:cs="Sylfaen"/>
          <w:szCs w:val="22"/>
          <w:lang w:val="ka-GE"/>
        </w:rPr>
        <w:t>ქვეყნის</w:t>
      </w:r>
      <w:r w:rsidRPr="001101F8">
        <w:rPr>
          <w:rFonts w:ascii="Sylfaen" w:hAnsi="Sylfaen"/>
          <w:szCs w:val="22"/>
          <w:lang w:val="ka-GE"/>
        </w:rPr>
        <w:t xml:space="preserve"> მა</w:t>
      </w:r>
      <w:r w:rsidR="00923C3C" w:rsidRPr="001101F8">
        <w:rPr>
          <w:rFonts w:ascii="Sylfaen" w:hAnsi="Sylfaen"/>
          <w:szCs w:val="22"/>
          <w:lang w:val="ka-GE"/>
        </w:rPr>
        <w:t>ს</w:t>
      </w:r>
      <w:r w:rsidRPr="001101F8">
        <w:rPr>
          <w:rFonts w:ascii="Sylfaen" w:hAnsi="Sylfaen"/>
          <w:szCs w:val="22"/>
          <w:lang w:val="ka-GE"/>
        </w:rPr>
        <w:t>შტაბით ფუნქციონირებს - 8. თბილისში - 6,  ქუთაისში - 1,  ბათუმში - 1</w:t>
      </w:r>
      <w:r w:rsidR="001101F8">
        <w:rPr>
          <w:rFonts w:ascii="Sylfaen" w:hAnsi="Sylfaen"/>
          <w:szCs w:val="22"/>
          <w:lang w:val="ka-GE"/>
        </w:rPr>
        <w:t>)</w:t>
      </w:r>
      <w:r w:rsidRPr="001101F8">
        <w:rPr>
          <w:rFonts w:ascii="Sylfaen" w:hAnsi="Sylfaen"/>
          <w:szCs w:val="22"/>
          <w:lang w:val="ka-GE"/>
        </w:rPr>
        <w:t>.</w:t>
      </w:r>
    </w:p>
    <w:p w:rsidR="00586362" w:rsidRPr="00586362" w:rsidRDefault="00586362" w:rsidP="00586362">
      <w:pPr>
        <w:pStyle w:val="ListParagraph"/>
        <w:numPr>
          <w:ilvl w:val="0"/>
          <w:numId w:val="13"/>
        </w:numPr>
        <w:ind w:left="540"/>
        <w:rPr>
          <w:rFonts w:ascii="Sylfaen" w:hAnsi="Sylfaen"/>
          <w:szCs w:val="22"/>
          <w:lang w:val="ka-GE"/>
        </w:rPr>
      </w:pPr>
      <w:r w:rsidRPr="00586362">
        <w:rPr>
          <w:rFonts w:ascii="Sylfaen" w:hAnsi="Sylfaen"/>
          <w:szCs w:val="22"/>
          <w:lang w:val="ka-GE"/>
        </w:rPr>
        <w:t xml:space="preserve">კატასტროფის სამსახურებს არ </w:t>
      </w:r>
      <w:r w:rsidR="00923C3C">
        <w:rPr>
          <w:rFonts w:ascii="Sylfaen" w:hAnsi="Sylfaen"/>
          <w:szCs w:val="22"/>
          <w:lang w:val="ka-GE"/>
        </w:rPr>
        <w:t>ჰ</w:t>
      </w:r>
      <w:r w:rsidRPr="00586362">
        <w:rPr>
          <w:rFonts w:ascii="Sylfaen" w:hAnsi="Sylfaen"/>
          <w:szCs w:val="22"/>
          <w:lang w:val="ka-GE"/>
        </w:rPr>
        <w:t>ყავთ მაღალი გამავლობის   რეანიმობილები, რაც პრობლემას ქმნის ზამთრის პერიოდში და მაღალმთიან რეგიონებში.</w:t>
      </w:r>
    </w:p>
    <w:p w:rsidR="001101F8" w:rsidRPr="001101F8" w:rsidRDefault="00586362" w:rsidP="001101F8">
      <w:pPr>
        <w:pStyle w:val="ListParagraph"/>
        <w:numPr>
          <w:ilvl w:val="0"/>
          <w:numId w:val="13"/>
        </w:numPr>
        <w:ind w:left="540"/>
        <w:rPr>
          <w:rFonts w:ascii="Sylfaen" w:hAnsi="Sylfaen"/>
          <w:szCs w:val="22"/>
          <w:lang w:val="ka-GE"/>
        </w:rPr>
      </w:pPr>
      <w:r w:rsidRPr="00586362">
        <w:rPr>
          <w:rFonts w:ascii="Sylfaen" w:hAnsi="Sylfaen"/>
          <w:szCs w:val="22"/>
          <w:lang w:val="ka-GE"/>
        </w:rPr>
        <w:t xml:space="preserve">კატასტროფის სამსახურებს არ გააჩნიათ </w:t>
      </w:r>
      <w:r w:rsidRPr="00586362">
        <w:rPr>
          <w:rFonts w:ascii="Sylfaen" w:eastAsia="Sylfaen" w:hAnsi="Sylfaen" w:cs="Calibri"/>
          <w:color w:val="000000"/>
          <w:szCs w:val="22"/>
          <w:lang w:val="ka-GE"/>
        </w:rPr>
        <w:t xml:space="preserve">112-ის ქსელთან თავსებადი უკაბელო რეტრანსლატორული </w:t>
      </w:r>
      <w:r w:rsidRPr="001101F8">
        <w:rPr>
          <w:rFonts w:ascii="Sylfaen" w:eastAsia="Sylfaen" w:hAnsi="Sylfaen" w:cs="Calibri"/>
          <w:color w:val="000000"/>
          <w:szCs w:val="22"/>
          <w:lang w:val="ka-GE"/>
        </w:rPr>
        <w:t>გადაცემის სისტემები (რაციები);</w:t>
      </w:r>
    </w:p>
    <w:p w:rsidR="001101F8" w:rsidRPr="001101F8" w:rsidRDefault="001101F8" w:rsidP="001101F8">
      <w:pPr>
        <w:pStyle w:val="ListParagraph"/>
        <w:numPr>
          <w:ilvl w:val="0"/>
          <w:numId w:val="13"/>
        </w:numPr>
        <w:ind w:left="540"/>
        <w:rPr>
          <w:rFonts w:ascii="Sylfaen" w:eastAsia="Sylfaen" w:hAnsi="Sylfaen"/>
          <w:sz w:val="24"/>
          <w:lang w:val="ka-GE"/>
        </w:rPr>
      </w:pPr>
      <w:r w:rsidRPr="001101F8">
        <w:rPr>
          <w:rFonts w:ascii="Sylfaen" w:eastAsia="Sylfaen" w:hAnsi="Sylfaen" w:cs="Calibri"/>
          <w:color w:val="000000"/>
          <w:szCs w:val="22"/>
          <w:lang w:val="ka-GE"/>
        </w:rPr>
        <w:t>კატასტ</w:t>
      </w:r>
      <w:r>
        <w:rPr>
          <w:rFonts w:ascii="Sylfaen" w:eastAsia="Sylfaen" w:hAnsi="Sylfaen" w:cs="Calibri"/>
          <w:color w:val="000000"/>
          <w:szCs w:val="22"/>
          <w:lang w:val="ka-GE"/>
        </w:rPr>
        <w:t>რ</w:t>
      </w:r>
      <w:r w:rsidRPr="001101F8">
        <w:rPr>
          <w:rFonts w:ascii="Sylfaen" w:eastAsia="Sylfaen" w:hAnsi="Sylfaen" w:cs="Calibri"/>
          <w:color w:val="000000"/>
          <w:szCs w:val="22"/>
          <w:lang w:val="ka-GE"/>
        </w:rPr>
        <w:t xml:space="preserve">ოფის სამსახურებს არ </w:t>
      </w:r>
      <w:r>
        <w:rPr>
          <w:rFonts w:ascii="Sylfaen" w:eastAsia="Sylfaen" w:hAnsi="Sylfaen" w:cs="Calibri"/>
          <w:color w:val="000000"/>
          <w:szCs w:val="22"/>
          <w:lang w:val="ka-GE"/>
        </w:rPr>
        <w:t>გააჩ</w:t>
      </w:r>
      <w:r w:rsidRPr="001101F8">
        <w:rPr>
          <w:rFonts w:ascii="Sylfaen" w:eastAsia="Sylfaen" w:hAnsi="Sylfaen" w:cs="Calibri"/>
          <w:color w:val="000000"/>
          <w:szCs w:val="22"/>
          <w:lang w:val="ka-GE"/>
        </w:rPr>
        <w:t xml:space="preserve">ნიათ </w:t>
      </w:r>
      <w:r w:rsidR="005D0345" w:rsidRPr="001101F8">
        <w:rPr>
          <w:rFonts w:ascii="Sylfaen" w:eastAsia="Sylfaen" w:hAnsi="Sylfaen"/>
          <w:szCs w:val="22"/>
        </w:rPr>
        <w:t xml:space="preserve">GPS </w:t>
      </w:r>
      <w:r w:rsidR="005D0345" w:rsidRPr="001101F8">
        <w:rPr>
          <w:rFonts w:ascii="Sylfaen" w:eastAsia="Sylfaen" w:hAnsi="Sylfaen"/>
          <w:szCs w:val="22"/>
          <w:lang w:val="ka-GE"/>
        </w:rPr>
        <w:t>სისტემები</w:t>
      </w:r>
      <w:r w:rsidRPr="001101F8">
        <w:rPr>
          <w:rFonts w:ascii="Sylfaen" w:eastAsia="Sylfaen" w:hAnsi="Sylfaen"/>
          <w:szCs w:val="22"/>
          <w:lang w:val="ka-GE"/>
        </w:rPr>
        <w:t>.</w:t>
      </w:r>
    </w:p>
    <w:p w:rsidR="00586362" w:rsidRPr="001101F8" w:rsidRDefault="000729B5" w:rsidP="00BE169C">
      <w:pPr>
        <w:ind w:left="180"/>
        <w:rPr>
          <w:rFonts w:ascii="Sylfaen" w:eastAsia="Sylfaen" w:hAnsi="Sylfaen"/>
          <w:b/>
          <w:sz w:val="24"/>
          <w:lang w:val="ka-GE"/>
        </w:rPr>
      </w:pPr>
      <w:r w:rsidRPr="00592E25">
        <w:rPr>
          <w:rFonts w:ascii="Sylfaen" w:eastAsia="Sylfaen" w:hAnsi="Sylfaen" w:cs="Sylfaen"/>
          <w:b/>
          <w:sz w:val="24"/>
          <w:highlight w:val="lightGray"/>
          <w:lang w:val="ka-GE"/>
        </w:rPr>
        <w:t>რეკომენდაცია</w:t>
      </w:r>
      <w:r w:rsidR="00592E25" w:rsidRPr="00592E25">
        <w:rPr>
          <w:rFonts w:ascii="Sylfaen" w:eastAsia="Sylfaen" w:hAnsi="Sylfaen" w:cs="Sylfaen"/>
          <w:b/>
          <w:sz w:val="24"/>
          <w:highlight w:val="lightGray"/>
          <w:lang w:val="ka-GE"/>
        </w:rPr>
        <w:t xml:space="preserve"> N1</w:t>
      </w:r>
    </w:p>
    <w:p w:rsidR="001101F8" w:rsidRDefault="00E459F5" w:rsidP="0049024D">
      <w:pPr>
        <w:spacing w:after="120" w:line="240" w:lineRule="auto"/>
        <w:ind w:left="180"/>
        <w:jc w:val="both"/>
        <w:rPr>
          <w:rFonts w:ascii="Sylfaen" w:hAnsi="Sylfaen"/>
          <w:lang w:val="ka-GE"/>
        </w:rPr>
      </w:pPr>
      <w:r w:rsidRPr="00592E25">
        <w:rPr>
          <w:rFonts w:ascii="Sylfaen" w:eastAsia="Sylfaen" w:hAnsi="Sylfaen" w:cs="Sylfaen"/>
          <w:sz w:val="24"/>
          <w:lang w:val="ka-GE"/>
        </w:rPr>
        <w:t>გამკაცრდეს</w:t>
      </w:r>
      <w:r w:rsidRPr="00E459F5">
        <w:rPr>
          <w:rFonts w:ascii="Sylfaen" w:hAnsi="Sylfaen"/>
          <w:lang w:val="ka-GE"/>
        </w:rPr>
        <w:t>პროგრამაში მონაწილე დაწესებულებების შერჩევის კრიტერიუმები</w:t>
      </w:r>
      <w:r w:rsidR="001101F8">
        <w:rPr>
          <w:rFonts w:ascii="Sylfaen" w:hAnsi="Sylfaen"/>
          <w:lang w:val="ka-GE"/>
        </w:rPr>
        <w:t>.</w:t>
      </w:r>
    </w:p>
    <w:p w:rsidR="00251530" w:rsidRPr="00251530" w:rsidRDefault="00251530" w:rsidP="001101F8">
      <w:pPr>
        <w:spacing w:after="120" w:line="240" w:lineRule="auto"/>
        <w:ind w:left="720"/>
        <w:rPr>
          <w:rFonts w:ascii="Sylfaen" w:eastAsia="Sylfaen" w:hAnsi="Sylfaen"/>
          <w:b/>
          <w:sz w:val="24"/>
          <w:lang w:val="ka-GE"/>
        </w:rPr>
      </w:pPr>
      <w:r w:rsidRPr="00251530">
        <w:rPr>
          <w:rFonts w:ascii="Sylfaen" w:eastAsia="Sylfaen" w:hAnsi="Sylfaen"/>
          <w:b/>
          <w:sz w:val="24"/>
          <w:lang w:val="ka-GE"/>
        </w:rPr>
        <w:t>მომსახურების მიმწოდებე</w:t>
      </w:r>
      <w:r>
        <w:rPr>
          <w:rFonts w:ascii="Sylfaen" w:eastAsia="Sylfaen" w:hAnsi="Sylfaen"/>
          <w:b/>
          <w:sz w:val="24"/>
          <w:lang w:val="ka-GE"/>
        </w:rPr>
        <w:t>ლ</w:t>
      </w:r>
      <w:r w:rsidRPr="00251530">
        <w:rPr>
          <w:rFonts w:ascii="Sylfaen" w:eastAsia="Sylfaen" w:hAnsi="Sylfaen"/>
          <w:b/>
          <w:sz w:val="24"/>
          <w:lang w:val="ka-GE"/>
        </w:rPr>
        <w:t>ს უნდა გააჩნდე</w:t>
      </w:r>
      <w:r>
        <w:rPr>
          <w:rFonts w:ascii="Sylfaen" w:eastAsia="Sylfaen" w:hAnsi="Sylfaen"/>
          <w:b/>
          <w:sz w:val="24"/>
          <w:lang w:val="ka-GE"/>
        </w:rPr>
        <w:t>ს</w:t>
      </w:r>
      <w:r w:rsidRPr="00251530">
        <w:rPr>
          <w:rFonts w:ascii="Sylfaen" w:eastAsia="Sylfaen" w:hAnsi="Sylfaen"/>
          <w:b/>
          <w:sz w:val="24"/>
          <w:lang w:val="ka-GE"/>
        </w:rPr>
        <w:t>:</w:t>
      </w:r>
    </w:p>
    <w:p w:rsidR="00D55351" w:rsidRPr="00251530" w:rsidRDefault="00D55351" w:rsidP="001101F8">
      <w:pPr>
        <w:spacing w:after="120" w:line="240" w:lineRule="auto"/>
        <w:ind w:left="720"/>
        <w:jc w:val="both"/>
        <w:rPr>
          <w:rFonts w:ascii="Sylfaen" w:eastAsia="Sylfaen" w:hAnsi="Sylfaen" w:cs="Calibri"/>
          <w:color w:val="000000"/>
          <w:szCs w:val="22"/>
          <w:lang w:val="ka-GE"/>
        </w:rPr>
      </w:pPr>
      <w:r w:rsidRPr="00251530">
        <w:rPr>
          <w:rFonts w:ascii="Sylfaen" w:eastAsia="Sylfaen" w:hAnsi="Sylfaen" w:cs="Calibri"/>
          <w:color w:val="000000"/>
          <w:szCs w:val="22"/>
          <w:lang w:val="ka-GE"/>
        </w:rPr>
        <w:t xml:space="preserve">1. სულ მცირე ერთი </w:t>
      </w:r>
      <w:r w:rsidRPr="00251530">
        <w:rPr>
          <w:rFonts w:ascii="Sylfaen" w:hAnsi="Sylfaen"/>
          <w:szCs w:val="22"/>
          <w:lang w:val="ka-GE"/>
        </w:rPr>
        <w:t>პედიატრიული ბრიგადა;</w:t>
      </w:r>
    </w:p>
    <w:p w:rsidR="00D55351" w:rsidRPr="00251530" w:rsidRDefault="00D55351" w:rsidP="001101F8">
      <w:pPr>
        <w:spacing w:after="120" w:line="240" w:lineRule="auto"/>
        <w:ind w:left="720"/>
        <w:jc w:val="both"/>
        <w:rPr>
          <w:rFonts w:ascii="Sylfaen" w:eastAsia="Sylfaen" w:hAnsi="Sylfaen"/>
          <w:noProof/>
          <w:szCs w:val="22"/>
          <w:lang w:val="ka-GE"/>
        </w:rPr>
      </w:pPr>
      <w:r w:rsidRPr="00251530">
        <w:rPr>
          <w:rFonts w:ascii="Sylfaen" w:eastAsia="Sylfaen" w:hAnsi="Sylfaen" w:cs="Calibri"/>
          <w:color w:val="000000"/>
          <w:szCs w:val="22"/>
          <w:lang w:val="ka-GE"/>
        </w:rPr>
        <w:t xml:space="preserve">2. სულ მცირე ერთი მაღალი გამავლობის </w:t>
      </w:r>
      <w:r w:rsidRPr="00251530">
        <w:rPr>
          <w:rFonts w:ascii="Sylfaen" w:eastAsia="Sylfaen" w:hAnsi="Sylfaen"/>
          <w:noProof/>
          <w:szCs w:val="22"/>
          <w:lang w:val="ka-GE"/>
        </w:rPr>
        <w:t>(4</w:t>
      </w:r>
      <w:r w:rsidRPr="00251530">
        <w:rPr>
          <w:rFonts w:ascii="Sylfaen" w:eastAsia="Sylfaen" w:hAnsi="Sylfaen"/>
          <w:noProof/>
          <w:szCs w:val="22"/>
        </w:rPr>
        <w:t>X4</w:t>
      </w:r>
      <w:r w:rsidRPr="00251530">
        <w:rPr>
          <w:rFonts w:ascii="Sylfaen" w:eastAsia="Sylfaen" w:hAnsi="Sylfaen"/>
          <w:noProof/>
          <w:szCs w:val="22"/>
          <w:lang w:val="ka-GE"/>
        </w:rPr>
        <w:t>) შესაბამისად აღჭურვილი სატრანსპორტო საშუალება</w:t>
      </w:r>
      <w:r w:rsidR="00251530">
        <w:rPr>
          <w:rFonts w:ascii="Sylfaen" w:eastAsia="Sylfaen" w:hAnsi="Sylfaen"/>
          <w:noProof/>
          <w:szCs w:val="22"/>
          <w:lang w:val="ka-GE"/>
        </w:rPr>
        <w:t>;</w:t>
      </w:r>
    </w:p>
    <w:p w:rsidR="00251530" w:rsidRPr="00251530" w:rsidRDefault="00251530" w:rsidP="001101F8">
      <w:pPr>
        <w:spacing w:after="120" w:line="240" w:lineRule="auto"/>
        <w:ind w:left="720"/>
        <w:jc w:val="both"/>
        <w:rPr>
          <w:rFonts w:ascii="Sylfaen" w:eastAsia="Sylfaen" w:hAnsi="Sylfaen" w:cs="Calibri"/>
          <w:color w:val="000000"/>
          <w:szCs w:val="22"/>
          <w:lang w:val="ka-GE"/>
        </w:rPr>
      </w:pPr>
      <w:r w:rsidRPr="00251530">
        <w:rPr>
          <w:rFonts w:ascii="Sylfaen" w:eastAsia="Sylfaen" w:hAnsi="Sylfaen"/>
          <w:noProof/>
          <w:szCs w:val="22"/>
          <w:lang w:val="ka-GE"/>
        </w:rPr>
        <w:t xml:space="preserve">3. </w:t>
      </w:r>
      <w:r w:rsidRPr="00251530">
        <w:rPr>
          <w:rFonts w:ascii="Sylfaen" w:eastAsia="Sylfaen" w:hAnsi="Sylfaen" w:cs="Calibri"/>
          <w:color w:val="000000"/>
          <w:szCs w:val="22"/>
          <w:lang w:val="ka-GE"/>
        </w:rPr>
        <w:t>უნდა ჰყავდეს:</w:t>
      </w:r>
    </w:p>
    <w:p w:rsidR="00251530" w:rsidRPr="00251530" w:rsidRDefault="00251530" w:rsidP="001101F8">
      <w:pPr>
        <w:pStyle w:val="ListParagraph"/>
        <w:numPr>
          <w:ilvl w:val="0"/>
          <w:numId w:val="14"/>
        </w:numPr>
        <w:ind w:left="1440"/>
        <w:jc w:val="both"/>
        <w:rPr>
          <w:rFonts w:ascii="Sylfaen" w:eastAsia="Sylfaen" w:hAnsi="Sylfaen"/>
          <w:noProof/>
          <w:szCs w:val="22"/>
          <w:lang w:val="ka-GE"/>
        </w:rPr>
      </w:pPr>
      <w:r w:rsidRPr="00251530">
        <w:rPr>
          <w:rFonts w:ascii="Sylfaen" w:eastAsia="Sylfaen" w:hAnsi="Sylfaen" w:cs="Calibri"/>
          <w:color w:val="000000"/>
          <w:szCs w:val="22"/>
        </w:rPr>
        <w:t>სპეციალიზებულიბრიგადა (ანესთეზიოლოგ-რეანიმატოლოგიდა/ანკრიტიკულიმედიცინისსპეციალისტიდა/ანგადაუდებელიმედიცინისსპეციალისტი)</w:t>
      </w:r>
      <w:r w:rsidRPr="00251530">
        <w:rPr>
          <w:rFonts w:ascii="Sylfaen" w:eastAsia="Sylfaen" w:hAnsi="Sylfaen" w:cs="Calibri"/>
          <w:color w:val="000000"/>
          <w:szCs w:val="22"/>
          <w:lang w:val="ka-GE"/>
        </w:rPr>
        <w:t xml:space="preserve">, რომელთაც გავლილი აქვთ </w:t>
      </w:r>
      <w:r w:rsidRPr="00251530">
        <w:rPr>
          <w:rFonts w:ascii="Sylfaen" w:eastAsia="Sylfaen" w:hAnsi="Sylfaen" w:cs="Calibri"/>
          <w:color w:val="000000"/>
          <w:szCs w:val="22"/>
        </w:rPr>
        <w:t xml:space="preserve">PHTLS,  BLS </w:t>
      </w:r>
      <w:r w:rsidRPr="00251530">
        <w:rPr>
          <w:rFonts w:ascii="Sylfaen" w:eastAsia="Sylfaen" w:hAnsi="Sylfaen" w:cs="Calibri"/>
          <w:color w:val="000000"/>
          <w:szCs w:val="22"/>
          <w:lang w:val="ka-GE"/>
        </w:rPr>
        <w:t>ტრეინინგები;</w:t>
      </w:r>
    </w:p>
    <w:p w:rsidR="00251530" w:rsidRPr="00251530" w:rsidRDefault="00251530" w:rsidP="001101F8">
      <w:pPr>
        <w:pStyle w:val="ListParagraph"/>
        <w:numPr>
          <w:ilvl w:val="0"/>
          <w:numId w:val="14"/>
        </w:numPr>
        <w:ind w:left="1440"/>
        <w:jc w:val="both"/>
        <w:rPr>
          <w:rFonts w:ascii="Sylfaen" w:eastAsia="Sylfaen" w:hAnsi="Sylfaen"/>
          <w:noProof/>
          <w:szCs w:val="22"/>
          <w:lang w:val="ka-GE"/>
        </w:rPr>
      </w:pPr>
      <w:r w:rsidRPr="00251530">
        <w:rPr>
          <w:rFonts w:ascii="Sylfaen" w:eastAsia="Sylfaen" w:hAnsi="Sylfaen" w:cs="Calibri"/>
          <w:color w:val="000000"/>
          <w:szCs w:val="22"/>
        </w:rPr>
        <w:t>ექიმ-სპეციალისტთაპანელი</w:t>
      </w:r>
      <w:r w:rsidRPr="00251530">
        <w:rPr>
          <w:rFonts w:ascii="Sylfaen" w:eastAsia="Sylfaen" w:hAnsi="Sylfaen" w:cs="Calibri"/>
          <w:color w:val="000000"/>
          <w:szCs w:val="22"/>
          <w:lang w:val="ka-GE"/>
        </w:rPr>
        <w:t>;</w:t>
      </w:r>
    </w:p>
    <w:p w:rsidR="00251530" w:rsidRPr="00251530" w:rsidRDefault="00251530" w:rsidP="001101F8">
      <w:pPr>
        <w:pStyle w:val="ListParagraph"/>
        <w:numPr>
          <w:ilvl w:val="0"/>
          <w:numId w:val="14"/>
        </w:numPr>
        <w:ind w:left="1440"/>
        <w:jc w:val="both"/>
        <w:rPr>
          <w:rFonts w:ascii="Sylfaen" w:eastAsia="Sylfaen" w:hAnsi="Sylfaen"/>
          <w:noProof/>
          <w:szCs w:val="22"/>
          <w:lang w:val="ka-GE"/>
        </w:rPr>
      </w:pPr>
      <w:r w:rsidRPr="00251530">
        <w:rPr>
          <w:rFonts w:ascii="Sylfaen" w:eastAsia="Sylfaen" w:hAnsi="Sylfaen" w:cs="Calibri"/>
          <w:color w:val="000000"/>
          <w:szCs w:val="22"/>
          <w:lang w:val="ka-GE"/>
        </w:rPr>
        <w:t xml:space="preserve">რეანიმაციის ექთანი/უმცროსი ექიმი, რომელთაც გავლილი აქვთ </w:t>
      </w:r>
      <w:r w:rsidRPr="00251530">
        <w:rPr>
          <w:rFonts w:ascii="Sylfaen" w:eastAsia="Sylfaen" w:hAnsi="Sylfaen" w:cs="Calibri"/>
          <w:color w:val="000000"/>
          <w:szCs w:val="22"/>
        </w:rPr>
        <w:t xml:space="preserve">BLS, PHTLS </w:t>
      </w:r>
      <w:r w:rsidRPr="00251530">
        <w:rPr>
          <w:rFonts w:ascii="Sylfaen" w:eastAsia="Sylfaen" w:hAnsi="Sylfaen" w:cs="Calibri"/>
          <w:color w:val="000000"/>
          <w:szCs w:val="22"/>
          <w:lang w:val="ka-GE"/>
        </w:rPr>
        <w:t>ტრეინინგი</w:t>
      </w:r>
      <w:r w:rsidR="002A6E86">
        <w:rPr>
          <w:rFonts w:ascii="Sylfaen" w:eastAsia="Sylfaen" w:hAnsi="Sylfaen" w:cs="Calibri"/>
          <w:color w:val="000000"/>
          <w:szCs w:val="22"/>
          <w:lang w:val="ka-GE"/>
        </w:rPr>
        <w:t>;</w:t>
      </w:r>
    </w:p>
    <w:p w:rsidR="001101F8" w:rsidRPr="001101F8" w:rsidRDefault="00251530" w:rsidP="001101F8">
      <w:pPr>
        <w:pStyle w:val="ListParagraph"/>
        <w:numPr>
          <w:ilvl w:val="0"/>
          <w:numId w:val="14"/>
        </w:numPr>
        <w:ind w:left="1440"/>
        <w:jc w:val="both"/>
        <w:rPr>
          <w:rFonts w:ascii="Sylfaen" w:eastAsia="Sylfaen" w:hAnsi="Sylfaen"/>
          <w:noProof/>
          <w:szCs w:val="22"/>
          <w:lang w:val="ka-GE"/>
        </w:rPr>
      </w:pPr>
      <w:r w:rsidRPr="00251530">
        <w:rPr>
          <w:rFonts w:ascii="Sylfaen" w:eastAsia="Sylfaen" w:hAnsi="Sylfaen" w:cs="Calibri"/>
          <w:color w:val="000000"/>
          <w:szCs w:val="22"/>
          <w:lang w:val="ka-GE"/>
        </w:rPr>
        <w:t>მძღოლი - მაშველი, რომელსაც გავლილი აქვს სპეციალური კურსი</w:t>
      </w:r>
      <w:r w:rsidR="002A6E86">
        <w:rPr>
          <w:rFonts w:ascii="Sylfaen" w:eastAsia="Sylfaen" w:hAnsi="Sylfaen" w:cs="Calibri"/>
          <w:color w:val="000000"/>
          <w:szCs w:val="22"/>
          <w:lang w:val="ka-GE"/>
        </w:rPr>
        <w:t>.</w:t>
      </w:r>
    </w:p>
    <w:p w:rsidR="001101F8" w:rsidRPr="001101F8" w:rsidRDefault="00251530" w:rsidP="001101F8">
      <w:pPr>
        <w:pStyle w:val="ListParagraph"/>
        <w:numPr>
          <w:ilvl w:val="0"/>
          <w:numId w:val="29"/>
        </w:numPr>
        <w:spacing w:after="120" w:line="240" w:lineRule="auto"/>
        <w:jc w:val="both"/>
        <w:rPr>
          <w:rFonts w:ascii="Sylfaen" w:eastAsia="Sylfaen" w:hAnsi="Sylfaen"/>
          <w:noProof/>
          <w:szCs w:val="22"/>
          <w:lang w:val="ka-GE"/>
        </w:rPr>
      </w:pPr>
      <w:r w:rsidRPr="001101F8">
        <w:rPr>
          <w:rFonts w:ascii="Sylfaen" w:eastAsia="Sylfaen" w:hAnsi="Sylfaen"/>
          <w:noProof/>
          <w:szCs w:val="22"/>
          <w:lang w:val="ka-GE"/>
        </w:rPr>
        <w:t xml:space="preserve">უნდა იყოს აღჭურვილი </w:t>
      </w:r>
      <w:r w:rsidR="00D55351" w:rsidRPr="001101F8">
        <w:rPr>
          <w:rFonts w:ascii="Sylfaen" w:eastAsia="Sylfaen" w:hAnsi="Sylfaen"/>
          <w:noProof/>
          <w:szCs w:val="22"/>
          <w:lang w:val="ka-GE"/>
        </w:rPr>
        <w:t>112-ის ქსელთან თავსებადი უკაბელო რეტრანსლატორული გადაცემის სისტემებით (რაციები</w:t>
      </w:r>
      <w:r w:rsidRPr="001101F8">
        <w:rPr>
          <w:rFonts w:ascii="Sylfaen" w:eastAsia="Sylfaen" w:hAnsi="Sylfaen"/>
          <w:noProof/>
          <w:szCs w:val="22"/>
          <w:lang w:val="ka-GE"/>
        </w:rPr>
        <w:t xml:space="preserve">), ნაცვლად </w:t>
      </w:r>
      <w:r w:rsidR="00D55351" w:rsidRPr="001101F8">
        <w:rPr>
          <w:rFonts w:ascii="Sylfaen" w:eastAsia="Sylfaen" w:hAnsi="Sylfaen"/>
          <w:noProof/>
          <w:szCs w:val="22"/>
          <w:lang w:val="ka-GE"/>
        </w:rPr>
        <w:t>- ერთიან ცენტრალიზებულ სისტემასთან თავსებადი სტაციონარული და ავტომანქანის რადიოსადგურები</w:t>
      </w:r>
      <w:r w:rsidRPr="001101F8">
        <w:rPr>
          <w:rFonts w:ascii="Sylfaen" w:eastAsia="Sylfaen" w:hAnsi="Sylfaen"/>
          <w:noProof/>
          <w:szCs w:val="22"/>
          <w:lang w:val="ka-GE"/>
        </w:rPr>
        <w:t>სა.</w:t>
      </w:r>
    </w:p>
    <w:p w:rsidR="005D0345" w:rsidRPr="001101F8" w:rsidRDefault="005D0345" w:rsidP="001101F8">
      <w:pPr>
        <w:pStyle w:val="ListParagraph"/>
        <w:numPr>
          <w:ilvl w:val="0"/>
          <w:numId w:val="29"/>
        </w:numPr>
        <w:spacing w:after="120" w:line="240" w:lineRule="auto"/>
        <w:jc w:val="both"/>
        <w:rPr>
          <w:rFonts w:ascii="Sylfaen" w:eastAsia="Sylfaen" w:hAnsi="Sylfaen"/>
          <w:noProof/>
          <w:szCs w:val="22"/>
          <w:lang w:val="ka-GE"/>
        </w:rPr>
      </w:pPr>
      <w:r w:rsidRPr="001101F8">
        <w:rPr>
          <w:rFonts w:ascii="Sylfaen" w:eastAsia="Sylfaen" w:hAnsi="Sylfaen"/>
          <w:noProof/>
          <w:szCs w:val="22"/>
          <w:lang w:val="ka-GE"/>
        </w:rPr>
        <w:t xml:space="preserve">GPS სისტემა - </w:t>
      </w:r>
      <w:r w:rsidR="001101F8">
        <w:rPr>
          <w:rFonts w:ascii="Sylfaen" w:eastAsia="Sylfaen" w:hAnsi="Sylfaen"/>
          <w:noProof/>
          <w:szCs w:val="22"/>
          <w:lang w:val="ka-GE"/>
        </w:rPr>
        <w:t xml:space="preserve">მანქანის გადაადგილების იდენტიცირებისათვის, რაც გაადვილებს პროგრამის ადმინისტრირებას და მოგვცემს </w:t>
      </w:r>
      <w:r w:rsidR="00C27112">
        <w:rPr>
          <w:rFonts w:ascii="Sylfaen" w:eastAsia="Sylfaen" w:hAnsi="Sylfaen"/>
          <w:noProof/>
          <w:szCs w:val="22"/>
          <w:lang w:val="ka-GE"/>
        </w:rPr>
        <w:t>დაფინანსების ახალი მეთოდოლოგიის - კილომეტრაჟის მიხედვით დაფინანსება - შემუშავების საშუალებას.</w:t>
      </w:r>
    </w:p>
    <w:p w:rsidR="00C27112" w:rsidRPr="001101F8" w:rsidRDefault="00C27112" w:rsidP="006A5AC8">
      <w:pPr>
        <w:jc w:val="center"/>
        <w:rPr>
          <w:rFonts w:ascii="Sylfaen" w:hAnsi="Sylfaen"/>
          <w:b/>
          <w:sz w:val="32"/>
          <w:szCs w:val="32"/>
        </w:rPr>
      </w:pPr>
      <w:proofErr w:type="gramStart"/>
      <w:r w:rsidRPr="001101F8">
        <w:rPr>
          <w:rFonts w:ascii="Sylfaen" w:hAnsi="Sylfaen"/>
          <w:b/>
          <w:sz w:val="32"/>
          <w:szCs w:val="32"/>
        </w:rPr>
        <w:t>II.</w:t>
      </w:r>
      <w:proofErr w:type="gramEnd"/>
    </w:p>
    <w:p w:rsidR="00C27112" w:rsidRPr="00C27112" w:rsidRDefault="00C27112" w:rsidP="00C27112">
      <w:pPr>
        <w:pStyle w:val="ListParagraph"/>
        <w:numPr>
          <w:ilvl w:val="0"/>
          <w:numId w:val="16"/>
        </w:numPr>
        <w:jc w:val="both"/>
        <w:rPr>
          <w:rFonts w:ascii="Sylfaen" w:hAnsi="Sylfaen"/>
          <w:szCs w:val="22"/>
          <w:lang w:val="ka-GE"/>
        </w:rPr>
      </w:pPr>
      <w:r w:rsidRPr="00C27112">
        <w:rPr>
          <w:rFonts w:ascii="Sylfaen" w:hAnsi="Sylfaen"/>
          <w:szCs w:val="22"/>
          <w:lang w:val="ka-GE"/>
        </w:rPr>
        <w:t>სასჯელაღსულების დაწესებულებებში საკმაოდ მაღალია ბრიგადების გამოძახების სიხშირე. ჩვენი აზრით, აღნიშნული სამედიცინო მომსახურება გათვალისწინებული უნდა იქნეს თავად სასჯელაღსრულების სისტემის სამედიცინო დანახარჯებში;</w:t>
      </w:r>
    </w:p>
    <w:p w:rsidR="00C27112" w:rsidRPr="00C27112" w:rsidRDefault="00C27112" w:rsidP="00C27112">
      <w:pPr>
        <w:pStyle w:val="ListParagraph"/>
        <w:numPr>
          <w:ilvl w:val="0"/>
          <w:numId w:val="16"/>
        </w:numPr>
        <w:jc w:val="both"/>
        <w:rPr>
          <w:rFonts w:ascii="Sylfaen" w:hAnsi="Sylfaen"/>
          <w:color w:val="000000" w:themeColor="text1"/>
          <w:szCs w:val="22"/>
          <w:lang w:val="ka-GE"/>
        </w:rPr>
      </w:pPr>
      <w:r w:rsidRPr="00C27112">
        <w:rPr>
          <w:rFonts w:ascii="Sylfaen" w:hAnsi="Sylfaen"/>
          <w:color w:val="000000" w:themeColor="text1"/>
          <w:szCs w:val="22"/>
          <w:lang w:val="ka-GE"/>
        </w:rPr>
        <w:t xml:space="preserve">მნიშვნელოვანია, განისაზღვროს რეფერალური ბრიგადების გამოძახების მიზნობრიობა, კერძოდ, რეფერალური ტრანსპორტირების სერვისი სახელმწიფოს მხრიდან დაფინანსდება მხოლოდ იმ შემთხვევაში, როდესაც ადგილი აქვს ერთი სტაციონარული ნებართვის მქონე </w:t>
      </w:r>
      <w:r w:rsidRPr="00C27112">
        <w:rPr>
          <w:rFonts w:ascii="Sylfaen" w:hAnsi="Sylfaen"/>
          <w:color w:val="000000" w:themeColor="text1"/>
          <w:szCs w:val="22"/>
          <w:lang w:val="ka-GE"/>
        </w:rPr>
        <w:lastRenderedPageBreak/>
        <w:t>დაწესებულებიდან პაციენტის გადაყვანას მეორე სტაციონარულ დაწესებულებაში მკურნალობის გაგრძელების ან დიაგნოსტიკის მიზნით.</w:t>
      </w:r>
    </w:p>
    <w:p w:rsidR="00D360A0" w:rsidRPr="00B83377" w:rsidRDefault="00D360A0" w:rsidP="00B83377">
      <w:pPr>
        <w:spacing w:after="120" w:line="240" w:lineRule="auto"/>
        <w:ind w:left="720"/>
        <w:jc w:val="center"/>
        <w:rPr>
          <w:rFonts w:ascii="Sylfaen" w:hAnsi="Sylfaen"/>
          <w:b/>
          <w:sz w:val="32"/>
          <w:szCs w:val="32"/>
        </w:rPr>
      </w:pPr>
      <w:proofErr w:type="gramStart"/>
      <w:r w:rsidRPr="001101F8">
        <w:rPr>
          <w:rFonts w:ascii="Sylfaen" w:hAnsi="Sylfaen"/>
          <w:b/>
          <w:sz w:val="32"/>
          <w:szCs w:val="32"/>
        </w:rPr>
        <w:t>I</w:t>
      </w:r>
      <w:r>
        <w:rPr>
          <w:rFonts w:ascii="Sylfaen" w:hAnsi="Sylfaen"/>
          <w:b/>
          <w:sz w:val="32"/>
          <w:szCs w:val="32"/>
        </w:rPr>
        <w:t>I</w:t>
      </w:r>
      <w:r w:rsidRPr="001101F8">
        <w:rPr>
          <w:rFonts w:ascii="Sylfaen" w:hAnsi="Sylfaen"/>
          <w:b/>
          <w:sz w:val="32"/>
          <w:szCs w:val="32"/>
        </w:rPr>
        <w:t>I</w:t>
      </w:r>
      <w:r w:rsidRPr="00B83377">
        <w:rPr>
          <w:rFonts w:ascii="Sylfaen" w:hAnsi="Sylfaen"/>
          <w:b/>
          <w:sz w:val="32"/>
          <w:szCs w:val="32"/>
        </w:rPr>
        <w:t>.</w:t>
      </w:r>
      <w:proofErr w:type="gramEnd"/>
    </w:p>
    <w:p w:rsidR="00D360A0" w:rsidRDefault="00D360A0" w:rsidP="00D360A0">
      <w:pPr>
        <w:pStyle w:val="ListParagraph"/>
        <w:numPr>
          <w:ilvl w:val="0"/>
          <w:numId w:val="31"/>
        </w:numPr>
        <w:jc w:val="both"/>
        <w:rPr>
          <w:rFonts w:ascii="Sylfaen" w:hAnsi="Sylfaen"/>
          <w:color w:val="000000" w:themeColor="text1"/>
          <w:szCs w:val="22"/>
          <w:lang w:val="ka-GE"/>
        </w:rPr>
      </w:pPr>
      <w:r w:rsidRPr="00D360A0">
        <w:rPr>
          <w:rFonts w:ascii="Sylfaen" w:hAnsi="Sylfaen"/>
          <w:color w:val="000000" w:themeColor="text1"/>
          <w:szCs w:val="22"/>
          <w:lang w:val="ka-GE"/>
        </w:rPr>
        <w:t xml:space="preserve">ტრანსპორტირება დიაგნოსტიკის მიზნით - </w:t>
      </w:r>
      <w:r>
        <w:rPr>
          <w:rFonts w:ascii="Sylfaen" w:hAnsi="Sylfaen"/>
          <w:color w:val="000000" w:themeColor="text1"/>
          <w:szCs w:val="22"/>
          <w:lang w:val="ka-GE"/>
        </w:rPr>
        <w:t xml:space="preserve">ვფიქრობთ, მომსახურების მიმწოდებელი დაწესებულების ვალდებულებაა განახორციელოს პაციენტის ტრანსპორტირება დიაგნოსტიკის მიზნით. მაგრამ, ვინაიდან არის საშიშროება იმისა, რომ აღნიშნულმა დაწესებულებებმა, ზედმეტი ხარჯის თავიდან აცილების მიზნით, საჭირო კვლევებზე თქვან უარი, </w:t>
      </w:r>
      <w:r w:rsidR="000D4583">
        <w:rPr>
          <w:rFonts w:ascii="Sylfaen" w:hAnsi="Sylfaen"/>
          <w:color w:val="000000" w:themeColor="text1"/>
          <w:szCs w:val="22"/>
          <w:lang w:val="ka-GE"/>
        </w:rPr>
        <w:t>მიზანშეწონილად მიგვაჩნია</w:t>
      </w:r>
      <w:r>
        <w:rPr>
          <w:rFonts w:ascii="Sylfaen" w:hAnsi="Sylfaen"/>
          <w:color w:val="000000" w:themeColor="text1"/>
          <w:szCs w:val="22"/>
          <w:lang w:val="ka-GE"/>
        </w:rPr>
        <w:t xml:space="preserve"> ამ ეტაპზე დიაგნოსტიკისთვის ტრასნპორტირება დაფინანსდეს პროგრამის ფარგლებში.</w:t>
      </w:r>
    </w:p>
    <w:p w:rsidR="00D360A0" w:rsidRDefault="00D360A0" w:rsidP="00D360A0">
      <w:pPr>
        <w:pStyle w:val="ListParagraph"/>
        <w:numPr>
          <w:ilvl w:val="0"/>
          <w:numId w:val="31"/>
        </w:numPr>
        <w:jc w:val="both"/>
        <w:rPr>
          <w:rFonts w:ascii="Sylfaen" w:hAnsi="Sylfaen"/>
          <w:color w:val="000000" w:themeColor="text1"/>
          <w:szCs w:val="22"/>
          <w:lang w:val="ka-GE"/>
        </w:rPr>
      </w:pPr>
      <w:r>
        <w:rPr>
          <w:rFonts w:ascii="Sylfaen" w:hAnsi="Sylfaen"/>
          <w:color w:val="000000" w:themeColor="text1"/>
          <w:szCs w:val="22"/>
          <w:lang w:val="ka-GE"/>
        </w:rPr>
        <w:t xml:space="preserve">ამასთან, პროგრამის ადმინისტრირებისთვის, აუცილებელია გამოიყოს </w:t>
      </w:r>
      <w:r w:rsidRPr="00D360A0">
        <w:rPr>
          <w:rFonts w:ascii="Sylfaen" w:hAnsi="Sylfaen"/>
          <w:color w:val="000000" w:themeColor="text1"/>
          <w:szCs w:val="22"/>
          <w:lang w:val="ka-GE"/>
        </w:rPr>
        <w:t>დამატებითი ხელოვნური კოდი</w:t>
      </w:r>
      <w:r>
        <w:rPr>
          <w:rFonts w:ascii="Sylfaen" w:hAnsi="Sylfaen"/>
          <w:color w:val="000000" w:themeColor="text1"/>
          <w:szCs w:val="22"/>
          <w:lang w:val="ka-GE"/>
        </w:rPr>
        <w:t xml:space="preserve"> - ტრანსპორტირება დიაგნოსტიკის მიზნით, რაც მოგვცემს გამომძახებელი დაწესებულების და აღნიშნულ დაწესებულებებში საჭიროებების იდენტიფიცირების საშუალებას</w:t>
      </w:r>
      <w:r w:rsidRPr="00D360A0">
        <w:rPr>
          <w:rFonts w:ascii="Sylfaen" w:hAnsi="Sylfaen"/>
          <w:color w:val="000000" w:themeColor="text1"/>
          <w:szCs w:val="22"/>
          <w:lang w:val="ka-GE"/>
        </w:rPr>
        <w:t>;</w:t>
      </w:r>
    </w:p>
    <w:p w:rsidR="00914E48" w:rsidRPr="00914E48" w:rsidRDefault="00914E48" w:rsidP="00914E48">
      <w:pPr>
        <w:pStyle w:val="ListParagraph"/>
        <w:numPr>
          <w:ilvl w:val="0"/>
          <w:numId w:val="31"/>
        </w:numPr>
        <w:jc w:val="both"/>
        <w:rPr>
          <w:rFonts w:ascii="Sylfaen" w:hAnsi="Sylfaen"/>
          <w:szCs w:val="22"/>
          <w:lang w:val="ka-GE"/>
        </w:rPr>
      </w:pPr>
      <w:r w:rsidRPr="00914E48">
        <w:rPr>
          <w:rFonts w:ascii="Sylfaen" w:hAnsi="Sylfaen"/>
          <w:szCs w:val="22"/>
          <w:lang w:val="ka-GE"/>
        </w:rPr>
        <w:t>შესაძლოა, გადაიხედოს თანმხლები კონსულტაციის დაფინანსების საკითხიც. განსაკუთრებით გასაანალიზებელია ისეთი შემთხვევები, როდესაც კლინიკა იძახებს იმ დარგის კონსულტანტს, რომელი პროფილით მომსახურებას თავად უნდა ახორციელებდეს კანონმდებლობის შესაბამისად.</w:t>
      </w:r>
    </w:p>
    <w:p w:rsidR="00D360A0" w:rsidRPr="00D360A0" w:rsidRDefault="00D360A0" w:rsidP="00D360A0">
      <w:pPr>
        <w:pStyle w:val="ListParagraph"/>
        <w:jc w:val="both"/>
        <w:rPr>
          <w:rFonts w:ascii="Sylfaen" w:hAnsi="Sylfaen"/>
          <w:color w:val="000000" w:themeColor="text1"/>
          <w:szCs w:val="22"/>
          <w:lang w:val="ka-GE"/>
        </w:rPr>
      </w:pPr>
    </w:p>
    <w:p w:rsidR="00C27112" w:rsidRPr="00BE169C" w:rsidRDefault="00C27112" w:rsidP="00BE169C">
      <w:pPr>
        <w:ind w:left="180"/>
        <w:rPr>
          <w:rFonts w:ascii="Sylfaen" w:eastAsia="Sylfaen" w:hAnsi="Sylfaen" w:cs="Sylfaen"/>
          <w:b/>
          <w:sz w:val="24"/>
          <w:highlight w:val="lightGray"/>
          <w:lang w:val="ka-GE"/>
        </w:rPr>
      </w:pPr>
      <w:r w:rsidRPr="00BE169C">
        <w:rPr>
          <w:rFonts w:ascii="Sylfaen" w:eastAsia="Sylfaen" w:hAnsi="Sylfaen" w:cs="Sylfaen"/>
          <w:b/>
          <w:sz w:val="24"/>
          <w:highlight w:val="lightGray"/>
          <w:lang w:val="ka-GE"/>
        </w:rPr>
        <w:t>რეკომენდაცია</w:t>
      </w:r>
      <w:r w:rsidR="00592E25">
        <w:rPr>
          <w:rFonts w:ascii="Sylfaen" w:eastAsia="Sylfaen" w:hAnsi="Sylfaen" w:cs="Sylfaen"/>
          <w:b/>
          <w:sz w:val="24"/>
          <w:highlight w:val="lightGray"/>
          <w:lang w:val="ka-GE"/>
        </w:rPr>
        <w:t xml:space="preserve"> N2</w:t>
      </w:r>
    </w:p>
    <w:p w:rsidR="00C27112" w:rsidRPr="00C27112" w:rsidRDefault="00C27112" w:rsidP="004902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80"/>
        <w:jc w:val="both"/>
        <w:rPr>
          <w:rFonts w:ascii="Sylfaen" w:eastAsia="Sylfaen" w:hAnsi="Sylfaen"/>
          <w:szCs w:val="22"/>
          <w:lang w:val="ka-GE"/>
        </w:rPr>
      </w:pPr>
      <w:r w:rsidRPr="00C27112">
        <w:rPr>
          <w:rFonts w:ascii="Sylfaen" w:eastAsia="Sylfaen" w:hAnsi="Sylfaen"/>
          <w:szCs w:val="22"/>
          <w:lang w:val="ka-GE"/>
        </w:rPr>
        <w:t>რეფერალური დახმარების კომპონენტით განსაზღვრული მომსახურების მოცულობა განისაზღვროს:</w:t>
      </w:r>
    </w:p>
    <w:p w:rsidR="00C27112" w:rsidRPr="00C27112" w:rsidRDefault="00C27112" w:rsidP="004902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80"/>
        <w:jc w:val="both"/>
        <w:rPr>
          <w:rFonts w:ascii="Sylfaen" w:eastAsia="Sylfaen" w:hAnsi="Sylfaen"/>
          <w:szCs w:val="22"/>
          <w:lang w:val="ka-GE"/>
        </w:rPr>
      </w:pPr>
      <w:r w:rsidRPr="00C27112">
        <w:rPr>
          <w:rFonts w:ascii="Sylfaen" w:eastAsia="Sylfaen" w:hAnsi="Sylfaen"/>
          <w:szCs w:val="22"/>
          <w:lang w:val="ka-GE"/>
        </w:rPr>
        <w:t xml:space="preserve">ა) სტაციონარულ დაწესებულებაში </w:t>
      </w:r>
      <w:r w:rsidRPr="00C27112">
        <w:rPr>
          <w:rFonts w:ascii="Sylfaen" w:eastAsia="Sylfaen" w:hAnsi="Sylfaen"/>
          <w:szCs w:val="22"/>
        </w:rPr>
        <w:t xml:space="preserve">კრიტიკული და გადაუდებელი მდგომარეობების </w:t>
      </w:r>
      <w:r w:rsidRPr="00C27112">
        <w:rPr>
          <w:rFonts w:ascii="Sylfaen" w:eastAsia="Sylfaen" w:hAnsi="Sylfaen"/>
          <w:szCs w:val="22"/>
          <w:lang w:val="ka-GE"/>
        </w:rPr>
        <w:t xml:space="preserve">რეფერალური შემთხვევების </w:t>
      </w:r>
      <w:r w:rsidRPr="00C27112">
        <w:rPr>
          <w:rFonts w:ascii="Sylfaen" w:eastAsia="Sylfaen" w:hAnsi="Sylfaen"/>
          <w:szCs w:val="22"/>
        </w:rPr>
        <w:t>მართვა</w:t>
      </w:r>
      <w:r w:rsidRPr="00C27112">
        <w:rPr>
          <w:rFonts w:ascii="Sylfaen" w:eastAsia="Sylfaen" w:hAnsi="Sylfaen"/>
          <w:szCs w:val="22"/>
          <w:lang w:val="ka-GE"/>
        </w:rPr>
        <w:t xml:space="preserve"> და საჭიროების შემთხვევაში ტრანსპორტირება, როდესაც აღნიშნულ დაწესებულებაში ვერ ხორციელდება საჭირო კვალიფიციური სამედიცინო დახმარების აღმოჩენა. მომსახურება მოიცავს</w:t>
      </w:r>
      <w:r w:rsidRPr="00C27112">
        <w:rPr>
          <w:rFonts w:ascii="Sylfaen" w:eastAsia="Sylfaen" w:hAnsi="Sylfaen"/>
          <w:szCs w:val="22"/>
        </w:rPr>
        <w:t xml:space="preserve"> ადგილზე რეფერალური ბრიგადის </w:t>
      </w:r>
      <w:r w:rsidRPr="00C27112">
        <w:rPr>
          <w:rFonts w:ascii="Sylfaen" w:eastAsia="Sylfaen" w:hAnsi="Sylfaen"/>
          <w:szCs w:val="22"/>
          <w:lang w:val="ka-GE"/>
        </w:rPr>
        <w:t xml:space="preserve">ან დამატებითი კონსულტანტის </w:t>
      </w:r>
      <w:r w:rsidRPr="00C27112">
        <w:rPr>
          <w:rFonts w:ascii="Sylfaen" w:eastAsia="Sylfaen" w:hAnsi="Sylfaen"/>
          <w:szCs w:val="22"/>
        </w:rPr>
        <w:t>მიერ კონსულტაცია</w:t>
      </w:r>
      <w:r w:rsidRPr="00C27112">
        <w:rPr>
          <w:rFonts w:ascii="Sylfaen" w:eastAsia="Sylfaen" w:hAnsi="Sylfaen"/>
          <w:szCs w:val="22"/>
          <w:lang w:val="ka-GE"/>
        </w:rPr>
        <w:t>ს</w:t>
      </w:r>
      <w:r w:rsidRPr="00C27112">
        <w:rPr>
          <w:rFonts w:ascii="Sylfaen" w:eastAsia="Sylfaen" w:hAnsi="Sylfaen"/>
          <w:szCs w:val="22"/>
        </w:rPr>
        <w:t xml:space="preserve">, </w:t>
      </w:r>
      <w:r w:rsidRPr="00C27112">
        <w:rPr>
          <w:rFonts w:ascii="Sylfaen" w:eastAsia="Sylfaen" w:hAnsi="Sylfaen"/>
          <w:szCs w:val="22"/>
          <w:lang w:val="ka-GE"/>
        </w:rPr>
        <w:t xml:space="preserve">პაციენტისათვის სამედიცინო დახმარების აღმოჩენას, </w:t>
      </w:r>
      <w:r w:rsidRPr="00C27112">
        <w:rPr>
          <w:rFonts w:ascii="Sylfaen" w:eastAsia="Sylfaen" w:hAnsi="Sylfaen"/>
          <w:szCs w:val="22"/>
        </w:rPr>
        <w:t>მდგომარეობის სტაბილიზაცია</w:t>
      </w:r>
      <w:r w:rsidRPr="00C27112">
        <w:rPr>
          <w:rFonts w:ascii="Sylfaen" w:eastAsia="Sylfaen" w:hAnsi="Sylfaen"/>
          <w:szCs w:val="22"/>
          <w:lang w:val="ka-GE"/>
        </w:rPr>
        <w:t>ს და სამედიცინო საჭიროების შემთხვევაშ</w:t>
      </w:r>
      <w:r w:rsidRPr="00C27112">
        <w:rPr>
          <w:rFonts w:ascii="Sylfaen" w:eastAsia="Sylfaen" w:hAnsi="Sylfaen"/>
          <w:color w:val="000000" w:themeColor="text1"/>
          <w:szCs w:val="22"/>
          <w:lang w:val="ka-GE"/>
        </w:rPr>
        <w:t>ი</w:t>
      </w:r>
      <w:r w:rsidRPr="00C27112">
        <w:rPr>
          <w:rFonts w:ascii="Sylfaen" w:eastAsia="Sylfaen" w:hAnsi="Sylfaen"/>
          <w:b/>
          <w:color w:val="000000" w:themeColor="text1"/>
          <w:szCs w:val="22"/>
          <w:lang w:val="ka-GE"/>
        </w:rPr>
        <w:t>,</w:t>
      </w:r>
      <w:r w:rsidRPr="00C27112">
        <w:rPr>
          <w:rFonts w:ascii="Sylfaen" w:eastAsia="Sylfaen" w:hAnsi="Sylfaen"/>
          <w:szCs w:val="22"/>
          <w:lang w:val="ka-GE"/>
        </w:rPr>
        <w:t xml:space="preserve"> პაციენტის გადაყვანას სხვა სტაციონარულ სამედიცინო დაწესებულებაში მკურნალობის გაგრძელების ან დიაგნოსტიკის მიზნით;</w:t>
      </w:r>
    </w:p>
    <w:p w:rsidR="00C27112" w:rsidRPr="00C27112" w:rsidRDefault="00C27112" w:rsidP="004902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80"/>
        <w:jc w:val="both"/>
        <w:rPr>
          <w:rFonts w:ascii="Sylfaen" w:eastAsia="Sylfaen" w:hAnsi="Sylfaen"/>
          <w:noProof/>
          <w:szCs w:val="22"/>
          <w:lang w:val="ka-GE"/>
        </w:rPr>
      </w:pPr>
      <w:r w:rsidRPr="00C27112">
        <w:rPr>
          <w:rFonts w:ascii="Sylfaen" w:eastAsia="Sylfaen" w:hAnsi="Sylfaen"/>
          <w:szCs w:val="22"/>
          <w:lang w:val="ka-GE"/>
        </w:rPr>
        <w:t xml:space="preserve">ბ) </w:t>
      </w:r>
      <w:r w:rsidRPr="00C27112">
        <w:rPr>
          <w:rFonts w:ascii="Sylfaen" w:eastAsia="Sylfaen" w:hAnsi="Sylfaen"/>
          <w:noProof/>
          <w:szCs w:val="22"/>
          <w:lang w:val="ka-GE"/>
        </w:rPr>
        <w:t>საგანგებო სიტუაციების კოორდინაციისა და რეჟიმის დეპარტამენტის მიერ განსაზღვრული საჭიროების შემთხვევაში</w:t>
      </w:r>
      <w:r>
        <w:rPr>
          <w:rFonts w:ascii="Sylfaen" w:eastAsia="Sylfaen" w:hAnsi="Sylfaen"/>
          <w:noProof/>
          <w:szCs w:val="22"/>
          <w:lang w:val="ka-GE"/>
        </w:rPr>
        <w:t xml:space="preserve"> (მაგ. ავტოკატასტროფა და სხვა)</w:t>
      </w:r>
      <w:r w:rsidRPr="00C27112">
        <w:rPr>
          <w:rFonts w:ascii="Sylfaen" w:eastAsia="Sylfaen" w:hAnsi="Sylfaen"/>
          <w:noProof/>
          <w:szCs w:val="22"/>
          <w:lang w:val="ka-GE"/>
        </w:rPr>
        <w:t xml:space="preserve"> რეფერალური ბრიგადის მიერ მომსახურების გაწევა.</w:t>
      </w:r>
    </w:p>
    <w:p w:rsidR="00C27112" w:rsidRPr="00B83377" w:rsidRDefault="00C27112" w:rsidP="006A5AC8">
      <w:pPr>
        <w:jc w:val="center"/>
        <w:rPr>
          <w:rFonts w:ascii="Sylfaen" w:hAnsi="Sylfaen"/>
          <w:b/>
          <w:sz w:val="32"/>
          <w:szCs w:val="32"/>
        </w:rPr>
      </w:pPr>
      <w:proofErr w:type="gramStart"/>
      <w:r w:rsidRPr="001101F8">
        <w:rPr>
          <w:rFonts w:ascii="Sylfaen" w:hAnsi="Sylfaen"/>
          <w:b/>
          <w:sz w:val="32"/>
          <w:szCs w:val="32"/>
        </w:rPr>
        <w:t>I</w:t>
      </w:r>
      <w:r>
        <w:rPr>
          <w:rFonts w:ascii="Sylfaen" w:hAnsi="Sylfaen"/>
          <w:b/>
          <w:sz w:val="32"/>
          <w:szCs w:val="32"/>
        </w:rPr>
        <w:t>I</w:t>
      </w:r>
      <w:r w:rsidRPr="001101F8">
        <w:rPr>
          <w:rFonts w:ascii="Sylfaen" w:hAnsi="Sylfaen"/>
          <w:b/>
          <w:sz w:val="32"/>
          <w:szCs w:val="32"/>
        </w:rPr>
        <w:t>I</w:t>
      </w:r>
      <w:r w:rsidRPr="00B83377">
        <w:rPr>
          <w:rFonts w:ascii="Sylfaen" w:hAnsi="Sylfaen"/>
          <w:b/>
          <w:sz w:val="32"/>
          <w:szCs w:val="32"/>
        </w:rPr>
        <w:t>.</w:t>
      </w:r>
      <w:proofErr w:type="gramEnd"/>
    </w:p>
    <w:p w:rsidR="000D4583" w:rsidRPr="00914E48" w:rsidRDefault="000D4583" w:rsidP="00914E48">
      <w:pPr>
        <w:ind w:left="360"/>
        <w:jc w:val="both"/>
        <w:rPr>
          <w:rFonts w:ascii="Sylfaen" w:hAnsi="Sylfaen"/>
          <w:color w:val="000000" w:themeColor="text1"/>
          <w:szCs w:val="22"/>
          <w:lang w:val="ka-GE"/>
        </w:rPr>
      </w:pPr>
      <w:r w:rsidRPr="00914E48">
        <w:rPr>
          <w:rFonts w:ascii="Sylfaen" w:hAnsi="Sylfaen" w:cs="Sylfaen"/>
          <w:color w:val="000000" w:themeColor="text1"/>
          <w:szCs w:val="22"/>
          <w:lang w:val="ka-GE"/>
        </w:rPr>
        <w:t>პრობლემას</w:t>
      </w:r>
      <w:r w:rsidRPr="00914E48">
        <w:rPr>
          <w:rFonts w:ascii="Sylfaen" w:hAnsi="Sylfaen"/>
          <w:color w:val="000000" w:themeColor="text1"/>
          <w:szCs w:val="22"/>
          <w:lang w:val="ka-GE"/>
        </w:rPr>
        <w:t xml:space="preserve"> წარმოადგენს:</w:t>
      </w:r>
    </w:p>
    <w:p w:rsidR="000D4583" w:rsidRDefault="000D4583" w:rsidP="000D4583">
      <w:pPr>
        <w:pStyle w:val="ListParagraph"/>
        <w:numPr>
          <w:ilvl w:val="1"/>
          <w:numId w:val="32"/>
        </w:numPr>
        <w:jc w:val="both"/>
        <w:rPr>
          <w:rFonts w:ascii="Sylfaen" w:hAnsi="Sylfaen"/>
          <w:color w:val="000000" w:themeColor="text1"/>
          <w:szCs w:val="22"/>
          <w:lang w:val="ka-GE"/>
        </w:rPr>
      </w:pPr>
      <w:r>
        <w:rPr>
          <w:rFonts w:ascii="Sylfaen" w:hAnsi="Sylfaen"/>
          <w:color w:val="000000" w:themeColor="text1"/>
          <w:szCs w:val="22"/>
          <w:lang w:val="ka-GE"/>
        </w:rPr>
        <w:t>გამო</w:t>
      </w:r>
      <w:r w:rsidRPr="00D360A0">
        <w:rPr>
          <w:rFonts w:ascii="Sylfaen" w:hAnsi="Sylfaen"/>
          <w:color w:val="000000" w:themeColor="text1"/>
          <w:szCs w:val="22"/>
          <w:lang w:val="ka-GE"/>
        </w:rPr>
        <w:t>კვლევის მიზნით ტრანსპორტირებისას მეორე გზის დაფინანსება;</w:t>
      </w:r>
    </w:p>
    <w:p w:rsidR="006A5AC8" w:rsidRDefault="000D4583" w:rsidP="006A5AC8">
      <w:pPr>
        <w:pStyle w:val="ListParagraph"/>
        <w:numPr>
          <w:ilvl w:val="1"/>
          <w:numId w:val="32"/>
        </w:numPr>
        <w:jc w:val="both"/>
        <w:rPr>
          <w:rFonts w:ascii="Sylfaen" w:hAnsi="Sylfaen"/>
          <w:color w:val="000000" w:themeColor="text1"/>
          <w:szCs w:val="22"/>
          <w:lang w:val="ka-GE"/>
        </w:rPr>
      </w:pPr>
      <w:r w:rsidRPr="000D4583">
        <w:rPr>
          <w:rFonts w:ascii="Sylfaen" w:hAnsi="Sylfaen"/>
          <w:color w:val="000000" w:themeColor="text1"/>
          <w:szCs w:val="22"/>
          <w:lang w:val="ka-GE"/>
        </w:rPr>
        <w:t>ტრანსპორტირება/კონსულტაცია ბათუმში და მესტიაში - კილომეტრაჟი მკვეთრად აღემატება 250 კმ-ს</w:t>
      </w:r>
      <w:r>
        <w:rPr>
          <w:rFonts w:ascii="Sylfaen" w:hAnsi="Sylfaen"/>
          <w:color w:val="000000" w:themeColor="text1"/>
          <w:szCs w:val="22"/>
          <w:lang w:val="ka-GE"/>
        </w:rPr>
        <w:t>.</w:t>
      </w:r>
    </w:p>
    <w:p w:rsidR="006A5AC8" w:rsidRPr="006A5AC8" w:rsidRDefault="006A5AC8" w:rsidP="006A5AC8">
      <w:pPr>
        <w:pStyle w:val="ListParagraph"/>
        <w:numPr>
          <w:ilvl w:val="1"/>
          <w:numId w:val="32"/>
        </w:numPr>
        <w:jc w:val="both"/>
        <w:rPr>
          <w:rFonts w:ascii="Sylfaen" w:hAnsi="Sylfaen"/>
          <w:color w:val="000000" w:themeColor="text1"/>
          <w:szCs w:val="22"/>
          <w:lang w:val="ka-GE"/>
        </w:rPr>
      </w:pPr>
      <w:r w:rsidRPr="006A5AC8">
        <w:rPr>
          <w:rFonts w:ascii="Sylfaen" w:hAnsi="Sylfaen"/>
          <w:color w:val="000000" w:themeColor="text1"/>
          <w:szCs w:val="22"/>
          <w:lang w:val="ka-GE"/>
        </w:rPr>
        <w:t>ტრანსპორტირების დაფინანსება ერთ შენობაში.</w:t>
      </w:r>
    </w:p>
    <w:p w:rsidR="000D4583" w:rsidRPr="00BE169C" w:rsidRDefault="006A5AC8" w:rsidP="001F6907">
      <w:pPr>
        <w:rPr>
          <w:rFonts w:ascii="Sylfaen" w:eastAsia="Sylfaen" w:hAnsi="Sylfaen" w:cs="Sylfaen"/>
          <w:b/>
          <w:sz w:val="24"/>
          <w:highlight w:val="lightGray"/>
          <w:lang w:val="ka-GE"/>
        </w:rPr>
      </w:pPr>
      <w:r>
        <w:rPr>
          <w:rFonts w:ascii="Sylfaen" w:eastAsia="Sylfaen" w:hAnsi="Sylfaen" w:cs="Sylfaen"/>
          <w:b/>
          <w:sz w:val="24"/>
          <w:highlight w:val="lightGray"/>
          <w:lang w:val="ka-GE"/>
        </w:rPr>
        <w:br w:type="page"/>
      </w:r>
      <w:r w:rsidR="000D4583" w:rsidRPr="00BE169C">
        <w:rPr>
          <w:rFonts w:ascii="Sylfaen" w:eastAsia="Sylfaen" w:hAnsi="Sylfaen" w:cs="Sylfaen"/>
          <w:b/>
          <w:sz w:val="24"/>
          <w:highlight w:val="lightGray"/>
          <w:lang w:val="ka-GE"/>
        </w:rPr>
        <w:lastRenderedPageBreak/>
        <w:t>რეკომენდაცია</w:t>
      </w:r>
      <w:r w:rsidR="00592E25">
        <w:rPr>
          <w:rFonts w:ascii="Sylfaen" w:eastAsia="Sylfaen" w:hAnsi="Sylfaen" w:cs="Sylfaen"/>
          <w:b/>
          <w:sz w:val="24"/>
          <w:highlight w:val="lightGray"/>
          <w:lang w:val="ka-GE"/>
        </w:rPr>
        <w:t xml:space="preserve"> N3</w:t>
      </w:r>
    </w:p>
    <w:p w:rsidR="000D4583" w:rsidRDefault="000D4583" w:rsidP="000D4583">
      <w:pPr>
        <w:spacing w:after="120" w:line="240" w:lineRule="auto"/>
        <w:ind w:left="360"/>
        <w:jc w:val="both"/>
        <w:rPr>
          <w:rFonts w:ascii="Sylfaen" w:eastAsia="Sylfaen" w:hAnsi="Sylfaen"/>
          <w:noProof/>
          <w:szCs w:val="22"/>
          <w:lang w:val="ka-GE"/>
        </w:rPr>
      </w:pPr>
      <w:r w:rsidRPr="000D4583">
        <w:rPr>
          <w:rFonts w:ascii="Sylfaen" w:eastAsia="Sylfaen" w:hAnsi="Sylfaen"/>
          <w:noProof/>
          <w:szCs w:val="22"/>
          <w:lang w:val="ka-GE"/>
        </w:rPr>
        <w:t>GPS სისტემ</w:t>
      </w:r>
      <w:r>
        <w:rPr>
          <w:rFonts w:ascii="Sylfaen" w:eastAsia="Sylfaen" w:hAnsi="Sylfaen"/>
          <w:noProof/>
          <w:szCs w:val="22"/>
          <w:lang w:val="ka-GE"/>
        </w:rPr>
        <w:t>ის შემოღება, რაც</w:t>
      </w:r>
      <w:r w:rsidRPr="000D4583">
        <w:rPr>
          <w:rFonts w:ascii="Sylfaen" w:eastAsia="Sylfaen" w:hAnsi="Sylfaen"/>
          <w:noProof/>
          <w:szCs w:val="22"/>
          <w:lang w:val="ka-GE"/>
        </w:rPr>
        <w:t xml:space="preserve"> მოგვცემს დაფინანსების ახალი მეთოდოლოგიის</w:t>
      </w:r>
      <w:r w:rsidR="00592E25">
        <w:rPr>
          <w:rFonts w:ascii="Sylfaen" w:eastAsia="Sylfaen" w:hAnsi="Sylfaen"/>
          <w:noProof/>
          <w:szCs w:val="22"/>
          <w:lang w:val="ka-GE"/>
        </w:rPr>
        <w:t xml:space="preserve"> შემუშავების</w:t>
      </w:r>
      <w:r w:rsidRPr="000D4583">
        <w:rPr>
          <w:rFonts w:ascii="Sylfaen" w:eastAsia="Sylfaen" w:hAnsi="Sylfaen"/>
          <w:noProof/>
          <w:szCs w:val="22"/>
          <w:lang w:val="ka-GE"/>
        </w:rPr>
        <w:t xml:space="preserve"> - კილომეტრაჟის მიხედვით დაფინანსების საშუალებას. </w:t>
      </w:r>
    </w:p>
    <w:p w:rsidR="006A5AC8" w:rsidRPr="000D4583" w:rsidRDefault="006A5AC8" w:rsidP="000D4583">
      <w:pPr>
        <w:spacing w:after="120" w:line="240" w:lineRule="auto"/>
        <w:ind w:left="360"/>
        <w:jc w:val="both"/>
        <w:rPr>
          <w:rFonts w:ascii="Sylfaen" w:eastAsia="Sylfaen" w:hAnsi="Sylfaen"/>
          <w:noProof/>
          <w:szCs w:val="22"/>
          <w:lang w:val="ka-GE"/>
        </w:rPr>
      </w:pPr>
      <w:r>
        <w:rPr>
          <w:rFonts w:ascii="Sylfaen" w:eastAsia="Sylfaen" w:hAnsi="Sylfaen"/>
          <w:noProof/>
          <w:szCs w:val="22"/>
          <w:lang w:val="ka-GE"/>
        </w:rPr>
        <w:t>დაფინანსდეს ტრანსპორტირების მხოლოდ ის შემთხვევები, როდესაც ხდება პაციენტის  ტრანსპორტირება სხვა მისამართზე. შესაბამისად, ტრანსპორტირება ერთი შენობის ფარგლებში არ დაფინანსდება.</w:t>
      </w:r>
    </w:p>
    <w:p w:rsidR="00C27112" w:rsidRPr="00C27112" w:rsidRDefault="00C27112" w:rsidP="00C27112">
      <w:pPr>
        <w:pStyle w:val="ListBulletT"/>
        <w:tabs>
          <w:tab w:val="left" w:pos="426"/>
        </w:tabs>
        <w:spacing w:before="0" w:after="0"/>
        <w:ind w:left="1440"/>
        <w:rPr>
          <w:color w:val="000000" w:themeColor="text1"/>
          <w:sz w:val="22"/>
          <w:szCs w:val="22"/>
        </w:rPr>
      </w:pPr>
    </w:p>
    <w:p w:rsidR="00914E48" w:rsidRPr="00BE169C" w:rsidRDefault="00914E48" w:rsidP="00B83377">
      <w:pPr>
        <w:spacing w:after="120" w:line="240" w:lineRule="auto"/>
        <w:ind w:left="720"/>
        <w:jc w:val="center"/>
        <w:rPr>
          <w:rFonts w:ascii="Sylfaen" w:hAnsi="Sylfaen"/>
          <w:b/>
          <w:sz w:val="32"/>
          <w:szCs w:val="32"/>
        </w:rPr>
      </w:pPr>
      <w:proofErr w:type="gramStart"/>
      <w:r w:rsidRPr="001101F8">
        <w:rPr>
          <w:rFonts w:ascii="Sylfaen" w:hAnsi="Sylfaen"/>
          <w:b/>
          <w:sz w:val="32"/>
          <w:szCs w:val="32"/>
        </w:rPr>
        <w:t>I</w:t>
      </w:r>
      <w:r>
        <w:rPr>
          <w:rFonts w:ascii="Sylfaen" w:hAnsi="Sylfaen"/>
          <w:b/>
          <w:sz w:val="32"/>
          <w:szCs w:val="32"/>
        </w:rPr>
        <w:t>V</w:t>
      </w:r>
      <w:r>
        <w:rPr>
          <w:rFonts w:ascii="Sylfaen" w:hAnsi="Sylfaen"/>
          <w:b/>
          <w:sz w:val="32"/>
          <w:szCs w:val="32"/>
          <w:lang w:val="ka-GE"/>
        </w:rPr>
        <w:t>.</w:t>
      </w:r>
      <w:proofErr w:type="gramEnd"/>
    </w:p>
    <w:p w:rsidR="00BE169C" w:rsidRDefault="00BE169C" w:rsidP="00BE169C">
      <w:pPr>
        <w:pStyle w:val="ListParagraph"/>
        <w:numPr>
          <w:ilvl w:val="0"/>
          <w:numId w:val="35"/>
        </w:numPr>
        <w:jc w:val="both"/>
        <w:rPr>
          <w:rFonts w:ascii="Sylfaen" w:eastAsia="Sylfaen" w:hAnsi="Sylfaen"/>
          <w:szCs w:val="22"/>
          <w:lang w:val="ka-GE"/>
        </w:rPr>
      </w:pPr>
      <w:r w:rsidRPr="00C27112">
        <w:rPr>
          <w:rFonts w:ascii="Sylfaen" w:eastAsia="Sylfaen" w:hAnsi="Sylfaen"/>
          <w:szCs w:val="22"/>
          <w:lang w:val="ka-GE"/>
        </w:rPr>
        <w:t>პაციენტის/პატრონის სურვილით პაციენტების ტრანსპორტირება სხვა მათთვის სასურველ დაწესებულებაში.</w:t>
      </w:r>
    </w:p>
    <w:p w:rsidR="00592E25" w:rsidRPr="00592E25" w:rsidRDefault="00592E25" w:rsidP="00592E25">
      <w:pPr>
        <w:ind w:left="1440"/>
        <w:jc w:val="both"/>
        <w:rPr>
          <w:rFonts w:ascii="Sylfaen" w:hAnsi="Sylfaen"/>
          <w:szCs w:val="22"/>
        </w:rPr>
      </w:pPr>
      <w:r w:rsidRPr="00592E25">
        <w:rPr>
          <w:rFonts w:ascii="Sylfaen" w:hAnsi="Sylfaen" w:cs="Sylfaen"/>
          <w:szCs w:val="22"/>
          <w:lang w:val="ka-GE"/>
        </w:rPr>
        <w:t>საქრთველოს</w:t>
      </w:r>
      <w:r w:rsidRPr="00592E25">
        <w:rPr>
          <w:rFonts w:ascii="Sylfaen" w:hAnsi="Sylfaen"/>
          <w:szCs w:val="22"/>
          <w:lang w:val="ka-GE"/>
        </w:rPr>
        <w:t xml:space="preserve"> მთავრობის N36 დადგენილების 23-ე მუხლის მე-14 პუნქტის შესაბამისად, „21-ე მუხლით განსაზღვრული გადაუდებელი სამედიცინო მომსახურების მიღების საჭიროების შემთხვევაში მოსარგებლისათვის არ უნდა არსებობდეს რაიმე ბარიერი და შეზღუდვა სამედიცინო მომსახურების მიმწოდებლის არჩევისას.“  ამასთან, იმავე მუხლის მე-9 პუნქტის შესაბამისად, „დაუშვებელია პროგრამის მოსარგებლის მკურნალობის ერთსა და იმავე ეპიზოდზე ერთი და იგივე ნოზოლოგიური კოდის სხვადასხვა კლინიკაში გამოყენება, გარდა კრიტიკული მდგომარეობებისა.“</w:t>
      </w:r>
    </w:p>
    <w:p w:rsidR="00914E48" w:rsidRPr="00BE169C" w:rsidRDefault="00914E48" w:rsidP="00BE169C">
      <w:pPr>
        <w:ind w:left="180"/>
        <w:rPr>
          <w:rFonts w:ascii="Sylfaen" w:eastAsia="Sylfaen" w:hAnsi="Sylfaen" w:cs="Sylfaen"/>
          <w:b/>
          <w:sz w:val="24"/>
          <w:highlight w:val="lightGray"/>
          <w:lang w:val="ka-GE"/>
        </w:rPr>
      </w:pPr>
      <w:r w:rsidRPr="00BE169C">
        <w:rPr>
          <w:rFonts w:ascii="Sylfaen" w:eastAsia="Sylfaen" w:hAnsi="Sylfaen" w:cs="Sylfaen"/>
          <w:b/>
          <w:sz w:val="24"/>
          <w:highlight w:val="lightGray"/>
          <w:lang w:val="ka-GE"/>
        </w:rPr>
        <w:t>რეკომენდაცია</w:t>
      </w:r>
      <w:r w:rsidR="00592E25">
        <w:rPr>
          <w:rFonts w:ascii="Sylfaen" w:eastAsia="Sylfaen" w:hAnsi="Sylfaen" w:cs="Sylfaen"/>
          <w:b/>
          <w:sz w:val="24"/>
          <w:highlight w:val="lightGray"/>
          <w:lang w:val="ka-GE"/>
        </w:rPr>
        <w:t xml:space="preserve"> N4</w:t>
      </w:r>
    </w:p>
    <w:p w:rsidR="00BE169C" w:rsidRPr="00BE169C" w:rsidRDefault="00BE169C" w:rsidP="00BE169C">
      <w:pPr>
        <w:ind w:left="360"/>
        <w:jc w:val="both"/>
        <w:rPr>
          <w:rFonts w:ascii="Sylfaen" w:hAnsi="Sylfaen"/>
          <w:szCs w:val="22"/>
          <w:lang w:val="ka-GE"/>
        </w:rPr>
      </w:pPr>
      <w:r w:rsidRPr="00BE169C">
        <w:rPr>
          <w:rFonts w:ascii="Sylfaen" w:hAnsi="Sylfaen"/>
          <w:color w:val="000000" w:themeColor="text1"/>
          <w:szCs w:val="22"/>
          <w:lang w:val="ka-GE"/>
        </w:rPr>
        <w:t xml:space="preserve">პაციენტის/პატრონის სურვილით </w:t>
      </w:r>
      <w:r>
        <w:rPr>
          <w:rFonts w:ascii="Sylfaen" w:hAnsi="Sylfaen" w:cs="Sylfaen"/>
          <w:color w:val="000000" w:themeColor="text1"/>
          <w:szCs w:val="22"/>
          <w:lang w:val="ka-GE"/>
        </w:rPr>
        <w:t xml:space="preserve">ტრანსპორტირებსას, ვფიქრობთ, შესაძლებელია თანადაფინანსების შემოღება </w:t>
      </w:r>
      <w:r w:rsidR="00592E25">
        <w:rPr>
          <w:rFonts w:ascii="Sylfaen" w:hAnsi="Sylfaen" w:cs="Sylfaen"/>
          <w:color w:val="000000" w:themeColor="text1"/>
          <w:szCs w:val="22"/>
          <w:lang w:val="ka-GE"/>
        </w:rPr>
        <w:t>(</w:t>
      </w:r>
      <w:r w:rsidRPr="00BE169C">
        <w:rPr>
          <w:rFonts w:ascii="Sylfaen" w:hAnsi="Sylfaen"/>
          <w:color w:val="000000" w:themeColor="text1"/>
          <w:szCs w:val="22"/>
          <w:lang w:val="ka-GE"/>
        </w:rPr>
        <w:t>30%</w:t>
      </w:r>
      <w:r w:rsidR="00592E25">
        <w:rPr>
          <w:rFonts w:ascii="Sylfaen" w:hAnsi="Sylfaen"/>
          <w:color w:val="000000" w:themeColor="text1"/>
          <w:szCs w:val="22"/>
          <w:lang w:val="ka-GE"/>
        </w:rPr>
        <w:t>-იანი</w:t>
      </w:r>
      <w:r w:rsidRPr="00BE169C">
        <w:rPr>
          <w:rFonts w:ascii="Sylfaen" w:hAnsi="Sylfaen"/>
          <w:color w:val="000000" w:themeColor="text1"/>
          <w:szCs w:val="22"/>
          <w:lang w:val="ka-GE"/>
        </w:rPr>
        <w:t xml:space="preserve"> თანადაფინანსება</w:t>
      </w:r>
      <w:r w:rsidR="00592E25">
        <w:rPr>
          <w:rFonts w:ascii="Sylfaen" w:hAnsi="Sylfaen"/>
          <w:color w:val="000000" w:themeColor="text1"/>
          <w:szCs w:val="22"/>
          <w:lang w:val="ka-GE"/>
        </w:rPr>
        <w:t>)</w:t>
      </w:r>
      <w:r>
        <w:rPr>
          <w:rFonts w:ascii="Sylfaen" w:hAnsi="Sylfaen"/>
          <w:color w:val="000000" w:themeColor="text1"/>
          <w:szCs w:val="22"/>
          <w:lang w:val="ka-GE"/>
        </w:rPr>
        <w:t xml:space="preserve"> მოსარგებლის მხრიდან</w:t>
      </w:r>
      <w:r w:rsidR="00592E25">
        <w:rPr>
          <w:rFonts w:ascii="Sylfaen" w:hAnsi="Sylfaen"/>
          <w:color w:val="000000" w:themeColor="text1"/>
          <w:szCs w:val="22"/>
          <w:lang w:val="ka-GE"/>
        </w:rPr>
        <w:t>.</w:t>
      </w:r>
    </w:p>
    <w:p w:rsidR="00BE169C" w:rsidRPr="000D4583" w:rsidRDefault="00BE169C" w:rsidP="00BE169C">
      <w:pPr>
        <w:ind w:left="180"/>
        <w:rPr>
          <w:rFonts w:ascii="Sylfaen" w:eastAsia="Sylfaen" w:hAnsi="Sylfaen"/>
          <w:b/>
          <w:szCs w:val="22"/>
          <w:lang w:val="ka-GE"/>
        </w:rPr>
      </w:pPr>
      <w:r w:rsidRPr="00BE169C">
        <w:rPr>
          <w:rFonts w:ascii="Sylfaen" w:eastAsia="Sylfaen" w:hAnsi="Sylfaen" w:cs="Sylfaen"/>
          <w:b/>
          <w:sz w:val="24"/>
          <w:highlight w:val="lightGray"/>
          <w:lang w:val="ka-GE"/>
        </w:rPr>
        <w:t>რეკომენდაცია</w:t>
      </w:r>
      <w:r w:rsidR="00592E25">
        <w:rPr>
          <w:rFonts w:ascii="Sylfaen" w:eastAsia="Sylfaen" w:hAnsi="Sylfaen" w:cs="Sylfaen"/>
          <w:b/>
          <w:sz w:val="24"/>
          <w:highlight w:val="lightGray"/>
          <w:lang w:val="ka-GE"/>
        </w:rPr>
        <w:t xml:space="preserve"> N5</w:t>
      </w:r>
    </w:p>
    <w:p w:rsidR="000D4583" w:rsidRPr="00592E25" w:rsidRDefault="00914E48" w:rsidP="00592E25">
      <w:pPr>
        <w:ind w:left="360"/>
        <w:jc w:val="both"/>
        <w:rPr>
          <w:rFonts w:ascii="Sylfaen" w:hAnsi="Sylfaen"/>
          <w:color w:val="000000" w:themeColor="text1"/>
          <w:szCs w:val="22"/>
          <w:lang w:val="ka-GE"/>
        </w:rPr>
      </w:pPr>
      <w:r w:rsidRPr="00592E25">
        <w:rPr>
          <w:rFonts w:ascii="Sylfaen" w:hAnsi="Sylfaen"/>
          <w:color w:val="000000" w:themeColor="text1"/>
          <w:szCs w:val="22"/>
          <w:lang w:val="ka-GE"/>
        </w:rPr>
        <w:t xml:space="preserve">მნიშვნელოვანია პირველადი ჯანდაცვის როლის გაზრდა, დაავადებების პრევენციის, მართვის და გართულებების შემცირების მიზნით, რაც შეამცირებს </w:t>
      </w:r>
      <w:r w:rsidR="00592E25">
        <w:rPr>
          <w:rFonts w:ascii="Sylfaen" w:hAnsi="Sylfaen"/>
          <w:color w:val="000000" w:themeColor="text1"/>
          <w:szCs w:val="22"/>
          <w:lang w:val="ka-GE"/>
        </w:rPr>
        <w:t>ჰოსპიტალიზაცი</w:t>
      </w:r>
      <w:r w:rsidR="00B83377">
        <w:rPr>
          <w:rFonts w:ascii="Sylfaen" w:hAnsi="Sylfaen"/>
          <w:color w:val="000000" w:themeColor="text1"/>
          <w:szCs w:val="22"/>
          <w:lang w:val="ka-GE"/>
        </w:rPr>
        <w:t>ი</w:t>
      </w:r>
      <w:r w:rsidR="00592E25">
        <w:rPr>
          <w:rFonts w:ascii="Sylfaen" w:hAnsi="Sylfaen"/>
          <w:color w:val="000000" w:themeColor="text1"/>
          <w:szCs w:val="22"/>
          <w:lang w:val="ka-GE"/>
        </w:rPr>
        <w:t>ს</w:t>
      </w:r>
      <w:r w:rsidR="00B83377">
        <w:rPr>
          <w:rFonts w:ascii="Sylfaen" w:hAnsi="Sylfaen"/>
          <w:color w:val="000000" w:themeColor="text1"/>
          <w:szCs w:val="22"/>
          <w:lang w:val="ka-GE"/>
        </w:rPr>
        <w:t xml:space="preserve"> შემთხვევების (მ.შ. გართულებების) რაოდენობას</w:t>
      </w:r>
      <w:r w:rsidRPr="00592E25">
        <w:rPr>
          <w:rFonts w:ascii="Sylfaen" w:hAnsi="Sylfaen"/>
          <w:color w:val="000000" w:themeColor="text1"/>
          <w:szCs w:val="22"/>
          <w:lang w:val="ka-GE"/>
        </w:rPr>
        <w:t xml:space="preserve"> და მასთან დაკავშირებულ დანახარჯებს. სამინისტროში მუშავდება პირველადი ჯანდაცვის განვითარების ეროვნული კონცეფცია, რომელიც ითვალისწინებს პირველადი ჯანდაცვის როლის გაზრდას და სამედიცინო მომსახურების ინტეგრირებული მოდელის დანერგვას, რაც ითვალისწინებს სამედიცინო მომსახურების ხარისხის, უწყვეტობისა და თანმიმდევრულობის გაუმჯობესებას.</w:t>
      </w:r>
    </w:p>
    <w:p w:rsidR="00B83377" w:rsidRPr="000D4583" w:rsidRDefault="00B83377" w:rsidP="00B83377">
      <w:pPr>
        <w:ind w:left="180"/>
        <w:rPr>
          <w:rFonts w:ascii="Sylfaen" w:eastAsia="Sylfaen" w:hAnsi="Sylfaen"/>
          <w:b/>
          <w:szCs w:val="22"/>
          <w:lang w:val="ka-GE"/>
        </w:rPr>
      </w:pPr>
      <w:r w:rsidRPr="00BE169C">
        <w:rPr>
          <w:rFonts w:ascii="Sylfaen" w:eastAsia="Sylfaen" w:hAnsi="Sylfaen" w:cs="Sylfaen"/>
          <w:b/>
          <w:sz w:val="24"/>
          <w:highlight w:val="lightGray"/>
          <w:lang w:val="ka-GE"/>
        </w:rPr>
        <w:t>რეკომენდაცია</w:t>
      </w:r>
      <w:r>
        <w:rPr>
          <w:rFonts w:ascii="Sylfaen" w:eastAsia="Sylfaen" w:hAnsi="Sylfaen" w:cs="Sylfaen"/>
          <w:b/>
          <w:sz w:val="24"/>
          <w:highlight w:val="lightGray"/>
          <w:lang w:val="ka-GE"/>
        </w:rPr>
        <w:t xml:space="preserve"> N6</w:t>
      </w:r>
    </w:p>
    <w:p w:rsidR="002E7A1D" w:rsidRPr="006A5AC8" w:rsidRDefault="00B83377" w:rsidP="006A5AC8">
      <w:pPr>
        <w:ind w:left="360"/>
        <w:jc w:val="both"/>
        <w:rPr>
          <w:rFonts w:ascii="Sylfaen" w:hAnsi="Sylfaen"/>
          <w:color w:val="000000" w:themeColor="text1"/>
          <w:szCs w:val="22"/>
          <w:lang w:val="ka-GE"/>
        </w:rPr>
      </w:pPr>
      <w:r w:rsidRPr="00B83377">
        <w:rPr>
          <w:rFonts w:ascii="Sylfaen" w:hAnsi="Sylfaen"/>
          <w:color w:val="000000" w:themeColor="text1"/>
          <w:szCs w:val="22"/>
          <w:lang w:val="ka-GE"/>
        </w:rPr>
        <w:t>რეფერალური ტრანსპორტირების სამსახურების ოპტიმიზაციის მიზნით</w:t>
      </w:r>
      <w:r w:rsidR="006A5AC8">
        <w:rPr>
          <w:rFonts w:ascii="Sylfaen" w:hAnsi="Sylfaen"/>
          <w:color w:val="000000" w:themeColor="text1"/>
          <w:szCs w:val="22"/>
          <w:lang w:val="ka-GE"/>
        </w:rPr>
        <w:t>,</w:t>
      </w:r>
      <w:r w:rsidRPr="00B83377">
        <w:rPr>
          <w:rFonts w:ascii="Sylfaen" w:hAnsi="Sylfaen"/>
          <w:color w:val="000000" w:themeColor="text1"/>
          <w:szCs w:val="22"/>
          <w:lang w:val="ka-GE"/>
        </w:rPr>
        <w:t xml:space="preserve"> შესაძლებელია გამოცხადდეს ტენდერი (ერთ ლოტად ან ორ ლოტად (დასავლეთ-აღმოსავლეთი)) ან მოხდეს რეგიონული გადანაწილება.</w:t>
      </w:r>
      <w:r w:rsidR="002E7A1D" w:rsidRPr="00C27112">
        <w:rPr>
          <w:rFonts w:ascii="Sylfaen" w:eastAsia="Sylfaen" w:hAnsi="Sylfaen"/>
          <w:b/>
          <w:szCs w:val="22"/>
        </w:rPr>
        <w:br w:type="page"/>
      </w:r>
      <w:r w:rsidR="002E7A1D">
        <w:rPr>
          <w:rFonts w:ascii="Sylfaen" w:eastAsia="Sylfaen" w:hAnsi="Sylfaen"/>
          <w:b/>
          <w:sz w:val="24"/>
          <w:lang w:val="ka-GE"/>
        </w:rPr>
        <w:lastRenderedPageBreak/>
        <w:t>პროგრამის ადმინისტრირება</w:t>
      </w:r>
    </w:p>
    <w:p w:rsidR="009D74CB" w:rsidRDefault="009D74CB" w:rsidP="00CD7313">
      <w:pPr>
        <w:shd w:val="clear" w:color="auto" w:fill="F2F2F2" w:themeFill="background1" w:themeFillShade="F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sz w:val="24"/>
          <w:lang w:val="ka-GE"/>
        </w:rPr>
      </w:pPr>
      <w:r>
        <w:rPr>
          <w:rFonts w:ascii="Sylfaen" w:eastAsia="Sylfaen" w:hAnsi="Sylfaen"/>
          <w:b/>
          <w:sz w:val="24"/>
          <w:lang w:val="ka-GE"/>
        </w:rPr>
        <w:t>პროგრამის ადმინისტრირებაში მონაწილე დაწესებულებები:</w:t>
      </w:r>
    </w:p>
    <w:p w:rsidR="00CD7313" w:rsidRDefault="00CD7313" w:rsidP="00CD7313">
      <w:pPr>
        <w:pStyle w:val="ListParagraph"/>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440"/>
        <w:jc w:val="both"/>
        <w:rPr>
          <w:rFonts w:ascii="Sylfaen" w:eastAsia="Sylfaen" w:hAnsi="Sylfaen"/>
          <w:sz w:val="24"/>
          <w:lang w:val="ka-GE"/>
        </w:rPr>
      </w:pPr>
    </w:p>
    <w:p w:rsidR="009D74CB" w:rsidRDefault="009D74CB" w:rsidP="009D74CB">
      <w:pPr>
        <w:pStyle w:val="ListParagraph"/>
        <w:numPr>
          <w:ilvl w:val="0"/>
          <w:numId w:val="24"/>
        </w:numPr>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lang w:val="ka-GE"/>
        </w:rPr>
      </w:pPr>
      <w:r w:rsidRPr="002E7A1D">
        <w:rPr>
          <w:rFonts w:ascii="Sylfaen" w:eastAsia="Sylfaen" w:hAnsi="Sylfaen"/>
          <w:sz w:val="24"/>
          <w:lang w:val="ka-GE"/>
        </w:rPr>
        <w:t>სსიპ სოციალური მომსახურების სააგენტო - პროგრამის განმახორციელებე</w:t>
      </w:r>
      <w:r w:rsidR="002E7A1D" w:rsidRPr="002E7A1D">
        <w:rPr>
          <w:rFonts w:ascii="Sylfaen" w:eastAsia="Sylfaen" w:hAnsi="Sylfaen"/>
          <w:sz w:val="24"/>
          <w:lang w:val="ka-GE"/>
        </w:rPr>
        <w:t>ლ</w:t>
      </w:r>
      <w:r w:rsidRPr="002E7A1D">
        <w:rPr>
          <w:rFonts w:ascii="Sylfaen" w:eastAsia="Sylfaen" w:hAnsi="Sylfaen"/>
          <w:sz w:val="24"/>
          <w:lang w:val="ka-GE"/>
        </w:rPr>
        <w:t>ი</w:t>
      </w:r>
    </w:p>
    <w:p w:rsidR="002E7A1D" w:rsidRDefault="002E7A1D" w:rsidP="009D74CB">
      <w:pPr>
        <w:pStyle w:val="ListParagraph"/>
        <w:numPr>
          <w:ilvl w:val="0"/>
          <w:numId w:val="24"/>
        </w:numPr>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lang w:val="ka-GE"/>
        </w:rPr>
      </w:pPr>
      <w:r>
        <w:rPr>
          <w:rFonts w:ascii="Sylfaen" w:eastAsia="Sylfaen" w:hAnsi="Sylfaen"/>
          <w:sz w:val="24"/>
        </w:rPr>
        <w:t>სსიპ – სამედიცინო საქმიანობის სახელმწიფო რეგულირების სააგენტო</w:t>
      </w:r>
    </w:p>
    <w:p w:rsidR="002E7A1D" w:rsidRPr="002E7A1D" w:rsidRDefault="002E7A1D" w:rsidP="009D74CB">
      <w:pPr>
        <w:pStyle w:val="ListParagraph"/>
        <w:numPr>
          <w:ilvl w:val="0"/>
          <w:numId w:val="24"/>
        </w:numPr>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lang w:val="ka-GE"/>
        </w:rPr>
      </w:pPr>
      <w:r w:rsidRPr="00AB019B">
        <w:rPr>
          <w:rFonts w:ascii="Sylfaen" w:eastAsia="Sylfaen" w:hAnsi="Sylfaen"/>
          <w:sz w:val="24"/>
        </w:rPr>
        <w:t>პროგრამას კოორდინირებას უწევს სამინისტრო, საგანგებო სიტუაციების კოორდინაციისა და რეჟიმის დეპარტამენტის სახით</w:t>
      </w:r>
    </w:p>
    <w:p w:rsidR="002E7A1D" w:rsidRDefault="002E7A1D" w:rsidP="002E7A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ka-GE"/>
        </w:rPr>
      </w:pPr>
    </w:p>
    <w:p w:rsidR="002E7A1D" w:rsidRPr="00CD7313" w:rsidRDefault="002E7A1D" w:rsidP="00CD7313">
      <w:pPr>
        <w:shd w:val="clear" w:color="auto" w:fill="F2F2F2" w:themeFill="background1" w:themeFillShade="F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sz w:val="24"/>
          <w:lang w:val="ka-GE"/>
        </w:rPr>
      </w:pPr>
      <w:r w:rsidRPr="00CD7313">
        <w:rPr>
          <w:rFonts w:ascii="Sylfaen" w:eastAsia="Sylfaen" w:hAnsi="Sylfaen"/>
          <w:b/>
          <w:sz w:val="24"/>
          <w:lang w:val="ka-GE"/>
        </w:rPr>
        <w:t>პროგრამის ზედამხედველობა</w:t>
      </w:r>
    </w:p>
    <w:p w:rsidR="00D75DB3" w:rsidRPr="00D75DB3" w:rsidRDefault="00FF40FB" w:rsidP="00D75D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left="360"/>
        <w:jc w:val="both"/>
        <w:rPr>
          <w:rFonts w:ascii="Sylfaen" w:eastAsia="Sylfaen" w:hAnsi="Sylfaen"/>
          <w:sz w:val="24"/>
          <w:lang w:val="ka-GE"/>
        </w:rPr>
      </w:pPr>
      <w:r w:rsidRPr="00D75DB3">
        <w:rPr>
          <w:rFonts w:ascii="Sylfaen" w:eastAsia="Sylfaen" w:hAnsi="Sylfaen" w:cs="Sylfaen"/>
          <w:sz w:val="24"/>
          <w:lang w:val="ka-GE"/>
        </w:rPr>
        <w:t>რეფერალური</w:t>
      </w:r>
      <w:r w:rsidRPr="00D75DB3">
        <w:rPr>
          <w:rFonts w:ascii="Sylfaen" w:eastAsia="Sylfaen" w:hAnsi="Sylfaen"/>
          <w:sz w:val="24"/>
          <w:lang w:val="ka-GE"/>
        </w:rPr>
        <w:t xml:space="preserve"> დახმარების კომპონენტით </w:t>
      </w:r>
      <w:r w:rsidRPr="00D75DB3">
        <w:rPr>
          <w:rFonts w:ascii="Sylfaen" w:eastAsia="Sylfaen" w:hAnsi="Sylfaen"/>
          <w:sz w:val="24"/>
        </w:rPr>
        <w:t>გათვალისწინებული სამედიცინო მომსახურების ზედამხედველობა ხორციელდება გადაუდებელი შემთხვევების ზედამხედველობის წესის შესაბამისად</w:t>
      </w:r>
      <w:r w:rsidR="00B4001F" w:rsidRPr="00D75DB3">
        <w:rPr>
          <w:rFonts w:ascii="Sylfaen" w:eastAsia="Sylfaen" w:hAnsi="Sylfaen"/>
          <w:sz w:val="24"/>
          <w:lang w:val="ka-GE"/>
        </w:rPr>
        <w:t xml:space="preserve">, </w:t>
      </w:r>
      <w:r w:rsidRPr="00D75DB3">
        <w:rPr>
          <w:rFonts w:ascii="Sylfaen" w:hAnsi="Sylfaen" w:cs="Sylfaen"/>
          <w:sz w:val="24"/>
          <w:szCs w:val="24"/>
        </w:rPr>
        <w:t>გარდა შეტყობინების საფუძველზე შემთხვევების შერჩევითი შემოწმებ</w:t>
      </w:r>
      <w:r w:rsidRPr="00D75DB3">
        <w:rPr>
          <w:rFonts w:ascii="Sylfaen" w:hAnsi="Sylfaen" w:cs="Sylfaen"/>
          <w:sz w:val="24"/>
          <w:szCs w:val="24"/>
          <w:lang w:val="ka-GE"/>
        </w:rPr>
        <w:t>ისა.</w:t>
      </w:r>
    </w:p>
    <w:p w:rsidR="00D75DB3" w:rsidRPr="00B4001F" w:rsidRDefault="00D75DB3" w:rsidP="00D75DB3">
      <w:pPr>
        <w:pStyle w:val="ListParagraph"/>
        <w:numPr>
          <w:ilvl w:val="0"/>
          <w:numId w:val="2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lang w:val="ka-GE"/>
        </w:rPr>
      </w:pPr>
      <w:r w:rsidRPr="00CD7313">
        <w:rPr>
          <w:rFonts w:ascii="Sylfaen" w:eastAsia="Sylfaen" w:hAnsi="Sylfaen" w:cs="Sylfaen"/>
          <w:b/>
          <w:color w:val="000000" w:themeColor="text1"/>
          <w:sz w:val="24"/>
        </w:rPr>
        <w:t>შეტყობინება</w:t>
      </w:r>
      <w:r w:rsidR="004155BB">
        <w:rPr>
          <w:rFonts w:ascii="Sylfaen" w:eastAsia="Sylfaen" w:hAnsi="Sylfaen" w:cs="Sylfaen"/>
          <w:b/>
          <w:color w:val="000000" w:themeColor="text1"/>
          <w:sz w:val="24"/>
          <w:lang w:val="ka-GE"/>
        </w:rPr>
        <w:t xml:space="preserve"> </w:t>
      </w:r>
      <w:r w:rsidRPr="00CD7313">
        <w:rPr>
          <w:rFonts w:ascii="Sylfaen" w:eastAsia="Sylfaen" w:hAnsi="Sylfaen"/>
          <w:b/>
          <w:color w:val="000000" w:themeColor="text1"/>
          <w:sz w:val="24"/>
        </w:rPr>
        <w:t>შემთხვევის</w:t>
      </w:r>
      <w:r w:rsidR="004155BB">
        <w:rPr>
          <w:rFonts w:ascii="Sylfaen" w:eastAsia="Sylfaen" w:hAnsi="Sylfaen"/>
          <w:b/>
          <w:color w:val="000000" w:themeColor="text1"/>
          <w:sz w:val="24"/>
          <w:lang w:val="ka-GE"/>
        </w:rPr>
        <w:t xml:space="preserve"> </w:t>
      </w:r>
      <w:r w:rsidRPr="00CD7313">
        <w:rPr>
          <w:rFonts w:ascii="Sylfaen" w:eastAsia="Sylfaen" w:hAnsi="Sylfaen"/>
          <w:b/>
          <w:color w:val="000000" w:themeColor="text1"/>
          <w:sz w:val="24"/>
        </w:rPr>
        <w:t>შესახებ</w:t>
      </w:r>
      <w:r w:rsidRPr="00B4001F">
        <w:rPr>
          <w:rFonts w:ascii="Sylfaen" w:eastAsia="Sylfaen" w:hAnsi="Sylfaen"/>
          <w:sz w:val="24"/>
        </w:rPr>
        <w:t>ხორციელდება  მაკოორდინირებელ ორგანოსთან</w:t>
      </w:r>
      <w:r>
        <w:rPr>
          <w:rFonts w:ascii="Sylfaen" w:eastAsia="Sylfaen" w:hAnsi="Sylfaen"/>
          <w:sz w:val="24"/>
          <w:lang w:val="ka-GE"/>
        </w:rPr>
        <w:t xml:space="preserve"> -</w:t>
      </w:r>
      <w:r w:rsidRPr="00B4001F">
        <w:rPr>
          <w:rFonts w:ascii="Sylfaen" w:eastAsia="Sylfaen" w:hAnsi="Sylfaen"/>
          <w:sz w:val="24"/>
          <w:lang w:val="ka-GE"/>
        </w:rPr>
        <w:t>საგანგებო სიტუაციების კოორდინაციისა და რეჟიმის დეპარტამენტი</w:t>
      </w:r>
    </w:p>
    <w:p w:rsidR="00B4001F" w:rsidRPr="00D75DB3" w:rsidRDefault="00B4001F" w:rsidP="00D75DB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left="1080"/>
        <w:jc w:val="both"/>
        <w:rPr>
          <w:rFonts w:ascii="Sylfaen" w:eastAsia="Sylfaen" w:hAnsi="Sylfaen"/>
          <w:sz w:val="24"/>
          <w:lang w:val="ka-GE"/>
        </w:rPr>
      </w:pPr>
    </w:p>
    <w:p w:rsidR="00B4001F" w:rsidRPr="008F1C2A" w:rsidRDefault="00FF40FB" w:rsidP="00B4001F">
      <w:pPr>
        <w:pStyle w:val="ListParagraph"/>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jc w:val="both"/>
        <w:rPr>
          <w:rFonts w:ascii="Sylfaen" w:eastAsia="Sylfaen" w:hAnsi="Sylfaen"/>
          <w:sz w:val="24"/>
          <w:lang w:val="ka-GE"/>
        </w:rPr>
      </w:pPr>
      <w:proofErr w:type="gramStart"/>
      <w:r w:rsidRPr="00B4001F">
        <w:rPr>
          <w:rFonts w:ascii="Sylfaen" w:eastAsia="Sylfaen" w:hAnsi="Sylfaen" w:cs="Sylfaen"/>
          <w:sz w:val="24"/>
        </w:rPr>
        <w:t>მომსახურების</w:t>
      </w:r>
      <w:proofErr w:type="gramEnd"/>
      <w:r w:rsidR="004155BB">
        <w:rPr>
          <w:rFonts w:ascii="Sylfaen" w:eastAsia="Sylfaen" w:hAnsi="Sylfaen" w:cs="Sylfaen"/>
          <w:sz w:val="24"/>
          <w:lang w:val="ka-GE"/>
        </w:rPr>
        <w:t xml:space="preserve"> </w:t>
      </w:r>
      <w:r w:rsidRPr="00B4001F">
        <w:rPr>
          <w:rFonts w:ascii="Sylfaen" w:eastAsia="Sylfaen" w:hAnsi="Sylfaen"/>
          <w:sz w:val="24"/>
          <w:lang w:val="ka-GE"/>
        </w:rPr>
        <w:t xml:space="preserve">მიღებისთვის, </w:t>
      </w:r>
      <w:r w:rsidRPr="00B4001F">
        <w:rPr>
          <w:rFonts w:ascii="Sylfaen" w:eastAsia="Sylfaen" w:hAnsi="Sylfaen"/>
          <w:b/>
          <w:sz w:val="24"/>
          <w:lang w:val="ka-GE"/>
        </w:rPr>
        <w:t>სამედიცინო დაწესებულება</w:t>
      </w:r>
      <w:r w:rsidRPr="00B4001F">
        <w:rPr>
          <w:rFonts w:ascii="Sylfaen" w:eastAsia="Sylfaen" w:hAnsi="Sylfaen"/>
          <w:sz w:val="24"/>
          <w:lang w:val="ka-GE"/>
        </w:rPr>
        <w:t xml:space="preserve"> მოთხოვნას განათავსებს სამინისტროს საგანგებო სიტუაციების კოორდინაციისა და რეჟიმის დეპარტამენტში სპეციალურად ამ მიზნისთვის გამოყოფილ ცხელ ხაზზე (2510039 (1402) ან (1401) ან (1405)), ხოლო დეპარტამენტი განსაზღვრავს მიმწოდებელს გეოგრაფიული მდებარეობისა და შემთხვევისათვის საჭირო სიმძლავრეების გათვალისწინებით</w:t>
      </w:r>
      <w:r w:rsidR="00E459F5" w:rsidRPr="00B4001F">
        <w:rPr>
          <w:rFonts w:ascii="Sylfaen" w:eastAsia="Sylfaen" w:hAnsi="Sylfaen"/>
          <w:sz w:val="24"/>
          <w:lang w:val="ka-GE"/>
        </w:rPr>
        <w:t xml:space="preserve">. </w:t>
      </w:r>
      <w:r w:rsidR="00E459F5" w:rsidRPr="00B4001F">
        <w:rPr>
          <w:rFonts w:ascii="Sylfaen" w:eastAsia="Sylfaen" w:hAnsi="Sylfaen"/>
          <w:sz w:val="24"/>
          <w:u w:val="single"/>
          <w:lang w:val="ka-GE"/>
        </w:rPr>
        <w:t>ამასთან</w:t>
      </w:r>
      <w:r w:rsidR="00B4001F" w:rsidRPr="00B4001F">
        <w:rPr>
          <w:rFonts w:ascii="Sylfaen" w:eastAsia="Sylfaen" w:hAnsi="Sylfaen"/>
          <w:sz w:val="24"/>
          <w:u w:val="single"/>
          <w:lang w:val="ka-GE"/>
        </w:rPr>
        <w:t>,</w:t>
      </w:r>
      <w:r w:rsidR="00E459F5" w:rsidRPr="00B4001F">
        <w:rPr>
          <w:rFonts w:ascii="Sylfaen" w:eastAsia="Sylfaen" w:hAnsi="Sylfaen"/>
          <w:sz w:val="24"/>
          <w:u w:val="single"/>
          <w:lang w:val="ka-GE"/>
        </w:rPr>
        <w:t xml:space="preserve"> დაცული იქნება რიგითობა</w:t>
      </w:r>
      <w:r w:rsidR="00B4001F" w:rsidRPr="00B4001F">
        <w:rPr>
          <w:rFonts w:ascii="Sylfaen" w:eastAsia="Sylfaen" w:hAnsi="Sylfaen"/>
          <w:sz w:val="24"/>
          <w:u w:val="single"/>
          <w:lang w:val="ka-GE"/>
        </w:rPr>
        <w:t>,</w:t>
      </w:r>
      <w:r w:rsidR="00E459F5" w:rsidRPr="00B4001F">
        <w:rPr>
          <w:rFonts w:ascii="Sylfaen" w:eastAsia="Sylfaen" w:hAnsi="Sylfaen"/>
          <w:sz w:val="24"/>
          <w:u w:val="single"/>
          <w:lang w:val="ka-GE"/>
        </w:rPr>
        <w:t xml:space="preserve"> რომ არ მოხდეს რომელიმე მიმწოდებლისთვის უპირატესობის მინიჭება.</w:t>
      </w:r>
    </w:p>
    <w:p w:rsidR="00BC1AC6" w:rsidRPr="00BC1AC6" w:rsidRDefault="008F1C2A" w:rsidP="00BC1AC6">
      <w:pPr>
        <w:pStyle w:val="ListParagraph"/>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sz w:val="24"/>
          <w:szCs w:val="24"/>
        </w:rPr>
      </w:pPr>
      <w:r w:rsidRPr="00D360A0">
        <w:rPr>
          <w:rFonts w:ascii="Sylfaen" w:hAnsi="Sylfaen" w:cs="Sylfaen"/>
          <w:sz w:val="24"/>
          <w:szCs w:val="24"/>
          <w:lang w:val="ka-GE"/>
        </w:rPr>
        <w:t>თუ შეტყობინება გაკეთებულია ტრანსპორტირების ხელოვნური კოდით, მაგრამ გარკვეული მიზეზების გამო ვერ ხერხდება პაციენტის ტრანსპორტირება, უნდა მოხდეს კოდის ცვლილება, მიზეზის მითითებით.</w:t>
      </w:r>
    </w:p>
    <w:p w:rsidR="00BC1AC6" w:rsidRPr="00966AD8" w:rsidRDefault="008F1C2A" w:rsidP="00BC1AC6">
      <w:pPr>
        <w:pStyle w:val="ListParagraph"/>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b/>
          <w:color w:val="FF0000"/>
          <w:sz w:val="24"/>
          <w:szCs w:val="24"/>
        </w:rPr>
      </w:pPr>
      <w:proofErr w:type="gramStart"/>
      <w:r w:rsidRPr="00BC1AC6">
        <w:rPr>
          <w:rFonts w:ascii="Sylfaen" w:eastAsia="Sylfaen" w:hAnsi="Sylfaen"/>
          <w:sz w:val="24"/>
        </w:rPr>
        <w:t>მიმწოდებელი</w:t>
      </w:r>
      <w:proofErr w:type="gramEnd"/>
      <w:r w:rsidRPr="00BC1AC6">
        <w:rPr>
          <w:rFonts w:ascii="Sylfaen" w:eastAsia="Sylfaen" w:hAnsi="Sylfaen"/>
          <w:sz w:val="24"/>
        </w:rPr>
        <w:t xml:space="preserve"> ვალდებულია </w:t>
      </w:r>
      <w:r w:rsidR="008C35BA" w:rsidRPr="00BC1AC6">
        <w:rPr>
          <w:rFonts w:ascii="Sylfaen" w:eastAsia="Sylfaen" w:hAnsi="Sylfaen"/>
          <w:sz w:val="24"/>
          <w:lang w:val="ka-GE"/>
        </w:rPr>
        <w:t>გამოძახებაზე გასვლის დრო დააფიქსიროს ელექტრონულ ბაზაში შემთხვევის დასრულებიდან</w:t>
      </w:r>
      <w:r w:rsidRPr="00BC1AC6">
        <w:rPr>
          <w:rFonts w:ascii="Sylfaen" w:eastAsia="Sylfaen" w:hAnsi="Sylfaen"/>
          <w:sz w:val="24"/>
        </w:rPr>
        <w:t xml:space="preserve"> არაუგვიანეს 24 საათისა.</w:t>
      </w:r>
    </w:p>
    <w:p w:rsidR="00B4001F" w:rsidRDefault="00B4001F" w:rsidP="00B4001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left="1080"/>
        <w:jc w:val="both"/>
        <w:rPr>
          <w:rFonts w:ascii="Sylfaen" w:eastAsia="Sylfaen" w:hAnsi="Sylfaen"/>
          <w:sz w:val="16"/>
          <w:szCs w:val="16"/>
          <w:lang w:val="ka-GE"/>
        </w:rPr>
      </w:pPr>
    </w:p>
    <w:p w:rsidR="00D75DB3" w:rsidRPr="00D75DB3" w:rsidRDefault="008C35BA" w:rsidP="00D75DB3">
      <w:pPr>
        <w:pStyle w:val="ListParagraph"/>
        <w:numPr>
          <w:ilvl w:val="0"/>
          <w:numId w:val="2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Sylfaen"/>
          <w:b/>
          <w:sz w:val="24"/>
        </w:rPr>
      </w:pPr>
      <w:r w:rsidRPr="00CB3012">
        <w:rPr>
          <w:rFonts w:ascii="Sylfaen" w:eastAsia="Sylfaen" w:hAnsi="Sylfaen" w:cs="Sylfaen"/>
          <w:b/>
          <w:color w:val="000000" w:themeColor="text1"/>
          <w:sz w:val="24"/>
          <w:lang w:val="ka-GE"/>
        </w:rPr>
        <w:t>ანგარიშგება</w:t>
      </w:r>
      <w:r w:rsidR="00D75DB3" w:rsidRPr="00D75DB3">
        <w:rPr>
          <w:rFonts w:ascii="Sylfaen" w:eastAsia="Sylfaen" w:hAnsi="Sylfaen" w:cs="Sylfaen"/>
          <w:b/>
          <w:sz w:val="24"/>
        </w:rPr>
        <w:t xml:space="preserve">- </w:t>
      </w:r>
      <w:r w:rsidR="008F1C2A" w:rsidRPr="008F1C2A">
        <w:rPr>
          <w:rFonts w:ascii="Sylfaen" w:eastAsia="Sylfaen" w:hAnsi="Sylfaen" w:cs="Sylfaen"/>
          <w:sz w:val="24"/>
          <w:lang w:val="ka-GE"/>
        </w:rPr>
        <w:t>სსიპ</w:t>
      </w:r>
      <w:r w:rsidR="004155BB">
        <w:rPr>
          <w:rFonts w:ascii="Sylfaen" w:eastAsia="Sylfaen" w:hAnsi="Sylfaen" w:cs="Sylfaen"/>
          <w:sz w:val="24"/>
          <w:lang w:val="ka-GE"/>
        </w:rPr>
        <w:t xml:space="preserve"> </w:t>
      </w:r>
      <w:r w:rsidR="00D75DB3" w:rsidRPr="00D75DB3">
        <w:rPr>
          <w:rFonts w:ascii="Sylfaen" w:eastAsia="Sylfaen" w:hAnsi="Sylfaen" w:cs="Sylfaen"/>
          <w:sz w:val="24"/>
        </w:rPr>
        <w:t>სოციალური მომსახურების სააგენტო</w:t>
      </w:r>
      <w:r w:rsidR="00D75DB3">
        <w:rPr>
          <w:rFonts w:ascii="Sylfaen" w:eastAsia="Sylfaen" w:hAnsi="Sylfaen" w:cs="Sylfaen"/>
          <w:sz w:val="24"/>
          <w:lang w:val="ka-GE"/>
        </w:rPr>
        <w:t xml:space="preserve"> (განმახორციელებელი)</w:t>
      </w:r>
    </w:p>
    <w:p w:rsidR="00D75DB3" w:rsidRPr="00B4001F" w:rsidRDefault="00D75DB3" w:rsidP="00B4001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left="1080"/>
        <w:jc w:val="both"/>
        <w:rPr>
          <w:rFonts w:ascii="Sylfaen" w:eastAsia="Sylfaen" w:hAnsi="Sylfaen"/>
          <w:sz w:val="16"/>
          <w:szCs w:val="16"/>
          <w:lang w:val="ka-GE"/>
        </w:rPr>
      </w:pPr>
    </w:p>
    <w:p w:rsidR="00D75DB3" w:rsidRDefault="00FF40FB" w:rsidP="00D75DB3">
      <w:pPr>
        <w:pStyle w:val="ListParagraph"/>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jc w:val="both"/>
        <w:rPr>
          <w:rFonts w:ascii="Sylfaen" w:eastAsia="Sylfaen" w:hAnsi="Sylfaen"/>
          <w:sz w:val="24"/>
          <w:u w:val="single"/>
          <w:lang w:val="ka-GE"/>
        </w:rPr>
      </w:pPr>
      <w:r w:rsidRPr="00B4001F">
        <w:rPr>
          <w:rFonts w:ascii="Sylfaen" w:hAnsi="Sylfaen" w:cs="Sylfaen"/>
          <w:sz w:val="24"/>
          <w:szCs w:val="24"/>
        </w:rPr>
        <w:t>ანგარიშგებისას წარდგენილი იქნება მხოლოდ დადგენილი ფორმის შემთხვევათა რეესტრი და ხარჯის დამადასტურებელი დოკუმენტი</w:t>
      </w:r>
      <w:r w:rsidR="00D75DB3">
        <w:rPr>
          <w:rFonts w:ascii="Sylfaen" w:hAnsi="Sylfaen" w:cs="Sylfaen"/>
          <w:sz w:val="24"/>
          <w:szCs w:val="24"/>
          <w:lang w:val="ka-GE"/>
        </w:rPr>
        <w:t>;</w:t>
      </w:r>
    </w:p>
    <w:p w:rsidR="00FF40FB" w:rsidRPr="008F1C2A" w:rsidRDefault="00FF40FB" w:rsidP="00D75DB3">
      <w:pPr>
        <w:pStyle w:val="ListParagraph"/>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jc w:val="both"/>
        <w:rPr>
          <w:rFonts w:ascii="Sylfaen" w:eastAsia="Sylfaen" w:hAnsi="Sylfaen"/>
          <w:sz w:val="24"/>
          <w:u w:val="single"/>
          <w:lang w:val="ka-GE"/>
        </w:rPr>
      </w:pPr>
      <w:r w:rsidRPr="00D75DB3">
        <w:rPr>
          <w:rFonts w:ascii="Sylfaen" w:eastAsia="Sylfaen" w:hAnsi="Sylfaen"/>
          <w:noProof/>
          <w:sz w:val="24"/>
          <w:lang w:val="ka-GE"/>
        </w:rPr>
        <w:t>განმახორციელებელი უზრუნველყოფს პროგრამის ადმინისტრირებისთვის საჭირო ფორმების შეთანხმებას მაკოორდინირებელ სტრუქტურასთან, რათა უზრუნველყოფილ იქნას პროგრამის ფარგლებში მიღებული ელექტრონული ინფორმაციის თავსებადობა შემდგომ წარმოდგენილ ანგარიშგების ფორმებთან. ამასთან, პროგრამის ფარგლებში მოთხოვნილი ინფორმაცია უნდა მოიცავდეს:</w:t>
      </w:r>
    </w:p>
    <w:p w:rsidR="008F1C2A" w:rsidRPr="00D75DB3" w:rsidRDefault="008F1C2A" w:rsidP="008F1C2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left="1080"/>
        <w:jc w:val="both"/>
        <w:rPr>
          <w:rFonts w:ascii="Sylfaen" w:eastAsia="Sylfaen" w:hAnsi="Sylfaen"/>
          <w:sz w:val="24"/>
          <w:u w:val="single"/>
          <w:lang w:val="ka-GE"/>
        </w:rPr>
      </w:pPr>
    </w:p>
    <w:p w:rsidR="00FF40FB" w:rsidRPr="00B4001F" w:rsidRDefault="00FF40FB" w:rsidP="00FF40FB">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sz w:val="24"/>
          <w:szCs w:val="24"/>
        </w:rPr>
      </w:pPr>
      <w:r w:rsidRPr="00B153C6">
        <w:rPr>
          <w:rFonts w:ascii="Sylfaen" w:eastAsia="Sylfaen" w:hAnsi="Sylfaen" w:cs="Sylfaen"/>
          <w:noProof/>
          <w:sz w:val="24"/>
          <w:lang w:val="ka-GE"/>
        </w:rPr>
        <w:t>პაციენტის</w:t>
      </w:r>
      <w:r w:rsidRPr="00B153C6">
        <w:rPr>
          <w:rFonts w:ascii="Sylfaen" w:eastAsia="Sylfaen" w:hAnsi="Sylfaen"/>
          <w:noProof/>
          <w:sz w:val="24"/>
          <w:lang w:val="ka-GE"/>
        </w:rPr>
        <w:t xml:space="preserve"> საიდენტიფიკაციო მონაცემებს</w:t>
      </w:r>
      <w:r w:rsidR="00B4001F">
        <w:rPr>
          <w:rFonts w:ascii="Sylfaen" w:eastAsia="Sylfaen" w:hAnsi="Sylfaen"/>
          <w:noProof/>
          <w:sz w:val="24"/>
          <w:lang w:val="ka-GE"/>
        </w:rPr>
        <w:t>.</w:t>
      </w:r>
      <w:r w:rsidRPr="00B153C6">
        <w:rPr>
          <w:rFonts w:ascii="Sylfaen" w:eastAsia="Sylfaen" w:hAnsi="Sylfaen"/>
          <w:noProof/>
          <w:sz w:val="24"/>
          <w:lang w:val="ka-GE"/>
        </w:rPr>
        <w:t xml:space="preserve"> ამასთან, თუ ახალშობილი საჭიროებს გადაუდებელი სამედიცინო დახმარების გაწევას და შეტყობინებისას შეუძლებელია მისი პირადი ნომრის დაფიქსირება, </w:t>
      </w:r>
      <w:r w:rsidRPr="00B153C6">
        <w:rPr>
          <w:rFonts w:ascii="Sylfaen" w:eastAsia="Sylfaen" w:hAnsi="Sylfaen"/>
          <w:noProof/>
          <w:sz w:val="24"/>
          <w:lang w:val="ka-GE"/>
        </w:rPr>
        <w:lastRenderedPageBreak/>
        <w:t>საანგარიშგებო დოკუმენტაციაში უნდა დაფიქსირდეს მისი ერთ-ერთი მშობლის პირადი ნომერი;</w:t>
      </w:r>
    </w:p>
    <w:p w:rsidR="00B4001F" w:rsidRPr="00B153C6" w:rsidRDefault="00B4001F" w:rsidP="00FF40FB">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sz w:val="24"/>
          <w:szCs w:val="24"/>
        </w:rPr>
      </w:pPr>
      <w:r w:rsidRPr="00B153C6">
        <w:rPr>
          <w:rFonts w:ascii="Sylfaen" w:eastAsia="Sylfaen" w:hAnsi="Sylfaen"/>
          <w:noProof/>
          <w:sz w:val="24"/>
          <w:lang w:val="ka-GE"/>
        </w:rPr>
        <w:t>დიაგნოზს და მდგომარეობის სიმძიმის შეფასებას;</w:t>
      </w:r>
    </w:p>
    <w:p w:rsidR="00B4001F" w:rsidRPr="00B4001F" w:rsidRDefault="00FF40FB" w:rsidP="00FF40FB">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sz w:val="24"/>
          <w:szCs w:val="24"/>
        </w:rPr>
      </w:pPr>
      <w:r w:rsidRPr="00B153C6">
        <w:rPr>
          <w:rFonts w:ascii="Sylfaen" w:eastAsia="Sylfaen" w:hAnsi="Sylfaen"/>
          <w:noProof/>
          <w:sz w:val="24"/>
          <w:lang w:val="ka-GE"/>
        </w:rPr>
        <w:t>ინფორმაციას იმ სამედიცინო დაწესებულების შესახებ, სადაც იმყოფება პაციენტი</w:t>
      </w:r>
      <w:r w:rsidR="00B4001F">
        <w:rPr>
          <w:rFonts w:ascii="Sylfaen" w:eastAsia="Sylfaen" w:hAnsi="Sylfaen"/>
          <w:noProof/>
          <w:sz w:val="24"/>
          <w:lang w:val="ka-GE"/>
        </w:rPr>
        <w:t xml:space="preserve"> (</w:t>
      </w:r>
      <w:r w:rsidR="00B4001F" w:rsidRPr="00B153C6">
        <w:rPr>
          <w:rFonts w:ascii="Sylfaen" w:eastAsia="Sylfaen" w:hAnsi="Sylfaen"/>
          <w:noProof/>
          <w:sz w:val="24"/>
          <w:lang w:val="ka-GE"/>
        </w:rPr>
        <w:t>დაწესებულების იურიდიულ</w:t>
      </w:r>
      <w:r w:rsidR="00B4001F">
        <w:rPr>
          <w:rFonts w:ascii="Sylfaen" w:eastAsia="Sylfaen" w:hAnsi="Sylfaen"/>
          <w:noProof/>
          <w:sz w:val="24"/>
          <w:lang w:val="ka-GE"/>
        </w:rPr>
        <w:t>ი</w:t>
      </w:r>
      <w:r w:rsidR="00B4001F" w:rsidRPr="00B153C6">
        <w:rPr>
          <w:rFonts w:ascii="Sylfaen" w:eastAsia="Sylfaen" w:hAnsi="Sylfaen"/>
          <w:noProof/>
          <w:sz w:val="24"/>
          <w:lang w:val="ka-GE"/>
        </w:rPr>
        <w:t xml:space="preserve"> სახელ</w:t>
      </w:r>
      <w:r w:rsidR="00B4001F">
        <w:rPr>
          <w:rFonts w:ascii="Sylfaen" w:eastAsia="Sylfaen" w:hAnsi="Sylfaen"/>
          <w:noProof/>
          <w:sz w:val="24"/>
          <w:lang w:val="ka-GE"/>
        </w:rPr>
        <w:t>ი</w:t>
      </w:r>
      <w:r w:rsidR="00B4001F" w:rsidRPr="00B153C6">
        <w:rPr>
          <w:rFonts w:ascii="Sylfaen" w:eastAsia="Sylfaen" w:hAnsi="Sylfaen"/>
          <w:noProof/>
          <w:sz w:val="24"/>
          <w:lang w:val="ka-GE"/>
        </w:rPr>
        <w:t>, საიდენტიფიკაციო კოდ</w:t>
      </w:r>
      <w:r w:rsidR="00B4001F">
        <w:rPr>
          <w:rFonts w:ascii="Sylfaen" w:eastAsia="Sylfaen" w:hAnsi="Sylfaen"/>
          <w:noProof/>
          <w:sz w:val="24"/>
          <w:lang w:val="ka-GE"/>
        </w:rPr>
        <w:t>ი</w:t>
      </w:r>
      <w:r w:rsidR="00B4001F" w:rsidRPr="00B153C6">
        <w:rPr>
          <w:rFonts w:ascii="Sylfaen" w:eastAsia="Sylfaen" w:hAnsi="Sylfaen"/>
          <w:noProof/>
          <w:sz w:val="24"/>
          <w:lang w:val="ka-GE"/>
        </w:rPr>
        <w:t xml:space="preserve"> და ფაქტობრივ</w:t>
      </w:r>
      <w:r w:rsidR="00B4001F">
        <w:rPr>
          <w:rFonts w:ascii="Sylfaen" w:eastAsia="Sylfaen" w:hAnsi="Sylfaen"/>
          <w:noProof/>
          <w:sz w:val="24"/>
          <w:lang w:val="ka-GE"/>
        </w:rPr>
        <w:t>ი</w:t>
      </w:r>
      <w:r w:rsidR="00B4001F" w:rsidRPr="00B153C6">
        <w:rPr>
          <w:rFonts w:ascii="Sylfaen" w:eastAsia="Sylfaen" w:hAnsi="Sylfaen"/>
          <w:noProof/>
          <w:sz w:val="24"/>
          <w:lang w:val="ka-GE"/>
        </w:rPr>
        <w:t xml:space="preserve"> მისამართ</w:t>
      </w:r>
      <w:r w:rsidR="00B4001F">
        <w:rPr>
          <w:rFonts w:ascii="Sylfaen" w:eastAsia="Sylfaen" w:hAnsi="Sylfaen"/>
          <w:noProof/>
          <w:sz w:val="24"/>
          <w:lang w:val="ka-GE"/>
        </w:rPr>
        <w:t>ი);</w:t>
      </w:r>
    </w:p>
    <w:p w:rsidR="00FF40FB" w:rsidRPr="00B153C6" w:rsidRDefault="00B4001F" w:rsidP="00FF40FB">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sz w:val="24"/>
          <w:szCs w:val="24"/>
        </w:rPr>
      </w:pPr>
      <w:r w:rsidRPr="00B153C6">
        <w:rPr>
          <w:rFonts w:ascii="Sylfaen" w:eastAsia="Sylfaen" w:hAnsi="Sylfaen"/>
          <w:noProof/>
          <w:sz w:val="24"/>
          <w:lang w:val="ka-GE"/>
        </w:rPr>
        <w:t>ტრანსპორტირების შემთხვევაში</w:t>
      </w:r>
      <w:r>
        <w:rPr>
          <w:rFonts w:ascii="Sylfaen" w:eastAsia="Sylfaen" w:hAnsi="Sylfaen"/>
          <w:noProof/>
          <w:sz w:val="24"/>
          <w:lang w:val="ka-GE"/>
        </w:rPr>
        <w:t xml:space="preserve"> ინფორმაციას </w:t>
      </w:r>
      <w:r w:rsidR="00FF40FB" w:rsidRPr="00B153C6">
        <w:rPr>
          <w:rFonts w:ascii="Sylfaen" w:eastAsia="Sylfaen" w:hAnsi="Sylfaen"/>
          <w:noProof/>
          <w:sz w:val="24"/>
          <w:lang w:val="ka-GE"/>
        </w:rPr>
        <w:t>მიმღები სამედიცინო დაწესებულების შესახებ</w:t>
      </w:r>
      <w:r>
        <w:rPr>
          <w:rFonts w:ascii="Sylfaen" w:eastAsia="Sylfaen" w:hAnsi="Sylfaen"/>
          <w:noProof/>
          <w:sz w:val="24"/>
          <w:lang w:val="ka-GE"/>
        </w:rPr>
        <w:t xml:space="preserve"> (</w:t>
      </w:r>
      <w:r w:rsidRPr="00B153C6">
        <w:rPr>
          <w:rFonts w:ascii="Sylfaen" w:eastAsia="Sylfaen" w:hAnsi="Sylfaen"/>
          <w:noProof/>
          <w:sz w:val="24"/>
          <w:lang w:val="ka-GE"/>
        </w:rPr>
        <w:t>დაწესებულების იურიდიულ</w:t>
      </w:r>
      <w:r>
        <w:rPr>
          <w:rFonts w:ascii="Sylfaen" w:eastAsia="Sylfaen" w:hAnsi="Sylfaen"/>
          <w:noProof/>
          <w:sz w:val="24"/>
          <w:lang w:val="ka-GE"/>
        </w:rPr>
        <w:t>ი</w:t>
      </w:r>
      <w:r w:rsidRPr="00B153C6">
        <w:rPr>
          <w:rFonts w:ascii="Sylfaen" w:eastAsia="Sylfaen" w:hAnsi="Sylfaen"/>
          <w:noProof/>
          <w:sz w:val="24"/>
          <w:lang w:val="ka-GE"/>
        </w:rPr>
        <w:t xml:space="preserve"> სახელ</w:t>
      </w:r>
      <w:r>
        <w:rPr>
          <w:rFonts w:ascii="Sylfaen" w:eastAsia="Sylfaen" w:hAnsi="Sylfaen"/>
          <w:noProof/>
          <w:sz w:val="24"/>
          <w:lang w:val="ka-GE"/>
        </w:rPr>
        <w:t>ი</w:t>
      </w:r>
      <w:r w:rsidRPr="00B153C6">
        <w:rPr>
          <w:rFonts w:ascii="Sylfaen" w:eastAsia="Sylfaen" w:hAnsi="Sylfaen"/>
          <w:noProof/>
          <w:sz w:val="24"/>
          <w:lang w:val="ka-GE"/>
        </w:rPr>
        <w:t>, საიდენტიფიკაციო კოდ</w:t>
      </w:r>
      <w:r>
        <w:rPr>
          <w:rFonts w:ascii="Sylfaen" w:eastAsia="Sylfaen" w:hAnsi="Sylfaen"/>
          <w:noProof/>
          <w:sz w:val="24"/>
          <w:lang w:val="ka-GE"/>
        </w:rPr>
        <w:t>ი</w:t>
      </w:r>
      <w:r w:rsidRPr="00B153C6">
        <w:rPr>
          <w:rFonts w:ascii="Sylfaen" w:eastAsia="Sylfaen" w:hAnsi="Sylfaen"/>
          <w:noProof/>
          <w:sz w:val="24"/>
          <w:lang w:val="ka-GE"/>
        </w:rPr>
        <w:t xml:space="preserve"> და ფაქტობრივ</w:t>
      </w:r>
      <w:r>
        <w:rPr>
          <w:rFonts w:ascii="Sylfaen" w:eastAsia="Sylfaen" w:hAnsi="Sylfaen"/>
          <w:noProof/>
          <w:sz w:val="24"/>
          <w:lang w:val="ka-GE"/>
        </w:rPr>
        <w:t>ი</w:t>
      </w:r>
      <w:r w:rsidRPr="00B153C6">
        <w:rPr>
          <w:rFonts w:ascii="Sylfaen" w:eastAsia="Sylfaen" w:hAnsi="Sylfaen"/>
          <w:noProof/>
          <w:sz w:val="24"/>
          <w:lang w:val="ka-GE"/>
        </w:rPr>
        <w:t xml:space="preserve"> მისამართ</w:t>
      </w:r>
      <w:r>
        <w:rPr>
          <w:rFonts w:ascii="Sylfaen" w:eastAsia="Sylfaen" w:hAnsi="Sylfaen"/>
          <w:noProof/>
          <w:sz w:val="24"/>
          <w:lang w:val="ka-GE"/>
        </w:rPr>
        <w:t>ი);</w:t>
      </w:r>
    </w:p>
    <w:p w:rsidR="00FF40FB" w:rsidRPr="00B153C6" w:rsidRDefault="00FF40FB" w:rsidP="00FF40FB">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sz w:val="24"/>
          <w:szCs w:val="24"/>
        </w:rPr>
      </w:pPr>
      <w:r w:rsidRPr="00B153C6">
        <w:rPr>
          <w:rFonts w:ascii="Sylfaen" w:eastAsia="Sylfaen" w:hAnsi="Sylfaen"/>
          <w:noProof/>
          <w:sz w:val="24"/>
          <w:lang w:val="ka-GE"/>
        </w:rPr>
        <w:t>მომსახურების მიმწოდებლის მიერ ადგილზე ან/და ტრანსპორტირებისას განხორციელებული სამედიცინო ჩარევების შესახებ და რეკომენდაციას, პაციენტის შემდგომი მკურნალობის ან/და ტრანსპორტირების აუცილებლობის შესახებ;</w:t>
      </w:r>
    </w:p>
    <w:p w:rsidR="00FF40FB" w:rsidRPr="008F1C2A" w:rsidRDefault="00FF40FB" w:rsidP="00FF40FB">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sz w:val="24"/>
          <w:szCs w:val="24"/>
        </w:rPr>
      </w:pPr>
      <w:r w:rsidRPr="00B153C6">
        <w:rPr>
          <w:rFonts w:ascii="Sylfaen" w:eastAsia="Sylfaen" w:hAnsi="Sylfaen"/>
          <w:noProof/>
          <w:sz w:val="24"/>
          <w:lang w:val="ka-GE"/>
        </w:rPr>
        <w:t>საგანგებო სიტუაციების კოორდინაციისა და რეჟიმის დეპარტამენტის მიერ განსაზღვრული საჭიროების შემთხვევაში რეფერალური ბრიგადის მიერ მომსახურების გაწევის შემთხვევებში, რეფერალური ბრიგადის მიერ გაწეული მომსახურების შესახებ ინფორმაცია დადასტურებული უნდა იყოს მაკოორდინირებელი ორგანოს უფლებამოსილი თანამშრომლის მიერ</w:t>
      </w:r>
      <w:r w:rsidR="008F1C2A">
        <w:rPr>
          <w:rFonts w:ascii="Sylfaen" w:eastAsia="Sylfaen" w:hAnsi="Sylfaen"/>
          <w:noProof/>
          <w:sz w:val="24"/>
          <w:lang w:val="ka-GE"/>
        </w:rPr>
        <w:t>.</w:t>
      </w:r>
    </w:p>
    <w:p w:rsidR="008C35BA" w:rsidRPr="008C35BA" w:rsidRDefault="008C35BA" w:rsidP="008F1C2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jc w:val="both"/>
        <w:rPr>
          <w:rFonts w:ascii="Sylfaen" w:hAnsi="Sylfaen" w:cs="Sylfaen"/>
          <w:sz w:val="24"/>
          <w:szCs w:val="24"/>
          <w:lang w:val="ka-GE"/>
        </w:rPr>
      </w:pPr>
    </w:p>
    <w:p w:rsidR="008F1C2A" w:rsidRPr="00CB3012" w:rsidRDefault="008F1C2A" w:rsidP="008F1C2A">
      <w:pPr>
        <w:pStyle w:val="ListParagraph"/>
        <w:numPr>
          <w:ilvl w:val="0"/>
          <w:numId w:val="2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Sylfaen"/>
          <w:b/>
          <w:sz w:val="24"/>
        </w:rPr>
      </w:pPr>
      <w:r w:rsidRPr="00CB3012">
        <w:rPr>
          <w:rFonts w:ascii="Sylfaen" w:eastAsia="Sylfaen" w:hAnsi="Sylfaen" w:cs="Sylfaen"/>
          <w:b/>
          <w:color w:val="000000" w:themeColor="text1"/>
          <w:sz w:val="24"/>
        </w:rPr>
        <w:t>საანგარიშგებო დოკუმენტაციის ინსპექტირება</w:t>
      </w:r>
      <w:r w:rsidRPr="008F1C2A">
        <w:rPr>
          <w:rFonts w:ascii="Sylfaen" w:eastAsia="Sylfaen" w:hAnsi="Sylfaen" w:cs="Sylfaen"/>
          <w:b/>
          <w:sz w:val="24"/>
        </w:rPr>
        <w:t xml:space="preserve"> - </w:t>
      </w:r>
      <w:r w:rsidRPr="008F1C2A">
        <w:rPr>
          <w:rFonts w:ascii="Sylfaen" w:eastAsia="Sylfaen" w:hAnsi="Sylfaen" w:cs="Sylfaen"/>
          <w:sz w:val="24"/>
          <w:lang w:val="ka-GE"/>
        </w:rPr>
        <w:t>სსიპ</w:t>
      </w:r>
      <w:r w:rsidRPr="00D75DB3">
        <w:rPr>
          <w:rFonts w:ascii="Sylfaen" w:eastAsia="Sylfaen" w:hAnsi="Sylfaen" w:cs="Sylfaen"/>
          <w:sz w:val="24"/>
        </w:rPr>
        <w:t>სოციალური მომსახურების სააგენტო</w:t>
      </w:r>
      <w:r>
        <w:rPr>
          <w:rFonts w:ascii="Sylfaen" w:eastAsia="Sylfaen" w:hAnsi="Sylfaen" w:cs="Sylfaen"/>
          <w:sz w:val="24"/>
          <w:lang w:val="ka-GE"/>
        </w:rPr>
        <w:t xml:space="preserve"> (განმახორციელებელი)</w:t>
      </w:r>
    </w:p>
    <w:p w:rsidR="00CB3012" w:rsidRPr="002E7A1D" w:rsidRDefault="00CB3012" w:rsidP="00CB3012">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Sylfaen"/>
          <w:b/>
          <w:sz w:val="24"/>
        </w:rPr>
      </w:pPr>
    </w:p>
    <w:p w:rsidR="008F1C2A" w:rsidRPr="008F1C2A" w:rsidRDefault="008F1C2A" w:rsidP="008F1C2A">
      <w:pPr>
        <w:pStyle w:val="ListParagraph"/>
        <w:numPr>
          <w:ilvl w:val="0"/>
          <w:numId w:val="2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Sylfaen"/>
          <w:b/>
          <w:sz w:val="24"/>
        </w:rPr>
      </w:pPr>
      <w:proofErr w:type="gramStart"/>
      <w:r w:rsidRPr="00CB3012">
        <w:rPr>
          <w:rFonts w:ascii="Sylfaen" w:eastAsia="Sylfaen" w:hAnsi="Sylfaen"/>
          <w:b/>
          <w:color w:val="000000" w:themeColor="text1"/>
          <w:sz w:val="24"/>
        </w:rPr>
        <w:t>შესრულებულისამუშაოსანაზღაურებაანანაზღაურებაზეუარი</w:t>
      </w:r>
      <w:proofErr w:type="gramEnd"/>
      <w:r w:rsidRPr="008F1C2A">
        <w:rPr>
          <w:rFonts w:ascii="Sylfaen" w:eastAsia="Sylfaen" w:hAnsi="Sylfaen"/>
          <w:sz w:val="24"/>
          <w:lang w:val="ka-GE"/>
        </w:rPr>
        <w:t xml:space="preserve"> - </w:t>
      </w:r>
      <w:r w:rsidRPr="008F1C2A">
        <w:rPr>
          <w:rFonts w:ascii="Sylfaen" w:eastAsia="Sylfaen" w:hAnsi="Sylfaen" w:cs="Sylfaen"/>
          <w:sz w:val="24"/>
          <w:lang w:val="ka-GE"/>
        </w:rPr>
        <w:t>სსიპ</w:t>
      </w:r>
      <w:r w:rsidRPr="00D75DB3">
        <w:rPr>
          <w:rFonts w:ascii="Sylfaen" w:eastAsia="Sylfaen" w:hAnsi="Sylfaen" w:cs="Sylfaen"/>
          <w:sz w:val="24"/>
        </w:rPr>
        <w:t>სოციალური მომსახურების სააგენტო</w:t>
      </w:r>
      <w:r>
        <w:rPr>
          <w:rFonts w:ascii="Sylfaen" w:eastAsia="Sylfaen" w:hAnsi="Sylfaen" w:cs="Sylfaen"/>
          <w:sz w:val="24"/>
          <w:lang w:val="ka-GE"/>
        </w:rPr>
        <w:t xml:space="preserve"> (განმახორციელებელი)</w:t>
      </w:r>
      <w:r w:rsidR="002735D3">
        <w:rPr>
          <w:rFonts w:ascii="Sylfaen" w:eastAsia="Sylfaen" w:hAnsi="Sylfaen" w:cs="Sylfaen"/>
          <w:sz w:val="24"/>
          <w:lang w:val="ka-GE"/>
        </w:rPr>
        <w:t xml:space="preserve">. </w:t>
      </w:r>
      <w:proofErr w:type="gramStart"/>
      <w:r w:rsidR="002735D3">
        <w:rPr>
          <w:rFonts w:ascii="Sylfaen" w:eastAsia="Sylfaen" w:hAnsi="Sylfaen"/>
          <w:sz w:val="24"/>
        </w:rPr>
        <w:t>სადავო</w:t>
      </w:r>
      <w:proofErr w:type="gramEnd"/>
      <w:r w:rsidR="002735D3">
        <w:rPr>
          <w:rFonts w:ascii="Sylfaen" w:eastAsia="Sylfaen" w:hAnsi="Sylfaen"/>
          <w:sz w:val="24"/>
        </w:rPr>
        <w:t xml:space="preserve"> შემთხვევების განხილვაში ჩართულები არიან მიმწოდებელი, განმახორციელებელი და რეგულირების სააგენტო.</w:t>
      </w:r>
    </w:p>
    <w:p w:rsidR="00745C7B" w:rsidRDefault="00745C7B" w:rsidP="00745C7B">
      <w:pPr>
        <w:pStyle w:val="ListParagraph"/>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jc w:val="both"/>
        <w:rPr>
          <w:rFonts w:ascii="Sylfaen" w:eastAsia="Sylfaen" w:hAnsi="Sylfaen"/>
          <w:lang w:val="ka-GE"/>
        </w:rPr>
      </w:pPr>
    </w:p>
    <w:p w:rsidR="00745C7B" w:rsidRPr="00CB3012" w:rsidRDefault="00745C7B" w:rsidP="002E7A1D">
      <w:pPr>
        <w:pStyle w:val="ListParagraph"/>
        <w:numPr>
          <w:ilvl w:val="0"/>
          <w:numId w:val="2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color w:val="000000" w:themeColor="text1"/>
          <w:sz w:val="24"/>
        </w:rPr>
      </w:pPr>
      <w:proofErr w:type="gramStart"/>
      <w:r w:rsidRPr="00CB3012">
        <w:rPr>
          <w:rFonts w:ascii="Sylfaen" w:eastAsia="Sylfaen" w:hAnsi="Sylfaen"/>
          <w:b/>
          <w:color w:val="000000" w:themeColor="text1"/>
          <w:sz w:val="24"/>
        </w:rPr>
        <w:t>გაწეულიმომსახურებისკონტროლიდავალდებულებებისინსპექტირება</w:t>
      </w:r>
      <w:proofErr w:type="gramEnd"/>
      <w:r w:rsidR="002735D3" w:rsidRPr="00CB3012">
        <w:rPr>
          <w:rFonts w:ascii="Sylfaen" w:eastAsia="Sylfaen" w:hAnsi="Sylfaen"/>
          <w:b/>
          <w:color w:val="000000" w:themeColor="text1"/>
          <w:sz w:val="24"/>
          <w:lang w:val="ka-GE"/>
        </w:rPr>
        <w:t xml:space="preserve"> / </w:t>
      </w:r>
      <w:r w:rsidR="002735D3" w:rsidRPr="00CB3012">
        <w:rPr>
          <w:rFonts w:ascii="Sylfaen" w:eastAsia="Sylfaen" w:hAnsi="Sylfaen"/>
          <w:b/>
          <w:color w:val="000000" w:themeColor="text1"/>
          <w:sz w:val="24"/>
        </w:rPr>
        <w:t>შესრულებული სამუშაოს რევიზია</w:t>
      </w:r>
      <w:r w:rsidR="00D75DB3" w:rsidRPr="00CB3012">
        <w:rPr>
          <w:rFonts w:ascii="Sylfaen" w:eastAsia="Sylfaen" w:hAnsi="Sylfaen"/>
          <w:color w:val="000000" w:themeColor="text1"/>
          <w:sz w:val="24"/>
        </w:rPr>
        <w:t>-</w:t>
      </w:r>
      <w:r w:rsidRPr="00CB3012">
        <w:rPr>
          <w:rFonts w:ascii="Sylfaen" w:eastAsia="Sylfaen" w:hAnsi="Sylfaen"/>
          <w:color w:val="000000" w:themeColor="text1"/>
          <w:sz w:val="24"/>
        </w:rPr>
        <w:t xml:space="preserve"> სსიპ – სამედიცინოსაქმიანობისსახელმწიფორეგულირებისსააგენტო.</w:t>
      </w:r>
    </w:p>
    <w:p w:rsidR="00CB3012" w:rsidRDefault="00CB3012" w:rsidP="00543D55">
      <w:pPr>
        <w:rPr>
          <w:rFonts w:ascii="Sylfaen" w:hAnsi="Sylfaen"/>
          <w:b/>
          <w:lang w:val="ka-GE"/>
        </w:rPr>
      </w:pPr>
    </w:p>
    <w:p w:rsidR="00347BAD" w:rsidRPr="00347BAD" w:rsidRDefault="00347BAD" w:rsidP="00347BAD">
      <w:pPr>
        <w:pStyle w:val="ListParagraph"/>
        <w:numPr>
          <w:ilvl w:val="0"/>
          <w:numId w:val="2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Sylfaen"/>
          <w:b/>
          <w:sz w:val="24"/>
        </w:rPr>
      </w:pPr>
      <w:r>
        <w:rPr>
          <w:rFonts w:ascii="Sylfaen" w:eastAsia="Sylfaen" w:hAnsi="Sylfaen" w:cs="Sylfaen"/>
          <w:b/>
          <w:color w:val="000000" w:themeColor="text1"/>
          <w:sz w:val="24"/>
          <w:lang w:val="ka-GE"/>
        </w:rPr>
        <w:t>მონიტორინგი</w:t>
      </w:r>
    </w:p>
    <w:p w:rsidR="00347BAD" w:rsidRPr="00347BAD" w:rsidRDefault="00347BAD" w:rsidP="00347BAD">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Sylfaen"/>
          <w:b/>
          <w:sz w:val="24"/>
        </w:rPr>
      </w:pPr>
    </w:p>
    <w:p w:rsidR="00A4633C" w:rsidRPr="00A4633C" w:rsidRDefault="00347BAD" w:rsidP="00A4633C">
      <w:pPr>
        <w:pStyle w:val="ListParagraph"/>
        <w:numPr>
          <w:ilvl w:val="0"/>
          <w:numId w:val="25"/>
        </w:numPr>
        <w:jc w:val="both"/>
        <w:rPr>
          <w:rFonts w:ascii="Sylfaen" w:hAnsi="Sylfaen"/>
          <w:lang w:val="ka-GE"/>
        </w:rPr>
      </w:pPr>
      <w:r w:rsidRPr="00347BAD">
        <w:rPr>
          <w:rFonts w:ascii="Sylfaen" w:hAnsi="Sylfaen" w:cs="Sylfaen"/>
          <w:lang w:val="ka-GE"/>
        </w:rPr>
        <w:t>მონიტორინგი</w:t>
      </w:r>
      <w:r w:rsidRPr="00347BAD">
        <w:rPr>
          <w:rFonts w:ascii="Sylfaen" w:hAnsi="Sylfaen"/>
          <w:lang w:val="ka-GE"/>
        </w:rPr>
        <w:t xml:space="preserve"> განახორციელოს სსიპ სოციალური მომსახურების მონიტორინგის ჯგუფმა, რომელიც სულ მცირე კვარტალში ერთხელ განახორციელებს მომსახურების მიმწოდებელი დაწესებულებების მონიტორინგს მინისტრის N17 ბრძანების პირველი პუნქტის „გ“ ქვეპუნქტით დამტკიცებული დანართი N3 (მინიმალური მოთხოვნები კრიტიკულ მდგომარეობაში მყოფ პაციენტთა ტრანსპორტირებისათვის) შესაბამისად.</w:t>
      </w:r>
    </w:p>
    <w:p w:rsidR="00543D55" w:rsidRPr="00A4633C" w:rsidRDefault="00543D55" w:rsidP="00347BAD">
      <w:pPr>
        <w:pStyle w:val="ListParagraph"/>
        <w:numPr>
          <w:ilvl w:val="0"/>
          <w:numId w:val="25"/>
        </w:numPr>
        <w:jc w:val="both"/>
        <w:rPr>
          <w:rFonts w:ascii="Sylfaen" w:hAnsi="Sylfaen"/>
          <w:sz w:val="24"/>
          <w:szCs w:val="24"/>
          <w:lang w:val="ka-GE"/>
        </w:rPr>
      </w:pPr>
      <w:r w:rsidRPr="00A4633C">
        <w:rPr>
          <w:rFonts w:ascii="Sylfaen" w:hAnsi="Sylfaen"/>
          <w:sz w:val="24"/>
          <w:szCs w:val="24"/>
          <w:lang w:val="ka-GE"/>
        </w:rPr>
        <w:t xml:space="preserve">მოხდეს </w:t>
      </w:r>
      <w:r w:rsidR="00347BAD" w:rsidRPr="00A4633C">
        <w:rPr>
          <w:rFonts w:ascii="Sylfaen" w:hAnsi="Sylfaen"/>
          <w:sz w:val="24"/>
          <w:szCs w:val="24"/>
          <w:lang w:val="ka-GE"/>
        </w:rPr>
        <w:t xml:space="preserve">სსიპ </w:t>
      </w:r>
      <w:r w:rsidR="00347BAD" w:rsidRPr="00A4633C">
        <w:rPr>
          <w:rFonts w:ascii="Sylfaen" w:eastAsia="Sylfaen" w:hAnsi="Sylfaen"/>
          <w:color w:val="000000" w:themeColor="text1"/>
          <w:sz w:val="24"/>
          <w:szCs w:val="24"/>
        </w:rPr>
        <w:t>სამედიცინო საქმიანობის სახელმწიფო რეგულირების სააგენტ</w:t>
      </w:r>
      <w:r w:rsidRPr="00A4633C">
        <w:rPr>
          <w:rFonts w:ascii="Sylfaen" w:hAnsi="Sylfaen"/>
          <w:sz w:val="24"/>
          <w:szCs w:val="24"/>
          <w:lang w:val="ka-GE"/>
        </w:rPr>
        <w:t>ოში</w:t>
      </w:r>
      <w:r w:rsidR="00347BAD" w:rsidRPr="00A4633C">
        <w:rPr>
          <w:rFonts w:ascii="Sylfaen" w:hAnsi="Sylfaen"/>
          <w:sz w:val="24"/>
          <w:szCs w:val="24"/>
          <w:lang w:val="ka-GE"/>
        </w:rPr>
        <w:t xml:space="preserve"> და </w:t>
      </w:r>
      <w:r w:rsidR="00347BAD" w:rsidRPr="00A4633C">
        <w:rPr>
          <w:rFonts w:ascii="Sylfaen" w:eastAsia="Times New Roman" w:hAnsi="Sylfaen" w:cs="Sylfaen"/>
          <w:sz w:val="24"/>
          <w:szCs w:val="24"/>
        </w:rPr>
        <w:t>სსიპსამედიცინომედიაციისსამსახურ</w:t>
      </w:r>
      <w:r w:rsidR="00347BAD" w:rsidRPr="00A4633C">
        <w:rPr>
          <w:rFonts w:ascii="Sylfaen" w:eastAsia="Times New Roman" w:hAnsi="Sylfaen" w:cs="Sylfaen"/>
          <w:sz w:val="24"/>
          <w:szCs w:val="24"/>
          <w:lang w:val="ka-GE"/>
        </w:rPr>
        <w:t>შ</w:t>
      </w:r>
      <w:r w:rsidR="00347BAD" w:rsidRPr="00A4633C">
        <w:rPr>
          <w:rFonts w:ascii="Sylfaen" w:eastAsia="Times New Roman" w:hAnsi="Sylfaen" w:cs="Sylfaen"/>
          <w:sz w:val="24"/>
          <w:szCs w:val="24"/>
        </w:rPr>
        <w:t>ი</w:t>
      </w:r>
      <w:r w:rsidRPr="00A4633C">
        <w:rPr>
          <w:rFonts w:ascii="Sylfaen" w:hAnsi="Sylfaen"/>
          <w:sz w:val="24"/>
          <w:szCs w:val="24"/>
          <w:lang w:val="ka-GE"/>
        </w:rPr>
        <w:t xml:space="preserve">დაფიქსირებული საჩივრების (რეფერალურ ტრანსპორტირებასთან დაკავშირებული) ანალიზი.  </w:t>
      </w:r>
    </w:p>
    <w:p w:rsidR="00DF06FD" w:rsidRDefault="00DF06FD" w:rsidP="00933FEF">
      <w:pPr>
        <w:pStyle w:val="ListParagraph"/>
        <w:jc w:val="both"/>
        <w:rPr>
          <w:rFonts w:ascii="Sylfaen" w:hAnsi="Sylfaen"/>
          <w:lang w:val="ka-GE"/>
        </w:rPr>
      </w:pPr>
    </w:p>
    <w:p w:rsidR="00745C7B" w:rsidRPr="00CD7313" w:rsidRDefault="00745C7B" w:rsidP="00CD7313">
      <w:pPr>
        <w:shd w:val="clear" w:color="auto" w:fill="F2F2F2" w:themeFill="background1" w:themeFillShade="F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sz w:val="24"/>
          <w:lang w:val="ka-GE"/>
        </w:rPr>
      </w:pPr>
      <w:r w:rsidRPr="00CD7313">
        <w:rPr>
          <w:rFonts w:ascii="Sylfaen" w:eastAsia="Sylfaen" w:hAnsi="Sylfaen"/>
          <w:b/>
          <w:sz w:val="24"/>
          <w:lang w:val="ka-GE"/>
        </w:rPr>
        <w:lastRenderedPageBreak/>
        <w:t>საჯარიმო სანქცია</w:t>
      </w:r>
    </w:p>
    <w:p w:rsidR="00745C7B" w:rsidRPr="00DB60E4" w:rsidRDefault="00745C7B" w:rsidP="00745C7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sz w:val="24"/>
          <w:szCs w:val="24"/>
        </w:rPr>
      </w:pPr>
    </w:p>
    <w:p w:rsidR="00FF40FB" w:rsidRPr="00DB60E4" w:rsidRDefault="00FF40FB" w:rsidP="00FF40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ka-GE"/>
        </w:rPr>
      </w:pPr>
      <w:r w:rsidRPr="00DB60E4">
        <w:rPr>
          <w:rFonts w:ascii="Sylfaen" w:eastAsia="Sylfaen" w:hAnsi="Sylfaen"/>
          <w:sz w:val="24"/>
          <w:lang w:val="ka-GE"/>
        </w:rPr>
        <w:t xml:space="preserve">რეფერალური დახმარების კომპონენტით </w:t>
      </w:r>
      <w:r w:rsidRPr="00DB60E4">
        <w:rPr>
          <w:rFonts w:ascii="Sylfaen" w:eastAsia="Sylfaen" w:hAnsi="Sylfaen"/>
          <w:sz w:val="24"/>
        </w:rPr>
        <w:t xml:space="preserve">გათვალისწინებული სამედიცინო მომსახურების ზედამხედველობის მიზნებიდან გამომდინარე,  ამ დადგენილების 21-ე მუხლის მე-9 პუნქტით გათვალისწინებული დაჯარიმების კრიტერიუმად </w:t>
      </w:r>
      <w:r w:rsidR="00745C7B" w:rsidRPr="00CD7313">
        <w:rPr>
          <w:rFonts w:ascii="Sylfaen" w:eastAsia="Sylfaen" w:hAnsi="Sylfaen"/>
          <w:color w:val="000000" w:themeColor="text1"/>
          <w:sz w:val="24"/>
          <w:lang w:val="ka-GE"/>
        </w:rPr>
        <w:t>(</w:t>
      </w:r>
      <w:r w:rsidR="00745C7B" w:rsidRPr="00CD7313">
        <w:rPr>
          <w:rFonts w:ascii="Sylfaen" w:eastAsia="Sylfaen" w:hAnsi="Sylfaen"/>
          <w:color w:val="000000" w:themeColor="text1"/>
          <w:sz w:val="24"/>
        </w:rPr>
        <w:t>იმ შემთხვევაში, თუ მიმწოდებელმა პროგრამით გათვალისწინებულ მომსახურებაზე უარი განუცხადა პროგრამის მოსარგებლეს ან მომსახურება გაუწია დაგვიანებით (მისგან დამოუკიდებელი მიზეზების გარდა), ან არასრულად, ან უხარისხოდ, მიმწოდებელი იხდის ჯარიმას გასაწევი/გაწეული მომსახურების ღირებულების სამმაგი ოდენობის სახით</w:t>
      </w:r>
      <w:r w:rsidR="00745C7B" w:rsidRPr="00CD7313">
        <w:rPr>
          <w:rFonts w:ascii="Sylfaen" w:eastAsia="Sylfaen" w:hAnsi="Sylfaen"/>
          <w:color w:val="000000" w:themeColor="text1"/>
          <w:sz w:val="24"/>
          <w:lang w:val="ka-GE"/>
        </w:rPr>
        <w:t>)</w:t>
      </w:r>
      <w:r w:rsidRPr="00DB60E4">
        <w:rPr>
          <w:rFonts w:ascii="Sylfaen" w:eastAsia="Sylfaen" w:hAnsi="Sylfaen"/>
          <w:sz w:val="24"/>
        </w:rPr>
        <w:t xml:space="preserve">განისაზღვროს გამოძახებაზე 30 წთ-ზე მეტი ხნით დაგვიანებით გასვლა, რაც აღირიცხება </w:t>
      </w:r>
      <w:r w:rsidR="00CD7313">
        <w:rPr>
          <w:rFonts w:ascii="Sylfaen" w:eastAsia="Sylfaen" w:hAnsi="Sylfaen"/>
          <w:sz w:val="24"/>
          <w:lang w:val="ka-GE"/>
        </w:rPr>
        <w:t>პროგრამის</w:t>
      </w:r>
      <w:r w:rsidRPr="00DB60E4">
        <w:rPr>
          <w:rFonts w:ascii="Sylfaen" w:eastAsia="Sylfaen" w:hAnsi="Sylfaen"/>
          <w:sz w:val="24"/>
        </w:rPr>
        <w:t xml:space="preserve"> მაკოორდინირებელი ორგანოს მიერ.</w:t>
      </w:r>
    </w:p>
    <w:p w:rsidR="00EB1E6A" w:rsidRPr="00DB60E4" w:rsidRDefault="00745C7B" w:rsidP="00FF40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ka-GE"/>
        </w:rPr>
      </w:pPr>
      <w:r w:rsidRPr="00DB60E4">
        <w:rPr>
          <w:rFonts w:ascii="Sylfaen" w:eastAsia="Sylfaen" w:hAnsi="Sylfaen"/>
          <w:sz w:val="24"/>
          <w:lang w:val="ka-GE"/>
        </w:rPr>
        <w:t xml:space="preserve">მისგან დამოუკიდებელი მიზეზი შესაძლებელია იყოს  – </w:t>
      </w:r>
      <w:r w:rsidR="00EB1E6A" w:rsidRPr="00DB60E4">
        <w:rPr>
          <w:rFonts w:ascii="Sylfaen" w:eastAsia="Sylfaen" w:hAnsi="Sylfaen"/>
          <w:sz w:val="24"/>
          <w:lang w:val="ka-GE"/>
        </w:rPr>
        <w:t>მაგალითად, თუ ვერ იძებნება დაწესებულება, სადაც უნდა განთავსდეს პაციენტი, კატას</w:t>
      </w:r>
      <w:r w:rsidRPr="00DB60E4">
        <w:rPr>
          <w:rFonts w:ascii="Sylfaen" w:eastAsia="Sylfaen" w:hAnsi="Sylfaen"/>
          <w:sz w:val="24"/>
          <w:lang w:val="ka-GE"/>
        </w:rPr>
        <w:t>ტ</w:t>
      </w:r>
      <w:r w:rsidR="00EB1E6A" w:rsidRPr="00DB60E4">
        <w:rPr>
          <w:rFonts w:ascii="Sylfaen" w:eastAsia="Sylfaen" w:hAnsi="Sylfaen"/>
          <w:sz w:val="24"/>
          <w:lang w:val="ka-GE"/>
        </w:rPr>
        <w:t>როფა არ გადის გამოძახებაზე.</w:t>
      </w:r>
    </w:p>
    <w:p w:rsidR="00933FEF" w:rsidRPr="00EB1E6A" w:rsidRDefault="00933FEF" w:rsidP="00FF40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color w:val="FF0000"/>
          <w:sz w:val="24"/>
          <w:lang w:val="ka-GE"/>
        </w:rPr>
      </w:pPr>
    </w:p>
    <w:p w:rsidR="00FF40FB" w:rsidRPr="00CD7313" w:rsidRDefault="00FF40FB" w:rsidP="00CD7313">
      <w:pPr>
        <w:shd w:val="clear" w:color="auto" w:fill="F2F2F2" w:themeFill="background1" w:themeFillShade="F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sz w:val="24"/>
          <w:lang w:val="ka-GE"/>
        </w:rPr>
      </w:pPr>
      <w:r w:rsidRPr="00CD7313">
        <w:rPr>
          <w:rFonts w:ascii="Sylfaen" w:eastAsia="Sylfaen" w:hAnsi="Sylfaen"/>
          <w:b/>
          <w:sz w:val="24"/>
          <w:lang w:val="ka-GE"/>
        </w:rPr>
        <w:t>პროგრამული ინდიკატორები</w:t>
      </w:r>
    </w:p>
    <w:p w:rsidR="00FF40FB" w:rsidRDefault="00FF40FB" w:rsidP="00FF40F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eastAsia="Sylfaen" w:hAnsi="Sylfaen"/>
          <w:b/>
          <w:sz w:val="24"/>
          <w:highlight w:val="lightGray"/>
          <w:lang w:val="ka-GE"/>
        </w:rPr>
      </w:pPr>
    </w:p>
    <w:p w:rsidR="00FF40FB" w:rsidRPr="000729B5" w:rsidRDefault="00FF40FB" w:rsidP="00CD731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hAnsi="Sylfaen"/>
          <w:sz w:val="24"/>
          <w:szCs w:val="24"/>
          <w:lang w:val="ka-GE"/>
        </w:rPr>
      </w:pPr>
      <w:r w:rsidRPr="000729B5">
        <w:rPr>
          <w:rFonts w:ascii="Sylfaen" w:hAnsi="Sylfaen"/>
          <w:sz w:val="24"/>
          <w:szCs w:val="24"/>
          <w:lang w:val="ka-GE"/>
        </w:rPr>
        <w:t xml:space="preserve">ყოველთვიური ანგარიშებისა და კვარტალური/წლიური მონიტორინგისათვის შემოთავაზებული პროგრამული ინდიკატორებია: </w:t>
      </w:r>
    </w:p>
    <w:p w:rsidR="00FF40FB" w:rsidRPr="000729B5" w:rsidRDefault="00FF40FB" w:rsidP="00CD7313">
      <w:pPr>
        <w:spacing w:after="0" w:line="240" w:lineRule="auto"/>
        <w:jc w:val="both"/>
        <w:rPr>
          <w:rFonts w:ascii="Sylfaen" w:hAnsi="Sylfaen"/>
          <w:b/>
          <w:sz w:val="24"/>
          <w:szCs w:val="24"/>
          <w:lang w:val="ka-GE"/>
        </w:rPr>
      </w:pPr>
    </w:p>
    <w:p w:rsidR="000729B5" w:rsidRDefault="00FF40FB" w:rsidP="00CD7313">
      <w:pPr>
        <w:pStyle w:val="ListBulletT"/>
        <w:numPr>
          <w:ilvl w:val="0"/>
          <w:numId w:val="4"/>
        </w:numPr>
        <w:tabs>
          <w:tab w:val="clear" w:pos="720"/>
          <w:tab w:val="left" w:pos="426"/>
          <w:tab w:val="num" w:pos="1134"/>
        </w:tabs>
        <w:spacing w:before="0" w:after="0"/>
        <w:ind w:left="1134" w:hanging="425"/>
        <w:rPr>
          <w:sz w:val="24"/>
          <w:szCs w:val="24"/>
        </w:rPr>
      </w:pPr>
      <w:r w:rsidRPr="000729B5">
        <w:rPr>
          <w:sz w:val="24"/>
          <w:szCs w:val="24"/>
        </w:rPr>
        <w:t>გამოძახებაზე გასვლის დრო;</w:t>
      </w:r>
    </w:p>
    <w:p w:rsidR="000729B5" w:rsidRDefault="000729B5" w:rsidP="00CD7313">
      <w:pPr>
        <w:pStyle w:val="ListBulletT"/>
        <w:numPr>
          <w:ilvl w:val="0"/>
          <w:numId w:val="4"/>
        </w:numPr>
        <w:tabs>
          <w:tab w:val="clear" w:pos="720"/>
          <w:tab w:val="left" w:pos="426"/>
          <w:tab w:val="num" w:pos="1134"/>
        </w:tabs>
        <w:spacing w:before="0" w:after="0"/>
        <w:ind w:left="1134" w:hanging="425"/>
        <w:rPr>
          <w:sz w:val="24"/>
          <w:szCs w:val="24"/>
        </w:rPr>
      </w:pPr>
      <w:r w:rsidRPr="000729B5">
        <w:rPr>
          <w:sz w:val="24"/>
          <w:szCs w:val="24"/>
        </w:rPr>
        <w:t>ტრანსპორტირების შემთხვევაში, რეფერალური ბრიგადის მიერ დასმული დიაგნოზის და მიმღები სტაციონარის მიე</w:t>
      </w:r>
      <w:r w:rsidR="00CD7313">
        <w:rPr>
          <w:sz w:val="24"/>
          <w:szCs w:val="24"/>
        </w:rPr>
        <w:t>რ დასმული დიაგნოზის თავსებადობა;</w:t>
      </w:r>
    </w:p>
    <w:p w:rsidR="000729B5" w:rsidRDefault="000729B5" w:rsidP="00CD7313">
      <w:pPr>
        <w:pStyle w:val="ListBulletT"/>
        <w:numPr>
          <w:ilvl w:val="0"/>
          <w:numId w:val="4"/>
        </w:numPr>
        <w:tabs>
          <w:tab w:val="clear" w:pos="720"/>
          <w:tab w:val="left" w:pos="426"/>
          <w:tab w:val="num" w:pos="1134"/>
        </w:tabs>
        <w:spacing w:before="0" w:after="0"/>
        <w:ind w:left="1134" w:hanging="425"/>
        <w:rPr>
          <w:sz w:val="24"/>
          <w:szCs w:val="24"/>
        </w:rPr>
      </w:pPr>
      <w:r w:rsidRPr="000729B5">
        <w:rPr>
          <w:sz w:val="24"/>
          <w:szCs w:val="24"/>
        </w:rPr>
        <w:t>უარი შესრულებაზე</w:t>
      </w:r>
      <w:r w:rsidR="00CD7313">
        <w:rPr>
          <w:sz w:val="24"/>
          <w:szCs w:val="24"/>
        </w:rPr>
        <w:t>;</w:t>
      </w:r>
    </w:p>
    <w:p w:rsidR="000729B5" w:rsidRPr="000729B5" w:rsidRDefault="000729B5" w:rsidP="00CD7313">
      <w:pPr>
        <w:pStyle w:val="ListBulletT"/>
        <w:numPr>
          <w:ilvl w:val="0"/>
          <w:numId w:val="4"/>
        </w:numPr>
        <w:tabs>
          <w:tab w:val="clear" w:pos="720"/>
          <w:tab w:val="left" w:pos="426"/>
          <w:tab w:val="num" w:pos="1134"/>
        </w:tabs>
        <w:spacing w:before="0" w:after="0"/>
        <w:ind w:left="1134" w:hanging="425"/>
        <w:rPr>
          <w:sz w:val="24"/>
          <w:szCs w:val="24"/>
        </w:rPr>
      </w:pPr>
      <w:r w:rsidRPr="000729B5">
        <w:rPr>
          <w:sz w:val="24"/>
          <w:szCs w:val="24"/>
        </w:rPr>
        <w:t>გზაში გარდაიცვალა</w:t>
      </w:r>
      <w:r w:rsidR="00CD7313">
        <w:rPr>
          <w:sz w:val="24"/>
          <w:szCs w:val="24"/>
        </w:rPr>
        <w:t>.</w:t>
      </w:r>
    </w:p>
    <w:p w:rsidR="00FF40FB" w:rsidRPr="000729B5" w:rsidRDefault="00FF40FB" w:rsidP="00CD7313">
      <w:pPr>
        <w:pStyle w:val="ListBulletT"/>
        <w:numPr>
          <w:ilvl w:val="0"/>
          <w:numId w:val="4"/>
        </w:numPr>
        <w:tabs>
          <w:tab w:val="clear" w:pos="720"/>
          <w:tab w:val="left" w:pos="426"/>
          <w:tab w:val="num" w:pos="1134"/>
        </w:tabs>
        <w:spacing w:before="0" w:after="0"/>
        <w:ind w:left="1134" w:hanging="425"/>
        <w:rPr>
          <w:sz w:val="24"/>
          <w:szCs w:val="24"/>
        </w:rPr>
      </w:pPr>
      <w:r w:rsidRPr="000729B5">
        <w:rPr>
          <w:sz w:val="24"/>
          <w:szCs w:val="24"/>
        </w:rPr>
        <w:t>საანგარიშო პერიოდში ჩატარებული:</w:t>
      </w:r>
    </w:p>
    <w:p w:rsidR="00FF40FB" w:rsidRPr="000729B5" w:rsidRDefault="00FF40FB" w:rsidP="00CD7313">
      <w:pPr>
        <w:pStyle w:val="ListBulletT"/>
        <w:numPr>
          <w:ilvl w:val="1"/>
          <w:numId w:val="4"/>
        </w:numPr>
        <w:tabs>
          <w:tab w:val="left" w:pos="426"/>
        </w:tabs>
        <w:spacing w:before="0" w:after="0"/>
        <w:rPr>
          <w:color w:val="000000" w:themeColor="text1"/>
          <w:sz w:val="24"/>
          <w:szCs w:val="24"/>
        </w:rPr>
      </w:pPr>
      <w:r w:rsidRPr="000729B5">
        <w:rPr>
          <w:color w:val="000000" w:themeColor="text1"/>
          <w:sz w:val="24"/>
          <w:szCs w:val="24"/>
        </w:rPr>
        <w:t>კონსულტაციები</w:t>
      </w:r>
      <w:r w:rsidR="000729B5" w:rsidRPr="000729B5">
        <w:rPr>
          <w:color w:val="000000" w:themeColor="text1"/>
          <w:sz w:val="24"/>
          <w:szCs w:val="24"/>
        </w:rPr>
        <w:t>;</w:t>
      </w:r>
    </w:p>
    <w:p w:rsidR="00FF40FB" w:rsidRPr="000729B5" w:rsidRDefault="00FF40FB" w:rsidP="00CD7313">
      <w:pPr>
        <w:pStyle w:val="ListBulletT"/>
        <w:numPr>
          <w:ilvl w:val="1"/>
          <w:numId w:val="4"/>
        </w:numPr>
        <w:tabs>
          <w:tab w:val="left" w:pos="426"/>
        </w:tabs>
        <w:spacing w:before="0" w:after="0"/>
        <w:rPr>
          <w:color w:val="000000" w:themeColor="text1"/>
          <w:sz w:val="24"/>
          <w:szCs w:val="24"/>
        </w:rPr>
      </w:pPr>
      <w:r w:rsidRPr="000729B5">
        <w:rPr>
          <w:color w:val="000000" w:themeColor="text1"/>
          <w:sz w:val="24"/>
          <w:szCs w:val="24"/>
        </w:rPr>
        <w:t>სტაბილიზაციია</w:t>
      </w:r>
      <w:r w:rsidR="000729B5" w:rsidRPr="000729B5">
        <w:rPr>
          <w:color w:val="000000" w:themeColor="text1"/>
          <w:sz w:val="24"/>
          <w:szCs w:val="24"/>
        </w:rPr>
        <w:t>;</w:t>
      </w:r>
    </w:p>
    <w:p w:rsidR="00FF40FB" w:rsidRPr="000729B5" w:rsidRDefault="00FF40FB" w:rsidP="00CD7313">
      <w:pPr>
        <w:pStyle w:val="ListBulletT"/>
        <w:numPr>
          <w:ilvl w:val="1"/>
          <w:numId w:val="4"/>
        </w:numPr>
        <w:tabs>
          <w:tab w:val="left" w:pos="426"/>
        </w:tabs>
        <w:spacing w:before="0" w:after="0"/>
        <w:rPr>
          <w:color w:val="000000" w:themeColor="text1"/>
          <w:sz w:val="24"/>
          <w:szCs w:val="24"/>
        </w:rPr>
      </w:pPr>
      <w:r w:rsidRPr="000729B5">
        <w:rPr>
          <w:color w:val="000000" w:themeColor="text1"/>
          <w:sz w:val="24"/>
          <w:szCs w:val="24"/>
        </w:rPr>
        <w:t>ტრანსპორტირება</w:t>
      </w:r>
      <w:r w:rsidR="000729B5" w:rsidRPr="000729B5">
        <w:rPr>
          <w:color w:val="000000" w:themeColor="text1"/>
          <w:sz w:val="24"/>
          <w:szCs w:val="24"/>
        </w:rPr>
        <w:t>;</w:t>
      </w:r>
    </w:p>
    <w:p w:rsidR="000729B5" w:rsidRDefault="000729B5" w:rsidP="00CD7313">
      <w:pPr>
        <w:pStyle w:val="ListBulletT"/>
        <w:numPr>
          <w:ilvl w:val="1"/>
          <w:numId w:val="4"/>
        </w:numPr>
        <w:tabs>
          <w:tab w:val="left" w:pos="426"/>
        </w:tabs>
        <w:spacing w:before="0" w:after="0"/>
        <w:rPr>
          <w:color w:val="000000" w:themeColor="text1"/>
          <w:sz w:val="24"/>
          <w:szCs w:val="24"/>
        </w:rPr>
      </w:pPr>
      <w:r w:rsidRPr="000729B5">
        <w:rPr>
          <w:color w:val="000000" w:themeColor="text1"/>
          <w:sz w:val="24"/>
          <w:szCs w:val="24"/>
        </w:rPr>
        <w:t>ტრანსპორტირება დიაგნოსტიკის მიზნით;</w:t>
      </w:r>
    </w:p>
    <w:p w:rsidR="000729B5" w:rsidRPr="000729B5" w:rsidRDefault="000729B5" w:rsidP="00CD7313">
      <w:pPr>
        <w:pStyle w:val="ListBulletT"/>
        <w:numPr>
          <w:ilvl w:val="1"/>
          <w:numId w:val="4"/>
        </w:numPr>
        <w:tabs>
          <w:tab w:val="left" w:pos="426"/>
        </w:tabs>
        <w:spacing w:before="0" w:after="0"/>
        <w:rPr>
          <w:color w:val="000000" w:themeColor="text1"/>
          <w:sz w:val="24"/>
          <w:szCs w:val="24"/>
        </w:rPr>
      </w:pPr>
      <w:r>
        <w:rPr>
          <w:color w:val="000000" w:themeColor="text1"/>
          <w:sz w:val="24"/>
          <w:szCs w:val="24"/>
        </w:rPr>
        <w:t>თანმხლები კონსულტაციები;</w:t>
      </w:r>
    </w:p>
    <w:p w:rsidR="00FF40FB" w:rsidRPr="000729B5" w:rsidRDefault="00FF40FB" w:rsidP="00CD7313">
      <w:pPr>
        <w:pStyle w:val="ListBulletT"/>
        <w:numPr>
          <w:ilvl w:val="1"/>
          <w:numId w:val="4"/>
        </w:numPr>
        <w:tabs>
          <w:tab w:val="left" w:pos="426"/>
        </w:tabs>
        <w:spacing w:before="0" w:after="0"/>
        <w:rPr>
          <w:color w:val="000000" w:themeColor="text1"/>
          <w:sz w:val="24"/>
          <w:szCs w:val="24"/>
        </w:rPr>
      </w:pPr>
      <w:r w:rsidRPr="000729B5">
        <w:rPr>
          <w:color w:val="000000" w:themeColor="text1"/>
          <w:sz w:val="24"/>
          <w:szCs w:val="24"/>
        </w:rPr>
        <w:t>რეფერალური დახმარების გამომძახებელი ძირითადი დაწესებულება (აქ არ იგულისხმება ის დაწესებულება, სადაც განხორციელდა რეფერალი დიაგნოსტიკის ან სხვა მანიპულაციის მიზნით).</w:t>
      </w:r>
    </w:p>
    <w:p w:rsidR="00842C3F" w:rsidRDefault="00FF40FB" w:rsidP="00CD7313">
      <w:pPr>
        <w:pStyle w:val="ListBulletT"/>
        <w:numPr>
          <w:ilvl w:val="1"/>
          <w:numId w:val="4"/>
        </w:numPr>
        <w:tabs>
          <w:tab w:val="left" w:pos="426"/>
        </w:tabs>
        <w:spacing w:before="0" w:after="0"/>
        <w:rPr>
          <w:color w:val="000000" w:themeColor="text1"/>
          <w:sz w:val="24"/>
          <w:szCs w:val="24"/>
        </w:rPr>
      </w:pPr>
      <w:r w:rsidRPr="00B933D7">
        <w:rPr>
          <w:color w:val="000000" w:themeColor="text1"/>
          <w:sz w:val="24"/>
          <w:szCs w:val="24"/>
        </w:rPr>
        <w:t>ყველაზე ხშირი გამოძახების მიზეზი (დიაგნოზი).</w:t>
      </w:r>
    </w:p>
    <w:p w:rsidR="00842C3F" w:rsidRDefault="00842C3F">
      <w:pPr>
        <w:rPr>
          <w:rFonts w:ascii="Sylfaen" w:eastAsia="Times New Roman" w:hAnsi="Sylfaen" w:cs="Times New Roman"/>
          <w:noProof/>
          <w:color w:val="000000" w:themeColor="text1"/>
          <w:kern w:val="20"/>
          <w:sz w:val="24"/>
          <w:szCs w:val="24"/>
          <w:lang w:val="ka-GE"/>
        </w:rPr>
      </w:pPr>
    </w:p>
    <w:p w:rsidR="00D14DC9" w:rsidRDefault="00D14DC9" w:rsidP="00842C3F">
      <w:pPr>
        <w:pStyle w:val="ListBulletT"/>
        <w:tabs>
          <w:tab w:val="left" w:pos="426"/>
        </w:tabs>
        <w:spacing w:before="0" w:after="0"/>
        <w:ind w:left="1440"/>
        <w:rPr>
          <w:color w:val="000000" w:themeColor="text1"/>
          <w:sz w:val="22"/>
          <w:szCs w:val="22"/>
        </w:rPr>
      </w:pPr>
    </w:p>
    <w:p w:rsidR="00B21F17" w:rsidRDefault="00B21F17" w:rsidP="00842C3F">
      <w:pPr>
        <w:pStyle w:val="ListBulletT"/>
        <w:tabs>
          <w:tab w:val="left" w:pos="426"/>
        </w:tabs>
        <w:spacing w:before="0" w:after="0"/>
        <w:ind w:left="1440"/>
        <w:rPr>
          <w:color w:val="000000" w:themeColor="text1"/>
          <w:sz w:val="22"/>
          <w:szCs w:val="22"/>
        </w:rPr>
      </w:pPr>
    </w:p>
    <w:p w:rsidR="00B21F17" w:rsidRDefault="00B21F17" w:rsidP="00842C3F">
      <w:pPr>
        <w:pStyle w:val="ListBulletT"/>
        <w:tabs>
          <w:tab w:val="left" w:pos="426"/>
        </w:tabs>
        <w:spacing w:before="0" w:after="0"/>
        <w:ind w:left="1440"/>
        <w:rPr>
          <w:color w:val="000000" w:themeColor="text1"/>
          <w:sz w:val="22"/>
          <w:szCs w:val="22"/>
        </w:rPr>
      </w:pPr>
    </w:p>
    <w:p w:rsidR="00B21F17" w:rsidRDefault="00B21F17" w:rsidP="00842C3F">
      <w:pPr>
        <w:pStyle w:val="ListBulletT"/>
        <w:tabs>
          <w:tab w:val="left" w:pos="426"/>
        </w:tabs>
        <w:spacing w:before="0" w:after="0"/>
        <w:ind w:left="1440"/>
        <w:rPr>
          <w:color w:val="000000" w:themeColor="text1"/>
          <w:sz w:val="22"/>
          <w:szCs w:val="22"/>
        </w:rPr>
      </w:pPr>
    </w:p>
    <w:p w:rsidR="00B21F17" w:rsidRDefault="00B21F17" w:rsidP="00842C3F">
      <w:pPr>
        <w:pStyle w:val="ListBulletT"/>
        <w:tabs>
          <w:tab w:val="left" w:pos="426"/>
        </w:tabs>
        <w:spacing w:before="0" w:after="0"/>
        <w:ind w:left="1440"/>
        <w:rPr>
          <w:color w:val="000000" w:themeColor="text1"/>
          <w:sz w:val="22"/>
          <w:szCs w:val="22"/>
        </w:rPr>
      </w:pPr>
    </w:p>
    <w:p w:rsidR="00B21F17" w:rsidRDefault="00B21F17" w:rsidP="00842C3F">
      <w:pPr>
        <w:pStyle w:val="ListBulletT"/>
        <w:tabs>
          <w:tab w:val="left" w:pos="426"/>
        </w:tabs>
        <w:spacing w:before="0" w:after="0"/>
        <w:ind w:left="1440"/>
        <w:rPr>
          <w:color w:val="000000" w:themeColor="text1"/>
          <w:sz w:val="22"/>
          <w:szCs w:val="22"/>
        </w:rPr>
      </w:pPr>
    </w:p>
    <w:p w:rsidR="00B21F17" w:rsidRPr="00E6566D" w:rsidRDefault="00B21F17" w:rsidP="00B21F17">
      <w:pPr>
        <w:jc w:val="center"/>
        <w:rPr>
          <w:rFonts w:ascii="Sylfaen" w:hAnsi="Sylfaen"/>
          <w:b/>
          <w:i/>
          <w:lang w:val="ka-GE"/>
        </w:rPr>
      </w:pPr>
      <w:r w:rsidRPr="00E6566D">
        <w:rPr>
          <w:rFonts w:ascii="Sylfaen" w:hAnsi="Sylfaen"/>
          <w:b/>
          <w:i/>
          <w:lang w:val="ka-GE"/>
        </w:rPr>
        <w:lastRenderedPageBreak/>
        <w:t>საგანგებო სიტუაციების კოორდინაციისა და რეჟიმის დეპარტამენტის მიერ, ჩატარდა სამედიცინო ტრანსპორტირების ელექტრონული პროგრამოს მონაცემების შედარება შემთხვევების რეგისტრაციის მოდულთან (საყოველთაო ჯანდაცვა)</w:t>
      </w:r>
      <w:r>
        <w:rPr>
          <w:rFonts w:ascii="Sylfaen" w:hAnsi="Sylfaen"/>
          <w:b/>
          <w:i/>
          <w:lang w:val="ka-GE"/>
        </w:rPr>
        <w:t xml:space="preserve"> თვეების მიხედვით</w:t>
      </w:r>
    </w:p>
    <w:p w:rsidR="00B21F17" w:rsidRDefault="00B21F17" w:rsidP="00B21F17">
      <w:pPr>
        <w:jc w:val="both"/>
        <w:rPr>
          <w:rFonts w:ascii="Sylfaen" w:hAnsi="Sylfaen"/>
          <w:lang w:val="ka-GE"/>
        </w:rPr>
      </w:pPr>
      <w:r w:rsidRPr="00831E6F">
        <w:rPr>
          <w:rFonts w:ascii="Sylfaen" w:hAnsi="Sylfaen"/>
          <w:b/>
          <w:i/>
          <w:lang w:val="ka-GE"/>
        </w:rPr>
        <w:t xml:space="preserve">2013 </w:t>
      </w:r>
      <w:r>
        <w:rPr>
          <w:rFonts w:ascii="Sylfaen" w:hAnsi="Sylfaen"/>
          <w:b/>
          <w:i/>
          <w:lang w:val="ka-GE"/>
        </w:rPr>
        <w:t xml:space="preserve"> </w:t>
      </w:r>
      <w:r w:rsidRPr="00831E6F">
        <w:rPr>
          <w:rFonts w:ascii="Sylfaen" w:hAnsi="Sylfaen"/>
          <w:b/>
          <w:i/>
          <w:lang w:val="ka-GE"/>
        </w:rPr>
        <w:t>წლის დეკემბერი</w:t>
      </w:r>
      <w:r>
        <w:rPr>
          <w:rFonts w:ascii="Sylfaen" w:hAnsi="Sylfaen"/>
          <w:lang w:val="ka-GE"/>
        </w:rPr>
        <w:t xml:space="preserve"> - სულ შედარდა 158 შემთხვევა, აქედან საეჭვოდ ჩაითვალა 17. გადამოწმების შედეგად დადგინდა რომ ტრანსპორტირება განხორციელდა ძირითადად შესაბამის კლინიკებში ადგილის არქონის გამო, 3 შემთხვევში (შპს ”ჰიგია”) მითითებული იყო არასწორი დიაგნოზი, კეძოდ თითქოს იყო ხელოვნური სუნთქვის აპარატის საჭიროება, რაც სინამდვილეს არ შეესაბემებოდა (პ.ნ. </w:t>
      </w:r>
      <w:r w:rsidRPr="00146CCD">
        <w:rPr>
          <w:rFonts w:ascii="Tahoma" w:eastAsia="Times New Roman" w:hAnsi="Tahoma" w:cs="Tahoma"/>
          <w:color w:val="333333"/>
          <w:sz w:val="20"/>
        </w:rPr>
        <w:t>18001040637</w:t>
      </w:r>
      <w:r>
        <w:rPr>
          <w:rFonts w:ascii="Sylfaen" w:eastAsia="Times New Roman" w:hAnsi="Sylfaen" w:cs="Tahoma"/>
          <w:color w:val="333333"/>
          <w:sz w:val="20"/>
          <w:lang w:val="ka-GE"/>
        </w:rPr>
        <w:t xml:space="preserve">; </w:t>
      </w:r>
      <w:r w:rsidRPr="00146CCD">
        <w:rPr>
          <w:rFonts w:ascii="Tahoma" w:eastAsia="Times New Roman" w:hAnsi="Tahoma" w:cs="Tahoma"/>
          <w:color w:val="333333"/>
          <w:sz w:val="20"/>
        </w:rPr>
        <w:t>18001040637</w:t>
      </w:r>
      <w:r>
        <w:rPr>
          <w:rFonts w:ascii="Sylfaen" w:eastAsia="Times New Roman" w:hAnsi="Sylfaen" w:cs="Tahoma"/>
          <w:color w:val="333333"/>
          <w:sz w:val="20"/>
          <w:lang w:val="ka-GE"/>
        </w:rPr>
        <w:t xml:space="preserve">; </w:t>
      </w:r>
      <w:r w:rsidRPr="00146CCD">
        <w:rPr>
          <w:rFonts w:ascii="Tahoma" w:eastAsia="Times New Roman" w:hAnsi="Tahoma" w:cs="Tahoma"/>
          <w:color w:val="333333"/>
          <w:sz w:val="20"/>
        </w:rPr>
        <w:t>62001016353</w:t>
      </w:r>
      <w:r>
        <w:rPr>
          <w:rFonts w:ascii="Sylfaen" w:hAnsi="Sylfaen"/>
          <w:lang w:val="ka-GE"/>
        </w:rPr>
        <w:t>)</w:t>
      </w:r>
    </w:p>
    <w:p w:rsidR="00B21F17" w:rsidRDefault="00B21F17" w:rsidP="00B21F17">
      <w:pPr>
        <w:jc w:val="both"/>
        <w:rPr>
          <w:rFonts w:ascii="Sylfaen" w:hAnsi="Sylfaen"/>
          <w:lang w:val="ka-GE"/>
        </w:rPr>
      </w:pPr>
      <w:r w:rsidRPr="00831E6F">
        <w:rPr>
          <w:rFonts w:ascii="Sylfaen" w:hAnsi="Sylfaen"/>
          <w:b/>
          <w:i/>
          <w:lang w:val="ka-GE"/>
        </w:rPr>
        <w:t>2014 წლის იანვარში</w:t>
      </w:r>
      <w:r>
        <w:rPr>
          <w:rFonts w:ascii="Sylfaen" w:hAnsi="Sylfaen"/>
          <w:lang w:val="ka-GE"/>
        </w:rPr>
        <w:t xml:space="preserve"> - </w:t>
      </w:r>
      <w:r w:rsidRPr="003A3810">
        <w:rPr>
          <w:rFonts w:ascii="Sylfaen" w:hAnsi="Sylfaen"/>
          <w:lang w:val="ka-GE"/>
        </w:rPr>
        <w:t>გადამოწმდა  372  პაციენტის  კატასტროფებისა და გადაუდებელი დახმარების სამსახურების მიერ განხორციელებული ტრანსპორტირების   ფაქტები</w:t>
      </w:r>
      <w:r>
        <w:rPr>
          <w:rFonts w:ascii="Sylfaen" w:hAnsi="Sylfaen"/>
          <w:lang w:val="ka-GE"/>
        </w:rPr>
        <w:t>,</w:t>
      </w:r>
      <w:r w:rsidRPr="003A3810">
        <w:rPr>
          <w:rFonts w:ascii="Sylfaen" w:hAnsi="Sylfaen"/>
          <w:lang w:val="ka-GE"/>
        </w:rPr>
        <w:t xml:space="preserve">  საიდანაც  საეჭვოდ  ჩაითვალა  22  შემთხვევა.  აქედან  18    შემთხვევა  დასრულდა  ლეტალური  გამოსავლით.</w:t>
      </w:r>
      <w:r>
        <w:rPr>
          <w:rFonts w:ascii="Sylfaen" w:hAnsi="Sylfaen"/>
          <w:lang w:val="ka-GE"/>
        </w:rPr>
        <w:t xml:space="preserve"> 4 საეჭვო შემთხვევიდან:</w:t>
      </w:r>
    </w:p>
    <w:p w:rsidR="00B21F17" w:rsidRPr="003A3810" w:rsidRDefault="00B21F17" w:rsidP="00B21F17">
      <w:pPr>
        <w:pStyle w:val="ListParagraph"/>
        <w:numPr>
          <w:ilvl w:val="0"/>
          <w:numId w:val="37"/>
        </w:numPr>
        <w:ind w:left="0" w:firstLine="0"/>
        <w:jc w:val="both"/>
        <w:rPr>
          <w:rFonts w:ascii="Sylfaen" w:eastAsia="Times New Roman" w:hAnsi="Sylfaen" w:cs="Tahoma"/>
          <w:color w:val="333333"/>
          <w:lang w:val="ka-GE"/>
        </w:rPr>
      </w:pPr>
      <w:r w:rsidRPr="003A3810">
        <w:rPr>
          <w:rFonts w:ascii="Sylfaen" w:eastAsia="Times New Roman" w:hAnsi="Sylfaen" w:cs="Tahoma"/>
          <w:color w:val="333333"/>
          <w:lang w:val="ka-GE"/>
        </w:rPr>
        <w:t>„შპს გადაუდებელი დახმარებისა და ქირურგიის ცენტრი ჰიგიაში“  „ააიპ საქართველოს საპატრიარქოს თერაპიული კლინიკა უპოვართათვის და მისი განვითარების ფონდი</w:t>
      </w:r>
      <w:r>
        <w:rPr>
          <w:rFonts w:ascii="Sylfaen" w:eastAsia="Times New Roman" w:hAnsi="Sylfaen" w:cs="Tahoma"/>
          <w:color w:val="333333"/>
          <w:lang w:val="ka-GE"/>
        </w:rPr>
        <w:t>“-</w:t>
      </w:r>
      <w:r w:rsidRPr="003A3810">
        <w:rPr>
          <w:rFonts w:ascii="Sylfaen" w:eastAsia="Times New Roman" w:hAnsi="Sylfaen" w:cs="Tahoma"/>
          <w:color w:val="333333"/>
          <w:lang w:val="ka-GE"/>
        </w:rPr>
        <w:t xml:space="preserve">დან </w:t>
      </w:r>
      <w:r>
        <w:rPr>
          <w:rFonts w:ascii="Sylfaen" w:eastAsia="Times New Roman" w:hAnsi="Sylfaen" w:cs="Tahoma"/>
          <w:color w:val="333333"/>
          <w:lang w:val="ka-GE"/>
        </w:rPr>
        <w:t xml:space="preserve">2014-01-13 03:20 -ზე </w:t>
      </w:r>
      <w:r w:rsidRPr="003A3810">
        <w:rPr>
          <w:rFonts w:ascii="Sylfaen" w:eastAsia="Times New Roman" w:hAnsi="Sylfaen" w:cs="Tahoma"/>
          <w:color w:val="333333"/>
          <w:lang w:val="ka-GE"/>
        </w:rPr>
        <w:t xml:space="preserve"> გადაყვანილი  იქნა  პაციენტი მარგალიტამიქიაშვილიპ/</w:t>
      </w:r>
      <w:r>
        <w:rPr>
          <w:rFonts w:ascii="Sylfaen" w:eastAsia="Times New Roman" w:hAnsi="Sylfaen" w:cs="Tahoma"/>
          <w:color w:val="333333"/>
          <w:lang w:val="ka-GE"/>
        </w:rPr>
        <w:t xml:space="preserve">ნ </w:t>
      </w:r>
      <w:r w:rsidRPr="003A3810">
        <w:rPr>
          <w:rFonts w:ascii="Sylfaen" w:eastAsia="Times New Roman" w:hAnsi="Sylfaen" w:cs="Tahoma"/>
          <w:color w:val="333333"/>
          <w:lang w:val="ka-GE"/>
        </w:rPr>
        <w:t>01030046242</w:t>
      </w:r>
      <w:r>
        <w:rPr>
          <w:rFonts w:ascii="Sylfaen" w:eastAsia="Times New Roman" w:hAnsi="Sylfaen" w:cs="Tahoma"/>
          <w:color w:val="333333"/>
          <w:lang w:val="ka-GE"/>
        </w:rPr>
        <w:t xml:space="preserve"> - </w:t>
      </w:r>
      <w:r w:rsidRPr="003A3810">
        <w:rPr>
          <w:rFonts w:ascii="Sylfaen" w:eastAsia="Times New Roman" w:hAnsi="Sylfaen" w:cs="Tahoma"/>
          <w:color w:val="333333"/>
          <w:lang w:val="ka-GE"/>
        </w:rPr>
        <w:t xml:space="preserve">J96.0სუნთქვის მწვავე უკმარისობით,  სადაც </w:t>
      </w:r>
      <w:r>
        <w:rPr>
          <w:rFonts w:ascii="Sylfaen" w:eastAsia="Times New Roman" w:hAnsi="Sylfaen" w:cs="Tahoma"/>
          <w:color w:val="333333"/>
          <w:lang w:val="ka-GE"/>
        </w:rPr>
        <w:t>დაყოვნდა</w:t>
      </w:r>
      <w:r w:rsidRPr="003A3810">
        <w:rPr>
          <w:rFonts w:ascii="Sylfaen" w:eastAsia="Times New Roman" w:hAnsi="Sylfaen" w:cs="Tahoma"/>
          <w:color w:val="333333"/>
          <w:lang w:val="ka-GE"/>
        </w:rPr>
        <w:t xml:space="preserve">  10სთ.</w:t>
      </w:r>
    </w:p>
    <w:p w:rsidR="00B21F17" w:rsidRPr="003A3810" w:rsidRDefault="00B21F17" w:rsidP="00B21F17">
      <w:pPr>
        <w:pStyle w:val="ListParagraph"/>
        <w:numPr>
          <w:ilvl w:val="0"/>
          <w:numId w:val="37"/>
        </w:numPr>
        <w:ind w:left="0" w:firstLine="0"/>
        <w:jc w:val="both"/>
        <w:rPr>
          <w:rFonts w:ascii="Sylfaen" w:eastAsia="Times New Roman" w:hAnsi="Sylfaen" w:cs="Tahoma"/>
          <w:color w:val="333333"/>
          <w:lang w:val="ka-GE"/>
        </w:rPr>
      </w:pPr>
      <w:r w:rsidRPr="003A3810">
        <w:rPr>
          <w:rFonts w:ascii="Sylfaen" w:eastAsia="Times New Roman" w:hAnsi="Sylfaen" w:cs="Tahoma"/>
          <w:color w:val="333333"/>
          <w:lang w:val="ka-GE"/>
        </w:rPr>
        <w:t xml:space="preserve">ს/ს "თანამედროვე სამედიცინო ტექნოლოგიები"-ში  გადაიყვანეს   შპს </w:t>
      </w:r>
      <w:r>
        <w:rPr>
          <w:rFonts w:ascii="Sylfaen" w:eastAsia="Times New Roman" w:hAnsi="Sylfaen" w:cs="Tahoma"/>
          <w:color w:val="333333"/>
          <w:lang w:val="ka-GE"/>
        </w:rPr>
        <w:t>”№</w:t>
      </w:r>
      <w:r w:rsidRPr="003A3810">
        <w:rPr>
          <w:rFonts w:ascii="Sylfaen" w:eastAsia="Times New Roman" w:hAnsi="Sylfaen" w:cs="Tahoma"/>
          <w:color w:val="333333"/>
          <w:lang w:val="ka-GE"/>
        </w:rPr>
        <w:t>5 კლინიკური საავადმყოფო</w:t>
      </w:r>
      <w:r>
        <w:rPr>
          <w:rFonts w:ascii="Sylfaen" w:eastAsia="Times New Roman" w:hAnsi="Sylfaen" w:cs="Tahoma"/>
          <w:color w:val="333333"/>
          <w:lang w:val="ka-GE"/>
        </w:rPr>
        <w:t>”</w:t>
      </w:r>
      <w:r w:rsidRPr="003A3810">
        <w:rPr>
          <w:rFonts w:ascii="Sylfaen" w:eastAsia="Times New Roman" w:hAnsi="Sylfaen" w:cs="Tahoma"/>
          <w:color w:val="333333"/>
          <w:lang w:val="ka-GE"/>
        </w:rPr>
        <w:t>-დან ცირეკიძე</w:t>
      </w:r>
      <w:r>
        <w:rPr>
          <w:rFonts w:ascii="Sylfaen" w:eastAsia="Times New Roman" w:hAnsi="Sylfaen" w:cs="Tahoma"/>
          <w:color w:val="333333"/>
          <w:lang w:val="ka-GE"/>
        </w:rPr>
        <w:t xml:space="preserve"> </w:t>
      </w:r>
      <w:r w:rsidRPr="003A3810">
        <w:rPr>
          <w:rFonts w:ascii="Sylfaen" w:eastAsia="Times New Roman" w:hAnsi="Sylfaen" w:cs="Tahoma"/>
          <w:color w:val="333333"/>
          <w:lang w:val="ka-GE"/>
        </w:rPr>
        <w:t>იური</w:t>
      </w:r>
      <w:r>
        <w:rPr>
          <w:rFonts w:ascii="Sylfaen" w:eastAsia="Times New Roman" w:hAnsi="Sylfaen" w:cs="Tahoma"/>
          <w:color w:val="333333"/>
          <w:lang w:val="ka-GE"/>
        </w:rPr>
        <w:t xml:space="preserve"> პ/ნ </w:t>
      </w:r>
      <w:r w:rsidRPr="003A3810">
        <w:rPr>
          <w:rFonts w:ascii="Sylfaen" w:eastAsia="Times New Roman" w:hAnsi="Sylfaen" w:cs="Tahoma"/>
          <w:color w:val="333333"/>
          <w:lang w:val="ka-GE"/>
        </w:rPr>
        <w:t>01001037389 II დონის ინტენსიური მკურნალობა</w:t>
      </w:r>
      <w:r>
        <w:rPr>
          <w:rFonts w:ascii="Sylfaen" w:eastAsia="Times New Roman" w:hAnsi="Sylfaen" w:cs="Tahoma"/>
          <w:color w:val="333333"/>
          <w:lang w:val="ka-GE"/>
        </w:rPr>
        <w:t>. გაუკეთდა</w:t>
      </w:r>
      <w:r w:rsidRPr="003A3810">
        <w:rPr>
          <w:rFonts w:ascii="Sylfaen" w:eastAsia="Times New Roman" w:hAnsi="Sylfaen" w:cs="Tahoma"/>
          <w:color w:val="333333"/>
          <w:lang w:val="ka-GE"/>
        </w:rPr>
        <w:t xml:space="preserve">  გადასხმა  და  გაწერეს</w:t>
      </w:r>
      <w:r>
        <w:rPr>
          <w:rFonts w:ascii="Sylfaen" w:eastAsia="Times New Roman" w:hAnsi="Sylfaen" w:cs="Tahoma"/>
          <w:color w:val="333333"/>
          <w:lang w:val="ka-GE"/>
        </w:rPr>
        <w:t>.</w:t>
      </w:r>
    </w:p>
    <w:p w:rsidR="00B21F17" w:rsidRPr="003A3810" w:rsidRDefault="00B21F17" w:rsidP="00B21F17">
      <w:pPr>
        <w:pStyle w:val="ListParagraph"/>
        <w:numPr>
          <w:ilvl w:val="0"/>
          <w:numId w:val="37"/>
        </w:numPr>
        <w:ind w:left="0" w:firstLine="0"/>
        <w:jc w:val="both"/>
        <w:rPr>
          <w:rFonts w:ascii="Sylfaen" w:eastAsia="Times New Roman" w:hAnsi="Sylfaen" w:cs="Tahoma"/>
          <w:color w:val="333333"/>
          <w:lang w:val="ka-GE"/>
        </w:rPr>
      </w:pPr>
      <w:r>
        <w:rPr>
          <w:rFonts w:ascii="Sylfaen" w:eastAsia="Times New Roman" w:hAnsi="Sylfaen" w:cs="Tahoma"/>
          <w:color w:val="333333"/>
          <w:lang w:val="ka-GE"/>
        </w:rPr>
        <w:t>შპს  „კლინიკა  რუსთავი“- დან   შპს "Med Care" -</w:t>
      </w:r>
      <w:r w:rsidRPr="003A3810">
        <w:rPr>
          <w:rFonts w:ascii="Sylfaen" w:eastAsia="Times New Roman" w:hAnsi="Sylfaen" w:cs="Tahoma"/>
          <w:color w:val="333333"/>
          <w:lang w:val="ka-GE"/>
        </w:rPr>
        <w:t>ის   მიერ  გადაყვანილი  იქნა   შოშიკელაშვილი  ილია  პ/ნ 35001041713    „ შპს.  ს. ხეჩინაშვილის  სახე</w:t>
      </w:r>
      <w:r>
        <w:rPr>
          <w:rFonts w:ascii="Sylfaen" w:eastAsia="Times New Roman" w:hAnsi="Sylfaen" w:cs="Tahoma"/>
          <w:color w:val="333333"/>
          <w:lang w:val="ka-GE"/>
        </w:rPr>
        <w:t>ლობის  საუნივერსიტეტო  კლინიკა“-</w:t>
      </w:r>
      <w:r w:rsidRPr="003A3810">
        <w:rPr>
          <w:rFonts w:ascii="Sylfaen" w:eastAsia="Times New Roman" w:hAnsi="Sylfaen" w:cs="Tahoma"/>
          <w:color w:val="333333"/>
          <w:lang w:val="ka-GE"/>
        </w:rPr>
        <w:t>ში,  სადაც   ექიმის  გადმოცემით,  პაციენტის   მდგომარეობის  მართვა  ტექნიკურად  შეუძლებელი  იყო ( არასწორად  იქ</w:t>
      </w:r>
      <w:r>
        <w:rPr>
          <w:rFonts w:ascii="Sylfaen" w:eastAsia="Times New Roman" w:hAnsi="Sylfaen" w:cs="Tahoma"/>
          <w:color w:val="333333"/>
          <w:lang w:val="ka-GE"/>
        </w:rPr>
        <w:t xml:space="preserve">ნა  კლინიკა  შერჩეული)  და 3 სთ </w:t>
      </w:r>
      <w:r w:rsidRPr="003A3810">
        <w:rPr>
          <w:rFonts w:ascii="Sylfaen" w:eastAsia="Times New Roman" w:hAnsi="Sylfaen" w:cs="Tahoma"/>
          <w:color w:val="333333"/>
          <w:lang w:val="ka-GE"/>
        </w:rPr>
        <w:t xml:space="preserve"> დაყოვნების  შემდეგ    „ შპს.  ს. ხეჩინაშვილის  სახე</w:t>
      </w:r>
      <w:r>
        <w:rPr>
          <w:rFonts w:ascii="Sylfaen" w:eastAsia="Times New Roman" w:hAnsi="Sylfaen" w:cs="Tahoma"/>
          <w:color w:val="333333"/>
          <w:lang w:val="ka-GE"/>
        </w:rPr>
        <w:t>ლობის  საუნივერსიტეტო  კლინიკა“-</w:t>
      </w:r>
      <w:r w:rsidRPr="003A3810">
        <w:rPr>
          <w:rFonts w:ascii="Sylfaen" w:eastAsia="Times New Roman" w:hAnsi="Sylfaen" w:cs="Tahoma"/>
          <w:color w:val="333333"/>
          <w:lang w:val="ka-GE"/>
        </w:rPr>
        <w:t xml:space="preserve">დან   პაციენტი  </w:t>
      </w:r>
      <w:r>
        <w:rPr>
          <w:rFonts w:ascii="Sylfaen" w:eastAsia="Times New Roman" w:hAnsi="Sylfaen" w:cs="Tahoma"/>
          <w:color w:val="333333"/>
          <w:lang w:val="ka-GE"/>
        </w:rPr>
        <w:t xml:space="preserve"> გადაიყვანა  „ემერჯენს  სერვის“-</w:t>
      </w:r>
      <w:r w:rsidRPr="003A3810">
        <w:rPr>
          <w:rFonts w:ascii="Sylfaen" w:eastAsia="Times New Roman" w:hAnsi="Sylfaen" w:cs="Tahoma"/>
          <w:color w:val="333333"/>
          <w:lang w:val="ka-GE"/>
        </w:rPr>
        <w:t>მა       შპს "ნიკოლოზ ბარნოვის სახელობის ჰოს</w:t>
      </w:r>
      <w:r>
        <w:rPr>
          <w:rFonts w:ascii="Sylfaen" w:eastAsia="Times New Roman" w:hAnsi="Sylfaen" w:cs="Tahoma"/>
          <w:color w:val="333333"/>
          <w:lang w:val="ka-GE"/>
        </w:rPr>
        <w:t>პიტალ"-</w:t>
      </w:r>
      <w:r w:rsidRPr="003A3810">
        <w:rPr>
          <w:rFonts w:ascii="Sylfaen" w:eastAsia="Times New Roman" w:hAnsi="Sylfaen" w:cs="Tahoma"/>
          <w:color w:val="333333"/>
          <w:lang w:val="ka-GE"/>
        </w:rPr>
        <w:t>ში.</w:t>
      </w:r>
    </w:p>
    <w:p w:rsidR="00B21F17" w:rsidRPr="003A3810" w:rsidRDefault="00B21F17" w:rsidP="00B21F17">
      <w:pPr>
        <w:pStyle w:val="ListParagraph"/>
        <w:numPr>
          <w:ilvl w:val="0"/>
          <w:numId w:val="37"/>
        </w:numPr>
        <w:ind w:left="0" w:firstLine="0"/>
        <w:jc w:val="both"/>
        <w:rPr>
          <w:rFonts w:ascii="Sylfaen" w:eastAsia="Times New Roman" w:hAnsi="Sylfaen" w:cs="Tahoma"/>
          <w:color w:val="333333"/>
          <w:lang w:val="ka-GE"/>
        </w:rPr>
      </w:pPr>
      <w:r>
        <w:rPr>
          <w:rFonts w:ascii="Sylfaen" w:eastAsia="Times New Roman" w:hAnsi="Sylfaen" w:cs="Tahoma"/>
          <w:color w:val="333333"/>
          <w:lang w:val="ka-GE"/>
        </w:rPr>
        <w:t>შ.პ.ს.  "ადაპტი"-</w:t>
      </w:r>
      <w:r w:rsidRPr="003A3810">
        <w:rPr>
          <w:rFonts w:ascii="Sylfaen" w:eastAsia="Times New Roman" w:hAnsi="Sylfaen" w:cs="Tahoma"/>
          <w:color w:val="333333"/>
          <w:lang w:val="ka-GE"/>
        </w:rPr>
        <w:t>დან    შპს</w:t>
      </w:r>
      <w:r>
        <w:rPr>
          <w:rFonts w:ascii="Sylfaen" w:eastAsia="Times New Roman" w:hAnsi="Sylfaen" w:cs="Tahoma"/>
          <w:color w:val="333333"/>
          <w:lang w:val="ka-GE"/>
        </w:rPr>
        <w:t xml:space="preserve"> "კატასტროფის მედიცინის ცენტრი"-</w:t>
      </w:r>
      <w:r w:rsidRPr="003A3810">
        <w:rPr>
          <w:rFonts w:ascii="Sylfaen" w:eastAsia="Times New Roman" w:hAnsi="Sylfaen" w:cs="Tahoma"/>
          <w:color w:val="333333"/>
          <w:lang w:val="ka-GE"/>
        </w:rPr>
        <w:t xml:space="preserve">ის  მიერ გადაყვანილი  იქნა   ზალდასტანიშვილი    სერგო  პ/ნ01024025621     </w:t>
      </w:r>
      <w:r>
        <w:rPr>
          <w:rFonts w:ascii="Sylfaen" w:eastAsia="Times New Roman" w:hAnsi="Sylfaen" w:cs="Tahoma"/>
          <w:color w:val="333333"/>
          <w:lang w:val="ka-GE"/>
        </w:rPr>
        <w:t xml:space="preserve"> შპს ”ალსს” -</w:t>
      </w:r>
      <w:r w:rsidRPr="003A3810">
        <w:rPr>
          <w:rFonts w:ascii="Sylfaen" w:eastAsia="Times New Roman" w:hAnsi="Sylfaen" w:cs="Tahoma"/>
          <w:color w:val="333333"/>
          <w:lang w:val="ka-GE"/>
        </w:rPr>
        <w:t>ში,  სადაც  ექიმთან  გასაუბრების  შემდეგ  გაირკვა,  რომ  პაციენ</w:t>
      </w:r>
      <w:r>
        <w:rPr>
          <w:rFonts w:ascii="Sylfaen" w:eastAsia="Times New Roman" w:hAnsi="Sylfaen" w:cs="Tahoma"/>
          <w:color w:val="333333"/>
          <w:lang w:val="ka-GE"/>
        </w:rPr>
        <w:t>ტ</w:t>
      </w:r>
      <w:r w:rsidRPr="003A3810">
        <w:rPr>
          <w:rFonts w:ascii="Sylfaen" w:eastAsia="Times New Roman" w:hAnsi="Sylfaen" w:cs="Tahoma"/>
          <w:color w:val="333333"/>
          <w:lang w:val="ka-GE"/>
        </w:rPr>
        <w:t xml:space="preserve">ს  ჰქონდა   სუნთქვის მწვავე უკმარისობა,  ჩაუტარდა  მკურნალობა,  შემდგომი  დამძიმების  გამო  (თირკმლების მწვავე </w:t>
      </w:r>
      <w:r>
        <w:rPr>
          <w:rFonts w:ascii="Sylfaen" w:eastAsia="Times New Roman" w:hAnsi="Sylfaen" w:cs="Tahoma"/>
          <w:color w:val="333333"/>
          <w:lang w:val="ka-GE"/>
        </w:rPr>
        <w:t>უკმარისობა, დაუზუსტებელი)  24სთ-</w:t>
      </w:r>
      <w:r w:rsidRPr="003A3810">
        <w:rPr>
          <w:rFonts w:ascii="Sylfaen" w:eastAsia="Times New Roman" w:hAnsi="Sylfaen" w:cs="Tahoma"/>
          <w:color w:val="333333"/>
          <w:lang w:val="ka-GE"/>
        </w:rPr>
        <w:t>ს  შემდეგ   კატასტროფის ცენტრი  შ.პ.ს. „MEDLIFE”_მიერ  გადაყვანილი იქნა      სს "კ. ერისთავის სახ. ექსპერიმენტული და კლინიკური ქირურგიი</w:t>
      </w:r>
      <w:r>
        <w:rPr>
          <w:rFonts w:ascii="Sylfaen" w:eastAsia="Times New Roman" w:hAnsi="Sylfaen" w:cs="Tahoma"/>
          <w:color w:val="333333"/>
          <w:lang w:val="ka-GE"/>
        </w:rPr>
        <w:t>ს ეროვნული ცენტრი",  სადაც  2სთ-</w:t>
      </w:r>
      <w:r w:rsidRPr="003A3810">
        <w:rPr>
          <w:rFonts w:ascii="Sylfaen" w:eastAsia="Times New Roman" w:hAnsi="Sylfaen" w:cs="Tahoma"/>
          <w:color w:val="333333"/>
          <w:lang w:val="ka-GE"/>
        </w:rPr>
        <w:t>ში  გარდაიცვალა.</w:t>
      </w:r>
    </w:p>
    <w:p w:rsidR="00B21F17" w:rsidRDefault="00B21F17" w:rsidP="00B21F17">
      <w:pPr>
        <w:jc w:val="both"/>
        <w:rPr>
          <w:rFonts w:ascii="Sylfaen" w:hAnsi="Sylfaen"/>
          <w:lang w:val="ka-GE"/>
        </w:rPr>
      </w:pPr>
    </w:p>
    <w:p w:rsidR="00B21F17" w:rsidRDefault="00B21F17" w:rsidP="00B21F17">
      <w:pPr>
        <w:jc w:val="both"/>
        <w:rPr>
          <w:rFonts w:ascii="Sylfaen" w:hAnsi="Sylfaen"/>
        </w:rPr>
      </w:pPr>
      <w:r w:rsidRPr="00831E6F">
        <w:rPr>
          <w:rFonts w:ascii="Sylfaen" w:hAnsi="Sylfaen"/>
          <w:b/>
          <w:i/>
          <w:lang w:val="ka-GE"/>
        </w:rPr>
        <w:t>2014 წლის თებერვალში</w:t>
      </w:r>
      <w:r>
        <w:rPr>
          <w:rFonts w:ascii="Sylfaen" w:hAnsi="Sylfaen"/>
          <w:lang w:val="ka-GE"/>
        </w:rPr>
        <w:t xml:space="preserve">  - </w:t>
      </w:r>
      <w:r w:rsidRPr="003A3810">
        <w:rPr>
          <w:rFonts w:ascii="Sylfaen" w:hAnsi="Sylfaen"/>
          <w:lang w:val="ka-GE"/>
        </w:rPr>
        <w:t xml:space="preserve">გადამოწმდა  </w:t>
      </w:r>
      <w:r>
        <w:rPr>
          <w:rFonts w:ascii="Sylfaen" w:hAnsi="Sylfaen"/>
        </w:rPr>
        <w:t>313</w:t>
      </w:r>
      <w:r w:rsidRPr="003A3810">
        <w:rPr>
          <w:rFonts w:ascii="Sylfaen" w:hAnsi="Sylfaen"/>
          <w:lang w:val="ka-GE"/>
        </w:rPr>
        <w:t xml:space="preserve">  პაციენტის  კატასტროფებისა და გადაუდებელი დახმარების სამსახურების მიერ განხორციელებული ტრანსპორტირების   </w:t>
      </w:r>
      <w:r>
        <w:rPr>
          <w:rFonts w:ascii="Sylfaen" w:hAnsi="Sylfaen"/>
          <w:lang w:val="ka-GE"/>
        </w:rPr>
        <w:t>ფაქტ</w:t>
      </w:r>
      <w:r w:rsidRPr="003A3810">
        <w:rPr>
          <w:rFonts w:ascii="Sylfaen" w:hAnsi="Sylfaen"/>
          <w:lang w:val="ka-GE"/>
        </w:rPr>
        <w:t>ი</w:t>
      </w:r>
      <w:r>
        <w:rPr>
          <w:rFonts w:ascii="Sylfaen" w:hAnsi="Sylfaen"/>
          <w:lang w:val="ka-GE"/>
        </w:rPr>
        <w:t>,</w:t>
      </w:r>
      <w:r w:rsidRPr="003A3810">
        <w:rPr>
          <w:rFonts w:ascii="Sylfaen" w:hAnsi="Sylfaen"/>
          <w:lang w:val="ka-GE"/>
        </w:rPr>
        <w:t xml:space="preserve">  საიდანაც  საეჭვოდ  ჩაითვალა  </w:t>
      </w:r>
      <w:r>
        <w:rPr>
          <w:rFonts w:ascii="Sylfaen" w:hAnsi="Sylfaen"/>
        </w:rPr>
        <w:t>18</w:t>
      </w:r>
      <w:r w:rsidRPr="003A3810">
        <w:rPr>
          <w:rFonts w:ascii="Sylfaen" w:hAnsi="Sylfaen"/>
          <w:lang w:val="ka-GE"/>
        </w:rPr>
        <w:t xml:space="preserve">  შემთხვევა.  აქედან  1</w:t>
      </w:r>
      <w:r>
        <w:rPr>
          <w:rFonts w:ascii="Sylfaen" w:hAnsi="Sylfaen"/>
        </w:rPr>
        <w:t>3</w:t>
      </w:r>
      <w:r w:rsidRPr="003A3810">
        <w:rPr>
          <w:rFonts w:ascii="Sylfaen" w:hAnsi="Sylfaen"/>
          <w:lang w:val="ka-GE"/>
        </w:rPr>
        <w:t xml:space="preserve">    შემთხვევა  დასრულდა  ლეტალური  გამოსავლით.</w:t>
      </w:r>
      <w:r>
        <w:rPr>
          <w:rFonts w:ascii="Sylfaen" w:hAnsi="Sylfaen"/>
          <w:lang w:val="ka-GE"/>
        </w:rPr>
        <w:t xml:space="preserve"> </w:t>
      </w:r>
      <w:r>
        <w:rPr>
          <w:rFonts w:ascii="Sylfaen" w:hAnsi="Sylfaen"/>
        </w:rPr>
        <w:t>5</w:t>
      </w:r>
      <w:r>
        <w:rPr>
          <w:rFonts w:ascii="Sylfaen" w:hAnsi="Sylfaen"/>
          <w:lang w:val="ka-GE"/>
        </w:rPr>
        <w:t xml:space="preserve"> საეჭვო შემთხვევიდან  გაირკვა,  რომ  პაციენტების  შემდგომი  სწრაფი  დამძიმების  გამო  გადაყვანილნი  იქნენ  სხვა  პროფილის  კლინიკებში.</w:t>
      </w:r>
    </w:p>
    <w:p w:rsidR="00B21F17" w:rsidRPr="005103EC" w:rsidRDefault="00B21F17" w:rsidP="00B21F17">
      <w:pPr>
        <w:jc w:val="both"/>
        <w:rPr>
          <w:rFonts w:ascii="Sylfaen" w:hAnsi="Sylfaen"/>
          <w:lang w:val="ka-GE"/>
        </w:rPr>
      </w:pPr>
    </w:p>
    <w:p w:rsidR="00B21F17" w:rsidRPr="005103EC" w:rsidRDefault="00B21F17" w:rsidP="00B21F17">
      <w:pPr>
        <w:jc w:val="both"/>
        <w:rPr>
          <w:rFonts w:ascii="Sylfaen" w:hAnsi="Sylfaen"/>
          <w:lang w:val="ka-GE"/>
        </w:rPr>
      </w:pPr>
      <w:r w:rsidRPr="00831E6F">
        <w:rPr>
          <w:rFonts w:ascii="Sylfaen" w:hAnsi="Sylfaen"/>
          <w:b/>
          <w:i/>
          <w:lang w:val="ka-GE"/>
        </w:rPr>
        <w:t>2014 წლის მარტში</w:t>
      </w:r>
      <w:r>
        <w:rPr>
          <w:rFonts w:ascii="Sylfaen" w:hAnsi="Sylfaen"/>
          <w:lang w:val="ka-GE"/>
        </w:rPr>
        <w:t xml:space="preserve"> </w:t>
      </w:r>
      <w:r w:rsidRPr="005103EC">
        <w:rPr>
          <w:rFonts w:ascii="Sylfaen" w:hAnsi="Sylfaen"/>
          <w:lang w:val="ka-GE"/>
        </w:rPr>
        <w:t xml:space="preserve">საყოველთაო ჯანდაცვის მართვის დეპარტამენტის  მიერ მოწოდებული ტრანსპორტირებული პაციენტების </w:t>
      </w:r>
      <w:r>
        <w:rPr>
          <w:rFonts w:ascii="Sylfaen" w:hAnsi="Sylfaen"/>
          <w:lang w:val="ka-GE"/>
        </w:rPr>
        <w:t xml:space="preserve"> </w:t>
      </w:r>
      <w:r w:rsidRPr="005103EC">
        <w:rPr>
          <w:rFonts w:ascii="Sylfaen" w:hAnsi="Sylfaen"/>
          <w:lang w:val="ka-GE"/>
        </w:rPr>
        <w:t xml:space="preserve">რაოდენობა </w:t>
      </w:r>
      <w:r>
        <w:rPr>
          <w:rFonts w:ascii="Sylfaen" w:hAnsi="Sylfaen"/>
          <w:lang w:val="ka-GE"/>
        </w:rPr>
        <w:t>შეადგენდა 260</w:t>
      </w:r>
      <w:r w:rsidRPr="005103EC">
        <w:rPr>
          <w:rFonts w:ascii="Sylfaen" w:hAnsi="Sylfaen"/>
          <w:lang w:val="ka-GE"/>
        </w:rPr>
        <w:t>.</w:t>
      </w:r>
      <w:r>
        <w:rPr>
          <w:rFonts w:ascii="Sylfaen" w:hAnsi="Sylfaen"/>
          <w:lang w:val="ka-GE"/>
        </w:rPr>
        <w:t xml:space="preserve"> </w:t>
      </w:r>
      <w:r w:rsidRPr="005103EC">
        <w:rPr>
          <w:rFonts w:ascii="Sylfaen" w:hAnsi="Sylfaen"/>
          <w:lang w:val="ka-GE"/>
        </w:rPr>
        <w:t xml:space="preserve">ინფორმაციის შეჯერების შედეგად კატასტროფებისა და გადაუდებელი დახმარების სამსახურების მონიტორინგის ელექტრონული პროგრამის ბაზაში აღმოჩნდა მხოლოდ </w:t>
      </w:r>
      <w:r>
        <w:rPr>
          <w:rFonts w:ascii="Sylfaen" w:hAnsi="Sylfaen"/>
          <w:lang w:val="ka-GE"/>
        </w:rPr>
        <w:t>239</w:t>
      </w:r>
      <w:r w:rsidRPr="005103EC">
        <w:rPr>
          <w:rFonts w:ascii="Sylfaen" w:hAnsi="Sylfaen"/>
          <w:lang w:val="ka-GE"/>
        </w:rPr>
        <w:t xml:space="preserve"> პაციენტი,</w:t>
      </w:r>
      <w:r>
        <w:rPr>
          <w:rFonts w:ascii="Sylfaen" w:hAnsi="Sylfaen"/>
          <w:lang w:val="ka-GE"/>
        </w:rPr>
        <w:t xml:space="preserve"> </w:t>
      </w:r>
      <w:r w:rsidRPr="005103EC">
        <w:rPr>
          <w:rFonts w:ascii="Sylfaen" w:hAnsi="Sylfaen"/>
          <w:lang w:val="ka-GE"/>
        </w:rPr>
        <w:t xml:space="preserve">რომელიც საოველთაო ჯანდაცვის  პროგრამით  </w:t>
      </w:r>
      <w:r>
        <w:rPr>
          <w:rFonts w:ascii="Sylfaen" w:hAnsi="Sylfaen"/>
          <w:lang w:val="ka-GE"/>
        </w:rPr>
        <w:t>იყო</w:t>
      </w:r>
      <w:r w:rsidRPr="005103EC">
        <w:rPr>
          <w:rFonts w:ascii="Sylfaen" w:hAnsi="Sylfaen"/>
          <w:lang w:val="ka-GE"/>
        </w:rPr>
        <w:t xml:space="preserve"> დაფინანსებული. </w:t>
      </w:r>
      <w:r>
        <w:rPr>
          <w:rFonts w:ascii="Sylfaen" w:hAnsi="Sylfaen"/>
          <w:lang w:val="ka-GE"/>
        </w:rPr>
        <w:t xml:space="preserve"> აქედან:</w:t>
      </w:r>
    </w:p>
    <w:p w:rsidR="00B21F17" w:rsidRPr="005103EC" w:rsidRDefault="00B21F17" w:rsidP="00B21F17">
      <w:pPr>
        <w:pStyle w:val="ListParagraph"/>
        <w:numPr>
          <w:ilvl w:val="0"/>
          <w:numId w:val="40"/>
        </w:numPr>
        <w:ind w:left="0" w:firstLine="0"/>
        <w:jc w:val="both"/>
        <w:rPr>
          <w:rFonts w:ascii="Sylfaen" w:hAnsi="Sylfaen"/>
          <w:sz w:val="24"/>
          <w:szCs w:val="24"/>
        </w:rPr>
      </w:pPr>
      <w:r w:rsidRPr="005103EC">
        <w:rPr>
          <w:rFonts w:ascii="Sylfaen" w:hAnsi="Sylfaen" w:cs="Sylfaen"/>
          <w:lang w:val="ka-GE"/>
        </w:rPr>
        <w:t>მიოკარდიუმის</w:t>
      </w:r>
      <w:r w:rsidRPr="005103EC">
        <w:rPr>
          <w:rFonts w:ascii="Sylfaen" w:hAnsi="Sylfaen"/>
          <w:lang w:val="ka-GE"/>
        </w:rPr>
        <w:t xml:space="preserve"> ინფარქტი </w:t>
      </w:r>
      <w:r>
        <w:rPr>
          <w:rFonts w:ascii="Sylfaen" w:hAnsi="Sylfaen"/>
          <w:lang w:val="ka-GE"/>
        </w:rPr>
        <w:t>6</w:t>
      </w:r>
      <w:r w:rsidRPr="005103EC">
        <w:rPr>
          <w:rFonts w:ascii="Sylfaen" w:hAnsi="Sylfaen"/>
        </w:rPr>
        <w:t xml:space="preserve">0  </w:t>
      </w:r>
      <w:r w:rsidRPr="005103EC">
        <w:rPr>
          <w:rFonts w:ascii="Sylfaen" w:hAnsi="Sylfaen"/>
          <w:lang w:val="ka-GE"/>
        </w:rPr>
        <w:t>შემთხვევა</w:t>
      </w:r>
    </w:p>
    <w:p w:rsidR="00B21F17" w:rsidRPr="005103EC" w:rsidRDefault="00B21F17" w:rsidP="00B21F17">
      <w:pPr>
        <w:pStyle w:val="ListParagraph"/>
        <w:numPr>
          <w:ilvl w:val="0"/>
          <w:numId w:val="40"/>
        </w:numPr>
        <w:ind w:left="0" w:firstLine="0"/>
        <w:jc w:val="both"/>
        <w:rPr>
          <w:rFonts w:ascii="Sylfaen" w:hAnsi="Sylfaen"/>
        </w:rPr>
      </w:pPr>
      <w:r w:rsidRPr="005103EC">
        <w:rPr>
          <w:rFonts w:ascii="Sylfaen" w:hAnsi="Sylfaen"/>
          <w:lang w:val="ka-GE"/>
        </w:rPr>
        <w:t xml:space="preserve">სტენოკარდია   </w:t>
      </w:r>
      <w:r w:rsidRPr="005103EC">
        <w:rPr>
          <w:rFonts w:ascii="Sylfaen" w:hAnsi="Sylfaen"/>
        </w:rPr>
        <w:t>1</w:t>
      </w:r>
      <w:r w:rsidRPr="005103EC">
        <w:rPr>
          <w:rFonts w:ascii="Sylfaen" w:hAnsi="Sylfaen"/>
          <w:lang w:val="ka-GE"/>
        </w:rPr>
        <w:t>9</w:t>
      </w:r>
    </w:p>
    <w:p w:rsidR="00B21F17" w:rsidRPr="005103EC" w:rsidRDefault="00B21F17" w:rsidP="00B21F17">
      <w:pPr>
        <w:pStyle w:val="ListParagraph"/>
        <w:numPr>
          <w:ilvl w:val="0"/>
          <w:numId w:val="40"/>
        </w:numPr>
        <w:ind w:left="0" w:firstLine="0"/>
        <w:jc w:val="both"/>
        <w:rPr>
          <w:rFonts w:ascii="Sylfaen" w:hAnsi="Sylfaen"/>
          <w:sz w:val="24"/>
          <w:szCs w:val="24"/>
        </w:rPr>
      </w:pPr>
      <w:r w:rsidRPr="005103EC">
        <w:rPr>
          <w:rFonts w:ascii="Sylfaen" w:hAnsi="Sylfaen" w:cs="Sylfaen"/>
          <w:lang w:val="ka-GE"/>
        </w:rPr>
        <w:t>სუნთქვის</w:t>
      </w:r>
      <w:r w:rsidRPr="005103EC">
        <w:rPr>
          <w:rFonts w:ascii="Sylfaen" w:hAnsi="Sylfaen"/>
          <w:lang w:val="ka-GE"/>
        </w:rPr>
        <w:t xml:space="preserve">  მწვავე  უკმარისობა  2</w:t>
      </w:r>
      <w:r w:rsidRPr="005103EC">
        <w:rPr>
          <w:rFonts w:ascii="Sylfaen" w:hAnsi="Sylfaen"/>
        </w:rPr>
        <w:t>3</w:t>
      </w:r>
    </w:p>
    <w:p w:rsidR="00B21F17" w:rsidRPr="005103EC" w:rsidRDefault="00B21F17" w:rsidP="00B21F17">
      <w:pPr>
        <w:pStyle w:val="ListParagraph"/>
        <w:numPr>
          <w:ilvl w:val="0"/>
          <w:numId w:val="40"/>
        </w:numPr>
        <w:ind w:left="0" w:firstLine="0"/>
        <w:jc w:val="both"/>
        <w:rPr>
          <w:rFonts w:ascii="Sylfaen" w:hAnsi="Sylfaen"/>
          <w:sz w:val="24"/>
          <w:szCs w:val="24"/>
        </w:rPr>
      </w:pPr>
      <w:r w:rsidRPr="005103EC">
        <w:rPr>
          <w:rFonts w:ascii="Sylfaen" w:hAnsi="Sylfaen"/>
          <w:lang w:val="ka-GE"/>
        </w:rPr>
        <w:t>ტრავმა-მოტეხილობა 9  შემთხვევა</w:t>
      </w:r>
    </w:p>
    <w:p w:rsidR="00B21F17" w:rsidRPr="005103EC" w:rsidRDefault="00B21F17" w:rsidP="00B21F17">
      <w:pPr>
        <w:pStyle w:val="ListParagraph"/>
        <w:numPr>
          <w:ilvl w:val="0"/>
          <w:numId w:val="40"/>
        </w:numPr>
        <w:ind w:left="0" w:firstLine="0"/>
        <w:jc w:val="both"/>
        <w:rPr>
          <w:rFonts w:ascii="Sylfaen" w:hAnsi="Sylfaen"/>
          <w:sz w:val="24"/>
          <w:szCs w:val="24"/>
        </w:rPr>
      </w:pPr>
      <w:r w:rsidRPr="005103EC">
        <w:rPr>
          <w:rFonts w:ascii="Sylfaen" w:hAnsi="Sylfaen" w:cs="Sylfaen"/>
          <w:lang w:val="ka-GE"/>
        </w:rPr>
        <w:t>თირკმლის</w:t>
      </w:r>
      <w:r w:rsidRPr="005103EC">
        <w:rPr>
          <w:rFonts w:ascii="Sylfaen" w:hAnsi="Sylfaen"/>
          <w:lang w:val="ka-GE"/>
        </w:rPr>
        <w:t xml:space="preserve"> მწვავე უკმარისობა 29   შემთხვევა</w:t>
      </w:r>
    </w:p>
    <w:p w:rsidR="00B21F17" w:rsidRPr="005103EC" w:rsidRDefault="00B21F17" w:rsidP="00B21F17">
      <w:pPr>
        <w:pStyle w:val="ListParagraph"/>
        <w:numPr>
          <w:ilvl w:val="0"/>
          <w:numId w:val="40"/>
        </w:numPr>
        <w:ind w:left="0" w:firstLine="0"/>
        <w:jc w:val="both"/>
        <w:rPr>
          <w:rFonts w:ascii="Sylfaen" w:hAnsi="Sylfaen"/>
          <w:sz w:val="24"/>
          <w:szCs w:val="24"/>
        </w:rPr>
      </w:pPr>
      <w:r w:rsidRPr="005103EC">
        <w:rPr>
          <w:rFonts w:ascii="Sylfaen" w:hAnsi="Sylfaen" w:cs="Sylfaen"/>
          <w:lang w:val="ka-GE"/>
        </w:rPr>
        <w:t>პნევმონია</w:t>
      </w:r>
      <w:r w:rsidRPr="005103EC">
        <w:rPr>
          <w:rFonts w:ascii="Sylfaen" w:hAnsi="Sylfaen"/>
        </w:rPr>
        <w:t>4</w:t>
      </w:r>
      <w:r w:rsidRPr="005103EC">
        <w:rPr>
          <w:rFonts w:ascii="Sylfaen" w:hAnsi="Sylfaen"/>
          <w:lang w:val="ka-GE"/>
        </w:rPr>
        <w:t xml:space="preserve"> შემთხვევა</w:t>
      </w:r>
    </w:p>
    <w:p w:rsidR="00B21F17" w:rsidRPr="005103EC" w:rsidRDefault="00B21F17" w:rsidP="00B21F17">
      <w:pPr>
        <w:pStyle w:val="ListParagraph"/>
        <w:numPr>
          <w:ilvl w:val="0"/>
          <w:numId w:val="40"/>
        </w:numPr>
        <w:ind w:left="0" w:firstLine="0"/>
        <w:jc w:val="both"/>
        <w:rPr>
          <w:rFonts w:ascii="Sylfaen" w:hAnsi="Sylfaen"/>
          <w:sz w:val="24"/>
          <w:szCs w:val="24"/>
        </w:rPr>
      </w:pPr>
      <w:r w:rsidRPr="005103EC">
        <w:rPr>
          <w:rFonts w:ascii="Sylfaen" w:hAnsi="Sylfaen" w:cs="Sylfaen"/>
          <w:lang w:val="ka-GE"/>
        </w:rPr>
        <w:t>ვაროკოზული</w:t>
      </w:r>
      <w:r w:rsidRPr="005103EC">
        <w:rPr>
          <w:rFonts w:ascii="Sylfaen" w:hAnsi="Sylfaen"/>
          <w:lang w:val="ka-GE"/>
        </w:rPr>
        <w:t xml:space="preserve"> სისხლდენა  5  შემთხვევა</w:t>
      </w:r>
    </w:p>
    <w:p w:rsidR="00B21F17" w:rsidRPr="005103EC" w:rsidRDefault="00B21F17" w:rsidP="00B21F17">
      <w:pPr>
        <w:pStyle w:val="ListParagraph"/>
        <w:numPr>
          <w:ilvl w:val="0"/>
          <w:numId w:val="40"/>
        </w:numPr>
        <w:ind w:left="0" w:firstLine="0"/>
        <w:jc w:val="both"/>
        <w:rPr>
          <w:rFonts w:ascii="Sylfaen" w:hAnsi="Sylfaen"/>
          <w:sz w:val="24"/>
          <w:szCs w:val="24"/>
        </w:rPr>
      </w:pPr>
      <w:r w:rsidRPr="005103EC">
        <w:rPr>
          <w:rFonts w:ascii="Sylfaen" w:hAnsi="Sylfaen" w:cs="Sylfaen"/>
          <w:lang w:val="ka-GE"/>
        </w:rPr>
        <w:t>ინსულტის</w:t>
      </w:r>
      <w:r w:rsidRPr="005103EC">
        <w:rPr>
          <w:rFonts w:ascii="Sylfaen" w:hAnsi="Sylfaen"/>
          <w:lang w:val="ka-GE"/>
        </w:rPr>
        <w:t xml:space="preserve">7  შემთხვევა </w:t>
      </w:r>
    </w:p>
    <w:p w:rsidR="00B21F17" w:rsidRPr="005103EC" w:rsidRDefault="00B21F17" w:rsidP="00B21F17">
      <w:pPr>
        <w:pStyle w:val="ListParagraph"/>
        <w:numPr>
          <w:ilvl w:val="0"/>
          <w:numId w:val="40"/>
        </w:numPr>
        <w:ind w:left="0" w:firstLine="0"/>
        <w:jc w:val="both"/>
        <w:rPr>
          <w:rFonts w:ascii="Sylfaen" w:hAnsi="Sylfaen"/>
          <w:sz w:val="24"/>
          <w:szCs w:val="24"/>
        </w:rPr>
      </w:pPr>
      <w:r w:rsidRPr="005103EC">
        <w:rPr>
          <w:rFonts w:ascii="Sylfaen" w:hAnsi="Sylfaen" w:cs="Sylfaen"/>
          <w:lang w:val="ka-GE"/>
        </w:rPr>
        <w:t>სხვა</w:t>
      </w:r>
      <w:r w:rsidRPr="005103EC">
        <w:rPr>
          <w:rFonts w:ascii="Sylfaen" w:hAnsi="Sylfaen"/>
          <w:lang w:val="ka-GE"/>
        </w:rPr>
        <w:t>-8</w:t>
      </w:r>
      <w:r w:rsidRPr="005103EC">
        <w:rPr>
          <w:rFonts w:ascii="Sylfaen" w:hAnsi="Sylfaen"/>
        </w:rPr>
        <w:t>9</w:t>
      </w:r>
      <w:r w:rsidRPr="005103EC">
        <w:rPr>
          <w:rFonts w:ascii="Sylfaen" w:hAnsi="Sylfaen"/>
          <w:lang w:val="ka-GE"/>
        </w:rPr>
        <w:t xml:space="preserve"> შემთხვევა</w:t>
      </w:r>
    </w:p>
    <w:p w:rsidR="00F51CD2" w:rsidRPr="00F51CD2" w:rsidRDefault="00F51CD2" w:rsidP="00F51CD2">
      <w:pPr>
        <w:ind w:left="360"/>
        <w:rPr>
          <w:rFonts w:ascii="Sylfaen" w:hAnsi="Sylfaen"/>
          <w:sz w:val="24"/>
          <w:szCs w:val="24"/>
        </w:rPr>
      </w:pPr>
      <w:r w:rsidRPr="00F51CD2">
        <w:rPr>
          <w:rFonts w:ascii="Sylfaen" w:hAnsi="Sylfaen" w:cs="Sylfaen"/>
          <w:lang w:val="ka-GE"/>
        </w:rPr>
        <w:t>გადამოწმდა</w:t>
      </w:r>
      <w:r w:rsidRPr="00F51CD2">
        <w:rPr>
          <w:rFonts w:ascii="Sylfaen" w:hAnsi="Sylfaen"/>
          <w:lang w:val="ka-GE"/>
        </w:rPr>
        <w:t xml:space="preserve">   პაციენტის  კატასტროფებისა  დ ა გადაუდებელი დახმარების სამსახურების    მიერ   განხორციელებული    ტრანსპორტირების   ფაქტები</w:t>
      </w:r>
      <w:r w:rsidRPr="00F51CD2">
        <w:rPr>
          <w:rFonts w:ascii="Sylfaen" w:hAnsi="Sylfaen"/>
        </w:rPr>
        <w:t>,</w:t>
      </w:r>
      <w:r w:rsidRPr="00F51CD2">
        <w:rPr>
          <w:rFonts w:ascii="Sylfaen" w:hAnsi="Sylfaen"/>
          <w:lang w:val="ka-GE"/>
        </w:rPr>
        <w:t xml:space="preserve"> საიდანაც  საეჭვოდ  ჩაითვალა  </w:t>
      </w:r>
      <w:r w:rsidRPr="00F51CD2">
        <w:rPr>
          <w:rFonts w:ascii="Sylfaen" w:hAnsi="Sylfaen"/>
        </w:rPr>
        <w:t>1</w:t>
      </w:r>
      <w:r w:rsidRPr="00F51CD2">
        <w:rPr>
          <w:rFonts w:ascii="Sylfaen" w:hAnsi="Sylfaen"/>
          <w:lang w:val="ka-GE"/>
        </w:rPr>
        <w:t xml:space="preserve">7  შემთხვევა.  აქედან  </w:t>
      </w:r>
      <w:r w:rsidRPr="00F51CD2">
        <w:rPr>
          <w:rFonts w:ascii="Sylfaen" w:hAnsi="Sylfaen"/>
        </w:rPr>
        <w:t>11</w:t>
      </w:r>
      <w:r w:rsidRPr="00F51CD2">
        <w:rPr>
          <w:rFonts w:ascii="Sylfaen" w:hAnsi="Sylfaen"/>
          <w:lang w:val="ka-GE"/>
        </w:rPr>
        <w:t xml:space="preserve">    შემთხვევა  დასრულდა  ლეტალური  გამოსავალით.  2  შემთხვევა,  რომელიც  იყო  გადაყვანილი  შპს "ნიუ ჰოსპიტალს"_ში გამოწვეული  იყო  დღენაკლულთა რეტინოპათიით,  სადაც  პაციენტებს  გაუკეთდათ  ა</w:t>
      </w:r>
      <w:r w:rsidR="002A60D0">
        <w:rPr>
          <w:rFonts w:ascii="Sylfaen" w:hAnsi="Sylfaen"/>
          <w:lang w:val="ka-GE"/>
        </w:rPr>
        <w:t>ვ</w:t>
      </w:r>
      <w:r w:rsidRPr="00F51CD2">
        <w:rPr>
          <w:rFonts w:ascii="Sylfaen" w:hAnsi="Sylfaen"/>
          <w:lang w:val="ka-GE"/>
        </w:rPr>
        <w:t>ასტინის ინექცია.</w:t>
      </w:r>
    </w:p>
    <w:p w:rsidR="00B21F17" w:rsidRPr="005103EC" w:rsidRDefault="00B21F17" w:rsidP="00B21F17">
      <w:pPr>
        <w:pStyle w:val="ListParagraph"/>
        <w:numPr>
          <w:ilvl w:val="0"/>
          <w:numId w:val="39"/>
        </w:numPr>
        <w:ind w:left="0" w:firstLine="0"/>
        <w:jc w:val="both"/>
      </w:pPr>
      <w:r w:rsidRPr="005103EC">
        <w:rPr>
          <w:rFonts w:ascii="Sylfaen" w:hAnsi="Sylfaen"/>
        </w:rPr>
        <w:t>ს/ს "სენაკისრაი-საავადმყოფო"-</w:t>
      </w:r>
      <w:r w:rsidRPr="005103EC">
        <w:rPr>
          <w:rFonts w:ascii="Sylfaen" w:hAnsi="Sylfaen"/>
          <w:lang w:val="ka-GE"/>
        </w:rPr>
        <w:t>დან   გადაყვანილი  იქნა  პაციენტი  ქადარია</w:t>
      </w:r>
      <w:r>
        <w:rPr>
          <w:rFonts w:ascii="Sylfaen" w:hAnsi="Sylfaen"/>
          <w:lang w:val="ka-GE"/>
        </w:rPr>
        <w:t xml:space="preserve"> </w:t>
      </w:r>
      <w:r w:rsidRPr="005103EC">
        <w:rPr>
          <w:rFonts w:ascii="Sylfaen" w:hAnsi="Sylfaen"/>
          <w:lang w:val="ka-GE"/>
        </w:rPr>
        <w:t xml:space="preserve">სოსო  პ/ნ 39001025625    შპს კლინიკა-ლჯ_ში,  სადაც,   ექიმის  გადმოცემით,  გაუკეთდა კორონაროგრაფია  და  შუნტირების  საჭიროების  გამო  5სთ_ში  გადაიყვანეს  შპს აკად. ზ. ცხაკაიას სახ. დასავლეთ  საქართველოს ინტერვენციული მედიცინის ეროვნული ცენტრში . </w:t>
      </w:r>
    </w:p>
    <w:p w:rsidR="00B21F17" w:rsidRPr="005103EC" w:rsidRDefault="00B21F17" w:rsidP="00B21F17">
      <w:pPr>
        <w:pStyle w:val="ListParagraph"/>
        <w:numPr>
          <w:ilvl w:val="0"/>
          <w:numId w:val="39"/>
        </w:numPr>
        <w:ind w:left="0" w:firstLine="0"/>
        <w:jc w:val="both"/>
      </w:pPr>
      <w:r w:rsidRPr="005103EC">
        <w:rPr>
          <w:rFonts w:ascii="Sylfaen" w:hAnsi="Sylfaen" w:cs="Sylfaen"/>
          <w:lang w:val="ka-GE"/>
        </w:rPr>
        <w:t xml:space="preserve">შპს "იმედის კლინიკი" _ დან  პაციენტები:  ტაბატაძე 1  პ/ნ 2793263320  და  ტაბატაძე 2 პ/ნ 3766988692 (ტყუპები) გადაიყვანეს  სსიპ </w:t>
      </w:r>
      <w:r>
        <w:rPr>
          <w:rFonts w:ascii="Sylfaen" w:hAnsi="Sylfaen" w:cs="Sylfaen"/>
          <w:lang w:val="ka-GE"/>
        </w:rPr>
        <w:t>”</w:t>
      </w:r>
      <w:r w:rsidRPr="005103EC">
        <w:rPr>
          <w:rFonts w:ascii="Sylfaen" w:hAnsi="Sylfaen" w:cs="Sylfaen"/>
          <w:lang w:val="ka-GE"/>
        </w:rPr>
        <w:t>თბილისის სახელმწიფო სამედიცინო უნივერსიტეტში</w:t>
      </w:r>
      <w:r>
        <w:rPr>
          <w:rFonts w:ascii="Sylfaen" w:hAnsi="Sylfaen" w:cs="Sylfaen"/>
          <w:lang w:val="ka-GE"/>
        </w:rPr>
        <w:t>”,</w:t>
      </w:r>
      <w:r w:rsidRPr="005103EC">
        <w:rPr>
          <w:rFonts w:ascii="Sylfaen" w:hAnsi="Sylfaen" w:cs="Sylfaen"/>
          <w:lang w:val="ka-GE"/>
        </w:rPr>
        <w:t xml:space="preserve">  სადაც  დაყოვნების  დრო  ნაჩვენები  იყო  0</w:t>
      </w:r>
      <w:r>
        <w:rPr>
          <w:rFonts w:ascii="Sylfaen" w:hAnsi="Sylfaen" w:cs="Sylfaen"/>
          <w:lang w:val="ka-GE"/>
        </w:rPr>
        <w:t xml:space="preserve"> </w:t>
      </w:r>
      <w:r w:rsidRPr="005103EC">
        <w:rPr>
          <w:rFonts w:ascii="Sylfaen" w:hAnsi="Sylfaen" w:cs="Sylfaen"/>
          <w:lang w:val="ka-GE"/>
        </w:rPr>
        <w:t xml:space="preserve">სთ.  გადამოწმების  შედეგად  გაირკვა,  რომ  ახალშობილები  სუროგატი  დედის  გვარით  გადავიდნენ  და    სსიპ </w:t>
      </w:r>
      <w:r>
        <w:rPr>
          <w:rFonts w:ascii="Sylfaen" w:hAnsi="Sylfaen" w:cs="Sylfaen"/>
          <w:lang w:val="ka-GE"/>
        </w:rPr>
        <w:t>”</w:t>
      </w:r>
      <w:r w:rsidRPr="005103EC">
        <w:rPr>
          <w:rFonts w:ascii="Sylfaen" w:hAnsi="Sylfaen" w:cs="Sylfaen"/>
          <w:lang w:val="ka-GE"/>
        </w:rPr>
        <w:t>თბილისის სახელმწიფო სამედიცინო უნივერსიტეტში</w:t>
      </w:r>
      <w:r>
        <w:rPr>
          <w:rFonts w:ascii="Sylfaen" w:hAnsi="Sylfaen" w:cs="Sylfaen"/>
          <w:lang w:val="ka-GE"/>
        </w:rPr>
        <w:t>”</w:t>
      </w:r>
      <w:r w:rsidRPr="005103EC">
        <w:rPr>
          <w:rFonts w:ascii="Sylfaen" w:hAnsi="Sylfaen" w:cs="Sylfaen"/>
          <w:lang w:val="ka-GE"/>
        </w:rPr>
        <w:t xml:space="preserve">  გააგრძელეს  მკურნალობა   ფაჩაჯის გვარით.</w:t>
      </w:r>
    </w:p>
    <w:p w:rsidR="00B21F17" w:rsidRPr="005103EC" w:rsidRDefault="00B21F17" w:rsidP="00B21F17">
      <w:pPr>
        <w:pStyle w:val="ListParagraph"/>
        <w:numPr>
          <w:ilvl w:val="0"/>
          <w:numId w:val="39"/>
        </w:numPr>
        <w:ind w:left="0" w:firstLine="0"/>
        <w:jc w:val="both"/>
      </w:pPr>
      <w:proofErr w:type="gramStart"/>
      <w:r w:rsidRPr="005103EC">
        <w:rPr>
          <w:rFonts w:ascii="Sylfaen" w:hAnsi="Sylfaen" w:cs="Sylfaen"/>
        </w:rPr>
        <w:t>შპს</w:t>
      </w:r>
      <w:r>
        <w:rPr>
          <w:rFonts w:ascii="Sylfaen" w:hAnsi="Sylfaen" w:cs="Sylfaen"/>
          <w:lang w:val="ka-GE"/>
        </w:rPr>
        <w:t xml:space="preserve"> ”</w:t>
      </w:r>
      <w:proofErr w:type="gramEnd"/>
      <w:r w:rsidRPr="005103EC">
        <w:rPr>
          <w:rFonts w:ascii="Sylfaen" w:hAnsi="Sylfaen" w:cs="Sylfaen"/>
        </w:rPr>
        <w:t>აკად</w:t>
      </w:r>
      <w:r w:rsidRPr="005103EC">
        <w:t>.</w:t>
      </w:r>
      <w:r>
        <w:rPr>
          <w:rFonts w:ascii="Sylfaen" w:hAnsi="Sylfaen"/>
          <w:lang w:val="ka-GE"/>
        </w:rPr>
        <w:t xml:space="preserve">ო. </w:t>
      </w:r>
      <w:r w:rsidRPr="005103EC">
        <w:t xml:space="preserve"> </w:t>
      </w:r>
      <w:proofErr w:type="gramStart"/>
      <w:r w:rsidRPr="005103EC">
        <w:rPr>
          <w:rFonts w:ascii="Sylfaen" w:hAnsi="Sylfaen" w:cs="Sylfaen"/>
        </w:rPr>
        <w:t>ღუდუშაურის</w:t>
      </w:r>
      <w:proofErr w:type="gramEnd"/>
      <w:r>
        <w:rPr>
          <w:rFonts w:ascii="Sylfaen" w:hAnsi="Sylfaen" w:cs="Sylfaen"/>
          <w:lang w:val="ka-GE"/>
        </w:rPr>
        <w:t xml:space="preserve"> </w:t>
      </w:r>
      <w:r w:rsidRPr="005103EC">
        <w:rPr>
          <w:rFonts w:ascii="Sylfaen" w:hAnsi="Sylfaen" w:cs="Sylfaen"/>
        </w:rPr>
        <w:t>სახელობის</w:t>
      </w:r>
      <w:r>
        <w:rPr>
          <w:rFonts w:ascii="Sylfaen" w:hAnsi="Sylfaen" w:cs="Sylfaen"/>
          <w:lang w:val="ka-GE"/>
        </w:rPr>
        <w:t xml:space="preserve"> </w:t>
      </w:r>
      <w:r w:rsidRPr="005103EC">
        <w:rPr>
          <w:rFonts w:ascii="Sylfaen" w:hAnsi="Sylfaen" w:cs="Sylfaen"/>
        </w:rPr>
        <w:t>ეროვნული</w:t>
      </w:r>
      <w:r>
        <w:rPr>
          <w:rFonts w:ascii="Sylfaen" w:hAnsi="Sylfaen" w:cs="Sylfaen"/>
          <w:lang w:val="ka-GE"/>
        </w:rPr>
        <w:t xml:space="preserve"> </w:t>
      </w:r>
      <w:r w:rsidRPr="005103EC">
        <w:rPr>
          <w:rFonts w:ascii="Sylfaen" w:hAnsi="Sylfaen" w:cs="Sylfaen"/>
        </w:rPr>
        <w:t>სამედიცინო</w:t>
      </w:r>
      <w:r>
        <w:rPr>
          <w:rFonts w:ascii="Sylfaen" w:hAnsi="Sylfaen" w:cs="Sylfaen"/>
          <w:lang w:val="ka-GE"/>
        </w:rPr>
        <w:t xml:space="preserve"> </w:t>
      </w:r>
      <w:r w:rsidRPr="005103EC">
        <w:rPr>
          <w:rFonts w:ascii="Sylfaen" w:hAnsi="Sylfaen" w:cs="Sylfaen"/>
        </w:rPr>
        <w:t>ცენტრი</w:t>
      </w:r>
      <w:r>
        <w:rPr>
          <w:rFonts w:ascii="Sylfaen" w:hAnsi="Sylfaen" w:cs="Sylfaen"/>
          <w:lang w:val="ka-GE"/>
        </w:rPr>
        <w:t>”</w:t>
      </w:r>
      <w:r w:rsidRPr="005103EC">
        <w:rPr>
          <w:rFonts w:ascii="Sylfaen" w:hAnsi="Sylfaen" w:cs="Sylfaen"/>
          <w:lang w:val="ka-GE"/>
        </w:rPr>
        <w:t>_დან პაციენტი  მუღალაშვილი  ვაჟა პ/ნ 01650048927  გადაყვანილი  იქნა შპს "ნიუ ჰოსპიტალს"_ში.  სადაც  გაიკეთა  ა</w:t>
      </w:r>
      <w:r w:rsidR="002A60D0">
        <w:rPr>
          <w:rFonts w:ascii="Sylfaen" w:hAnsi="Sylfaen" w:cs="Sylfaen"/>
          <w:lang w:val="ka-GE"/>
        </w:rPr>
        <w:t>ვ</w:t>
      </w:r>
      <w:r w:rsidRPr="005103EC">
        <w:rPr>
          <w:rFonts w:ascii="Sylfaen" w:hAnsi="Sylfaen" w:cs="Sylfaen"/>
          <w:lang w:val="ka-GE"/>
        </w:rPr>
        <w:t>ასტინის  ინექცია.  15 წთ_ში  დატოვ</w:t>
      </w:r>
      <w:r>
        <w:rPr>
          <w:rFonts w:ascii="Sylfaen" w:hAnsi="Sylfaen" w:cs="Sylfaen"/>
          <w:lang w:val="ka-GE"/>
        </w:rPr>
        <w:t>ა</w:t>
      </w:r>
      <w:r w:rsidRPr="005103EC">
        <w:rPr>
          <w:rFonts w:ascii="Sylfaen" w:hAnsi="Sylfaen" w:cs="Sylfaen"/>
          <w:lang w:val="ka-GE"/>
        </w:rPr>
        <w:t xml:space="preserve">  კლინიკა.</w:t>
      </w:r>
    </w:p>
    <w:p w:rsidR="00B21F17" w:rsidRPr="00834CC5" w:rsidRDefault="00B21F17" w:rsidP="00B21F17">
      <w:pPr>
        <w:pStyle w:val="ListParagraph"/>
        <w:numPr>
          <w:ilvl w:val="0"/>
          <w:numId w:val="39"/>
        </w:numPr>
        <w:ind w:left="0" w:firstLine="0"/>
        <w:jc w:val="both"/>
      </w:pPr>
      <w:proofErr w:type="gramStart"/>
      <w:r w:rsidRPr="005103EC">
        <w:rPr>
          <w:rFonts w:ascii="Sylfaen" w:hAnsi="Sylfaen" w:cs="Sylfaen"/>
        </w:rPr>
        <w:t>შპს</w:t>
      </w:r>
      <w:r>
        <w:rPr>
          <w:rFonts w:ascii="Sylfaen" w:hAnsi="Sylfaen" w:cs="Sylfaen"/>
          <w:lang w:val="ka-GE"/>
        </w:rPr>
        <w:t xml:space="preserve"> ”</w:t>
      </w:r>
      <w:proofErr w:type="gramEnd"/>
      <w:r w:rsidRPr="005103EC">
        <w:rPr>
          <w:rFonts w:ascii="Sylfaen" w:hAnsi="Sylfaen" w:cs="Sylfaen"/>
        </w:rPr>
        <w:t>ბავშვთა</w:t>
      </w:r>
      <w:r>
        <w:rPr>
          <w:rFonts w:ascii="Sylfaen" w:hAnsi="Sylfaen" w:cs="Sylfaen"/>
          <w:lang w:val="ka-GE"/>
        </w:rPr>
        <w:t xml:space="preserve"> </w:t>
      </w:r>
      <w:r w:rsidRPr="005103EC">
        <w:rPr>
          <w:rFonts w:ascii="Sylfaen" w:hAnsi="Sylfaen" w:cs="Sylfaen"/>
        </w:rPr>
        <w:t>ჯანმრთელობის</w:t>
      </w:r>
      <w:r>
        <w:rPr>
          <w:rFonts w:ascii="Sylfaen" w:hAnsi="Sylfaen" w:cs="Sylfaen"/>
          <w:lang w:val="ka-GE"/>
        </w:rPr>
        <w:t xml:space="preserve"> </w:t>
      </w:r>
      <w:r w:rsidRPr="005103EC">
        <w:rPr>
          <w:rFonts w:ascii="Sylfaen" w:hAnsi="Sylfaen" w:cs="Sylfaen"/>
        </w:rPr>
        <w:t>ცენტრი</w:t>
      </w:r>
      <w:r>
        <w:rPr>
          <w:rFonts w:ascii="Sylfaen" w:hAnsi="Sylfaen" w:cs="Sylfaen"/>
          <w:lang w:val="ka-GE"/>
        </w:rPr>
        <w:t>”</w:t>
      </w:r>
      <w:r w:rsidRPr="005103EC">
        <w:rPr>
          <w:rFonts w:ascii="Sylfaen" w:hAnsi="Sylfaen" w:cs="Sylfaen"/>
          <w:lang w:val="ka-GE"/>
        </w:rPr>
        <w:t xml:space="preserve">_დან  პაციენტი  კაკულაშვილი  ანი პ/ნ 45150001384  </w:t>
      </w:r>
      <w:r w:rsidRPr="00834CC5">
        <w:rPr>
          <w:rFonts w:ascii="Sylfaen" w:hAnsi="Sylfaen" w:cs="Sylfaen"/>
          <w:lang w:val="ka-GE"/>
        </w:rPr>
        <w:t>გადაყვანილი  იქნა შპს "უნიმედი კახეთის" თელავის რეფერალური საავადმყოფოში.  სადაც  გადაესხა  სისხლი  და  მძიმე  მდგომარეობის  გამო  3 სთ_ში  გადაიყვანეს  „ბავშვთა  ახალ  კლინიკა“_ში .</w:t>
      </w:r>
    </w:p>
    <w:p w:rsidR="00B21F17" w:rsidRPr="00773DB6" w:rsidRDefault="00B21F17" w:rsidP="00B21F17">
      <w:pPr>
        <w:pStyle w:val="ListParagraph"/>
        <w:numPr>
          <w:ilvl w:val="0"/>
          <w:numId w:val="39"/>
        </w:numPr>
        <w:ind w:left="0" w:firstLine="0"/>
        <w:jc w:val="both"/>
      </w:pPr>
      <w:r w:rsidRPr="00834CC5">
        <w:rPr>
          <w:rFonts w:ascii="Sylfaen" w:hAnsi="Sylfaen" w:cs="Sylfaen"/>
          <w:lang w:val="ka-GE"/>
        </w:rPr>
        <w:t>ხოლო</w:t>
      </w:r>
      <w:r w:rsidRPr="00834CC5">
        <w:rPr>
          <w:rFonts w:ascii="Sylfaen" w:hAnsi="Sylfaen"/>
          <w:lang w:val="ka-GE"/>
        </w:rPr>
        <w:t xml:space="preserve"> 2  შემთხვევა,  რომელიც  იყო  გადაყვანილი  შპს "ნიუ ჰოსპიტალს"_ში გამოწვეული  იყო  დღენაკლულთა რეტინოპათიით,  სადაც  პაციენტებს  გაუკეთდათ  ა</w:t>
      </w:r>
      <w:r w:rsidR="002A60D0">
        <w:rPr>
          <w:rFonts w:ascii="Sylfaen" w:hAnsi="Sylfaen"/>
          <w:lang w:val="ka-GE"/>
        </w:rPr>
        <w:t>ვ</w:t>
      </w:r>
      <w:r w:rsidRPr="00834CC5">
        <w:rPr>
          <w:rFonts w:ascii="Sylfaen" w:hAnsi="Sylfaen"/>
          <w:lang w:val="ka-GE"/>
        </w:rPr>
        <w:t>ასტინის ინექცია.</w:t>
      </w:r>
    </w:p>
    <w:p w:rsidR="00B21F17" w:rsidRDefault="00B21F17" w:rsidP="00B21F17">
      <w:pPr>
        <w:pStyle w:val="ListParagraph"/>
        <w:ind w:left="0"/>
        <w:jc w:val="both"/>
        <w:rPr>
          <w:rFonts w:ascii="Sylfaen" w:hAnsi="Sylfaen"/>
          <w:lang w:val="ka-GE"/>
        </w:rPr>
      </w:pPr>
    </w:p>
    <w:p w:rsidR="00B21F17" w:rsidRPr="00773DB6" w:rsidRDefault="00B21F17" w:rsidP="00B21F17">
      <w:pPr>
        <w:pStyle w:val="ListParagraph"/>
        <w:ind w:left="0"/>
        <w:jc w:val="both"/>
      </w:pPr>
      <w:r w:rsidRPr="00831E6F">
        <w:rPr>
          <w:rFonts w:ascii="Sylfaen" w:hAnsi="Sylfaen"/>
          <w:b/>
          <w:i/>
          <w:lang w:val="ka-GE"/>
        </w:rPr>
        <w:t>2014 წლის აპრილში</w:t>
      </w:r>
      <w:r>
        <w:rPr>
          <w:rFonts w:ascii="Sylfaen" w:hAnsi="Sylfaen"/>
          <w:b/>
          <w:i/>
          <w:lang w:val="ka-GE"/>
        </w:rPr>
        <w:t xml:space="preserve"> </w:t>
      </w:r>
      <w:r w:rsidRPr="00773DB6">
        <w:rPr>
          <w:rFonts w:ascii="Sylfaen" w:hAnsi="Sylfaen"/>
          <w:lang w:val="ka-GE"/>
        </w:rPr>
        <w:t xml:space="preserve"> საყოველთაო ჯანდაცვის მართვის დეპარტამენტის  მიერ მოწოდებული</w:t>
      </w:r>
      <w:r>
        <w:rPr>
          <w:rFonts w:ascii="Sylfaen" w:hAnsi="Sylfaen"/>
          <w:lang w:val="ka-GE"/>
        </w:rPr>
        <w:t xml:space="preserve"> ტრანსპორტირებული</w:t>
      </w:r>
      <w:r w:rsidRPr="00773DB6">
        <w:rPr>
          <w:rFonts w:ascii="Sylfaen" w:hAnsi="Sylfaen"/>
          <w:lang w:val="ka-GE"/>
        </w:rPr>
        <w:t xml:space="preserve"> პაციენტების რაოდენობა შეადგენ</w:t>
      </w:r>
      <w:r>
        <w:rPr>
          <w:rFonts w:ascii="Sylfaen" w:hAnsi="Sylfaen"/>
          <w:lang w:val="ka-GE"/>
        </w:rPr>
        <w:t xml:space="preserve">და  </w:t>
      </w:r>
      <w:r w:rsidRPr="00773DB6">
        <w:rPr>
          <w:rFonts w:ascii="Sylfaen" w:hAnsi="Sylfaen"/>
          <w:lang w:val="ka-GE"/>
        </w:rPr>
        <w:t>379.</w:t>
      </w:r>
      <w:r>
        <w:rPr>
          <w:rFonts w:ascii="Sylfaen" w:hAnsi="Sylfaen"/>
          <w:lang w:val="ka-GE"/>
        </w:rPr>
        <w:t xml:space="preserve"> </w:t>
      </w:r>
      <w:r w:rsidRPr="00773DB6">
        <w:rPr>
          <w:rFonts w:ascii="Sylfaen" w:hAnsi="Sylfaen"/>
          <w:lang w:val="ka-GE"/>
        </w:rPr>
        <w:t xml:space="preserve">ინფორმაციის შეჯერების შედეგად კატასტროფებისა და გადაუდებელი დახმარების სამსახურების მონიტორინგის ელექტრონული პროგრამის ბაზაში აღმოჩნდა </w:t>
      </w:r>
      <w:r>
        <w:rPr>
          <w:rFonts w:ascii="Sylfaen" w:hAnsi="Sylfaen"/>
          <w:lang w:val="ka-GE"/>
        </w:rPr>
        <w:t xml:space="preserve">ასევე  </w:t>
      </w:r>
      <w:r w:rsidRPr="00773DB6">
        <w:rPr>
          <w:rFonts w:ascii="Sylfaen" w:hAnsi="Sylfaen"/>
          <w:lang w:val="ka-GE"/>
        </w:rPr>
        <w:t>379  პაციენტი,</w:t>
      </w:r>
      <w:r>
        <w:rPr>
          <w:rFonts w:ascii="Sylfaen" w:hAnsi="Sylfaen"/>
          <w:lang w:val="ka-GE"/>
        </w:rPr>
        <w:t xml:space="preserve"> </w:t>
      </w:r>
      <w:r w:rsidRPr="00773DB6">
        <w:rPr>
          <w:rFonts w:ascii="Sylfaen" w:hAnsi="Sylfaen"/>
          <w:lang w:val="ka-GE"/>
        </w:rPr>
        <w:t>რომელიც საოველთაო ჯანდაცვის  პროგრამით  არის დაფინანსებული. კერძოდ</w:t>
      </w:r>
      <w:r w:rsidRPr="00773DB6">
        <w:rPr>
          <w:rFonts w:ascii="Sylfaen" w:hAnsi="Sylfaen"/>
        </w:rPr>
        <w:t>:</w:t>
      </w:r>
    </w:p>
    <w:p w:rsidR="00B21F17" w:rsidRPr="004662B8" w:rsidRDefault="00B21F17" w:rsidP="00B21F17">
      <w:pPr>
        <w:pStyle w:val="ListParagraph"/>
        <w:numPr>
          <w:ilvl w:val="0"/>
          <w:numId w:val="38"/>
        </w:numPr>
        <w:ind w:left="0" w:firstLine="0"/>
        <w:jc w:val="both"/>
        <w:rPr>
          <w:rFonts w:ascii="Sylfaen" w:hAnsi="Sylfaen"/>
        </w:rPr>
      </w:pPr>
      <w:r w:rsidRPr="004662B8">
        <w:rPr>
          <w:rFonts w:ascii="Sylfaen" w:hAnsi="Sylfaen" w:cs="Sylfaen"/>
          <w:lang w:val="ka-GE"/>
        </w:rPr>
        <w:t>მიოკარდიუმის</w:t>
      </w:r>
      <w:r w:rsidRPr="004662B8">
        <w:rPr>
          <w:rFonts w:ascii="Sylfaen" w:hAnsi="Sylfaen"/>
          <w:lang w:val="ka-GE"/>
        </w:rPr>
        <w:t xml:space="preserve"> ინფარქტი </w:t>
      </w:r>
      <w:r>
        <w:rPr>
          <w:rFonts w:ascii="Sylfaen" w:hAnsi="Sylfaen"/>
          <w:lang w:val="ka-GE"/>
        </w:rPr>
        <w:t xml:space="preserve">56 </w:t>
      </w:r>
      <w:r w:rsidRPr="004662B8">
        <w:rPr>
          <w:rFonts w:ascii="Sylfaen" w:hAnsi="Sylfaen"/>
          <w:lang w:val="ka-GE"/>
        </w:rPr>
        <w:t>შემთხვევა</w:t>
      </w:r>
    </w:p>
    <w:p w:rsidR="00B21F17" w:rsidRPr="004662B8" w:rsidRDefault="00B21F17" w:rsidP="00B21F17">
      <w:pPr>
        <w:pStyle w:val="ListParagraph"/>
        <w:numPr>
          <w:ilvl w:val="0"/>
          <w:numId w:val="38"/>
        </w:numPr>
        <w:ind w:left="0" w:firstLine="0"/>
        <w:jc w:val="both"/>
        <w:rPr>
          <w:rFonts w:ascii="Sylfaen" w:hAnsi="Sylfaen"/>
        </w:rPr>
      </w:pPr>
      <w:r w:rsidRPr="004662B8">
        <w:rPr>
          <w:rFonts w:ascii="Sylfaen" w:hAnsi="Sylfaen"/>
          <w:lang w:val="ka-GE"/>
        </w:rPr>
        <w:t xml:space="preserve">სტენოკარდია   </w:t>
      </w:r>
      <w:r>
        <w:rPr>
          <w:rFonts w:ascii="Sylfaen" w:hAnsi="Sylfaen"/>
          <w:lang w:val="ka-GE"/>
        </w:rPr>
        <w:t>35</w:t>
      </w:r>
    </w:p>
    <w:p w:rsidR="00B21F17" w:rsidRPr="004662B8" w:rsidRDefault="00B21F17" w:rsidP="00B21F17">
      <w:pPr>
        <w:pStyle w:val="ListParagraph"/>
        <w:numPr>
          <w:ilvl w:val="0"/>
          <w:numId w:val="38"/>
        </w:numPr>
        <w:ind w:left="0" w:firstLine="0"/>
        <w:jc w:val="both"/>
        <w:rPr>
          <w:rFonts w:ascii="Sylfaen" w:hAnsi="Sylfaen"/>
        </w:rPr>
      </w:pPr>
      <w:r w:rsidRPr="004662B8">
        <w:rPr>
          <w:rFonts w:ascii="Sylfaen" w:hAnsi="Sylfaen"/>
          <w:lang w:val="ka-GE"/>
        </w:rPr>
        <w:t xml:space="preserve">სუნთქვის  მწვავე  უკმარისობა  </w:t>
      </w:r>
      <w:r>
        <w:rPr>
          <w:rFonts w:ascii="Sylfaen" w:hAnsi="Sylfaen"/>
          <w:lang w:val="ka-GE"/>
        </w:rPr>
        <w:t>50</w:t>
      </w:r>
    </w:p>
    <w:p w:rsidR="00B21F17" w:rsidRPr="004662B8" w:rsidRDefault="00B21F17" w:rsidP="00B21F17">
      <w:pPr>
        <w:pStyle w:val="ListParagraph"/>
        <w:numPr>
          <w:ilvl w:val="0"/>
          <w:numId w:val="38"/>
        </w:numPr>
        <w:ind w:left="0" w:firstLine="0"/>
        <w:jc w:val="both"/>
        <w:rPr>
          <w:rFonts w:ascii="Sylfaen" w:hAnsi="Sylfaen"/>
        </w:rPr>
      </w:pPr>
      <w:r w:rsidRPr="004662B8">
        <w:rPr>
          <w:rFonts w:ascii="Sylfaen" w:hAnsi="Sylfaen"/>
          <w:lang w:val="ka-GE"/>
        </w:rPr>
        <w:t xml:space="preserve">ტრავმა-მოტეხილობა </w:t>
      </w:r>
      <w:r>
        <w:rPr>
          <w:rFonts w:ascii="Sylfaen" w:hAnsi="Sylfaen"/>
          <w:lang w:val="ka-GE"/>
        </w:rPr>
        <w:t>20</w:t>
      </w:r>
      <w:r w:rsidRPr="004662B8">
        <w:rPr>
          <w:rFonts w:ascii="Sylfaen" w:hAnsi="Sylfaen"/>
          <w:lang w:val="ka-GE"/>
        </w:rPr>
        <w:t xml:space="preserve">  შემთხვევა</w:t>
      </w:r>
    </w:p>
    <w:p w:rsidR="00B21F17" w:rsidRPr="004662B8" w:rsidRDefault="00B21F17" w:rsidP="00B21F17">
      <w:pPr>
        <w:pStyle w:val="ListParagraph"/>
        <w:numPr>
          <w:ilvl w:val="0"/>
          <w:numId w:val="38"/>
        </w:numPr>
        <w:ind w:left="0" w:firstLine="0"/>
        <w:jc w:val="both"/>
        <w:rPr>
          <w:rFonts w:ascii="Sylfaen" w:hAnsi="Sylfaen"/>
        </w:rPr>
      </w:pPr>
      <w:r w:rsidRPr="004662B8">
        <w:rPr>
          <w:rFonts w:ascii="Sylfaen" w:hAnsi="Sylfaen"/>
          <w:lang w:val="ka-GE"/>
        </w:rPr>
        <w:t xml:space="preserve">თირკმლის მწვავე უკმარისობა </w:t>
      </w:r>
      <w:r w:rsidRPr="004662B8">
        <w:rPr>
          <w:rFonts w:ascii="Sylfaen" w:hAnsi="Sylfaen"/>
        </w:rPr>
        <w:t>28</w:t>
      </w:r>
      <w:r w:rsidRPr="004662B8">
        <w:rPr>
          <w:rFonts w:ascii="Sylfaen" w:hAnsi="Sylfaen"/>
          <w:lang w:val="ka-GE"/>
        </w:rPr>
        <w:t xml:space="preserve"> შემთხვევა</w:t>
      </w:r>
    </w:p>
    <w:p w:rsidR="00B21F17" w:rsidRPr="004662B8" w:rsidRDefault="00B21F17" w:rsidP="00B21F17">
      <w:pPr>
        <w:pStyle w:val="ListParagraph"/>
        <w:numPr>
          <w:ilvl w:val="0"/>
          <w:numId w:val="38"/>
        </w:numPr>
        <w:ind w:left="0" w:firstLine="0"/>
        <w:jc w:val="both"/>
        <w:rPr>
          <w:rFonts w:ascii="Sylfaen" w:hAnsi="Sylfaen"/>
        </w:rPr>
      </w:pPr>
      <w:r w:rsidRPr="004662B8">
        <w:rPr>
          <w:rFonts w:ascii="Sylfaen" w:hAnsi="Sylfaen"/>
          <w:lang w:val="ka-GE"/>
        </w:rPr>
        <w:t xml:space="preserve">პნევმონია  </w:t>
      </w:r>
      <w:r>
        <w:rPr>
          <w:rFonts w:ascii="Sylfaen" w:hAnsi="Sylfaen"/>
          <w:lang w:val="ka-GE"/>
        </w:rPr>
        <w:t xml:space="preserve">13 </w:t>
      </w:r>
      <w:r w:rsidRPr="004662B8">
        <w:rPr>
          <w:rFonts w:ascii="Sylfaen" w:hAnsi="Sylfaen"/>
          <w:lang w:val="ka-GE"/>
        </w:rPr>
        <w:t>შემთხვევა</w:t>
      </w:r>
    </w:p>
    <w:p w:rsidR="00B21F17" w:rsidRPr="004662B8" w:rsidRDefault="00B21F17" w:rsidP="00B21F17">
      <w:pPr>
        <w:pStyle w:val="ListParagraph"/>
        <w:numPr>
          <w:ilvl w:val="0"/>
          <w:numId w:val="38"/>
        </w:numPr>
        <w:ind w:left="0" w:firstLine="0"/>
        <w:jc w:val="both"/>
        <w:rPr>
          <w:rFonts w:ascii="Sylfaen" w:hAnsi="Sylfaen"/>
        </w:rPr>
      </w:pPr>
      <w:r w:rsidRPr="004662B8">
        <w:rPr>
          <w:rFonts w:ascii="Sylfaen" w:hAnsi="Sylfaen"/>
          <w:lang w:val="ka-GE"/>
        </w:rPr>
        <w:t xml:space="preserve">ვაროკოზული სისხლდენა  </w:t>
      </w:r>
      <w:r w:rsidRPr="004662B8">
        <w:rPr>
          <w:rFonts w:ascii="Sylfaen" w:hAnsi="Sylfaen"/>
        </w:rPr>
        <w:t>0</w:t>
      </w:r>
      <w:r w:rsidRPr="004662B8">
        <w:rPr>
          <w:rFonts w:ascii="Sylfaen" w:hAnsi="Sylfaen"/>
          <w:lang w:val="ka-GE"/>
        </w:rPr>
        <w:t xml:space="preserve">  შემთხვევა</w:t>
      </w:r>
    </w:p>
    <w:p w:rsidR="00B21F17" w:rsidRPr="004662B8" w:rsidRDefault="00B21F17" w:rsidP="00B21F17">
      <w:pPr>
        <w:pStyle w:val="ListParagraph"/>
        <w:numPr>
          <w:ilvl w:val="0"/>
          <w:numId w:val="38"/>
        </w:numPr>
        <w:ind w:left="0" w:firstLine="0"/>
        <w:jc w:val="both"/>
        <w:rPr>
          <w:rFonts w:ascii="Sylfaen" w:hAnsi="Sylfaen"/>
          <w:lang w:val="ka-GE"/>
        </w:rPr>
      </w:pPr>
      <w:r w:rsidRPr="004662B8">
        <w:rPr>
          <w:rFonts w:ascii="Sylfaen" w:hAnsi="Sylfaen"/>
          <w:lang w:val="ka-GE"/>
        </w:rPr>
        <w:t xml:space="preserve">ინსულტის </w:t>
      </w:r>
      <w:r>
        <w:rPr>
          <w:rFonts w:ascii="Sylfaen" w:hAnsi="Sylfaen"/>
          <w:lang w:val="ka-GE"/>
        </w:rPr>
        <w:t>8</w:t>
      </w:r>
      <w:r w:rsidRPr="004662B8">
        <w:rPr>
          <w:rFonts w:ascii="Sylfaen" w:hAnsi="Sylfaen"/>
          <w:lang w:val="ka-GE"/>
        </w:rPr>
        <w:t xml:space="preserve">  შემთხვევა </w:t>
      </w:r>
    </w:p>
    <w:p w:rsidR="00B21F17" w:rsidRPr="004662B8" w:rsidRDefault="00B21F17" w:rsidP="00B21F17">
      <w:pPr>
        <w:pStyle w:val="ListParagraph"/>
        <w:numPr>
          <w:ilvl w:val="0"/>
          <w:numId w:val="38"/>
        </w:numPr>
        <w:ind w:left="0" w:firstLine="0"/>
        <w:jc w:val="both"/>
        <w:rPr>
          <w:rFonts w:ascii="Sylfaen" w:hAnsi="Sylfaen"/>
          <w:lang w:val="ka-GE"/>
        </w:rPr>
      </w:pPr>
      <w:r w:rsidRPr="004662B8">
        <w:rPr>
          <w:rFonts w:ascii="Sylfaen" w:hAnsi="Sylfaen"/>
          <w:lang w:val="ka-GE"/>
        </w:rPr>
        <w:t>სხვა-</w:t>
      </w:r>
      <w:r>
        <w:rPr>
          <w:rFonts w:ascii="Sylfaen" w:hAnsi="Sylfaen"/>
          <w:lang w:val="ka-GE"/>
        </w:rPr>
        <w:t>151</w:t>
      </w:r>
      <w:r w:rsidRPr="004662B8">
        <w:rPr>
          <w:rFonts w:ascii="Sylfaen" w:hAnsi="Sylfaen"/>
          <w:lang w:val="ka-GE"/>
        </w:rPr>
        <w:t xml:space="preserve"> შემთხვევა</w:t>
      </w:r>
    </w:p>
    <w:p w:rsidR="00B21F17" w:rsidRPr="004662B8" w:rsidRDefault="00B21F17" w:rsidP="00B21F17">
      <w:pPr>
        <w:jc w:val="both"/>
        <w:rPr>
          <w:rFonts w:ascii="Sylfaen" w:hAnsi="Sylfaen"/>
          <w:lang w:val="ka-GE"/>
        </w:rPr>
      </w:pPr>
      <w:r w:rsidRPr="004662B8">
        <w:rPr>
          <w:rFonts w:ascii="Sylfaen" w:hAnsi="Sylfaen"/>
          <w:lang w:val="ka-GE"/>
        </w:rPr>
        <w:t>გადამოწმდა პაციენტის  კატასტროფებისა და გადაუდებელი დახმარების                                                                      სამსახურების    მიერ   განხორციელებული    ტრანსპორტირების   ფაქტები</w:t>
      </w:r>
      <w:r w:rsidRPr="004662B8">
        <w:rPr>
          <w:rFonts w:ascii="Sylfaen" w:hAnsi="Sylfaen"/>
        </w:rPr>
        <w:t>,</w:t>
      </w:r>
      <w:r>
        <w:rPr>
          <w:rFonts w:ascii="Sylfaen" w:hAnsi="Sylfaen"/>
          <w:lang w:val="ka-GE"/>
        </w:rPr>
        <w:t xml:space="preserve"> </w:t>
      </w:r>
      <w:r w:rsidRPr="004662B8">
        <w:rPr>
          <w:rFonts w:ascii="Sylfaen" w:hAnsi="Sylfaen"/>
          <w:lang w:val="ka-GE"/>
        </w:rPr>
        <w:t xml:space="preserve">საიდანაც  საეჭვოდ  ჩაითვალა  </w:t>
      </w:r>
      <w:r>
        <w:rPr>
          <w:rFonts w:ascii="Sylfaen" w:hAnsi="Sylfaen"/>
          <w:lang w:val="ka-GE"/>
        </w:rPr>
        <w:t>25</w:t>
      </w:r>
      <w:r w:rsidRPr="004662B8">
        <w:rPr>
          <w:rFonts w:ascii="Sylfaen" w:hAnsi="Sylfaen"/>
          <w:lang w:val="ka-GE"/>
        </w:rPr>
        <w:t xml:space="preserve">  შემთხვევა.  აქედან  </w:t>
      </w:r>
      <w:r>
        <w:rPr>
          <w:rFonts w:ascii="Sylfaen" w:hAnsi="Sylfaen"/>
          <w:lang w:val="ka-GE"/>
        </w:rPr>
        <w:t>10</w:t>
      </w:r>
      <w:r w:rsidRPr="004662B8">
        <w:rPr>
          <w:rFonts w:ascii="Sylfaen" w:hAnsi="Sylfaen"/>
          <w:lang w:val="ka-GE"/>
        </w:rPr>
        <w:t xml:space="preserve">    შემთხვევა  დასრულდა   ლეტალურად.   7  შემთხვევაში გაირკვა რომ,  </w:t>
      </w:r>
      <w:r>
        <w:rPr>
          <w:rFonts w:ascii="Sylfaen" w:hAnsi="Sylfaen"/>
          <w:lang w:val="ka-GE"/>
        </w:rPr>
        <w:t>პაციენტები</w:t>
      </w:r>
      <w:r w:rsidRPr="004662B8">
        <w:rPr>
          <w:rFonts w:ascii="Sylfaen" w:hAnsi="Sylfaen"/>
          <w:lang w:val="ka-GE"/>
        </w:rPr>
        <w:t xml:space="preserve">  შემდგომი    დამძიმების  გამო</w:t>
      </w:r>
      <w:r>
        <w:rPr>
          <w:rFonts w:ascii="Sylfaen" w:hAnsi="Sylfaen"/>
          <w:lang w:val="ka-GE"/>
        </w:rPr>
        <w:t>,</w:t>
      </w:r>
      <w:r w:rsidRPr="004662B8">
        <w:rPr>
          <w:rFonts w:ascii="Sylfaen" w:hAnsi="Sylfaen"/>
          <w:lang w:val="ka-GE"/>
        </w:rPr>
        <w:t xml:space="preserve">  გადაყვანილნი  იქნენ  სხვა  პროფილის  კლინიკებში.  </w:t>
      </w:r>
    </w:p>
    <w:p w:rsidR="00B21F17" w:rsidRPr="004662B8" w:rsidRDefault="00B21F17" w:rsidP="00B21F17">
      <w:pPr>
        <w:jc w:val="both"/>
        <w:rPr>
          <w:rFonts w:ascii="Sylfaen" w:hAnsi="Sylfaen"/>
          <w:lang w:val="ka-GE"/>
        </w:rPr>
      </w:pPr>
      <w:r w:rsidRPr="004662B8">
        <w:rPr>
          <w:rFonts w:ascii="Sylfaen" w:hAnsi="Sylfaen"/>
          <w:lang w:val="ka-GE"/>
        </w:rPr>
        <w:t>1)   შპს ხობის რაიონული ცენტრალური საავადმყოფო</w:t>
      </w:r>
      <w:r w:rsidRPr="004662B8">
        <w:rPr>
          <w:rFonts w:ascii="Sylfaen" w:hAnsi="Sylfaen"/>
        </w:rPr>
        <w:t>-</w:t>
      </w:r>
      <w:r w:rsidRPr="004662B8">
        <w:rPr>
          <w:rFonts w:ascii="Sylfaen" w:hAnsi="Sylfaen"/>
          <w:lang w:val="ka-GE"/>
        </w:rPr>
        <w:t xml:space="preserve">დან  2014-04-02 06:40_ში გადაყვანილი  იქნა  პაციენტი  ენვერ  გაბელია   პ/ნ 58001000601   შპს ო.ჩხობაძის სახელობის ინვალიდთა და ხანდაზმულთა სამკურნალო-სარეაბილიტაციო კლინიკური ცენტრში,  სადაც   ექიმის  გადმოცემით, პაციენტს  აღენიშნებოდა  კარდიოგენული  შოკი.   ჩაუტარდა  II დონის ინტენსიური მკურნალობა/მოვლა  და  2014-04-02 11:50  სთ_ზე  კორონაროგრაფიისა  და  სტენტირების   მიზნით  გადაიყვანეს  შპს კლინიკა-ლჯ _ში. აქ,  ექიმის  გადმოცემით, პაციენტს  ჩაუტარდა I დონის ინტენსიური მკურნალობა/მოვლა  და  3სთ_ში გადაიყვანეს  </w:t>
      </w:r>
      <w:r>
        <w:rPr>
          <w:rFonts w:ascii="Sylfaen" w:hAnsi="Sylfaen"/>
          <w:lang w:val="ka-GE"/>
        </w:rPr>
        <w:t>ცხაკაის სახ</w:t>
      </w:r>
      <w:r w:rsidRPr="004662B8">
        <w:rPr>
          <w:rFonts w:ascii="Sylfaen" w:hAnsi="Sylfaen"/>
          <w:lang w:val="ka-GE"/>
        </w:rPr>
        <w:t>. ინტერვენციული  მედიცინის  ეროვნულ  ცენტრში</w:t>
      </w:r>
      <w:r>
        <w:rPr>
          <w:rFonts w:ascii="Sylfaen" w:hAnsi="Sylfaen"/>
          <w:lang w:val="ka-GE"/>
        </w:rPr>
        <w:t>,</w:t>
      </w:r>
      <w:r w:rsidRPr="004662B8">
        <w:rPr>
          <w:rFonts w:ascii="Sylfaen" w:hAnsi="Sylfaen"/>
          <w:lang w:val="ka-GE"/>
        </w:rPr>
        <w:t xml:space="preserve">  სადაც    ოპერაციის  მზადების  პროცესში პაციენტი გარდაიცვალა.</w:t>
      </w:r>
    </w:p>
    <w:p w:rsidR="00B21F17" w:rsidRPr="004662B8" w:rsidRDefault="00B21F17" w:rsidP="00B21F17">
      <w:pPr>
        <w:jc w:val="both"/>
        <w:rPr>
          <w:rFonts w:ascii="Sylfaen" w:hAnsi="Sylfaen"/>
          <w:lang w:val="ka-GE"/>
        </w:rPr>
      </w:pPr>
      <w:r w:rsidRPr="004662B8">
        <w:rPr>
          <w:rFonts w:ascii="Sylfaen" w:hAnsi="Sylfaen"/>
          <w:lang w:val="ka-GE"/>
        </w:rPr>
        <w:t>2)  შპს ჯანმრთელობის ცენტრი "მედინა"_დან  2014-04-07 01:40_ში   გადაყვანილი  იქნა  პაციენტი  ლამპარაძე  რეზო  პ/ნ 61005007672  შპს „თბილისის გულისა და სისხლძარღვთა კლინიკა“ _ში,   სადაც  პაციენტს   ჩაუტარდა  II  დონის ინტენსიური მკურნალობა/მოვლა.  ექიმის    გადმოცემით,  პაციენტის  შემდგომი დამძიმების  გამო,  9სთ_ში გადაიყვანეს  შპს წმინდა მიქაელ მთავარანგელოზის სახელობის მრავალპროფილიან  კლინიკურ საავადმყოფოში.</w:t>
      </w:r>
    </w:p>
    <w:p w:rsidR="00B21F17" w:rsidRPr="004662B8" w:rsidRDefault="00B21F17" w:rsidP="00B21F17">
      <w:pPr>
        <w:jc w:val="both"/>
        <w:rPr>
          <w:rFonts w:ascii="Sylfaen" w:hAnsi="Sylfaen"/>
          <w:lang w:val="ka-GE"/>
        </w:rPr>
      </w:pPr>
      <w:r w:rsidRPr="004662B8">
        <w:rPr>
          <w:rFonts w:ascii="Sylfaen" w:hAnsi="Sylfaen"/>
          <w:lang w:val="ka-GE"/>
        </w:rPr>
        <w:t xml:space="preserve">3) სს "ქ. ფოთის  ცენტრალური კლინიკური საავადმყოფო"_დან  2014-04-01 14:10_ში  გადაყვანილი  იქნა  პაციენტი  აფხაზავა  მურმანი  პ/ნ 42001019339   შპს "იმერეთის რეგიონალური კლინიკური საავადმყოფო",   სადაც  პაციენტმა   დაჰყო  1 სთ  და ოჯახის  წევრების  მოთხოვნით  გადაიყვანეს სხვა  კლინიკაში. </w:t>
      </w:r>
    </w:p>
    <w:p w:rsidR="00B21F17" w:rsidRPr="00773DB6" w:rsidRDefault="00B21F17" w:rsidP="00B21F17">
      <w:pPr>
        <w:jc w:val="both"/>
        <w:rPr>
          <w:rFonts w:ascii="Sylfaen" w:hAnsi="Sylfaen"/>
          <w:lang w:val="ka-GE"/>
        </w:rPr>
      </w:pPr>
      <w:r>
        <w:rPr>
          <w:rFonts w:ascii="Sylfaen" w:hAnsi="Sylfaen"/>
          <w:lang w:val="ka-GE"/>
        </w:rPr>
        <w:lastRenderedPageBreak/>
        <w:t>4</w:t>
      </w:r>
      <w:r w:rsidRPr="00773DB6">
        <w:rPr>
          <w:rFonts w:ascii="Sylfaen" w:hAnsi="Sylfaen"/>
          <w:lang w:val="ka-GE"/>
        </w:rPr>
        <w:t>)   შპს გადაუდებელი დახმარებისა და ქირურგიის ცენტრი ჰიგია</w:t>
      </w:r>
      <w:r w:rsidRPr="00773DB6">
        <w:rPr>
          <w:rFonts w:ascii="Sylfaen" w:hAnsi="Sylfaen"/>
        </w:rPr>
        <w:t>-</w:t>
      </w:r>
      <w:r w:rsidRPr="00773DB6">
        <w:rPr>
          <w:rFonts w:ascii="Sylfaen" w:hAnsi="Sylfaen"/>
          <w:lang w:val="ka-GE"/>
        </w:rPr>
        <w:t xml:space="preserve">დან  2014-04-26 21:00_ში გადაყვანილი  იქნა  პაციენტი  ზოია    სარქისიანი  პ/ნ 01033007184   შ.პ.ს. კარდიოლოგიური კლინიკა "გული"ში,  სადაც   ექიმის  გადმოცემით, პაციენტს  აღენიშნებოდა   გულის უკმარისობა, ჩაუტარდა  I დონის ინტენსიური მკურნალობა/მოვლა. შემდგომი  დამძიმების გამო,   (18 სთ_ში) გადაყვანილი  იქნა  შპს. ნევროლოგიის  ცენტრში.  </w:t>
      </w:r>
    </w:p>
    <w:p w:rsidR="00B21F17" w:rsidRPr="00773DB6" w:rsidRDefault="00B21F17" w:rsidP="00B21F17">
      <w:pPr>
        <w:jc w:val="both"/>
        <w:rPr>
          <w:rFonts w:ascii="Sylfaen" w:hAnsi="Sylfaen"/>
          <w:lang w:val="ka-GE"/>
        </w:rPr>
      </w:pPr>
      <w:r>
        <w:rPr>
          <w:rFonts w:ascii="Sylfaen" w:hAnsi="Sylfaen"/>
          <w:lang w:val="ka-GE"/>
        </w:rPr>
        <w:t>5</w:t>
      </w:r>
      <w:r w:rsidRPr="00773DB6">
        <w:rPr>
          <w:rFonts w:ascii="Sylfaen" w:hAnsi="Sylfaen"/>
          <w:lang w:val="ka-GE"/>
        </w:rPr>
        <w:t xml:space="preserve">)  შპს </w:t>
      </w:r>
      <w:r>
        <w:rPr>
          <w:rFonts w:ascii="Sylfaen" w:hAnsi="Sylfaen"/>
          <w:lang w:val="ka-GE"/>
        </w:rPr>
        <w:t>”</w:t>
      </w:r>
      <w:r w:rsidRPr="00773DB6">
        <w:rPr>
          <w:rFonts w:ascii="Sylfaen" w:hAnsi="Sylfaen"/>
          <w:lang w:val="ka-GE"/>
        </w:rPr>
        <w:t>თბილისის ცენტრალური საავადმყოფო</w:t>
      </w:r>
      <w:r>
        <w:rPr>
          <w:rFonts w:ascii="Sylfaen" w:hAnsi="Sylfaen"/>
          <w:lang w:val="ka-GE"/>
        </w:rPr>
        <w:t>”</w:t>
      </w:r>
      <w:r w:rsidRPr="00773DB6">
        <w:rPr>
          <w:rFonts w:ascii="Sylfaen" w:hAnsi="Sylfaen"/>
          <w:lang w:val="ka-GE"/>
        </w:rPr>
        <w:t xml:space="preserve">_დან   2014-04-20  18:15_ში   გადაყვანილი  იქნა  პაციენტი  მარო  შოშიაშვილი პ/ნ  01019033155  შპს "რედი" _ში,   სადაც  პაციენტს   ჩაუტარდა  II დონის ინტენსიური მკურნალობა / მოვლა  და  3 სთ_ის შემდეგ  პაციენტის  ახლობლების  სურვილის  მიხედვით,   გადაყვანილი  იქნა  „ავერსის“_ კლინიკაში.  </w:t>
      </w:r>
    </w:p>
    <w:p w:rsidR="00B21F17" w:rsidRPr="00773DB6" w:rsidRDefault="00B21F17" w:rsidP="00B21F17">
      <w:pPr>
        <w:jc w:val="both"/>
        <w:rPr>
          <w:rFonts w:ascii="Sylfaen" w:hAnsi="Sylfaen"/>
          <w:lang w:val="ka-GE"/>
        </w:rPr>
      </w:pPr>
      <w:r>
        <w:rPr>
          <w:rFonts w:ascii="Sylfaen" w:hAnsi="Sylfaen"/>
          <w:lang w:val="ka-GE"/>
        </w:rPr>
        <w:t>6</w:t>
      </w:r>
      <w:r w:rsidRPr="00773DB6">
        <w:rPr>
          <w:rFonts w:ascii="Sylfaen" w:hAnsi="Sylfaen"/>
          <w:lang w:val="ka-GE"/>
        </w:rPr>
        <w:t xml:space="preserve">) შპს </w:t>
      </w:r>
      <w:r>
        <w:rPr>
          <w:rFonts w:ascii="Sylfaen" w:hAnsi="Sylfaen"/>
          <w:lang w:val="ka-GE"/>
        </w:rPr>
        <w:t>”</w:t>
      </w:r>
      <w:r w:rsidRPr="00773DB6">
        <w:rPr>
          <w:rFonts w:ascii="Sylfaen" w:hAnsi="Sylfaen"/>
          <w:lang w:val="ka-GE"/>
        </w:rPr>
        <w:t>თბილისის ცენტრალური საავადმყოფო</w:t>
      </w:r>
      <w:r>
        <w:rPr>
          <w:rFonts w:ascii="Sylfaen" w:hAnsi="Sylfaen"/>
          <w:lang w:val="ka-GE"/>
        </w:rPr>
        <w:t>”</w:t>
      </w:r>
      <w:r w:rsidRPr="00773DB6">
        <w:rPr>
          <w:rFonts w:ascii="Sylfaen" w:hAnsi="Sylfaen"/>
          <w:lang w:val="ka-GE"/>
        </w:rPr>
        <w:t xml:space="preserve">_დან  2014-04-26  20:44_ში  გადაყვანილი  იქნა  პაციენტი  ნუგზარ   ლომაძე  პ/ნ  01018005909შპს  შპს </w:t>
      </w:r>
      <w:r>
        <w:rPr>
          <w:rFonts w:ascii="Sylfaen" w:hAnsi="Sylfaen"/>
          <w:lang w:val="ka-GE"/>
        </w:rPr>
        <w:t>”</w:t>
      </w:r>
      <w:r w:rsidRPr="00773DB6">
        <w:rPr>
          <w:rFonts w:ascii="Sylfaen" w:hAnsi="Sylfaen"/>
          <w:lang w:val="ka-GE"/>
        </w:rPr>
        <w:t>კიბოს კვლევის ცენტრი - მარტინ დ. აბელოფის ლაბორატორიაში</w:t>
      </w:r>
      <w:r>
        <w:rPr>
          <w:rFonts w:ascii="Sylfaen" w:hAnsi="Sylfaen"/>
          <w:lang w:val="ka-GE"/>
        </w:rPr>
        <w:t>”</w:t>
      </w:r>
      <w:r w:rsidRPr="00773DB6">
        <w:rPr>
          <w:rFonts w:ascii="Sylfaen" w:hAnsi="Sylfaen"/>
          <w:lang w:val="ka-GE"/>
        </w:rPr>
        <w:t xml:space="preserve">,   სადაც  პაციენტს      ჩაუტარდა ტროაკარული ეპიცისტოსტომია და 25 სთ_ის შემდეგ   გაეწერა  ბინაზე.  </w:t>
      </w:r>
    </w:p>
    <w:p w:rsidR="00B21F17" w:rsidRPr="00773DB6" w:rsidRDefault="00B21F17" w:rsidP="00B21F17">
      <w:pPr>
        <w:jc w:val="both"/>
        <w:rPr>
          <w:rFonts w:ascii="Sylfaen" w:hAnsi="Sylfaen"/>
          <w:lang w:val="ka-GE"/>
        </w:rPr>
      </w:pPr>
      <w:r>
        <w:rPr>
          <w:rFonts w:ascii="Sylfaen" w:hAnsi="Sylfaen"/>
          <w:lang w:val="ka-GE"/>
        </w:rPr>
        <w:t>7</w:t>
      </w:r>
      <w:r w:rsidRPr="00773DB6">
        <w:rPr>
          <w:rFonts w:ascii="Sylfaen" w:hAnsi="Sylfaen"/>
          <w:lang w:val="ka-GE"/>
        </w:rPr>
        <w:t xml:space="preserve">)  ანალოგიურია  პაციენტი  ირაკლი   თადიაშვილი  პ/ნ  01006017857,  რომელიც  გადაყვანილი  იქნა შპს თბილისის ცენტრალური საავადმყოფო_დან  2014-04-28 20:20_ში  შპს კიბოს კვლევის ცენტრი - მარტინ დ. აბელოფის ლაბორატორიაში,  სადაც  პაციენტს   ჩაუტარდა  ტროაკარული ეპიცისტოსტომია და 24 სთ_ის შემდეგ გაეწერა  ბინაზე.   </w:t>
      </w:r>
    </w:p>
    <w:p w:rsidR="00B21F17" w:rsidRPr="00773DB6" w:rsidRDefault="00B21F17" w:rsidP="00B21F17">
      <w:pPr>
        <w:jc w:val="both"/>
        <w:rPr>
          <w:rFonts w:ascii="Sylfaen" w:hAnsi="Sylfaen"/>
          <w:lang w:val="ka-GE"/>
        </w:rPr>
      </w:pPr>
      <w:r>
        <w:rPr>
          <w:rFonts w:ascii="Sylfaen" w:hAnsi="Sylfaen"/>
          <w:lang w:val="ka-GE"/>
        </w:rPr>
        <w:t>8</w:t>
      </w:r>
      <w:r w:rsidRPr="00773DB6">
        <w:rPr>
          <w:rFonts w:ascii="Sylfaen" w:hAnsi="Sylfaen"/>
          <w:lang w:val="ka-GE"/>
        </w:rPr>
        <w:t xml:space="preserve">)  შპს </w:t>
      </w:r>
      <w:r>
        <w:rPr>
          <w:rFonts w:ascii="Sylfaen" w:hAnsi="Sylfaen"/>
          <w:lang w:val="ka-GE"/>
        </w:rPr>
        <w:t>”</w:t>
      </w:r>
      <w:r w:rsidRPr="00773DB6">
        <w:rPr>
          <w:rFonts w:ascii="Sylfaen" w:hAnsi="Sylfaen"/>
          <w:lang w:val="ka-GE"/>
        </w:rPr>
        <w:t>ჯეო ჰოსპიტალსი</w:t>
      </w:r>
      <w:r>
        <w:rPr>
          <w:rFonts w:ascii="Sylfaen" w:hAnsi="Sylfaen"/>
          <w:lang w:val="ka-GE"/>
        </w:rPr>
        <w:t>”</w:t>
      </w:r>
      <w:r w:rsidRPr="00773DB6">
        <w:rPr>
          <w:rFonts w:ascii="Sylfaen" w:hAnsi="Sylfaen"/>
          <w:lang w:val="ka-GE"/>
        </w:rPr>
        <w:t xml:space="preserve">_დან  პაციენტი  როინ  ჯოგლიძე  პ/ნ 17001022879    2014-04-30 13:50_ში    გადაყვანილი  იქნა  შპს "ქუთაისის რკინიგზის მრავალპროფილიან საავადმყოფო"_ში, სადაც ჩაუტარდა კორონაროგრაფია. გაირკვა რომ  დაზიანება  არ  აღენიშნებოდა  და  პაციენტი  გაეწერა  ბინაზე.   </w:t>
      </w:r>
    </w:p>
    <w:p w:rsidR="00B21F17" w:rsidRPr="00CB7FF0" w:rsidRDefault="00B21F17" w:rsidP="00B21F17">
      <w:pPr>
        <w:jc w:val="both"/>
        <w:rPr>
          <w:rFonts w:ascii="Sylfaen" w:hAnsi="Sylfaen"/>
        </w:rPr>
      </w:pPr>
      <w:r w:rsidRPr="0067609C">
        <w:rPr>
          <w:rFonts w:ascii="Sylfaen" w:hAnsi="Sylfaen"/>
          <w:b/>
          <w:i/>
          <w:lang w:val="ka-GE"/>
        </w:rPr>
        <w:t>2014 წლის მაისში</w:t>
      </w:r>
      <w:r>
        <w:rPr>
          <w:rFonts w:ascii="Sylfaen" w:hAnsi="Sylfaen"/>
          <w:lang w:val="ka-GE"/>
        </w:rPr>
        <w:t xml:space="preserve"> </w:t>
      </w:r>
      <w:r w:rsidRPr="00CB7FF0">
        <w:rPr>
          <w:rFonts w:ascii="Sylfaen" w:hAnsi="Sylfaen"/>
          <w:lang w:val="ka-GE"/>
        </w:rPr>
        <w:t>საყოველთაო ჯანდაცვის მართვის დეპარტამენტის  მიერ მოწოდებული ტრანსპორტირებული  პაციენტების რაოდენობა შეადგენს  321.</w:t>
      </w:r>
      <w:r>
        <w:rPr>
          <w:rFonts w:ascii="Sylfaen" w:hAnsi="Sylfaen"/>
          <w:lang w:val="ka-GE"/>
        </w:rPr>
        <w:t xml:space="preserve"> </w:t>
      </w:r>
      <w:r w:rsidRPr="00CB7FF0">
        <w:rPr>
          <w:rFonts w:ascii="Sylfaen" w:hAnsi="Sylfaen"/>
          <w:lang w:val="ka-GE"/>
        </w:rPr>
        <w:t>ინფორმაციის შეჯერების შედეგად კატასტროფებისა და გადაუდებელი დახმარების სამსახურების მონიტორინგის ელექტრონული პროგრამის ბაზაში აღმოჩნდა მხოლოდ</w:t>
      </w:r>
      <w:r>
        <w:rPr>
          <w:rFonts w:ascii="Sylfaen" w:hAnsi="Sylfaen"/>
          <w:lang w:val="ka-GE"/>
        </w:rPr>
        <w:t xml:space="preserve"> </w:t>
      </w:r>
      <w:r w:rsidRPr="00CB7FF0">
        <w:rPr>
          <w:rFonts w:ascii="Sylfaen" w:hAnsi="Sylfaen"/>
          <w:lang w:val="ka-GE"/>
        </w:rPr>
        <w:t>319 პაციენტი,</w:t>
      </w:r>
      <w:r>
        <w:rPr>
          <w:rFonts w:ascii="Sylfaen" w:hAnsi="Sylfaen"/>
          <w:lang w:val="ka-GE"/>
        </w:rPr>
        <w:t xml:space="preserve"> </w:t>
      </w:r>
      <w:r w:rsidRPr="00CB7FF0">
        <w:rPr>
          <w:rFonts w:ascii="Sylfaen" w:hAnsi="Sylfaen"/>
          <w:lang w:val="ka-GE"/>
        </w:rPr>
        <w:t xml:space="preserve">რომელიც საოველთაო ჯანდაცვის  პროგრამით  არის დაფინანსებული. </w:t>
      </w:r>
    </w:p>
    <w:p w:rsidR="00B21F17" w:rsidRPr="00CB7FF0" w:rsidRDefault="00B21F17" w:rsidP="00B21F17">
      <w:pPr>
        <w:jc w:val="both"/>
        <w:rPr>
          <w:rFonts w:ascii="Sylfaen" w:hAnsi="Sylfaen"/>
          <w:lang w:val="ka-GE"/>
        </w:rPr>
      </w:pPr>
      <w:r w:rsidRPr="00CB7FF0">
        <w:rPr>
          <w:rFonts w:ascii="Sylfaen" w:hAnsi="Sylfaen"/>
          <w:lang w:val="ka-GE"/>
        </w:rPr>
        <w:t>გადამოწმდა   პაციენტის  კატასტროფებისა  და გადაუდებელი დახმარების სამსახურების    მიერ   განხორციელებული    ტრანსპორტირების   ფაქტები</w:t>
      </w:r>
      <w:r w:rsidRPr="00CB7FF0">
        <w:rPr>
          <w:rFonts w:ascii="Sylfaen" w:hAnsi="Sylfaen"/>
        </w:rPr>
        <w:t>,</w:t>
      </w:r>
      <w:r w:rsidRPr="00CB7FF0">
        <w:rPr>
          <w:rFonts w:ascii="Sylfaen" w:hAnsi="Sylfaen"/>
          <w:lang w:val="ka-GE"/>
        </w:rPr>
        <w:t xml:space="preserve"> საიდანაც  საეჭვოდ  ჩაითვალა  20  შემთხვევა.  აქედან  7    შემთხვევა  დასრულდა  ლეტალური  გამოსავალით. 11  შემთხვევა  არი</w:t>
      </w:r>
      <w:r>
        <w:rPr>
          <w:rFonts w:ascii="Sylfaen" w:hAnsi="Sylfaen"/>
          <w:lang w:val="ka-GE"/>
        </w:rPr>
        <w:t xml:space="preserve">ს </w:t>
      </w:r>
      <w:r w:rsidRPr="00CB7FF0">
        <w:rPr>
          <w:rFonts w:ascii="Sylfaen" w:hAnsi="Sylfaen"/>
          <w:lang w:val="ka-GE"/>
        </w:rPr>
        <w:t xml:space="preserve"> კვლევის მიზნით  განხორციელებული  ტრანსპორტირება.  2  შემთხვევა კი  არის პაციენტის  დამძიმების გამო განხორციელებული  ტრანსპორირება. </w:t>
      </w:r>
    </w:p>
    <w:p w:rsidR="00B21F17" w:rsidRPr="005103EC" w:rsidRDefault="00B21F17" w:rsidP="00B21F17">
      <w:pPr>
        <w:jc w:val="both"/>
        <w:rPr>
          <w:rFonts w:ascii="Sylfaen" w:hAnsi="Sylfaen"/>
          <w:lang w:val="ka-GE"/>
        </w:rPr>
      </w:pPr>
      <w:r w:rsidRPr="0067609C">
        <w:rPr>
          <w:rFonts w:ascii="Sylfaen" w:hAnsi="Sylfaen"/>
          <w:b/>
          <w:i/>
          <w:lang w:val="ka-GE"/>
        </w:rPr>
        <w:t>2014 წლის ივლისისა და  აგვისტოს  თვეში</w:t>
      </w:r>
      <w:r>
        <w:rPr>
          <w:rFonts w:ascii="Sylfaen" w:hAnsi="Sylfaen"/>
          <w:lang w:val="ka-GE"/>
        </w:rPr>
        <w:t xml:space="preserve">  </w:t>
      </w:r>
      <w:r w:rsidRPr="005103EC">
        <w:rPr>
          <w:rFonts w:ascii="Sylfaen" w:hAnsi="Sylfaen"/>
          <w:lang w:val="ka-GE"/>
        </w:rPr>
        <w:t xml:space="preserve">საყოველთაო ჯანდაცვის მართვის დეპარტამენტის  მიერ მოწოდებული პაციენტების რაოდენობა </w:t>
      </w:r>
      <w:r>
        <w:rPr>
          <w:rFonts w:ascii="Sylfaen" w:hAnsi="Sylfaen"/>
          <w:lang w:val="ka-GE"/>
        </w:rPr>
        <w:t>შეადგენდა 731</w:t>
      </w:r>
      <w:r w:rsidRPr="005103EC">
        <w:rPr>
          <w:rFonts w:ascii="Sylfaen" w:hAnsi="Sylfaen"/>
          <w:lang w:val="ka-GE"/>
        </w:rPr>
        <w:t>.</w:t>
      </w:r>
      <w:r>
        <w:rPr>
          <w:rFonts w:ascii="Sylfaen" w:hAnsi="Sylfaen"/>
          <w:lang w:val="ka-GE"/>
        </w:rPr>
        <w:t xml:space="preserve"> </w:t>
      </w:r>
      <w:r w:rsidRPr="005103EC">
        <w:rPr>
          <w:rFonts w:ascii="Sylfaen" w:hAnsi="Sylfaen"/>
          <w:lang w:val="ka-GE"/>
        </w:rPr>
        <w:t xml:space="preserve">ინფორმაციის შეჯერების შედეგად კატასტროფებისა და გადაუდებელი დახმარების სამსახურების მონიტორინგის ელექტრონული პროგრამის ბაზაში აღმოჩნდა მხოლოდ </w:t>
      </w:r>
      <w:r>
        <w:rPr>
          <w:rFonts w:ascii="Sylfaen" w:hAnsi="Sylfaen"/>
          <w:lang w:val="ka-GE"/>
        </w:rPr>
        <w:t>719</w:t>
      </w:r>
      <w:r w:rsidRPr="005103EC">
        <w:rPr>
          <w:rFonts w:ascii="Sylfaen" w:hAnsi="Sylfaen"/>
          <w:lang w:val="ka-GE"/>
        </w:rPr>
        <w:t xml:space="preserve"> პაციენტი,</w:t>
      </w:r>
      <w:r>
        <w:rPr>
          <w:rFonts w:ascii="Sylfaen" w:hAnsi="Sylfaen"/>
          <w:lang w:val="ka-GE"/>
        </w:rPr>
        <w:t xml:space="preserve"> </w:t>
      </w:r>
      <w:r w:rsidRPr="005103EC">
        <w:rPr>
          <w:rFonts w:ascii="Sylfaen" w:hAnsi="Sylfaen"/>
          <w:lang w:val="ka-GE"/>
        </w:rPr>
        <w:t xml:space="preserve">რომელიც საოველთაო ჯანდაცვის  პროგრამით  </w:t>
      </w:r>
      <w:r>
        <w:rPr>
          <w:rFonts w:ascii="Sylfaen" w:hAnsi="Sylfaen"/>
          <w:lang w:val="ka-GE"/>
        </w:rPr>
        <w:t>იყო</w:t>
      </w:r>
      <w:r w:rsidRPr="005103EC">
        <w:rPr>
          <w:rFonts w:ascii="Sylfaen" w:hAnsi="Sylfaen"/>
          <w:lang w:val="ka-GE"/>
        </w:rPr>
        <w:t xml:space="preserve"> დაფინანსებული. </w:t>
      </w:r>
      <w:r>
        <w:rPr>
          <w:rFonts w:ascii="Sylfaen" w:hAnsi="Sylfaen"/>
          <w:lang w:val="ka-GE"/>
        </w:rPr>
        <w:t xml:space="preserve"> აქედან:</w:t>
      </w:r>
    </w:p>
    <w:p w:rsidR="00B21F17" w:rsidRPr="005103EC" w:rsidRDefault="00B21F17" w:rsidP="00B21F17">
      <w:pPr>
        <w:pStyle w:val="ListParagraph"/>
        <w:numPr>
          <w:ilvl w:val="0"/>
          <w:numId w:val="41"/>
        </w:numPr>
        <w:ind w:left="0" w:firstLine="0"/>
        <w:jc w:val="both"/>
        <w:rPr>
          <w:rFonts w:ascii="Sylfaen" w:hAnsi="Sylfaen"/>
          <w:sz w:val="24"/>
          <w:szCs w:val="24"/>
        </w:rPr>
      </w:pPr>
      <w:r w:rsidRPr="005103EC">
        <w:rPr>
          <w:rFonts w:ascii="Sylfaen" w:hAnsi="Sylfaen" w:cs="Sylfaen"/>
          <w:lang w:val="ka-GE"/>
        </w:rPr>
        <w:lastRenderedPageBreak/>
        <w:t>მიოკარდიუმის</w:t>
      </w:r>
      <w:r w:rsidRPr="005103EC">
        <w:rPr>
          <w:rFonts w:ascii="Sylfaen" w:hAnsi="Sylfaen"/>
          <w:lang w:val="ka-GE"/>
        </w:rPr>
        <w:t xml:space="preserve"> ინფარქტი </w:t>
      </w:r>
      <w:r>
        <w:rPr>
          <w:rFonts w:ascii="Sylfaen" w:hAnsi="Sylfaen"/>
          <w:lang w:val="ka-GE"/>
        </w:rPr>
        <w:t>134</w:t>
      </w:r>
      <w:r w:rsidRPr="005103EC">
        <w:rPr>
          <w:rFonts w:ascii="Sylfaen" w:hAnsi="Sylfaen"/>
          <w:lang w:val="ka-GE"/>
        </w:rPr>
        <w:t>შემთხვევა</w:t>
      </w:r>
    </w:p>
    <w:p w:rsidR="00B21F17" w:rsidRPr="005103EC" w:rsidRDefault="00B21F17" w:rsidP="00B21F17">
      <w:pPr>
        <w:pStyle w:val="ListParagraph"/>
        <w:numPr>
          <w:ilvl w:val="0"/>
          <w:numId w:val="41"/>
        </w:numPr>
        <w:ind w:left="0" w:firstLine="0"/>
        <w:jc w:val="both"/>
        <w:rPr>
          <w:rFonts w:ascii="Sylfaen" w:hAnsi="Sylfaen"/>
        </w:rPr>
      </w:pPr>
      <w:r w:rsidRPr="005103EC">
        <w:rPr>
          <w:rFonts w:ascii="Sylfaen" w:hAnsi="Sylfaen"/>
          <w:lang w:val="ka-GE"/>
        </w:rPr>
        <w:t xml:space="preserve">სტენოკარდია   </w:t>
      </w:r>
      <w:r>
        <w:rPr>
          <w:rFonts w:ascii="Sylfaen" w:hAnsi="Sylfaen"/>
          <w:lang w:val="ka-GE"/>
        </w:rPr>
        <w:t>74</w:t>
      </w:r>
    </w:p>
    <w:p w:rsidR="00B21F17" w:rsidRPr="005103EC" w:rsidRDefault="00B21F17" w:rsidP="00B21F17">
      <w:pPr>
        <w:pStyle w:val="ListParagraph"/>
        <w:numPr>
          <w:ilvl w:val="0"/>
          <w:numId w:val="41"/>
        </w:numPr>
        <w:ind w:left="0" w:firstLine="0"/>
        <w:jc w:val="both"/>
        <w:rPr>
          <w:rFonts w:ascii="Sylfaen" w:hAnsi="Sylfaen"/>
          <w:sz w:val="24"/>
          <w:szCs w:val="24"/>
        </w:rPr>
      </w:pPr>
      <w:r w:rsidRPr="005103EC">
        <w:rPr>
          <w:rFonts w:ascii="Sylfaen" w:hAnsi="Sylfaen" w:cs="Sylfaen"/>
          <w:lang w:val="ka-GE"/>
        </w:rPr>
        <w:t>სუნთქვის</w:t>
      </w:r>
      <w:r w:rsidRPr="005103EC">
        <w:rPr>
          <w:rFonts w:ascii="Sylfaen" w:hAnsi="Sylfaen"/>
          <w:lang w:val="ka-GE"/>
        </w:rPr>
        <w:t xml:space="preserve">  მწვავე  უკმარისობა  </w:t>
      </w:r>
      <w:r>
        <w:rPr>
          <w:rFonts w:ascii="Sylfaen" w:hAnsi="Sylfaen"/>
          <w:lang w:val="ka-GE"/>
        </w:rPr>
        <w:t>166</w:t>
      </w:r>
    </w:p>
    <w:p w:rsidR="00B21F17" w:rsidRPr="005103EC" w:rsidRDefault="00B21F17" w:rsidP="00B21F17">
      <w:pPr>
        <w:pStyle w:val="ListParagraph"/>
        <w:numPr>
          <w:ilvl w:val="0"/>
          <w:numId w:val="41"/>
        </w:numPr>
        <w:ind w:left="0" w:firstLine="0"/>
        <w:jc w:val="both"/>
        <w:rPr>
          <w:rFonts w:ascii="Sylfaen" w:hAnsi="Sylfaen"/>
          <w:sz w:val="24"/>
          <w:szCs w:val="24"/>
        </w:rPr>
      </w:pPr>
      <w:r w:rsidRPr="005103EC">
        <w:rPr>
          <w:rFonts w:ascii="Sylfaen" w:hAnsi="Sylfaen"/>
          <w:lang w:val="ka-GE"/>
        </w:rPr>
        <w:t xml:space="preserve">ტრავმა-მოტეხილობა </w:t>
      </w:r>
      <w:r>
        <w:rPr>
          <w:rFonts w:ascii="Sylfaen" w:hAnsi="Sylfaen"/>
          <w:lang w:val="ka-GE"/>
        </w:rPr>
        <w:t>25</w:t>
      </w:r>
      <w:r w:rsidRPr="005103EC">
        <w:rPr>
          <w:rFonts w:ascii="Sylfaen" w:hAnsi="Sylfaen"/>
          <w:lang w:val="ka-GE"/>
        </w:rPr>
        <w:t xml:space="preserve">  შემთხვევა</w:t>
      </w:r>
    </w:p>
    <w:p w:rsidR="00B21F17" w:rsidRPr="005103EC" w:rsidRDefault="00B21F17" w:rsidP="00B21F17">
      <w:pPr>
        <w:pStyle w:val="ListParagraph"/>
        <w:numPr>
          <w:ilvl w:val="0"/>
          <w:numId w:val="41"/>
        </w:numPr>
        <w:ind w:left="0" w:firstLine="0"/>
        <w:jc w:val="both"/>
        <w:rPr>
          <w:rFonts w:ascii="Sylfaen" w:hAnsi="Sylfaen"/>
          <w:sz w:val="24"/>
          <w:szCs w:val="24"/>
        </w:rPr>
      </w:pPr>
      <w:r w:rsidRPr="005103EC">
        <w:rPr>
          <w:rFonts w:ascii="Sylfaen" w:hAnsi="Sylfaen" w:cs="Sylfaen"/>
          <w:lang w:val="ka-GE"/>
        </w:rPr>
        <w:t>თირკმლის</w:t>
      </w:r>
      <w:r w:rsidRPr="005103EC">
        <w:rPr>
          <w:rFonts w:ascii="Sylfaen" w:hAnsi="Sylfaen"/>
          <w:lang w:val="ka-GE"/>
        </w:rPr>
        <w:t xml:space="preserve"> მწვავე უკმარისობა</w:t>
      </w:r>
      <w:r>
        <w:rPr>
          <w:rFonts w:ascii="Sylfaen" w:hAnsi="Sylfaen"/>
          <w:lang w:val="ka-GE"/>
        </w:rPr>
        <w:t>87</w:t>
      </w:r>
      <w:r w:rsidRPr="005103EC">
        <w:rPr>
          <w:rFonts w:ascii="Sylfaen" w:hAnsi="Sylfaen"/>
          <w:lang w:val="ka-GE"/>
        </w:rPr>
        <w:t xml:space="preserve">   შემთხვევა</w:t>
      </w:r>
    </w:p>
    <w:p w:rsidR="00B21F17" w:rsidRPr="005103EC" w:rsidRDefault="00B21F17" w:rsidP="00B21F17">
      <w:pPr>
        <w:pStyle w:val="ListParagraph"/>
        <w:numPr>
          <w:ilvl w:val="0"/>
          <w:numId w:val="41"/>
        </w:numPr>
        <w:ind w:left="0" w:firstLine="0"/>
        <w:jc w:val="both"/>
        <w:rPr>
          <w:rFonts w:ascii="Sylfaen" w:hAnsi="Sylfaen"/>
          <w:sz w:val="24"/>
          <w:szCs w:val="24"/>
        </w:rPr>
      </w:pPr>
      <w:r w:rsidRPr="005103EC">
        <w:rPr>
          <w:rFonts w:ascii="Sylfaen" w:hAnsi="Sylfaen" w:cs="Sylfaen"/>
          <w:lang w:val="ka-GE"/>
        </w:rPr>
        <w:t>პნევმონია</w:t>
      </w:r>
      <w:r>
        <w:rPr>
          <w:rFonts w:ascii="Sylfaen" w:hAnsi="Sylfaen"/>
          <w:lang w:val="ka-GE"/>
        </w:rPr>
        <w:t xml:space="preserve">10 </w:t>
      </w:r>
      <w:r w:rsidRPr="005103EC">
        <w:rPr>
          <w:rFonts w:ascii="Sylfaen" w:hAnsi="Sylfaen"/>
          <w:lang w:val="ka-GE"/>
        </w:rPr>
        <w:t xml:space="preserve"> შემთხვევა</w:t>
      </w:r>
    </w:p>
    <w:p w:rsidR="00B21F17" w:rsidRPr="005103EC" w:rsidRDefault="00B21F17" w:rsidP="00B21F17">
      <w:pPr>
        <w:pStyle w:val="ListParagraph"/>
        <w:numPr>
          <w:ilvl w:val="0"/>
          <w:numId w:val="41"/>
        </w:numPr>
        <w:ind w:left="0" w:firstLine="0"/>
        <w:jc w:val="both"/>
        <w:rPr>
          <w:rFonts w:ascii="Sylfaen" w:hAnsi="Sylfaen"/>
          <w:sz w:val="24"/>
          <w:szCs w:val="24"/>
        </w:rPr>
      </w:pPr>
      <w:r w:rsidRPr="005103EC">
        <w:rPr>
          <w:rFonts w:ascii="Sylfaen" w:hAnsi="Sylfaen" w:cs="Sylfaen"/>
          <w:lang w:val="ka-GE"/>
        </w:rPr>
        <w:t>ვაროკოზული</w:t>
      </w:r>
      <w:r w:rsidRPr="005103EC">
        <w:rPr>
          <w:rFonts w:ascii="Sylfaen" w:hAnsi="Sylfaen"/>
          <w:lang w:val="ka-GE"/>
        </w:rPr>
        <w:t xml:space="preserve"> სისხლდენა  </w:t>
      </w:r>
      <w:r>
        <w:rPr>
          <w:rFonts w:ascii="Sylfaen" w:hAnsi="Sylfaen"/>
          <w:lang w:val="ka-GE"/>
        </w:rPr>
        <w:t>7</w:t>
      </w:r>
      <w:r w:rsidRPr="005103EC">
        <w:rPr>
          <w:rFonts w:ascii="Sylfaen" w:hAnsi="Sylfaen"/>
          <w:lang w:val="ka-GE"/>
        </w:rPr>
        <w:t xml:space="preserve">  შემთხვევა</w:t>
      </w:r>
    </w:p>
    <w:p w:rsidR="00B21F17" w:rsidRPr="005103EC" w:rsidRDefault="00B21F17" w:rsidP="00B21F17">
      <w:pPr>
        <w:pStyle w:val="ListParagraph"/>
        <w:numPr>
          <w:ilvl w:val="0"/>
          <w:numId w:val="41"/>
        </w:numPr>
        <w:ind w:left="0" w:firstLine="0"/>
        <w:jc w:val="both"/>
        <w:rPr>
          <w:rFonts w:ascii="Sylfaen" w:hAnsi="Sylfaen"/>
          <w:sz w:val="24"/>
          <w:szCs w:val="24"/>
        </w:rPr>
      </w:pPr>
      <w:r w:rsidRPr="005103EC">
        <w:rPr>
          <w:rFonts w:ascii="Sylfaen" w:hAnsi="Sylfaen" w:cs="Sylfaen"/>
          <w:lang w:val="ka-GE"/>
        </w:rPr>
        <w:t>ინსულტის</w:t>
      </w:r>
      <w:r w:rsidRPr="005103EC">
        <w:rPr>
          <w:rFonts w:ascii="Sylfaen" w:hAnsi="Sylfaen"/>
          <w:lang w:val="ka-GE"/>
        </w:rPr>
        <w:t xml:space="preserve">7  შემთხვევა </w:t>
      </w:r>
    </w:p>
    <w:p w:rsidR="00B21F17" w:rsidRPr="005103EC" w:rsidRDefault="00B21F17" w:rsidP="00B21F17">
      <w:pPr>
        <w:pStyle w:val="ListParagraph"/>
        <w:numPr>
          <w:ilvl w:val="0"/>
          <w:numId w:val="41"/>
        </w:numPr>
        <w:ind w:left="0" w:firstLine="0"/>
        <w:jc w:val="both"/>
        <w:rPr>
          <w:rFonts w:ascii="Sylfaen" w:hAnsi="Sylfaen"/>
          <w:sz w:val="24"/>
          <w:szCs w:val="24"/>
        </w:rPr>
      </w:pPr>
      <w:r w:rsidRPr="005103EC">
        <w:rPr>
          <w:rFonts w:ascii="Sylfaen" w:hAnsi="Sylfaen" w:cs="Sylfaen"/>
          <w:lang w:val="ka-GE"/>
        </w:rPr>
        <w:t>სხვა</w:t>
      </w:r>
      <w:r w:rsidRPr="005103EC">
        <w:rPr>
          <w:rFonts w:ascii="Sylfaen" w:hAnsi="Sylfaen"/>
          <w:lang w:val="ka-GE"/>
        </w:rPr>
        <w:t>-</w:t>
      </w:r>
      <w:r>
        <w:rPr>
          <w:rFonts w:ascii="Sylfaen" w:hAnsi="Sylfaen"/>
          <w:lang w:val="ka-GE"/>
        </w:rPr>
        <w:t xml:space="preserve"> 221</w:t>
      </w:r>
      <w:r w:rsidRPr="005103EC">
        <w:rPr>
          <w:rFonts w:ascii="Sylfaen" w:hAnsi="Sylfaen"/>
          <w:lang w:val="ka-GE"/>
        </w:rPr>
        <w:t xml:space="preserve"> შემთხვევა</w:t>
      </w:r>
    </w:p>
    <w:p w:rsidR="00CC6129" w:rsidRPr="00CC6129" w:rsidRDefault="00CC6129" w:rsidP="00CC6129">
      <w:pPr>
        <w:ind w:left="360"/>
        <w:jc w:val="both"/>
        <w:rPr>
          <w:rFonts w:ascii="Sylfaen" w:hAnsi="Sylfaen"/>
          <w:sz w:val="24"/>
          <w:szCs w:val="24"/>
        </w:rPr>
      </w:pPr>
      <w:r w:rsidRPr="00CC6129">
        <w:rPr>
          <w:rFonts w:ascii="Sylfaen" w:hAnsi="Sylfaen" w:cs="Sylfaen"/>
          <w:lang w:val="ka-GE"/>
        </w:rPr>
        <w:t>გადამოწმდა</w:t>
      </w:r>
      <w:r w:rsidRPr="00CC6129">
        <w:rPr>
          <w:rFonts w:ascii="Sylfaen" w:hAnsi="Sylfaen"/>
          <w:lang w:val="ka-GE"/>
        </w:rPr>
        <w:t xml:space="preserve">   პაციენტის  კატასტროფებისა  და გადაუდებელი დახმარების სამსახურების    მიერ   განხორციელებული    ტრანსპორტირების   ფაქტები</w:t>
      </w:r>
      <w:r w:rsidRPr="00CC6129">
        <w:rPr>
          <w:rFonts w:ascii="Sylfaen" w:hAnsi="Sylfaen"/>
        </w:rPr>
        <w:t>,</w:t>
      </w:r>
      <w:r w:rsidRPr="00CC6129">
        <w:rPr>
          <w:rFonts w:ascii="Sylfaen" w:hAnsi="Sylfaen"/>
          <w:lang w:val="ka-GE"/>
        </w:rPr>
        <w:t xml:space="preserve"> საიდანაც  საეჭვოდ  ჩაითვალა  48 შემთხვევა.  აქედან  18    შემთხვევა  დასრულდა  ლეტალური  გამოსავალით.  16 პაციენტის  ჯანმრთელობის  მდგომარეობა დამძიმდა  და  გადაყვანილ  იქნა  სხვა  კლინიკაში. 9  პაციენტი კი  ტრანსპორტირებული  იქნა  კვლევის  მიზნით.  5  შემთხვევა,  რომელიც  იყო  გადაყვანილი  შპს "ნიუ ჰოსპიტალს"_ში გამოწვეული  იყო  დღენაკლულთა რეტინოპათიით,  სადაც  პაციენტებს  გაუკეთდათ  ა</w:t>
      </w:r>
      <w:r w:rsidR="002A60D0">
        <w:rPr>
          <w:rFonts w:ascii="Sylfaen" w:hAnsi="Sylfaen"/>
          <w:lang w:val="ka-GE"/>
        </w:rPr>
        <w:t>ვ</w:t>
      </w:r>
      <w:r w:rsidRPr="00CC6129">
        <w:rPr>
          <w:rFonts w:ascii="Sylfaen" w:hAnsi="Sylfaen"/>
          <w:lang w:val="ka-GE"/>
        </w:rPr>
        <w:t>ასტინის ინექცია.</w:t>
      </w:r>
    </w:p>
    <w:p w:rsidR="00B21F17" w:rsidRDefault="00B21F17" w:rsidP="00B21F17">
      <w:pPr>
        <w:pStyle w:val="ListBulletT"/>
        <w:tabs>
          <w:tab w:val="left" w:pos="426"/>
        </w:tabs>
        <w:spacing w:before="0" w:after="0"/>
        <w:ind w:left="1440"/>
        <w:rPr>
          <w:color w:val="000000" w:themeColor="text1"/>
          <w:sz w:val="22"/>
          <w:szCs w:val="22"/>
        </w:rPr>
      </w:pPr>
    </w:p>
    <w:sectPr w:rsidR="00B21F17" w:rsidSect="00140951">
      <w:pgSz w:w="12240" w:h="15840"/>
      <w:pgMar w:top="1138" w:right="1354" w:bottom="1138" w:left="80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44E9" w:rsidRDefault="00F844E9" w:rsidP="006A3764">
      <w:pPr>
        <w:spacing w:after="0" w:line="240" w:lineRule="auto"/>
      </w:pPr>
      <w:r>
        <w:separator/>
      </w:r>
    </w:p>
  </w:endnote>
  <w:endnote w:type="continuationSeparator" w:id="1">
    <w:p w:rsidR="00F844E9" w:rsidRDefault="00F844E9" w:rsidP="006A37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Geo_Arial">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44E9" w:rsidRDefault="00F844E9" w:rsidP="006A3764">
      <w:pPr>
        <w:spacing w:after="0" w:line="240" w:lineRule="auto"/>
      </w:pPr>
      <w:r>
        <w:separator/>
      </w:r>
    </w:p>
  </w:footnote>
  <w:footnote w:type="continuationSeparator" w:id="1">
    <w:p w:rsidR="00F844E9" w:rsidRDefault="00F844E9" w:rsidP="006A3764">
      <w:pPr>
        <w:spacing w:after="0" w:line="240" w:lineRule="auto"/>
      </w:pPr>
      <w:r>
        <w:continuationSeparator/>
      </w:r>
    </w:p>
  </w:footnote>
  <w:footnote w:id="2">
    <w:p w:rsidR="00763734" w:rsidRDefault="00763734" w:rsidP="00D86DB3">
      <w:pPr>
        <w:pStyle w:val="FootnoteText"/>
        <w:rPr>
          <w:rFonts w:ascii="Sylfaen" w:hAnsi="Sylfaen"/>
          <w:lang w:val="ka-GE"/>
        </w:rPr>
      </w:pPr>
      <w:r>
        <w:rPr>
          <w:rStyle w:val="FootnoteReference"/>
        </w:rPr>
        <w:footnoteRef/>
      </w:r>
      <w:r>
        <w:rPr>
          <w:rFonts w:ascii="Sylfaen" w:hAnsi="Sylfaen"/>
          <w:lang w:val="ka-GE"/>
        </w:rPr>
        <w:t xml:space="preserve">წყარო: </w:t>
      </w:r>
      <w:hyperlink r:id="rId1" w:history="1">
        <w:r w:rsidRPr="002A4A5C">
          <w:rPr>
            <w:rStyle w:val="Hyperlink"/>
            <w:rFonts w:ascii="Sylfaen" w:hAnsi="Sylfaen"/>
            <w:lang w:val="ka-GE"/>
          </w:rPr>
          <w:t>http://geostat.ge/?action=page&amp;p_id=472&amp;lang=geo</w:t>
        </w:r>
      </w:hyperlink>
    </w:p>
    <w:p w:rsidR="00763734" w:rsidRPr="006A3764" w:rsidRDefault="00763734" w:rsidP="00D86DB3">
      <w:pPr>
        <w:pStyle w:val="FootnoteText"/>
        <w:rPr>
          <w:rFonts w:ascii="Sylfaen" w:hAnsi="Sylfaen"/>
          <w:lang w:val="ka-GE"/>
        </w:rPr>
      </w:pPr>
    </w:p>
  </w:footnote>
  <w:footnote w:id="3">
    <w:p w:rsidR="00763734" w:rsidRDefault="00763734" w:rsidP="00D86DB3">
      <w:pPr>
        <w:pStyle w:val="FootnoteText"/>
        <w:rPr>
          <w:rFonts w:ascii="Sylfaen" w:hAnsi="Sylfaen"/>
          <w:lang w:val="ka-GE"/>
        </w:rPr>
      </w:pPr>
      <w:r>
        <w:rPr>
          <w:rStyle w:val="FootnoteReference"/>
        </w:rPr>
        <w:footnoteRef/>
      </w:r>
      <w:r>
        <w:rPr>
          <w:rFonts w:ascii="Sylfaen" w:hAnsi="Sylfaen"/>
          <w:lang w:val="ka-GE"/>
        </w:rPr>
        <w:t xml:space="preserve">წყარო: </w:t>
      </w:r>
      <w:hyperlink r:id="rId2" w:history="1">
        <w:r w:rsidRPr="002A4A5C">
          <w:rPr>
            <w:rStyle w:val="Hyperlink"/>
            <w:rFonts w:ascii="Sylfaen" w:hAnsi="Sylfaen"/>
            <w:lang w:val="ka-GE"/>
          </w:rPr>
          <w:t>http://ssa.gov.ge/index.php?lang_id=&amp;sec_id=772</w:t>
        </w:r>
      </w:hyperlink>
    </w:p>
    <w:p w:rsidR="00763734" w:rsidRPr="00542099" w:rsidRDefault="00763734" w:rsidP="00D86DB3">
      <w:pPr>
        <w:pStyle w:val="FootnoteText"/>
        <w:rPr>
          <w:rFonts w:ascii="Sylfaen" w:hAnsi="Sylfaen"/>
          <w:lang w:val="ka-GE"/>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D0B9"/>
      </v:shape>
    </w:pict>
  </w:numPicBullet>
  <w:abstractNum w:abstractNumId="0">
    <w:nsid w:val="02A77070"/>
    <w:multiLevelType w:val="hybridMultilevel"/>
    <w:tmpl w:val="A1C8E0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3BA36F2"/>
    <w:multiLevelType w:val="hybridMultilevel"/>
    <w:tmpl w:val="6E86A4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41A0F3D"/>
    <w:multiLevelType w:val="hybridMultilevel"/>
    <w:tmpl w:val="225459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7092537"/>
    <w:multiLevelType w:val="hybridMultilevel"/>
    <w:tmpl w:val="6832E45C"/>
    <w:lvl w:ilvl="0" w:tplc="CBAE7B3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1BF036A"/>
    <w:multiLevelType w:val="hybridMultilevel"/>
    <w:tmpl w:val="504035E2"/>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5">
    <w:nsid w:val="15214B13"/>
    <w:multiLevelType w:val="hybridMultilevel"/>
    <w:tmpl w:val="A244AEA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nsid w:val="165A3E20"/>
    <w:multiLevelType w:val="hybridMultilevel"/>
    <w:tmpl w:val="07E07ECA"/>
    <w:lvl w:ilvl="0" w:tplc="0DFCC698">
      <w:start w:val="4"/>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2060D7"/>
    <w:multiLevelType w:val="hybridMultilevel"/>
    <w:tmpl w:val="D5CECB66"/>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nsid w:val="18162CC5"/>
    <w:multiLevelType w:val="hybridMultilevel"/>
    <w:tmpl w:val="84AE8690"/>
    <w:lvl w:ilvl="0" w:tplc="CE0C1AA4">
      <w:start w:val="1"/>
      <w:numFmt w:val="decimal"/>
      <w:lvlText w:val="%1."/>
      <w:lvlJc w:val="left"/>
      <w:pPr>
        <w:ind w:left="720" w:hanging="360"/>
      </w:pPr>
      <w:rPr>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A876988"/>
    <w:multiLevelType w:val="hybridMultilevel"/>
    <w:tmpl w:val="B2B2C3E0"/>
    <w:lvl w:ilvl="0" w:tplc="21E25CD4">
      <w:start w:val="1"/>
      <w:numFmt w:val="decimal"/>
      <w:lvlText w:val="%1."/>
      <w:lvlJc w:val="left"/>
      <w:pPr>
        <w:tabs>
          <w:tab w:val="num" w:pos="720"/>
        </w:tabs>
        <w:ind w:left="720" w:hanging="360"/>
      </w:pPr>
      <w:rPr>
        <w:sz w:val="22"/>
        <w:szCs w:val="22"/>
      </w:rPr>
    </w:lvl>
    <w:lvl w:ilvl="1" w:tplc="04190001">
      <w:start w:val="1"/>
      <w:numFmt w:val="bullet"/>
      <w:lvlText w:val=""/>
      <w:lvlJc w:val="left"/>
      <w:pPr>
        <w:tabs>
          <w:tab w:val="num" w:pos="1440"/>
        </w:tabs>
        <w:ind w:left="1440" w:hanging="360"/>
      </w:pPr>
      <w:rPr>
        <w:rFonts w:ascii="Symbol" w:hAnsi="Symbol" w:hint="default"/>
        <w:sz w:val="22"/>
        <w:szCs w:val="22"/>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rPr>
        <w:sz w:val="22"/>
        <w:szCs w:val="22"/>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CFB000A"/>
    <w:multiLevelType w:val="hybridMultilevel"/>
    <w:tmpl w:val="193A338A"/>
    <w:lvl w:ilvl="0" w:tplc="D374BBAA">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230E0E26"/>
    <w:multiLevelType w:val="hybridMultilevel"/>
    <w:tmpl w:val="84AE8690"/>
    <w:lvl w:ilvl="0" w:tplc="CE0C1AA4">
      <w:start w:val="1"/>
      <w:numFmt w:val="decimal"/>
      <w:lvlText w:val="%1."/>
      <w:lvlJc w:val="left"/>
      <w:pPr>
        <w:ind w:left="720" w:hanging="360"/>
      </w:pPr>
      <w:rPr>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24684FC6"/>
    <w:multiLevelType w:val="hybridMultilevel"/>
    <w:tmpl w:val="3738AF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6387835"/>
    <w:multiLevelType w:val="hybridMultilevel"/>
    <w:tmpl w:val="9CE6C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4D4ABB"/>
    <w:multiLevelType w:val="hybridMultilevel"/>
    <w:tmpl w:val="4148FC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E72EE9"/>
    <w:multiLevelType w:val="hybridMultilevel"/>
    <w:tmpl w:val="80ACD406"/>
    <w:lvl w:ilvl="0" w:tplc="0409000F">
      <w:start w:val="1"/>
      <w:numFmt w:val="decimal"/>
      <w:lvlText w:val="%1."/>
      <w:lvlJc w:val="left"/>
      <w:pPr>
        <w:ind w:left="1080" w:hanging="360"/>
      </w:pPr>
    </w:lvl>
    <w:lvl w:ilvl="1" w:tplc="0409000B">
      <w:start w:val="1"/>
      <w:numFmt w:val="bullet"/>
      <w:lvlText w:val=""/>
      <w:lvlJc w:val="left"/>
      <w:pPr>
        <w:ind w:left="1800" w:hanging="360"/>
      </w:pPr>
      <w:rPr>
        <w:rFonts w:ascii="Wingdings" w:hAnsi="Wingding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97F71E9"/>
    <w:multiLevelType w:val="hybridMultilevel"/>
    <w:tmpl w:val="AF584BF2"/>
    <w:lvl w:ilvl="0" w:tplc="0598F71E">
      <w:start w:val="1"/>
      <w:numFmt w:val="bullet"/>
      <w:lvlText w:val="•"/>
      <w:lvlJc w:val="left"/>
      <w:pPr>
        <w:tabs>
          <w:tab w:val="num" w:pos="720"/>
        </w:tabs>
        <w:ind w:left="720" w:hanging="360"/>
      </w:pPr>
      <w:rPr>
        <w:rFonts w:ascii="Times New Roman" w:hAnsi="Times New Roman" w:hint="default"/>
      </w:rPr>
    </w:lvl>
    <w:lvl w:ilvl="1" w:tplc="C5748C6E" w:tentative="1">
      <w:start w:val="1"/>
      <w:numFmt w:val="bullet"/>
      <w:lvlText w:val="•"/>
      <w:lvlJc w:val="left"/>
      <w:pPr>
        <w:tabs>
          <w:tab w:val="num" w:pos="1440"/>
        </w:tabs>
        <w:ind w:left="1440" w:hanging="360"/>
      </w:pPr>
      <w:rPr>
        <w:rFonts w:ascii="Times New Roman" w:hAnsi="Times New Roman" w:hint="default"/>
      </w:rPr>
    </w:lvl>
    <w:lvl w:ilvl="2" w:tplc="D3DC5F94" w:tentative="1">
      <w:start w:val="1"/>
      <w:numFmt w:val="bullet"/>
      <w:lvlText w:val="•"/>
      <w:lvlJc w:val="left"/>
      <w:pPr>
        <w:tabs>
          <w:tab w:val="num" w:pos="2160"/>
        </w:tabs>
        <w:ind w:left="2160" w:hanging="360"/>
      </w:pPr>
      <w:rPr>
        <w:rFonts w:ascii="Times New Roman" w:hAnsi="Times New Roman" w:hint="default"/>
      </w:rPr>
    </w:lvl>
    <w:lvl w:ilvl="3" w:tplc="39A02FF6" w:tentative="1">
      <w:start w:val="1"/>
      <w:numFmt w:val="bullet"/>
      <w:lvlText w:val="•"/>
      <w:lvlJc w:val="left"/>
      <w:pPr>
        <w:tabs>
          <w:tab w:val="num" w:pos="2880"/>
        </w:tabs>
        <w:ind w:left="2880" w:hanging="360"/>
      </w:pPr>
      <w:rPr>
        <w:rFonts w:ascii="Times New Roman" w:hAnsi="Times New Roman" w:hint="default"/>
      </w:rPr>
    </w:lvl>
    <w:lvl w:ilvl="4" w:tplc="66C62D06" w:tentative="1">
      <w:start w:val="1"/>
      <w:numFmt w:val="bullet"/>
      <w:lvlText w:val="•"/>
      <w:lvlJc w:val="left"/>
      <w:pPr>
        <w:tabs>
          <w:tab w:val="num" w:pos="3600"/>
        </w:tabs>
        <w:ind w:left="3600" w:hanging="360"/>
      </w:pPr>
      <w:rPr>
        <w:rFonts w:ascii="Times New Roman" w:hAnsi="Times New Roman" w:hint="default"/>
      </w:rPr>
    </w:lvl>
    <w:lvl w:ilvl="5" w:tplc="AADAE19C" w:tentative="1">
      <w:start w:val="1"/>
      <w:numFmt w:val="bullet"/>
      <w:lvlText w:val="•"/>
      <w:lvlJc w:val="left"/>
      <w:pPr>
        <w:tabs>
          <w:tab w:val="num" w:pos="4320"/>
        </w:tabs>
        <w:ind w:left="4320" w:hanging="360"/>
      </w:pPr>
      <w:rPr>
        <w:rFonts w:ascii="Times New Roman" w:hAnsi="Times New Roman" w:hint="default"/>
      </w:rPr>
    </w:lvl>
    <w:lvl w:ilvl="6" w:tplc="9B966F7E" w:tentative="1">
      <w:start w:val="1"/>
      <w:numFmt w:val="bullet"/>
      <w:lvlText w:val="•"/>
      <w:lvlJc w:val="left"/>
      <w:pPr>
        <w:tabs>
          <w:tab w:val="num" w:pos="5040"/>
        </w:tabs>
        <w:ind w:left="5040" w:hanging="360"/>
      </w:pPr>
      <w:rPr>
        <w:rFonts w:ascii="Times New Roman" w:hAnsi="Times New Roman" w:hint="default"/>
      </w:rPr>
    </w:lvl>
    <w:lvl w:ilvl="7" w:tplc="D42403FA" w:tentative="1">
      <w:start w:val="1"/>
      <w:numFmt w:val="bullet"/>
      <w:lvlText w:val="•"/>
      <w:lvlJc w:val="left"/>
      <w:pPr>
        <w:tabs>
          <w:tab w:val="num" w:pos="5760"/>
        </w:tabs>
        <w:ind w:left="5760" w:hanging="360"/>
      </w:pPr>
      <w:rPr>
        <w:rFonts w:ascii="Times New Roman" w:hAnsi="Times New Roman" w:hint="default"/>
      </w:rPr>
    </w:lvl>
    <w:lvl w:ilvl="8" w:tplc="E354AC4E" w:tentative="1">
      <w:start w:val="1"/>
      <w:numFmt w:val="bullet"/>
      <w:lvlText w:val="•"/>
      <w:lvlJc w:val="left"/>
      <w:pPr>
        <w:tabs>
          <w:tab w:val="num" w:pos="6480"/>
        </w:tabs>
        <w:ind w:left="6480" w:hanging="360"/>
      </w:pPr>
      <w:rPr>
        <w:rFonts w:ascii="Times New Roman" w:hAnsi="Times New Roman" w:hint="default"/>
      </w:rPr>
    </w:lvl>
  </w:abstractNum>
  <w:abstractNum w:abstractNumId="17">
    <w:nsid w:val="3B9A4345"/>
    <w:multiLevelType w:val="hybridMultilevel"/>
    <w:tmpl w:val="A9B2BBF0"/>
    <w:lvl w:ilvl="0" w:tplc="06820AC0">
      <w:start w:val="1"/>
      <w:numFmt w:val="decimal"/>
      <w:lvlText w:val="%1)"/>
      <w:lvlJc w:val="left"/>
      <w:pPr>
        <w:ind w:left="36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18">
    <w:nsid w:val="3C0C45C9"/>
    <w:multiLevelType w:val="hybridMultilevel"/>
    <w:tmpl w:val="9DC0467A"/>
    <w:lvl w:ilvl="0" w:tplc="B33C840E">
      <w:start w:val="3"/>
      <w:numFmt w:val="bullet"/>
      <w:lvlText w:val="–"/>
      <w:lvlJc w:val="left"/>
      <w:pPr>
        <w:ind w:left="1080" w:hanging="360"/>
      </w:pPr>
      <w:rPr>
        <w:rFonts w:ascii="Sylfaen" w:eastAsia="Sylfaen" w:hAnsi="Sylfaen" w:cs="Aria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3D744027"/>
    <w:multiLevelType w:val="hybridMultilevel"/>
    <w:tmpl w:val="C890B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E1574A2"/>
    <w:multiLevelType w:val="hybridMultilevel"/>
    <w:tmpl w:val="8F727B5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1D434D8"/>
    <w:multiLevelType w:val="hybridMultilevel"/>
    <w:tmpl w:val="ED9C0E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72640B4"/>
    <w:multiLevelType w:val="hybridMultilevel"/>
    <w:tmpl w:val="E5DCDC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D8D54B7"/>
    <w:multiLevelType w:val="hybridMultilevel"/>
    <w:tmpl w:val="872C1D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1224F2D"/>
    <w:multiLevelType w:val="hybridMultilevel"/>
    <w:tmpl w:val="1952E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2154616"/>
    <w:multiLevelType w:val="hybridMultilevel"/>
    <w:tmpl w:val="2EA86FB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52B2713"/>
    <w:multiLevelType w:val="hybridMultilevel"/>
    <w:tmpl w:val="8610B2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A87404B"/>
    <w:multiLevelType w:val="hybridMultilevel"/>
    <w:tmpl w:val="225459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5B3130F9"/>
    <w:multiLevelType w:val="hybridMultilevel"/>
    <w:tmpl w:val="D4EA8EE6"/>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29">
    <w:nsid w:val="5B8B32BD"/>
    <w:multiLevelType w:val="hybridMultilevel"/>
    <w:tmpl w:val="6F348F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61386E2E"/>
    <w:multiLevelType w:val="hybridMultilevel"/>
    <w:tmpl w:val="4BEC1D88"/>
    <w:lvl w:ilvl="0" w:tplc="0DFCC698">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2F06B86"/>
    <w:multiLevelType w:val="hybridMultilevel"/>
    <w:tmpl w:val="4BEC1D88"/>
    <w:lvl w:ilvl="0" w:tplc="0DFCC698">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39631B7"/>
    <w:multiLevelType w:val="hybridMultilevel"/>
    <w:tmpl w:val="84AE8690"/>
    <w:lvl w:ilvl="0" w:tplc="CE0C1AA4">
      <w:start w:val="1"/>
      <w:numFmt w:val="decimal"/>
      <w:lvlText w:val="%1."/>
      <w:lvlJc w:val="left"/>
      <w:pPr>
        <w:ind w:left="720" w:hanging="360"/>
      </w:pPr>
      <w:rPr>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642819D9"/>
    <w:multiLevelType w:val="hybridMultilevel"/>
    <w:tmpl w:val="EDBE488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4445968"/>
    <w:multiLevelType w:val="hybridMultilevel"/>
    <w:tmpl w:val="505C342A"/>
    <w:lvl w:ilvl="0" w:tplc="944A4B9A">
      <w:start w:val="1"/>
      <w:numFmt w:val="bullet"/>
      <w:lvlText w:val="•"/>
      <w:lvlJc w:val="left"/>
      <w:pPr>
        <w:tabs>
          <w:tab w:val="num" w:pos="720"/>
        </w:tabs>
        <w:ind w:left="720" w:hanging="360"/>
      </w:pPr>
      <w:rPr>
        <w:rFonts w:ascii="Times New Roman" w:hAnsi="Times New Roman" w:hint="default"/>
      </w:rPr>
    </w:lvl>
    <w:lvl w:ilvl="1" w:tplc="AEA80C20" w:tentative="1">
      <w:start w:val="1"/>
      <w:numFmt w:val="bullet"/>
      <w:lvlText w:val="•"/>
      <w:lvlJc w:val="left"/>
      <w:pPr>
        <w:tabs>
          <w:tab w:val="num" w:pos="1440"/>
        </w:tabs>
        <w:ind w:left="1440" w:hanging="360"/>
      </w:pPr>
      <w:rPr>
        <w:rFonts w:ascii="Times New Roman" w:hAnsi="Times New Roman" w:hint="default"/>
      </w:rPr>
    </w:lvl>
    <w:lvl w:ilvl="2" w:tplc="6436FB3A" w:tentative="1">
      <w:start w:val="1"/>
      <w:numFmt w:val="bullet"/>
      <w:lvlText w:val="•"/>
      <w:lvlJc w:val="left"/>
      <w:pPr>
        <w:tabs>
          <w:tab w:val="num" w:pos="2160"/>
        </w:tabs>
        <w:ind w:left="2160" w:hanging="360"/>
      </w:pPr>
      <w:rPr>
        <w:rFonts w:ascii="Times New Roman" w:hAnsi="Times New Roman" w:hint="default"/>
      </w:rPr>
    </w:lvl>
    <w:lvl w:ilvl="3" w:tplc="9E32764A" w:tentative="1">
      <w:start w:val="1"/>
      <w:numFmt w:val="bullet"/>
      <w:lvlText w:val="•"/>
      <w:lvlJc w:val="left"/>
      <w:pPr>
        <w:tabs>
          <w:tab w:val="num" w:pos="2880"/>
        </w:tabs>
        <w:ind w:left="2880" w:hanging="360"/>
      </w:pPr>
      <w:rPr>
        <w:rFonts w:ascii="Times New Roman" w:hAnsi="Times New Roman" w:hint="default"/>
      </w:rPr>
    </w:lvl>
    <w:lvl w:ilvl="4" w:tplc="63A40114" w:tentative="1">
      <w:start w:val="1"/>
      <w:numFmt w:val="bullet"/>
      <w:lvlText w:val="•"/>
      <w:lvlJc w:val="left"/>
      <w:pPr>
        <w:tabs>
          <w:tab w:val="num" w:pos="3600"/>
        </w:tabs>
        <w:ind w:left="3600" w:hanging="360"/>
      </w:pPr>
      <w:rPr>
        <w:rFonts w:ascii="Times New Roman" w:hAnsi="Times New Roman" w:hint="default"/>
      </w:rPr>
    </w:lvl>
    <w:lvl w:ilvl="5" w:tplc="D5303A18" w:tentative="1">
      <w:start w:val="1"/>
      <w:numFmt w:val="bullet"/>
      <w:lvlText w:val="•"/>
      <w:lvlJc w:val="left"/>
      <w:pPr>
        <w:tabs>
          <w:tab w:val="num" w:pos="4320"/>
        </w:tabs>
        <w:ind w:left="4320" w:hanging="360"/>
      </w:pPr>
      <w:rPr>
        <w:rFonts w:ascii="Times New Roman" w:hAnsi="Times New Roman" w:hint="default"/>
      </w:rPr>
    </w:lvl>
    <w:lvl w:ilvl="6" w:tplc="2D2EC80A" w:tentative="1">
      <w:start w:val="1"/>
      <w:numFmt w:val="bullet"/>
      <w:lvlText w:val="•"/>
      <w:lvlJc w:val="left"/>
      <w:pPr>
        <w:tabs>
          <w:tab w:val="num" w:pos="5040"/>
        </w:tabs>
        <w:ind w:left="5040" w:hanging="360"/>
      </w:pPr>
      <w:rPr>
        <w:rFonts w:ascii="Times New Roman" w:hAnsi="Times New Roman" w:hint="default"/>
      </w:rPr>
    </w:lvl>
    <w:lvl w:ilvl="7" w:tplc="9E2A2742" w:tentative="1">
      <w:start w:val="1"/>
      <w:numFmt w:val="bullet"/>
      <w:lvlText w:val="•"/>
      <w:lvlJc w:val="left"/>
      <w:pPr>
        <w:tabs>
          <w:tab w:val="num" w:pos="5760"/>
        </w:tabs>
        <w:ind w:left="5760" w:hanging="360"/>
      </w:pPr>
      <w:rPr>
        <w:rFonts w:ascii="Times New Roman" w:hAnsi="Times New Roman" w:hint="default"/>
      </w:rPr>
    </w:lvl>
    <w:lvl w:ilvl="8" w:tplc="7654F494" w:tentative="1">
      <w:start w:val="1"/>
      <w:numFmt w:val="bullet"/>
      <w:lvlText w:val="•"/>
      <w:lvlJc w:val="left"/>
      <w:pPr>
        <w:tabs>
          <w:tab w:val="num" w:pos="6480"/>
        </w:tabs>
        <w:ind w:left="6480" w:hanging="360"/>
      </w:pPr>
      <w:rPr>
        <w:rFonts w:ascii="Times New Roman" w:hAnsi="Times New Roman" w:hint="default"/>
      </w:rPr>
    </w:lvl>
  </w:abstractNum>
  <w:abstractNum w:abstractNumId="35">
    <w:nsid w:val="68A432F2"/>
    <w:multiLevelType w:val="hybridMultilevel"/>
    <w:tmpl w:val="3D36D082"/>
    <w:lvl w:ilvl="0" w:tplc="45F8AF6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nsid w:val="70B35161"/>
    <w:multiLevelType w:val="hybridMultilevel"/>
    <w:tmpl w:val="225459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nsid w:val="718B328A"/>
    <w:multiLevelType w:val="hybridMultilevel"/>
    <w:tmpl w:val="4C8E5B7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3932457"/>
    <w:multiLevelType w:val="hybridMultilevel"/>
    <w:tmpl w:val="193A338A"/>
    <w:lvl w:ilvl="0" w:tplc="D374BBAA">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nsid w:val="79E35599"/>
    <w:multiLevelType w:val="hybridMultilevel"/>
    <w:tmpl w:val="1EB427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C634802"/>
    <w:multiLevelType w:val="hybridMultilevel"/>
    <w:tmpl w:val="53AC85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1"/>
  </w:num>
  <w:num w:numId="3">
    <w:abstractNumId w:val="5"/>
  </w:num>
  <w:num w:numId="4">
    <w:abstractNumId w:val="9"/>
  </w:num>
  <w:num w:numId="5">
    <w:abstractNumId w:val="25"/>
  </w:num>
  <w:num w:numId="6">
    <w:abstractNumId w:val="21"/>
  </w:num>
  <w:num w:numId="7">
    <w:abstractNumId w:val="16"/>
  </w:num>
  <w:num w:numId="8">
    <w:abstractNumId w:val="34"/>
  </w:num>
  <w:num w:numId="9">
    <w:abstractNumId w:val="4"/>
  </w:num>
  <w:num w:numId="10">
    <w:abstractNumId w:val="7"/>
  </w:num>
  <w:num w:numId="11">
    <w:abstractNumId w:val="13"/>
  </w:num>
  <w:num w:numId="12">
    <w:abstractNumId w:val="12"/>
  </w:num>
  <w:num w:numId="13">
    <w:abstractNumId w:val="28"/>
  </w:num>
  <w:num w:numId="14">
    <w:abstractNumId w:val="19"/>
  </w:num>
  <w:num w:numId="15">
    <w:abstractNumId w:val="0"/>
  </w:num>
  <w:num w:numId="16">
    <w:abstractNumId w:val="36"/>
  </w:num>
  <w:num w:numId="17">
    <w:abstractNumId w:val="18"/>
  </w:num>
  <w:num w:numId="18">
    <w:abstractNumId w:val="40"/>
  </w:num>
  <w:num w:numId="19">
    <w:abstractNumId w:val="27"/>
  </w:num>
  <w:num w:numId="20">
    <w:abstractNumId w:val="23"/>
  </w:num>
  <w:num w:numId="21">
    <w:abstractNumId w:val="33"/>
  </w:num>
  <w:num w:numId="22">
    <w:abstractNumId w:val="37"/>
  </w:num>
  <w:num w:numId="23">
    <w:abstractNumId w:val="14"/>
  </w:num>
  <w:num w:numId="24">
    <w:abstractNumId w:val="20"/>
  </w:num>
  <w:num w:numId="25">
    <w:abstractNumId w:val="15"/>
  </w:num>
  <w:num w:numId="26">
    <w:abstractNumId w:val="24"/>
  </w:num>
  <w:num w:numId="27">
    <w:abstractNumId w:val="26"/>
  </w:num>
  <w:num w:numId="28">
    <w:abstractNumId w:val="22"/>
  </w:num>
  <w:num w:numId="29">
    <w:abstractNumId w:val="31"/>
  </w:num>
  <w:num w:numId="30">
    <w:abstractNumId w:val="2"/>
  </w:num>
  <w:num w:numId="31">
    <w:abstractNumId w:val="35"/>
  </w:num>
  <w:num w:numId="32">
    <w:abstractNumId w:val="38"/>
  </w:num>
  <w:num w:numId="33">
    <w:abstractNumId w:val="30"/>
  </w:num>
  <w:num w:numId="34">
    <w:abstractNumId w:val="6"/>
  </w:num>
  <w:num w:numId="35">
    <w:abstractNumId w:val="29"/>
  </w:num>
  <w:num w:numId="36">
    <w:abstractNumId w:val="10"/>
  </w:num>
  <w:num w:numId="37">
    <w:abstractNumId w:val="39"/>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num>
  <w:num w:numId="41">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10"/>
  <w:displayHorizontalDrawingGridEvery w:val="2"/>
  <w:characterSpacingControl w:val="doNotCompress"/>
  <w:hdrShapeDefaults>
    <o:shapedefaults v:ext="edit" spidmax="2049">
      <o:colormenu v:ext="edit" strokecolor="red"/>
    </o:shapedefaults>
  </w:hdrShapeDefaults>
  <w:footnotePr>
    <w:footnote w:id="0"/>
    <w:footnote w:id="1"/>
  </w:footnotePr>
  <w:endnotePr>
    <w:endnote w:id="0"/>
    <w:endnote w:id="1"/>
  </w:endnotePr>
  <w:compat/>
  <w:rsids>
    <w:rsidRoot w:val="00991E38"/>
    <w:rsid w:val="00006AD2"/>
    <w:rsid w:val="0004638A"/>
    <w:rsid w:val="000612AD"/>
    <w:rsid w:val="0007068F"/>
    <w:rsid w:val="000729B5"/>
    <w:rsid w:val="00072B66"/>
    <w:rsid w:val="00076CF8"/>
    <w:rsid w:val="00083219"/>
    <w:rsid w:val="000A4700"/>
    <w:rsid w:val="000C0748"/>
    <w:rsid w:val="000C4997"/>
    <w:rsid w:val="000D1B99"/>
    <w:rsid w:val="000D4583"/>
    <w:rsid w:val="001101F8"/>
    <w:rsid w:val="0011613C"/>
    <w:rsid w:val="00140951"/>
    <w:rsid w:val="00145B4F"/>
    <w:rsid w:val="00167577"/>
    <w:rsid w:val="001B2F26"/>
    <w:rsid w:val="001B4726"/>
    <w:rsid w:val="001D650F"/>
    <w:rsid w:val="001D7391"/>
    <w:rsid w:val="001F6907"/>
    <w:rsid w:val="001F76DB"/>
    <w:rsid w:val="002038DA"/>
    <w:rsid w:val="00204251"/>
    <w:rsid w:val="002057D8"/>
    <w:rsid w:val="00251530"/>
    <w:rsid w:val="00262A44"/>
    <w:rsid w:val="00262A5E"/>
    <w:rsid w:val="0027245D"/>
    <w:rsid w:val="002735D3"/>
    <w:rsid w:val="002854E3"/>
    <w:rsid w:val="00291AC0"/>
    <w:rsid w:val="00297F1E"/>
    <w:rsid w:val="002A60D0"/>
    <w:rsid w:val="002A6E86"/>
    <w:rsid w:val="002C06CE"/>
    <w:rsid w:val="002E1B43"/>
    <w:rsid w:val="002E7A1D"/>
    <w:rsid w:val="00304A7E"/>
    <w:rsid w:val="0034239C"/>
    <w:rsid w:val="00347BAD"/>
    <w:rsid w:val="00365090"/>
    <w:rsid w:val="00365C2D"/>
    <w:rsid w:val="00372BEA"/>
    <w:rsid w:val="00373B38"/>
    <w:rsid w:val="00393830"/>
    <w:rsid w:val="00395A06"/>
    <w:rsid w:val="00397722"/>
    <w:rsid w:val="003B152B"/>
    <w:rsid w:val="003C35B2"/>
    <w:rsid w:val="003C4AA2"/>
    <w:rsid w:val="003C4BC3"/>
    <w:rsid w:val="003D0FE6"/>
    <w:rsid w:val="003E0C74"/>
    <w:rsid w:val="003E71B6"/>
    <w:rsid w:val="003E7AB4"/>
    <w:rsid w:val="004155BB"/>
    <w:rsid w:val="004205C5"/>
    <w:rsid w:val="004811FD"/>
    <w:rsid w:val="00485498"/>
    <w:rsid w:val="0049024D"/>
    <w:rsid w:val="004B4EE8"/>
    <w:rsid w:val="004E2311"/>
    <w:rsid w:val="005057AA"/>
    <w:rsid w:val="005119A1"/>
    <w:rsid w:val="0052130D"/>
    <w:rsid w:val="00531A4B"/>
    <w:rsid w:val="00537EF2"/>
    <w:rsid w:val="00540AE9"/>
    <w:rsid w:val="00542099"/>
    <w:rsid w:val="00543D55"/>
    <w:rsid w:val="00553628"/>
    <w:rsid w:val="00566ADC"/>
    <w:rsid w:val="00586362"/>
    <w:rsid w:val="00592E25"/>
    <w:rsid w:val="005C1944"/>
    <w:rsid w:val="005C1AFE"/>
    <w:rsid w:val="005C2099"/>
    <w:rsid w:val="005C5C9F"/>
    <w:rsid w:val="005D0345"/>
    <w:rsid w:val="0061311F"/>
    <w:rsid w:val="00630A11"/>
    <w:rsid w:val="00631697"/>
    <w:rsid w:val="00633AAE"/>
    <w:rsid w:val="00646F4B"/>
    <w:rsid w:val="00654D4E"/>
    <w:rsid w:val="00663EC1"/>
    <w:rsid w:val="00693EA7"/>
    <w:rsid w:val="006A3764"/>
    <w:rsid w:val="006A5AC8"/>
    <w:rsid w:val="006B57B0"/>
    <w:rsid w:val="006C609F"/>
    <w:rsid w:val="006D02B7"/>
    <w:rsid w:val="006D6C35"/>
    <w:rsid w:val="006D7B26"/>
    <w:rsid w:val="006E3C2A"/>
    <w:rsid w:val="006E6DD9"/>
    <w:rsid w:val="006E7B47"/>
    <w:rsid w:val="006F13B5"/>
    <w:rsid w:val="006F6003"/>
    <w:rsid w:val="006F6FCC"/>
    <w:rsid w:val="007229FC"/>
    <w:rsid w:val="00730768"/>
    <w:rsid w:val="00730A9F"/>
    <w:rsid w:val="00734C7A"/>
    <w:rsid w:val="00744B3A"/>
    <w:rsid w:val="00745C7B"/>
    <w:rsid w:val="007520D6"/>
    <w:rsid w:val="00755266"/>
    <w:rsid w:val="00763734"/>
    <w:rsid w:val="00771C19"/>
    <w:rsid w:val="007A1308"/>
    <w:rsid w:val="007A2504"/>
    <w:rsid w:val="007B2216"/>
    <w:rsid w:val="007E322A"/>
    <w:rsid w:val="008203BC"/>
    <w:rsid w:val="00825245"/>
    <w:rsid w:val="00842C3F"/>
    <w:rsid w:val="00846E19"/>
    <w:rsid w:val="008518AA"/>
    <w:rsid w:val="008754F8"/>
    <w:rsid w:val="00877CF8"/>
    <w:rsid w:val="00880A6E"/>
    <w:rsid w:val="00885C64"/>
    <w:rsid w:val="008A22D3"/>
    <w:rsid w:val="008A2712"/>
    <w:rsid w:val="008A2D3D"/>
    <w:rsid w:val="008A7A69"/>
    <w:rsid w:val="008B32B4"/>
    <w:rsid w:val="008B7FB7"/>
    <w:rsid w:val="008C35BA"/>
    <w:rsid w:val="008C541B"/>
    <w:rsid w:val="008F1C2A"/>
    <w:rsid w:val="008F33A6"/>
    <w:rsid w:val="00914E48"/>
    <w:rsid w:val="00922A6C"/>
    <w:rsid w:val="00923C3C"/>
    <w:rsid w:val="00933FEF"/>
    <w:rsid w:val="00941EF7"/>
    <w:rsid w:val="00944401"/>
    <w:rsid w:val="00966AD8"/>
    <w:rsid w:val="00967A47"/>
    <w:rsid w:val="00971B25"/>
    <w:rsid w:val="00971D22"/>
    <w:rsid w:val="00972CED"/>
    <w:rsid w:val="00980FB2"/>
    <w:rsid w:val="00984E8F"/>
    <w:rsid w:val="00991E38"/>
    <w:rsid w:val="00992407"/>
    <w:rsid w:val="009D4404"/>
    <w:rsid w:val="009D74CB"/>
    <w:rsid w:val="009E0EF6"/>
    <w:rsid w:val="009E5096"/>
    <w:rsid w:val="00A11B7D"/>
    <w:rsid w:val="00A2137A"/>
    <w:rsid w:val="00A3449E"/>
    <w:rsid w:val="00A35826"/>
    <w:rsid w:val="00A4470D"/>
    <w:rsid w:val="00A45953"/>
    <w:rsid w:val="00A4633C"/>
    <w:rsid w:val="00A4744D"/>
    <w:rsid w:val="00A515E1"/>
    <w:rsid w:val="00A51C18"/>
    <w:rsid w:val="00A5543E"/>
    <w:rsid w:val="00A77863"/>
    <w:rsid w:val="00A86520"/>
    <w:rsid w:val="00A90E50"/>
    <w:rsid w:val="00AA2BDF"/>
    <w:rsid w:val="00AC3E2C"/>
    <w:rsid w:val="00AD5688"/>
    <w:rsid w:val="00AF1D19"/>
    <w:rsid w:val="00B01C35"/>
    <w:rsid w:val="00B0223F"/>
    <w:rsid w:val="00B117B0"/>
    <w:rsid w:val="00B1293B"/>
    <w:rsid w:val="00B16339"/>
    <w:rsid w:val="00B21F17"/>
    <w:rsid w:val="00B31AA0"/>
    <w:rsid w:val="00B37C3B"/>
    <w:rsid w:val="00B4001F"/>
    <w:rsid w:val="00B6546D"/>
    <w:rsid w:val="00B83377"/>
    <w:rsid w:val="00B933D7"/>
    <w:rsid w:val="00BA666A"/>
    <w:rsid w:val="00BB26CD"/>
    <w:rsid w:val="00BB5CA8"/>
    <w:rsid w:val="00BC1AC6"/>
    <w:rsid w:val="00BD1F68"/>
    <w:rsid w:val="00BE0CBB"/>
    <w:rsid w:val="00BE169C"/>
    <w:rsid w:val="00BE5057"/>
    <w:rsid w:val="00BE56C3"/>
    <w:rsid w:val="00BF215D"/>
    <w:rsid w:val="00BF2992"/>
    <w:rsid w:val="00C13695"/>
    <w:rsid w:val="00C17C1A"/>
    <w:rsid w:val="00C24363"/>
    <w:rsid w:val="00C27112"/>
    <w:rsid w:val="00C30F6B"/>
    <w:rsid w:val="00C3521D"/>
    <w:rsid w:val="00C62BD3"/>
    <w:rsid w:val="00C75CC9"/>
    <w:rsid w:val="00C946F0"/>
    <w:rsid w:val="00C97A76"/>
    <w:rsid w:val="00CB3012"/>
    <w:rsid w:val="00CC4830"/>
    <w:rsid w:val="00CC6129"/>
    <w:rsid w:val="00CD7313"/>
    <w:rsid w:val="00CE0991"/>
    <w:rsid w:val="00CE300A"/>
    <w:rsid w:val="00CF0690"/>
    <w:rsid w:val="00CF3519"/>
    <w:rsid w:val="00D0411E"/>
    <w:rsid w:val="00D059CB"/>
    <w:rsid w:val="00D14B92"/>
    <w:rsid w:val="00D14DC9"/>
    <w:rsid w:val="00D2156E"/>
    <w:rsid w:val="00D3077B"/>
    <w:rsid w:val="00D3585A"/>
    <w:rsid w:val="00D360A0"/>
    <w:rsid w:val="00D3650E"/>
    <w:rsid w:val="00D51AFE"/>
    <w:rsid w:val="00D55351"/>
    <w:rsid w:val="00D75DB3"/>
    <w:rsid w:val="00D86DB3"/>
    <w:rsid w:val="00DB0D48"/>
    <w:rsid w:val="00DB60E4"/>
    <w:rsid w:val="00DD2D60"/>
    <w:rsid w:val="00DF06FD"/>
    <w:rsid w:val="00DF1EEC"/>
    <w:rsid w:val="00E13252"/>
    <w:rsid w:val="00E459F5"/>
    <w:rsid w:val="00E57ED6"/>
    <w:rsid w:val="00E72A64"/>
    <w:rsid w:val="00E9238E"/>
    <w:rsid w:val="00EB1E6A"/>
    <w:rsid w:val="00EC576A"/>
    <w:rsid w:val="00ED34DE"/>
    <w:rsid w:val="00EE561B"/>
    <w:rsid w:val="00EF6D8A"/>
    <w:rsid w:val="00F10C07"/>
    <w:rsid w:val="00F13878"/>
    <w:rsid w:val="00F211AD"/>
    <w:rsid w:val="00F34278"/>
    <w:rsid w:val="00F35453"/>
    <w:rsid w:val="00F51CD2"/>
    <w:rsid w:val="00F6082B"/>
    <w:rsid w:val="00F80C3A"/>
    <w:rsid w:val="00F840C9"/>
    <w:rsid w:val="00F8420A"/>
    <w:rsid w:val="00F844E9"/>
    <w:rsid w:val="00F91BCB"/>
    <w:rsid w:val="00FA2D66"/>
    <w:rsid w:val="00FA3A0C"/>
    <w:rsid w:val="00FB0A1C"/>
    <w:rsid w:val="00FB0BEB"/>
    <w:rsid w:val="00FB279C"/>
    <w:rsid w:val="00FB63B2"/>
    <w:rsid w:val="00FF40F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enu v:ext="edit"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E38"/>
    <w:rPr>
      <w:rFonts w:ascii="Calibri" w:eastAsia="Calibri" w:hAnsi="Calibri"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1E38"/>
    <w:pPr>
      <w:ind w:left="720"/>
      <w:contextualSpacing/>
    </w:pPr>
  </w:style>
  <w:style w:type="character" w:styleId="CommentReference">
    <w:name w:val="annotation reference"/>
    <w:uiPriority w:val="99"/>
    <w:semiHidden/>
    <w:unhideWhenUsed/>
    <w:rsid w:val="00FF40FB"/>
    <w:rPr>
      <w:sz w:val="16"/>
      <w:szCs w:val="16"/>
    </w:rPr>
  </w:style>
  <w:style w:type="paragraph" w:styleId="CommentText">
    <w:name w:val="annotation text"/>
    <w:basedOn w:val="Normal"/>
    <w:link w:val="CommentTextChar"/>
    <w:unhideWhenUsed/>
    <w:rsid w:val="00FF40FB"/>
    <w:rPr>
      <w:sz w:val="20"/>
    </w:rPr>
  </w:style>
  <w:style w:type="character" w:customStyle="1" w:styleId="CommentTextChar">
    <w:name w:val="Comment Text Char"/>
    <w:basedOn w:val="DefaultParagraphFont"/>
    <w:link w:val="CommentText"/>
    <w:rsid w:val="00FF40FB"/>
    <w:rPr>
      <w:rFonts w:ascii="Calibri" w:eastAsia="Calibri" w:hAnsi="Calibri" w:cs="Arial"/>
      <w:sz w:val="20"/>
      <w:szCs w:val="20"/>
    </w:rPr>
  </w:style>
  <w:style w:type="paragraph" w:customStyle="1" w:styleId="ListBulletT">
    <w:name w:val="List Bullet T"/>
    <w:basedOn w:val="Normal"/>
    <w:link w:val="ListBulletTChar"/>
    <w:rsid w:val="00FF40FB"/>
    <w:pPr>
      <w:spacing w:before="20" w:after="20" w:line="240" w:lineRule="auto"/>
      <w:jc w:val="both"/>
    </w:pPr>
    <w:rPr>
      <w:rFonts w:ascii="Sylfaen" w:eastAsia="Times New Roman" w:hAnsi="Sylfaen" w:cs="Times New Roman"/>
      <w:noProof/>
      <w:kern w:val="20"/>
      <w:sz w:val="18"/>
      <w:lang w:val="ka-GE"/>
    </w:rPr>
  </w:style>
  <w:style w:type="character" w:customStyle="1" w:styleId="ListBulletTChar">
    <w:name w:val="List Bullet T Char"/>
    <w:link w:val="ListBulletT"/>
    <w:rsid w:val="00FF40FB"/>
    <w:rPr>
      <w:rFonts w:ascii="Sylfaen" w:eastAsia="Times New Roman" w:hAnsi="Sylfaen" w:cs="Times New Roman"/>
      <w:noProof/>
      <w:kern w:val="20"/>
      <w:sz w:val="18"/>
      <w:szCs w:val="20"/>
      <w:lang w:val="ka-GE"/>
    </w:rPr>
  </w:style>
  <w:style w:type="paragraph" w:styleId="BalloonText">
    <w:name w:val="Balloon Text"/>
    <w:basedOn w:val="Normal"/>
    <w:link w:val="BalloonTextChar"/>
    <w:uiPriority w:val="99"/>
    <w:semiHidden/>
    <w:unhideWhenUsed/>
    <w:rsid w:val="00FF40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40FB"/>
    <w:rPr>
      <w:rFonts w:ascii="Tahoma" w:eastAsia="Calibri" w:hAnsi="Tahoma" w:cs="Tahoma"/>
      <w:sz w:val="16"/>
      <w:szCs w:val="16"/>
    </w:rPr>
  </w:style>
  <w:style w:type="paragraph" w:styleId="Revision">
    <w:name w:val="Revision"/>
    <w:hidden/>
    <w:uiPriority w:val="99"/>
    <w:semiHidden/>
    <w:rsid w:val="00FF40FB"/>
    <w:pPr>
      <w:spacing w:after="0" w:line="240" w:lineRule="auto"/>
    </w:pPr>
    <w:rPr>
      <w:rFonts w:ascii="Calibri" w:eastAsia="Calibri" w:hAnsi="Calibri" w:cs="Arial"/>
      <w:szCs w:val="20"/>
    </w:rPr>
  </w:style>
  <w:style w:type="table" w:styleId="TableGrid">
    <w:name w:val="Table Grid"/>
    <w:basedOn w:val="TableNormal"/>
    <w:uiPriority w:val="59"/>
    <w:rsid w:val="005C5C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A3764"/>
    <w:pPr>
      <w:tabs>
        <w:tab w:val="center" w:pos="4844"/>
        <w:tab w:val="right" w:pos="9689"/>
      </w:tabs>
      <w:spacing w:after="0" w:line="240" w:lineRule="auto"/>
    </w:pPr>
  </w:style>
  <w:style w:type="character" w:customStyle="1" w:styleId="HeaderChar">
    <w:name w:val="Header Char"/>
    <w:basedOn w:val="DefaultParagraphFont"/>
    <w:link w:val="Header"/>
    <w:uiPriority w:val="99"/>
    <w:rsid w:val="006A3764"/>
    <w:rPr>
      <w:rFonts w:ascii="Calibri" w:eastAsia="Calibri" w:hAnsi="Calibri" w:cs="Arial"/>
      <w:szCs w:val="20"/>
    </w:rPr>
  </w:style>
  <w:style w:type="paragraph" w:styleId="Footer">
    <w:name w:val="footer"/>
    <w:basedOn w:val="Normal"/>
    <w:link w:val="FooterChar"/>
    <w:uiPriority w:val="99"/>
    <w:unhideWhenUsed/>
    <w:rsid w:val="006A3764"/>
    <w:pPr>
      <w:tabs>
        <w:tab w:val="center" w:pos="4844"/>
        <w:tab w:val="right" w:pos="9689"/>
      </w:tabs>
      <w:spacing w:after="0" w:line="240" w:lineRule="auto"/>
    </w:pPr>
  </w:style>
  <w:style w:type="character" w:customStyle="1" w:styleId="FooterChar">
    <w:name w:val="Footer Char"/>
    <w:basedOn w:val="DefaultParagraphFont"/>
    <w:link w:val="Footer"/>
    <w:uiPriority w:val="99"/>
    <w:rsid w:val="006A3764"/>
    <w:rPr>
      <w:rFonts w:ascii="Calibri" w:eastAsia="Calibri" w:hAnsi="Calibri" w:cs="Arial"/>
      <w:szCs w:val="20"/>
    </w:rPr>
  </w:style>
  <w:style w:type="character" w:styleId="Hyperlink">
    <w:name w:val="Hyperlink"/>
    <w:basedOn w:val="DefaultParagraphFont"/>
    <w:uiPriority w:val="99"/>
    <w:unhideWhenUsed/>
    <w:rsid w:val="006A3764"/>
    <w:rPr>
      <w:color w:val="0000FF" w:themeColor="hyperlink"/>
      <w:u w:val="single"/>
    </w:rPr>
  </w:style>
  <w:style w:type="paragraph" w:styleId="FootnoteText">
    <w:name w:val="footnote text"/>
    <w:basedOn w:val="Normal"/>
    <w:link w:val="FootnoteTextChar"/>
    <w:uiPriority w:val="99"/>
    <w:semiHidden/>
    <w:unhideWhenUsed/>
    <w:rsid w:val="006A3764"/>
    <w:pPr>
      <w:spacing w:after="0" w:line="240" w:lineRule="auto"/>
    </w:pPr>
    <w:rPr>
      <w:sz w:val="20"/>
    </w:rPr>
  </w:style>
  <w:style w:type="character" w:customStyle="1" w:styleId="FootnoteTextChar">
    <w:name w:val="Footnote Text Char"/>
    <w:basedOn w:val="DefaultParagraphFont"/>
    <w:link w:val="FootnoteText"/>
    <w:uiPriority w:val="99"/>
    <w:semiHidden/>
    <w:rsid w:val="006A3764"/>
    <w:rPr>
      <w:rFonts w:ascii="Calibri" w:eastAsia="Calibri" w:hAnsi="Calibri" w:cs="Arial"/>
      <w:sz w:val="20"/>
      <w:szCs w:val="20"/>
    </w:rPr>
  </w:style>
  <w:style w:type="character" w:styleId="FootnoteReference">
    <w:name w:val="footnote reference"/>
    <w:basedOn w:val="DefaultParagraphFont"/>
    <w:uiPriority w:val="99"/>
    <w:semiHidden/>
    <w:unhideWhenUsed/>
    <w:rsid w:val="006A3764"/>
    <w:rPr>
      <w:vertAlign w:val="superscript"/>
    </w:rPr>
  </w:style>
  <w:style w:type="paragraph" w:styleId="CommentSubject">
    <w:name w:val="annotation subject"/>
    <w:basedOn w:val="CommentText"/>
    <w:next w:val="CommentText"/>
    <w:link w:val="CommentSubjectChar"/>
    <w:uiPriority w:val="99"/>
    <w:semiHidden/>
    <w:unhideWhenUsed/>
    <w:rsid w:val="00006AD2"/>
    <w:pPr>
      <w:spacing w:line="240" w:lineRule="auto"/>
    </w:pPr>
    <w:rPr>
      <w:b/>
      <w:bCs/>
    </w:rPr>
  </w:style>
  <w:style w:type="character" w:customStyle="1" w:styleId="CommentSubjectChar">
    <w:name w:val="Comment Subject Char"/>
    <w:basedOn w:val="CommentTextChar"/>
    <w:link w:val="CommentSubject"/>
    <w:uiPriority w:val="99"/>
    <w:semiHidden/>
    <w:rsid w:val="00006AD2"/>
    <w:rPr>
      <w:rFonts w:ascii="Calibri" w:eastAsia="Calibri" w:hAnsi="Calibri" w:cs="Arial"/>
      <w:b/>
      <w:bCs/>
      <w:sz w:val="20"/>
      <w:szCs w:val="20"/>
    </w:rPr>
  </w:style>
</w:styles>
</file>

<file path=word/webSettings.xml><?xml version="1.0" encoding="utf-8"?>
<w:webSettings xmlns:r="http://schemas.openxmlformats.org/officeDocument/2006/relationships" xmlns:w="http://schemas.openxmlformats.org/wordprocessingml/2006/main">
  <w:divs>
    <w:div w:id="1248855">
      <w:bodyDiv w:val="1"/>
      <w:marLeft w:val="0"/>
      <w:marRight w:val="0"/>
      <w:marTop w:val="0"/>
      <w:marBottom w:val="0"/>
      <w:divBdr>
        <w:top w:val="none" w:sz="0" w:space="0" w:color="auto"/>
        <w:left w:val="none" w:sz="0" w:space="0" w:color="auto"/>
        <w:bottom w:val="none" w:sz="0" w:space="0" w:color="auto"/>
        <w:right w:val="none" w:sz="0" w:space="0" w:color="auto"/>
      </w:divBdr>
    </w:div>
    <w:div w:id="161043743">
      <w:bodyDiv w:val="1"/>
      <w:marLeft w:val="0"/>
      <w:marRight w:val="0"/>
      <w:marTop w:val="0"/>
      <w:marBottom w:val="0"/>
      <w:divBdr>
        <w:top w:val="none" w:sz="0" w:space="0" w:color="auto"/>
        <w:left w:val="none" w:sz="0" w:space="0" w:color="auto"/>
        <w:bottom w:val="none" w:sz="0" w:space="0" w:color="auto"/>
        <w:right w:val="none" w:sz="0" w:space="0" w:color="auto"/>
      </w:divBdr>
    </w:div>
    <w:div w:id="197547580">
      <w:bodyDiv w:val="1"/>
      <w:marLeft w:val="0"/>
      <w:marRight w:val="0"/>
      <w:marTop w:val="0"/>
      <w:marBottom w:val="0"/>
      <w:divBdr>
        <w:top w:val="none" w:sz="0" w:space="0" w:color="auto"/>
        <w:left w:val="none" w:sz="0" w:space="0" w:color="auto"/>
        <w:bottom w:val="none" w:sz="0" w:space="0" w:color="auto"/>
        <w:right w:val="none" w:sz="0" w:space="0" w:color="auto"/>
      </w:divBdr>
    </w:div>
    <w:div w:id="219757249">
      <w:bodyDiv w:val="1"/>
      <w:marLeft w:val="0"/>
      <w:marRight w:val="0"/>
      <w:marTop w:val="0"/>
      <w:marBottom w:val="0"/>
      <w:divBdr>
        <w:top w:val="none" w:sz="0" w:space="0" w:color="auto"/>
        <w:left w:val="none" w:sz="0" w:space="0" w:color="auto"/>
        <w:bottom w:val="none" w:sz="0" w:space="0" w:color="auto"/>
        <w:right w:val="none" w:sz="0" w:space="0" w:color="auto"/>
      </w:divBdr>
    </w:div>
    <w:div w:id="227570480">
      <w:bodyDiv w:val="1"/>
      <w:marLeft w:val="0"/>
      <w:marRight w:val="0"/>
      <w:marTop w:val="0"/>
      <w:marBottom w:val="0"/>
      <w:divBdr>
        <w:top w:val="none" w:sz="0" w:space="0" w:color="auto"/>
        <w:left w:val="none" w:sz="0" w:space="0" w:color="auto"/>
        <w:bottom w:val="none" w:sz="0" w:space="0" w:color="auto"/>
        <w:right w:val="none" w:sz="0" w:space="0" w:color="auto"/>
      </w:divBdr>
    </w:div>
    <w:div w:id="317151381">
      <w:bodyDiv w:val="1"/>
      <w:marLeft w:val="0"/>
      <w:marRight w:val="0"/>
      <w:marTop w:val="0"/>
      <w:marBottom w:val="0"/>
      <w:divBdr>
        <w:top w:val="none" w:sz="0" w:space="0" w:color="auto"/>
        <w:left w:val="none" w:sz="0" w:space="0" w:color="auto"/>
        <w:bottom w:val="none" w:sz="0" w:space="0" w:color="auto"/>
        <w:right w:val="none" w:sz="0" w:space="0" w:color="auto"/>
      </w:divBdr>
    </w:div>
    <w:div w:id="324822944">
      <w:bodyDiv w:val="1"/>
      <w:marLeft w:val="0"/>
      <w:marRight w:val="0"/>
      <w:marTop w:val="0"/>
      <w:marBottom w:val="0"/>
      <w:divBdr>
        <w:top w:val="none" w:sz="0" w:space="0" w:color="auto"/>
        <w:left w:val="none" w:sz="0" w:space="0" w:color="auto"/>
        <w:bottom w:val="none" w:sz="0" w:space="0" w:color="auto"/>
        <w:right w:val="none" w:sz="0" w:space="0" w:color="auto"/>
      </w:divBdr>
    </w:div>
    <w:div w:id="350567454">
      <w:bodyDiv w:val="1"/>
      <w:marLeft w:val="0"/>
      <w:marRight w:val="0"/>
      <w:marTop w:val="0"/>
      <w:marBottom w:val="0"/>
      <w:divBdr>
        <w:top w:val="none" w:sz="0" w:space="0" w:color="auto"/>
        <w:left w:val="none" w:sz="0" w:space="0" w:color="auto"/>
        <w:bottom w:val="none" w:sz="0" w:space="0" w:color="auto"/>
        <w:right w:val="none" w:sz="0" w:space="0" w:color="auto"/>
      </w:divBdr>
    </w:div>
    <w:div w:id="397635674">
      <w:bodyDiv w:val="1"/>
      <w:marLeft w:val="0"/>
      <w:marRight w:val="0"/>
      <w:marTop w:val="0"/>
      <w:marBottom w:val="0"/>
      <w:divBdr>
        <w:top w:val="none" w:sz="0" w:space="0" w:color="auto"/>
        <w:left w:val="none" w:sz="0" w:space="0" w:color="auto"/>
        <w:bottom w:val="none" w:sz="0" w:space="0" w:color="auto"/>
        <w:right w:val="none" w:sz="0" w:space="0" w:color="auto"/>
      </w:divBdr>
    </w:div>
    <w:div w:id="409086053">
      <w:bodyDiv w:val="1"/>
      <w:marLeft w:val="0"/>
      <w:marRight w:val="0"/>
      <w:marTop w:val="0"/>
      <w:marBottom w:val="0"/>
      <w:divBdr>
        <w:top w:val="none" w:sz="0" w:space="0" w:color="auto"/>
        <w:left w:val="none" w:sz="0" w:space="0" w:color="auto"/>
        <w:bottom w:val="none" w:sz="0" w:space="0" w:color="auto"/>
        <w:right w:val="none" w:sz="0" w:space="0" w:color="auto"/>
      </w:divBdr>
    </w:div>
    <w:div w:id="467867317">
      <w:bodyDiv w:val="1"/>
      <w:marLeft w:val="0"/>
      <w:marRight w:val="0"/>
      <w:marTop w:val="0"/>
      <w:marBottom w:val="0"/>
      <w:divBdr>
        <w:top w:val="none" w:sz="0" w:space="0" w:color="auto"/>
        <w:left w:val="none" w:sz="0" w:space="0" w:color="auto"/>
        <w:bottom w:val="none" w:sz="0" w:space="0" w:color="auto"/>
        <w:right w:val="none" w:sz="0" w:space="0" w:color="auto"/>
      </w:divBdr>
    </w:div>
    <w:div w:id="536162458">
      <w:bodyDiv w:val="1"/>
      <w:marLeft w:val="0"/>
      <w:marRight w:val="0"/>
      <w:marTop w:val="0"/>
      <w:marBottom w:val="0"/>
      <w:divBdr>
        <w:top w:val="none" w:sz="0" w:space="0" w:color="auto"/>
        <w:left w:val="none" w:sz="0" w:space="0" w:color="auto"/>
        <w:bottom w:val="none" w:sz="0" w:space="0" w:color="auto"/>
        <w:right w:val="none" w:sz="0" w:space="0" w:color="auto"/>
      </w:divBdr>
    </w:div>
    <w:div w:id="629628982">
      <w:bodyDiv w:val="1"/>
      <w:marLeft w:val="0"/>
      <w:marRight w:val="0"/>
      <w:marTop w:val="0"/>
      <w:marBottom w:val="0"/>
      <w:divBdr>
        <w:top w:val="none" w:sz="0" w:space="0" w:color="auto"/>
        <w:left w:val="none" w:sz="0" w:space="0" w:color="auto"/>
        <w:bottom w:val="none" w:sz="0" w:space="0" w:color="auto"/>
        <w:right w:val="none" w:sz="0" w:space="0" w:color="auto"/>
      </w:divBdr>
    </w:div>
    <w:div w:id="655495324">
      <w:bodyDiv w:val="1"/>
      <w:marLeft w:val="0"/>
      <w:marRight w:val="0"/>
      <w:marTop w:val="0"/>
      <w:marBottom w:val="0"/>
      <w:divBdr>
        <w:top w:val="none" w:sz="0" w:space="0" w:color="auto"/>
        <w:left w:val="none" w:sz="0" w:space="0" w:color="auto"/>
        <w:bottom w:val="none" w:sz="0" w:space="0" w:color="auto"/>
        <w:right w:val="none" w:sz="0" w:space="0" w:color="auto"/>
      </w:divBdr>
    </w:div>
    <w:div w:id="658002473">
      <w:bodyDiv w:val="1"/>
      <w:marLeft w:val="0"/>
      <w:marRight w:val="0"/>
      <w:marTop w:val="0"/>
      <w:marBottom w:val="0"/>
      <w:divBdr>
        <w:top w:val="none" w:sz="0" w:space="0" w:color="auto"/>
        <w:left w:val="none" w:sz="0" w:space="0" w:color="auto"/>
        <w:bottom w:val="none" w:sz="0" w:space="0" w:color="auto"/>
        <w:right w:val="none" w:sz="0" w:space="0" w:color="auto"/>
      </w:divBdr>
    </w:div>
    <w:div w:id="699165606">
      <w:bodyDiv w:val="1"/>
      <w:marLeft w:val="0"/>
      <w:marRight w:val="0"/>
      <w:marTop w:val="0"/>
      <w:marBottom w:val="0"/>
      <w:divBdr>
        <w:top w:val="none" w:sz="0" w:space="0" w:color="auto"/>
        <w:left w:val="none" w:sz="0" w:space="0" w:color="auto"/>
        <w:bottom w:val="none" w:sz="0" w:space="0" w:color="auto"/>
        <w:right w:val="none" w:sz="0" w:space="0" w:color="auto"/>
      </w:divBdr>
    </w:div>
    <w:div w:id="723137626">
      <w:bodyDiv w:val="1"/>
      <w:marLeft w:val="0"/>
      <w:marRight w:val="0"/>
      <w:marTop w:val="0"/>
      <w:marBottom w:val="0"/>
      <w:divBdr>
        <w:top w:val="none" w:sz="0" w:space="0" w:color="auto"/>
        <w:left w:val="none" w:sz="0" w:space="0" w:color="auto"/>
        <w:bottom w:val="none" w:sz="0" w:space="0" w:color="auto"/>
        <w:right w:val="none" w:sz="0" w:space="0" w:color="auto"/>
      </w:divBdr>
    </w:div>
    <w:div w:id="751202647">
      <w:bodyDiv w:val="1"/>
      <w:marLeft w:val="0"/>
      <w:marRight w:val="0"/>
      <w:marTop w:val="0"/>
      <w:marBottom w:val="0"/>
      <w:divBdr>
        <w:top w:val="none" w:sz="0" w:space="0" w:color="auto"/>
        <w:left w:val="none" w:sz="0" w:space="0" w:color="auto"/>
        <w:bottom w:val="none" w:sz="0" w:space="0" w:color="auto"/>
        <w:right w:val="none" w:sz="0" w:space="0" w:color="auto"/>
      </w:divBdr>
    </w:div>
    <w:div w:id="778988823">
      <w:bodyDiv w:val="1"/>
      <w:marLeft w:val="0"/>
      <w:marRight w:val="0"/>
      <w:marTop w:val="0"/>
      <w:marBottom w:val="0"/>
      <w:divBdr>
        <w:top w:val="none" w:sz="0" w:space="0" w:color="auto"/>
        <w:left w:val="none" w:sz="0" w:space="0" w:color="auto"/>
        <w:bottom w:val="none" w:sz="0" w:space="0" w:color="auto"/>
        <w:right w:val="none" w:sz="0" w:space="0" w:color="auto"/>
      </w:divBdr>
    </w:div>
    <w:div w:id="813760718">
      <w:bodyDiv w:val="1"/>
      <w:marLeft w:val="0"/>
      <w:marRight w:val="0"/>
      <w:marTop w:val="0"/>
      <w:marBottom w:val="0"/>
      <w:divBdr>
        <w:top w:val="none" w:sz="0" w:space="0" w:color="auto"/>
        <w:left w:val="none" w:sz="0" w:space="0" w:color="auto"/>
        <w:bottom w:val="none" w:sz="0" w:space="0" w:color="auto"/>
        <w:right w:val="none" w:sz="0" w:space="0" w:color="auto"/>
      </w:divBdr>
    </w:div>
    <w:div w:id="832337916">
      <w:bodyDiv w:val="1"/>
      <w:marLeft w:val="0"/>
      <w:marRight w:val="0"/>
      <w:marTop w:val="0"/>
      <w:marBottom w:val="0"/>
      <w:divBdr>
        <w:top w:val="none" w:sz="0" w:space="0" w:color="auto"/>
        <w:left w:val="none" w:sz="0" w:space="0" w:color="auto"/>
        <w:bottom w:val="none" w:sz="0" w:space="0" w:color="auto"/>
        <w:right w:val="none" w:sz="0" w:space="0" w:color="auto"/>
      </w:divBdr>
    </w:div>
    <w:div w:id="990642770">
      <w:bodyDiv w:val="1"/>
      <w:marLeft w:val="0"/>
      <w:marRight w:val="0"/>
      <w:marTop w:val="0"/>
      <w:marBottom w:val="0"/>
      <w:divBdr>
        <w:top w:val="none" w:sz="0" w:space="0" w:color="auto"/>
        <w:left w:val="none" w:sz="0" w:space="0" w:color="auto"/>
        <w:bottom w:val="none" w:sz="0" w:space="0" w:color="auto"/>
        <w:right w:val="none" w:sz="0" w:space="0" w:color="auto"/>
      </w:divBdr>
    </w:div>
    <w:div w:id="1170288220">
      <w:bodyDiv w:val="1"/>
      <w:marLeft w:val="0"/>
      <w:marRight w:val="0"/>
      <w:marTop w:val="0"/>
      <w:marBottom w:val="0"/>
      <w:divBdr>
        <w:top w:val="none" w:sz="0" w:space="0" w:color="auto"/>
        <w:left w:val="none" w:sz="0" w:space="0" w:color="auto"/>
        <w:bottom w:val="none" w:sz="0" w:space="0" w:color="auto"/>
        <w:right w:val="none" w:sz="0" w:space="0" w:color="auto"/>
      </w:divBdr>
    </w:div>
    <w:div w:id="1383939892">
      <w:bodyDiv w:val="1"/>
      <w:marLeft w:val="0"/>
      <w:marRight w:val="0"/>
      <w:marTop w:val="0"/>
      <w:marBottom w:val="0"/>
      <w:divBdr>
        <w:top w:val="none" w:sz="0" w:space="0" w:color="auto"/>
        <w:left w:val="none" w:sz="0" w:space="0" w:color="auto"/>
        <w:bottom w:val="none" w:sz="0" w:space="0" w:color="auto"/>
        <w:right w:val="none" w:sz="0" w:space="0" w:color="auto"/>
      </w:divBdr>
    </w:div>
    <w:div w:id="1389570168">
      <w:bodyDiv w:val="1"/>
      <w:marLeft w:val="0"/>
      <w:marRight w:val="0"/>
      <w:marTop w:val="0"/>
      <w:marBottom w:val="0"/>
      <w:divBdr>
        <w:top w:val="none" w:sz="0" w:space="0" w:color="auto"/>
        <w:left w:val="none" w:sz="0" w:space="0" w:color="auto"/>
        <w:bottom w:val="none" w:sz="0" w:space="0" w:color="auto"/>
        <w:right w:val="none" w:sz="0" w:space="0" w:color="auto"/>
      </w:divBdr>
    </w:div>
    <w:div w:id="1424304675">
      <w:bodyDiv w:val="1"/>
      <w:marLeft w:val="0"/>
      <w:marRight w:val="0"/>
      <w:marTop w:val="0"/>
      <w:marBottom w:val="0"/>
      <w:divBdr>
        <w:top w:val="none" w:sz="0" w:space="0" w:color="auto"/>
        <w:left w:val="none" w:sz="0" w:space="0" w:color="auto"/>
        <w:bottom w:val="none" w:sz="0" w:space="0" w:color="auto"/>
        <w:right w:val="none" w:sz="0" w:space="0" w:color="auto"/>
      </w:divBdr>
    </w:div>
    <w:div w:id="1483229289">
      <w:bodyDiv w:val="1"/>
      <w:marLeft w:val="0"/>
      <w:marRight w:val="0"/>
      <w:marTop w:val="0"/>
      <w:marBottom w:val="0"/>
      <w:divBdr>
        <w:top w:val="none" w:sz="0" w:space="0" w:color="auto"/>
        <w:left w:val="none" w:sz="0" w:space="0" w:color="auto"/>
        <w:bottom w:val="none" w:sz="0" w:space="0" w:color="auto"/>
        <w:right w:val="none" w:sz="0" w:space="0" w:color="auto"/>
      </w:divBdr>
    </w:div>
    <w:div w:id="1664158211">
      <w:bodyDiv w:val="1"/>
      <w:marLeft w:val="0"/>
      <w:marRight w:val="0"/>
      <w:marTop w:val="0"/>
      <w:marBottom w:val="0"/>
      <w:divBdr>
        <w:top w:val="none" w:sz="0" w:space="0" w:color="auto"/>
        <w:left w:val="none" w:sz="0" w:space="0" w:color="auto"/>
        <w:bottom w:val="none" w:sz="0" w:space="0" w:color="auto"/>
        <w:right w:val="none" w:sz="0" w:space="0" w:color="auto"/>
      </w:divBdr>
    </w:div>
    <w:div w:id="1685739841">
      <w:bodyDiv w:val="1"/>
      <w:marLeft w:val="0"/>
      <w:marRight w:val="0"/>
      <w:marTop w:val="0"/>
      <w:marBottom w:val="0"/>
      <w:divBdr>
        <w:top w:val="none" w:sz="0" w:space="0" w:color="auto"/>
        <w:left w:val="none" w:sz="0" w:space="0" w:color="auto"/>
        <w:bottom w:val="none" w:sz="0" w:space="0" w:color="auto"/>
        <w:right w:val="none" w:sz="0" w:space="0" w:color="auto"/>
      </w:divBdr>
    </w:div>
    <w:div w:id="1711028512">
      <w:bodyDiv w:val="1"/>
      <w:marLeft w:val="0"/>
      <w:marRight w:val="0"/>
      <w:marTop w:val="0"/>
      <w:marBottom w:val="0"/>
      <w:divBdr>
        <w:top w:val="none" w:sz="0" w:space="0" w:color="auto"/>
        <w:left w:val="none" w:sz="0" w:space="0" w:color="auto"/>
        <w:bottom w:val="none" w:sz="0" w:space="0" w:color="auto"/>
        <w:right w:val="none" w:sz="0" w:space="0" w:color="auto"/>
      </w:divBdr>
    </w:div>
    <w:div w:id="1816951015">
      <w:bodyDiv w:val="1"/>
      <w:marLeft w:val="0"/>
      <w:marRight w:val="0"/>
      <w:marTop w:val="0"/>
      <w:marBottom w:val="0"/>
      <w:divBdr>
        <w:top w:val="none" w:sz="0" w:space="0" w:color="auto"/>
        <w:left w:val="none" w:sz="0" w:space="0" w:color="auto"/>
        <w:bottom w:val="none" w:sz="0" w:space="0" w:color="auto"/>
        <w:right w:val="none" w:sz="0" w:space="0" w:color="auto"/>
      </w:divBdr>
    </w:div>
    <w:div w:id="1866359403">
      <w:bodyDiv w:val="1"/>
      <w:marLeft w:val="0"/>
      <w:marRight w:val="0"/>
      <w:marTop w:val="0"/>
      <w:marBottom w:val="0"/>
      <w:divBdr>
        <w:top w:val="none" w:sz="0" w:space="0" w:color="auto"/>
        <w:left w:val="none" w:sz="0" w:space="0" w:color="auto"/>
        <w:bottom w:val="none" w:sz="0" w:space="0" w:color="auto"/>
        <w:right w:val="none" w:sz="0" w:space="0" w:color="auto"/>
      </w:divBdr>
    </w:div>
    <w:div w:id="2072725385">
      <w:bodyDiv w:val="1"/>
      <w:marLeft w:val="0"/>
      <w:marRight w:val="0"/>
      <w:marTop w:val="0"/>
      <w:marBottom w:val="0"/>
      <w:divBdr>
        <w:top w:val="none" w:sz="0" w:space="0" w:color="auto"/>
        <w:left w:val="none" w:sz="0" w:space="0" w:color="auto"/>
        <w:bottom w:val="none" w:sz="0" w:space="0" w:color="auto"/>
        <w:right w:val="none" w:sz="0" w:space="0" w:color="auto"/>
      </w:divBdr>
    </w:div>
    <w:div w:id="2088527891">
      <w:bodyDiv w:val="1"/>
      <w:marLeft w:val="0"/>
      <w:marRight w:val="0"/>
      <w:marTop w:val="0"/>
      <w:marBottom w:val="0"/>
      <w:divBdr>
        <w:top w:val="none" w:sz="0" w:space="0" w:color="auto"/>
        <w:left w:val="none" w:sz="0" w:space="0" w:color="auto"/>
        <w:bottom w:val="none" w:sz="0" w:space="0" w:color="auto"/>
        <w:right w:val="none" w:sz="0" w:space="0" w:color="auto"/>
      </w:divBdr>
    </w:div>
    <w:div w:id="2111005753">
      <w:bodyDiv w:val="1"/>
      <w:marLeft w:val="0"/>
      <w:marRight w:val="0"/>
      <w:marTop w:val="0"/>
      <w:marBottom w:val="0"/>
      <w:divBdr>
        <w:top w:val="none" w:sz="0" w:space="0" w:color="auto"/>
        <w:left w:val="none" w:sz="0" w:space="0" w:color="auto"/>
        <w:bottom w:val="none" w:sz="0" w:space="0" w:color="auto"/>
        <w:right w:val="none" w:sz="0" w:space="0" w:color="auto"/>
      </w:divBdr>
    </w:div>
    <w:div w:id="2122527964">
      <w:bodyDiv w:val="1"/>
      <w:marLeft w:val="0"/>
      <w:marRight w:val="0"/>
      <w:marTop w:val="0"/>
      <w:marBottom w:val="0"/>
      <w:divBdr>
        <w:top w:val="none" w:sz="0" w:space="0" w:color="auto"/>
        <w:left w:val="none" w:sz="0" w:space="0" w:color="auto"/>
        <w:bottom w:val="none" w:sz="0" w:space="0" w:color="auto"/>
        <w:right w:val="none" w:sz="0" w:space="0" w:color="auto"/>
      </w:divBdr>
    </w:div>
    <w:div w:id="2125731081">
      <w:bodyDiv w:val="1"/>
      <w:marLeft w:val="0"/>
      <w:marRight w:val="0"/>
      <w:marTop w:val="0"/>
      <w:marBottom w:val="0"/>
      <w:divBdr>
        <w:top w:val="none" w:sz="0" w:space="0" w:color="auto"/>
        <w:left w:val="none" w:sz="0" w:space="0" w:color="auto"/>
        <w:bottom w:val="none" w:sz="0" w:space="0" w:color="auto"/>
        <w:right w:val="none" w:sz="0" w:space="0" w:color="auto"/>
      </w:divBdr>
    </w:div>
    <w:div w:id="2134982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3" Type="http://schemas.openxmlformats.org/officeDocument/2006/relationships/styles" Target="styles.xml"/><Relationship Id="rId21" Type="http://schemas.openxmlformats.org/officeDocument/2006/relationships/chart" Target="charts/chart14.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chart" Target="charts/chart1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sa.gov.ge/index.php?lang_id=&amp;sec_id=772" TargetMode="External"/><Relationship Id="rId1" Type="http://schemas.openxmlformats.org/officeDocument/2006/relationships/hyperlink" Target="http://geostat.ge/?action=page&amp;p_id=472&amp;lang=geo"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ekapanadze\Desktop\&#4314;&#4308;&#4314;&#4304;&#4321;%20&#4320;&#4308;&#4324;&#4308;&#4320;&#4304;&#4314;&#4312;\&#4322;&#4320;&#4304;&#4316;&#4321;&#4318;&#4317;&#4320;&#4322;&#4312;&#4320;&#4308;&#4305;&#4304;%202012-2014agvisto.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Documents%20and%20Settings\ekapanadze\Desktop\&#4314;&#4308;&#4314;&#4304;&#4321;%20&#4320;&#4308;&#4324;&#4308;&#4320;&#4304;&#4314;&#4312;\&#4320;&#4308;&#4324;&#4308;&#4320;&#4304;&#4314;&#4312;&#4321;%20&#4315;&#4312;&#4315;&#4326;&#4308;&#4305;&#4308;&#4305;&#4312;%20&#4311;&#4305;&#4312;&#4314;&#4312;&#4321;&#4328;&#4312;\&#4320;&#4308;&#4324;&#4308;&#4320;&#4304;&#4314;&#4312;%20&#4311;&#4305;&#4312;&#4314;&#4312;&#4321;&#4312;&#4321;%20&#4313;&#4314;&#4312;&#4316;&#4312;&#4313;&#4308;&#4305;&#4328;&#4312;%202014.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sharing\Anything\Health%20Care%20Department\LelTso\&#4314;&#4308;&#4314;&#4304;&#4321;%20&#4320;&#4308;&#4324;&#4308;&#4320;&#4304;&#4314;&#4312;%20&#4308;&#4313;&#4304;&#4321;&#4306;&#4304;&#4316;\&#4328;&#4308;&#4321;&#4304;&#4330;&#4309;&#4314;&#4308;&#4314;&#4312;%20&#4307;&#4312;&#4304;&#4306;&#4320;&#4304;&#4315;&#4308;&#4305;&#431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Documents%20and%20Settings\ekapanadze\Desktop\&#4320;&#4308;&#4324;&#4308;&#4320;&#4304;&#4314;&#4312;&#4321;%20&#4304;&#4316;&#4304;&#4314;&#4312;&#4310;&#4312;\2014%20&#4332;&#4314;&#4312;&#4321;%20&#4312;&#4304;&#4316;&#4309;&#4304;&#4320;&#4312;-&#4315;&#4304;&#4320;&#4322;&#4312;\&#4316;&#4317;&#4310;&#4317;&#4314;&#4317;&#4306;&#4312;&#4308;&#4305;&#4312;&#4311;%202014.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Documents%20and%20Settings\ekapanadze\Desktop\&#4320;&#4308;&#4324;&#4308;&#4320;&#4304;&#4314;&#4312;&#4321;%20&#4304;&#4316;&#4304;&#4314;&#4312;&#4310;&#4312;\2014%20&#4332;&#4314;&#4312;&#4321;%20&#4312;&#4304;&#4316;&#4309;&#4304;&#4320;&#4312;-&#4315;&#4304;&#4320;&#4322;&#4312;\&#4316;&#4317;&#4310;&#4317;&#4314;&#4317;&#4306;&#4312;&#4308;&#4305;&#4312;&#4311;%202014.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Documents%20and%20Settings\ekapanadze\Desktop\&#4320;&#4308;&#4324;&#4308;&#4320;&#4304;&#4314;&#4312;&#4321;%20&#4304;&#4316;&#4304;&#4314;&#4312;&#4310;&#4312;\2014%20&#4332;&#4314;&#4312;&#4321;%20&#4312;&#4304;&#4316;&#4309;&#4304;&#4320;&#4312;-&#4304;&#4318;&#4320;&#4312;&#4314;&#4312;\&#4316;&#4317;&#4310;&#4317;&#4314;&#4317;&#4306;&#4312;&#4308;&#4305;&#4312;&#4311;%202014.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Documents%20and%20Settings\ekapanadze\Desktop\&#4314;&#4308;&#4314;&#4304;&#4321;%20&#4320;&#4308;&#4324;&#4308;&#4320;&#4304;&#4314;&#4312;\&#4322;&#4320;&#4304;&#4316;&#4321;&#4318;&#4317;&#4320;&#4322;&#4312;&#4320;&#4308;&#4305;&#4304;%202012-2014agvisto.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Documents%20and%20Settings\ekapanadze\Desktop\&#4314;&#4308;&#4314;&#4304;&#4321;%20&#4320;&#4308;&#4324;&#4308;&#4320;&#4304;&#4314;&#4312;\&#4322;&#4320;&#4304;&#4316;&#4321;&#4318;&#4317;&#4320;&#4322;&#4312;&#4320;&#4308;&#4305;&#4304;%202012-2014agvisto.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Documents%20and%20Settings\ekapanadze\Desktop\&#4314;&#4308;&#4314;&#4304;&#4321;%20&#4320;&#4308;&#4324;&#4308;&#4320;&#4304;&#4314;&#4312;\&#4322;&#4320;&#4304;&#4316;&#4321;&#4318;&#4317;&#4320;&#4322;&#4312;&#4320;&#4308;&#4305;&#4304;%202012-2014agvist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Documents%20and%20Settings\ekapanadze\Desktop\&#4314;&#4308;&#4314;&#4304;&#4321;%20&#4320;&#4308;&#4324;&#4308;&#4320;&#4304;&#4314;&#4312;\&#4322;&#4320;&#4304;&#4316;&#4321;&#4318;&#4317;&#4320;&#4322;&#4312;&#4320;&#4308;&#4305;&#4304;%202012-2014agvisto.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sharing\Anything\Health%20Care%20Department\LelTso\&#4314;&#4308;&#4314;&#4304;&#4321;%20&#4320;&#4308;&#4324;&#4308;&#4320;&#4304;&#4314;&#4312;%20&#4308;&#4313;&#4304;&#4321;&#4306;&#4304;&#4316;\165%20&#4307;&#4304;%20218%20&#4312;&#4316;&#4322;&#4308;&#4306;&#4320;&#4312;&#4320;&#4308;&#4305;&#4323;&#4314;&#4312;%20&#4328;&#4308;&#4315;&#4311;&#4334;&#4309;&#4308;&#4309;&#4308;&#4305;&#4312;.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sharing\Anything\Health%20Care%20Department\LelTso\&#4314;&#4308;&#4314;&#4304;&#4321;%20&#4320;&#4308;&#4324;&#4308;&#4320;&#4304;&#4314;&#4312;%20&#4308;&#4313;&#4304;&#4321;&#4306;&#4304;&#4316;\165%20&#4307;&#4304;%20218%20&#4312;&#4316;&#4322;&#4308;&#4306;&#4320;&#4312;&#4320;&#4308;&#4305;&#4323;&#4314;&#4312;%20&#4328;&#4308;&#4315;&#4311;&#4334;&#4309;&#4308;&#4309;&#4308;&#4305;&#4312;.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Documents%20and%20Settings\ekapanadze\Desktop\&#4314;&#4308;&#4314;&#4304;&#4321;%20&#4320;&#4308;&#4324;&#4308;&#4320;&#4304;&#4314;&#4312;\&#4320;&#4308;&#4324;&#4308;&#4320;&#4304;&#4314;&#4312;&#4321;%20&#4315;&#4312;&#4315;&#4326;&#4308;&#4305;&#4308;&#4305;&#4312;%20&#4311;&#4305;&#4312;&#4314;&#4312;&#4321;&#4328;&#4312;\&#4320;&#4308;&#4324;&#4308;&#4320;&#4304;&#4314;&#4312;%20&#4311;&#4305;&#4312;&#4314;&#4312;&#4321;&#4312;&#4321;%20&#4313;&#4314;&#4312;&#4316;&#4312;&#4313;&#4308;&#4305;&#4328;&#4312;%202013.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sharing\Anything\Health%20Care%20Department\LelTso\&#4314;&#4308;&#4314;&#4304;&#4321;%20&#4320;&#4308;&#4324;&#4308;&#4320;&#4304;&#4314;&#4312;%20&#4308;&#4313;&#4304;&#4321;&#4306;&#4304;&#4316;\&#4320;&#4308;&#4324;&#4308;&#4320;&#4304;&#4314;&#4312;&#4321;%20&#4315;&#4312;&#4315;&#4326;&#4308;&#4305;&#4308;&#4305;&#4312;%20&#4311;&#4305;&#4312;&#4314;&#4312;&#4321;&#4328;&#4312;\&#4320;&#4308;&#4324;&#4308;&#4320;&#4304;&#4314;&#4312;%20&#4311;&#4305;&#4312;&#4314;&#4312;&#4321;&#4312;&#4321;%20&#4313;&#4314;&#4312;&#4316;&#4312;&#4313;&#4308;&#4305;&#4328;&#4312;%20201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ka-GE"/>
              <a:t>ტრანსპორტირება 2012</a:t>
            </a:r>
            <a:r>
              <a:rPr lang="en-US"/>
              <a:t>-2014</a:t>
            </a:r>
            <a:endParaRPr lang="ka-GE"/>
          </a:p>
        </c:rich>
      </c:tx>
      <c:layout/>
    </c:title>
    <c:plotArea>
      <c:layout>
        <c:manualLayout>
          <c:layoutTarget val="inner"/>
          <c:xMode val="edge"/>
          <c:yMode val="edge"/>
          <c:x val="0.18257882803858208"/>
          <c:y val="0.10254947137227882"/>
          <c:w val="0.80343045716918993"/>
          <c:h val="0.77445230046110758"/>
        </c:manualLayout>
      </c:layout>
      <c:lineChart>
        <c:grouping val="stacked"/>
        <c:ser>
          <c:idx val="0"/>
          <c:order val="0"/>
          <c:tx>
            <c:strRef>
              <c:f>Sheet1!$A$3</c:f>
              <c:strCache>
                <c:ptCount val="1"/>
                <c:pt idx="0">
                  <c:v>ტრანსპორტირება</c:v>
                </c:pt>
              </c:strCache>
            </c:strRef>
          </c:tx>
          <c:dLbls>
            <c:numFmt formatCode="0" sourceLinked="0"/>
            <c:txPr>
              <a:bodyPr rot="-5400000"/>
              <a:lstStyle/>
              <a:p>
                <a:pPr>
                  <a:defRPr b="1" i="0"/>
                </a:pPr>
                <a:endParaRPr lang="en-US"/>
              </a:p>
            </c:txPr>
            <c:dLblPos val="t"/>
            <c:showVal val="1"/>
          </c:dLbls>
          <c:cat>
            <c:strRef>
              <c:f>Sheet1!$B$2:$AG$2</c:f>
              <c:strCache>
                <c:ptCount val="32"/>
                <c:pt idx="0">
                  <c:v>I-12</c:v>
                </c:pt>
                <c:pt idx="1">
                  <c:v>II-12</c:v>
                </c:pt>
                <c:pt idx="2">
                  <c:v>III-12</c:v>
                </c:pt>
                <c:pt idx="3">
                  <c:v>IV-12</c:v>
                </c:pt>
                <c:pt idx="4">
                  <c:v>V-12</c:v>
                </c:pt>
                <c:pt idx="5">
                  <c:v>VI-12</c:v>
                </c:pt>
                <c:pt idx="6">
                  <c:v>VII-12</c:v>
                </c:pt>
                <c:pt idx="7">
                  <c:v>VIII-12</c:v>
                </c:pt>
                <c:pt idx="8">
                  <c:v>IX-12</c:v>
                </c:pt>
                <c:pt idx="9">
                  <c:v>X-12</c:v>
                </c:pt>
                <c:pt idx="10">
                  <c:v>XI-12</c:v>
                </c:pt>
                <c:pt idx="11">
                  <c:v>XII-12</c:v>
                </c:pt>
                <c:pt idx="12">
                  <c:v>I-13</c:v>
                </c:pt>
                <c:pt idx="13">
                  <c:v>II-13</c:v>
                </c:pt>
                <c:pt idx="14">
                  <c:v>III-13</c:v>
                </c:pt>
                <c:pt idx="15">
                  <c:v>IV-13</c:v>
                </c:pt>
                <c:pt idx="16">
                  <c:v>V-13</c:v>
                </c:pt>
                <c:pt idx="17">
                  <c:v>VI-13</c:v>
                </c:pt>
                <c:pt idx="18">
                  <c:v>VII-13</c:v>
                </c:pt>
                <c:pt idx="19">
                  <c:v>VIII-13</c:v>
                </c:pt>
                <c:pt idx="20">
                  <c:v>IX-13</c:v>
                </c:pt>
                <c:pt idx="21">
                  <c:v>X-13</c:v>
                </c:pt>
                <c:pt idx="22">
                  <c:v>XI-13</c:v>
                </c:pt>
                <c:pt idx="23">
                  <c:v>XII-13</c:v>
                </c:pt>
                <c:pt idx="24">
                  <c:v>I-14</c:v>
                </c:pt>
                <c:pt idx="25">
                  <c:v>II-14</c:v>
                </c:pt>
                <c:pt idx="26">
                  <c:v>III-14</c:v>
                </c:pt>
                <c:pt idx="27">
                  <c:v>IV-14</c:v>
                </c:pt>
                <c:pt idx="28">
                  <c:v>V-14</c:v>
                </c:pt>
                <c:pt idx="29">
                  <c:v>VI-14</c:v>
                </c:pt>
                <c:pt idx="30">
                  <c:v>VII-14</c:v>
                </c:pt>
                <c:pt idx="31">
                  <c:v>VIII-14</c:v>
                </c:pt>
              </c:strCache>
            </c:strRef>
          </c:cat>
          <c:val>
            <c:numRef>
              <c:f>Sheet1!$B$3:$AG$3</c:f>
              <c:numCache>
                <c:formatCode>General</c:formatCode>
                <c:ptCount val="32"/>
                <c:pt idx="0">
                  <c:v>975</c:v>
                </c:pt>
                <c:pt idx="1">
                  <c:v>994</c:v>
                </c:pt>
                <c:pt idx="2">
                  <c:v>1125</c:v>
                </c:pt>
                <c:pt idx="3">
                  <c:v>1143</c:v>
                </c:pt>
                <c:pt idx="4">
                  <c:v>1264</c:v>
                </c:pt>
                <c:pt idx="5">
                  <c:v>1273</c:v>
                </c:pt>
                <c:pt idx="6">
                  <c:v>1468</c:v>
                </c:pt>
                <c:pt idx="7">
                  <c:v>1380</c:v>
                </c:pt>
                <c:pt idx="8">
                  <c:v>681</c:v>
                </c:pt>
                <c:pt idx="9">
                  <c:v>664</c:v>
                </c:pt>
                <c:pt idx="10">
                  <c:v>645</c:v>
                </c:pt>
                <c:pt idx="11">
                  <c:v>657</c:v>
                </c:pt>
                <c:pt idx="12">
                  <c:v>700</c:v>
                </c:pt>
                <c:pt idx="13">
                  <c:v>685</c:v>
                </c:pt>
                <c:pt idx="14">
                  <c:v>960</c:v>
                </c:pt>
                <c:pt idx="15">
                  <c:v>814</c:v>
                </c:pt>
                <c:pt idx="16">
                  <c:v>967</c:v>
                </c:pt>
                <c:pt idx="17">
                  <c:v>971</c:v>
                </c:pt>
                <c:pt idx="18">
                  <c:v>1122</c:v>
                </c:pt>
                <c:pt idx="19">
                  <c:v>1112</c:v>
                </c:pt>
                <c:pt idx="20">
                  <c:v>999</c:v>
                </c:pt>
                <c:pt idx="21">
                  <c:v>1091</c:v>
                </c:pt>
                <c:pt idx="22">
                  <c:v>1273</c:v>
                </c:pt>
                <c:pt idx="23">
                  <c:v>1234</c:v>
                </c:pt>
                <c:pt idx="24">
                  <c:v>1878</c:v>
                </c:pt>
                <c:pt idx="25">
                  <c:v>2402</c:v>
                </c:pt>
                <c:pt idx="26">
                  <c:v>2524</c:v>
                </c:pt>
                <c:pt idx="27">
                  <c:v>2613</c:v>
                </c:pt>
                <c:pt idx="28">
                  <c:v>2658</c:v>
                </c:pt>
                <c:pt idx="29">
                  <c:v>2473</c:v>
                </c:pt>
                <c:pt idx="30">
                  <c:v>2415</c:v>
                </c:pt>
                <c:pt idx="31">
                  <c:v>2501</c:v>
                </c:pt>
              </c:numCache>
            </c:numRef>
          </c:val>
        </c:ser>
        <c:marker val="1"/>
        <c:axId val="67249664"/>
        <c:axId val="67251200"/>
      </c:lineChart>
      <c:catAx>
        <c:axId val="67249664"/>
        <c:scaling>
          <c:orientation val="minMax"/>
        </c:scaling>
        <c:axPos val="b"/>
        <c:majorTickMark val="none"/>
        <c:tickLblPos val="nextTo"/>
        <c:crossAx val="67251200"/>
        <c:crosses val="autoZero"/>
        <c:auto val="1"/>
        <c:lblAlgn val="ctr"/>
        <c:lblOffset val="100"/>
      </c:catAx>
      <c:valAx>
        <c:axId val="67251200"/>
        <c:scaling>
          <c:orientation val="minMax"/>
        </c:scaling>
        <c:axPos val="l"/>
        <c:numFmt formatCode="General" sourceLinked="1"/>
        <c:majorTickMark val="none"/>
        <c:tickLblPos val="nextTo"/>
        <c:crossAx val="67249664"/>
        <c:crosses val="autoZero"/>
        <c:crossBetween val="between"/>
      </c:valAx>
      <c:dTable>
        <c:showHorzBorder val="1"/>
        <c:showVertBorder val="1"/>
        <c:showOutline val="1"/>
        <c:showKeys val="1"/>
      </c:dTable>
    </c:plotArea>
    <c:plotVisOnly val="1"/>
  </c:chart>
  <c:txPr>
    <a:bodyPr/>
    <a:lstStyle/>
    <a:p>
      <a:pPr>
        <a:defRPr sz="1050"/>
      </a:pPr>
      <a:endParaRPr lang="en-US"/>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200"/>
            </a:pPr>
            <a:r>
              <a:rPr lang="ka-GE" sz="1200" b="1" i="0" baseline="0"/>
              <a:t>რეფერალის მიმღები დაწესებულებები (რეანიმაციის სიმძლავრე 11</a:t>
            </a:r>
            <a:r>
              <a:rPr lang="en-US" sz="1200" b="1" i="0" baseline="0"/>
              <a:t>-5</a:t>
            </a:r>
            <a:r>
              <a:rPr lang="ka-GE" sz="1200" b="1" i="0" baseline="0"/>
              <a:t>0 საწოლი) იანვარი-აგვისტო 201</a:t>
            </a:r>
            <a:r>
              <a:rPr lang="en-US" sz="1200" b="1" i="0" baseline="0"/>
              <a:t>4</a:t>
            </a:r>
            <a:r>
              <a:rPr lang="ka-GE" sz="1200" b="1" i="0" baseline="0"/>
              <a:t>წელი</a:t>
            </a:r>
            <a:endParaRPr lang="en-US" sz="1200" b="1" i="0" baseline="0"/>
          </a:p>
        </c:rich>
      </c:tx>
      <c:layout>
        <c:manualLayout>
          <c:xMode val="edge"/>
          <c:yMode val="edge"/>
          <c:x val="0.10644374782305822"/>
          <c:y val="2.7509947550508722E-2"/>
        </c:manualLayout>
      </c:layout>
    </c:title>
    <c:plotArea>
      <c:layout/>
      <c:barChart>
        <c:barDir val="bar"/>
        <c:grouping val="clustered"/>
        <c:ser>
          <c:idx val="0"/>
          <c:order val="0"/>
          <c:dLbls>
            <c:dLblPos val="outEnd"/>
            <c:showVal val="1"/>
          </c:dLbls>
          <c:cat>
            <c:strRef>
              <c:f>Sheet1!$B$3:$B$23</c:f>
              <c:strCache>
                <c:ptCount val="21"/>
                <c:pt idx="0">
                  <c:v>ს.ს.მ.იაშვილის სახელობის ცენტრალური საავადმყოფო</c:v>
                </c:pt>
                <c:pt idx="1">
                  <c:v>შ.პ.ს. ბავშვთა ახალი კლინიკა </c:v>
                </c:pt>
                <c:pt idx="2">
                  <c:v>შ.პ.ს. მაღალი სამედიცინო ტექნოლოგიების ცენტრი, საუნივერსიტეტო კლინიკა</c:v>
                </c:pt>
                <c:pt idx="3">
                  <c:v>შპს. აკად. ო. ღუდუშაურის სახელობის ეროვნული სამედიცინო ცენტრი</c:v>
                </c:pt>
                <c:pt idx="4">
                  <c:v>ს.ს. ,,კ. ერისთავის სახ. ექსპერიმენტული და კლინიკური ქირურუგიის ეროვნული ცენტრი"</c:v>
                </c:pt>
                <c:pt idx="5">
                  <c:v>შპს „ნიუ ჰოსპიტალს“ </c:v>
                </c:pt>
                <c:pt idx="6">
                  <c:v>შპს ამტელ ჰოსპიტალ პირველი კლინიკური</c:v>
                </c:pt>
                <c:pt idx="7">
                  <c:v>შპს სხივური დიაგნოსტიკის ცენტრი–დიღომი</c:v>
                </c:pt>
                <c:pt idx="8">
                  <c:v>შ.პ.ს. ტუბერკულოზისა და ფილტვის დაავადებათა ეროვნული ცენტრი </c:v>
                </c:pt>
                <c:pt idx="9">
                  <c:v>შ.პ.ს. "პირველი კლინიკური შპს" </c:v>
                </c:pt>
                <c:pt idx="10">
                  <c:v>შ.პ.ს "მედჯორჯია" </c:v>
                </c:pt>
                <c:pt idx="11">
                  <c:v>შპს წმინდა მიქაელის მრავალპროფილიანი კლინიკური საავადმყოფო </c:v>
                </c:pt>
                <c:pt idx="12">
                  <c:v>შპს „რეფერალური ჰოსპიტალი 2012“</c:v>
                </c:pt>
                <c:pt idx="13">
                  <c:v>შპს „აკად. გ. ჩაფიძის სახელობის გადაუდებელი კარდიოლოგიის ცენტრი“ </c:v>
                </c:pt>
                <c:pt idx="14">
                  <c:v> გივი ჟვანიას სახ.პედიატრიის აკადემიური კლინიკა</c:v>
                </c:pt>
                <c:pt idx="15">
                  <c:v>სს ინფექციური, შიდსისა და კლინიკური იმუნოლოგიის სპ ცენტრი </c:v>
                </c:pt>
                <c:pt idx="16">
                  <c:v>შ.პ.ს ტრავმატლოგი </c:v>
                </c:pt>
                <c:pt idx="17">
                  <c:v>შპს "აკად. ნ. ყიფშიძის სახ. ცენტრალური საუნივერსიტეტო კლინიკა" </c:v>
                </c:pt>
                <c:pt idx="18">
                  <c:v>შპს "კრიტიკული მედიცინის ინსტიტუტი"</c:v>
                </c:pt>
                <c:pt idx="19">
                  <c:v> სს ალ.წულუკიძის სახ.უროლოგიის ეროვნული ცენტრი </c:v>
                </c:pt>
                <c:pt idx="20">
                  <c:v>ა.ა.ი.პ "ჯო ენის სახელობის სამედიცინო ცენტრი" </c:v>
                </c:pt>
              </c:strCache>
            </c:strRef>
          </c:cat>
          <c:val>
            <c:numRef>
              <c:f>Sheet1!$C$3:$C$23</c:f>
            </c:numRef>
          </c:val>
        </c:ser>
        <c:ser>
          <c:idx val="1"/>
          <c:order val="1"/>
          <c:dLbls>
            <c:showVal val="1"/>
          </c:dLbls>
          <c:cat>
            <c:strRef>
              <c:f>Sheet1!$B$3:$B$23</c:f>
              <c:strCache>
                <c:ptCount val="21"/>
                <c:pt idx="0">
                  <c:v>ს.ს.მ.იაშვილის სახელობის ცენტრალური საავადმყოფო</c:v>
                </c:pt>
                <c:pt idx="1">
                  <c:v>შ.პ.ს. ბავშვთა ახალი კლინიკა </c:v>
                </c:pt>
                <c:pt idx="2">
                  <c:v>შ.პ.ს. მაღალი სამედიცინო ტექნოლოგიების ცენტრი, საუნივერსიტეტო კლინიკა</c:v>
                </c:pt>
                <c:pt idx="3">
                  <c:v>შპს. აკად. ო. ღუდუშაურის სახელობის ეროვნული სამედიცინო ცენტრი</c:v>
                </c:pt>
                <c:pt idx="4">
                  <c:v>ს.ს. ,,კ. ერისთავის სახ. ექსპერიმენტული და კლინიკური ქირურუგიის ეროვნული ცენტრი"</c:v>
                </c:pt>
                <c:pt idx="5">
                  <c:v>შპს „ნიუ ჰოსპიტალს“ </c:v>
                </c:pt>
                <c:pt idx="6">
                  <c:v>შპს ამტელ ჰოსპიტალ პირველი კლინიკური</c:v>
                </c:pt>
                <c:pt idx="7">
                  <c:v>შპს სხივური დიაგნოსტიკის ცენტრი–დიღომი</c:v>
                </c:pt>
                <c:pt idx="8">
                  <c:v>შ.პ.ს. ტუბერკულოზისა და ფილტვის დაავადებათა ეროვნული ცენტრი </c:v>
                </c:pt>
                <c:pt idx="9">
                  <c:v>შ.პ.ს. "პირველი კლინიკური შპს" </c:v>
                </c:pt>
                <c:pt idx="10">
                  <c:v>შ.პ.ს "მედჯორჯია" </c:v>
                </c:pt>
                <c:pt idx="11">
                  <c:v>შპს წმინდა მიქაელის მრავალპროფილიანი კლინიკური საავადმყოფო </c:v>
                </c:pt>
                <c:pt idx="12">
                  <c:v>შპს „რეფერალური ჰოსპიტალი 2012“</c:v>
                </c:pt>
                <c:pt idx="13">
                  <c:v>შპს „აკად. გ. ჩაფიძის სახელობის გადაუდებელი კარდიოლოგიის ცენტრი“ </c:v>
                </c:pt>
                <c:pt idx="14">
                  <c:v> გივი ჟვანიას სახ.პედიატრიის აკადემიური კლინიკა</c:v>
                </c:pt>
                <c:pt idx="15">
                  <c:v>სს ინფექციური, შიდსისა და კლინიკური იმუნოლოგიის სპ ცენტრი </c:v>
                </c:pt>
                <c:pt idx="16">
                  <c:v>შ.პ.ს ტრავმატლოგი </c:v>
                </c:pt>
                <c:pt idx="17">
                  <c:v>შპს "აკად. ნ. ყიფშიძის სახ. ცენტრალური საუნივერსიტეტო კლინიკა" </c:v>
                </c:pt>
                <c:pt idx="18">
                  <c:v>შპს "კრიტიკული მედიცინის ინსტიტუტი"</c:v>
                </c:pt>
                <c:pt idx="19">
                  <c:v> სს ალ.წულუკიძის სახ.უროლოგიის ეროვნული ცენტრი </c:v>
                </c:pt>
                <c:pt idx="20">
                  <c:v>ა.ა.ი.პ "ჯო ენის სახელობის სამედიცინო ცენტრი" </c:v>
                </c:pt>
              </c:strCache>
            </c:strRef>
          </c:cat>
          <c:val>
            <c:numRef>
              <c:f>Sheet1!$D$3:$D$23</c:f>
            </c:numRef>
          </c:val>
        </c:ser>
        <c:ser>
          <c:idx val="2"/>
          <c:order val="2"/>
          <c:dLbls>
            <c:showVal val="1"/>
          </c:dLbls>
          <c:cat>
            <c:strRef>
              <c:f>Sheet1!$B$3:$B$23</c:f>
              <c:strCache>
                <c:ptCount val="21"/>
                <c:pt idx="0">
                  <c:v>ს.ს.მ.იაშვილის სახელობის ცენტრალური საავადმყოფო</c:v>
                </c:pt>
                <c:pt idx="1">
                  <c:v>შ.პ.ს. ბავშვთა ახალი კლინიკა </c:v>
                </c:pt>
                <c:pt idx="2">
                  <c:v>შ.პ.ს. მაღალი სამედიცინო ტექნოლოგიების ცენტრი, საუნივერსიტეტო კლინიკა</c:v>
                </c:pt>
                <c:pt idx="3">
                  <c:v>შპს. აკად. ო. ღუდუშაურის სახელობის ეროვნული სამედიცინო ცენტრი</c:v>
                </c:pt>
                <c:pt idx="4">
                  <c:v>ს.ს. ,,კ. ერისთავის სახ. ექსპერიმენტული და კლინიკური ქირურუგიის ეროვნული ცენტრი"</c:v>
                </c:pt>
                <c:pt idx="5">
                  <c:v>შპს „ნიუ ჰოსპიტალს“ </c:v>
                </c:pt>
                <c:pt idx="6">
                  <c:v>შპს ამტელ ჰოსპიტალ პირველი კლინიკური</c:v>
                </c:pt>
                <c:pt idx="7">
                  <c:v>შპს სხივური დიაგნოსტიკის ცენტრი–დიღომი</c:v>
                </c:pt>
                <c:pt idx="8">
                  <c:v>შ.პ.ს. ტუბერკულოზისა და ფილტვის დაავადებათა ეროვნული ცენტრი </c:v>
                </c:pt>
                <c:pt idx="9">
                  <c:v>შ.პ.ს. "პირველი კლინიკური შპს" </c:v>
                </c:pt>
                <c:pt idx="10">
                  <c:v>შ.პ.ს "მედჯორჯია" </c:v>
                </c:pt>
                <c:pt idx="11">
                  <c:v>შპს წმინდა მიქაელის მრავალპროფილიანი კლინიკური საავადმყოფო </c:v>
                </c:pt>
                <c:pt idx="12">
                  <c:v>შპს „რეფერალური ჰოსპიტალი 2012“</c:v>
                </c:pt>
                <c:pt idx="13">
                  <c:v>შპს „აკად. გ. ჩაფიძის სახელობის გადაუდებელი კარდიოლოგიის ცენტრი“ </c:v>
                </c:pt>
                <c:pt idx="14">
                  <c:v> გივი ჟვანიას სახ.პედიატრიის აკადემიური კლინიკა</c:v>
                </c:pt>
                <c:pt idx="15">
                  <c:v>სს ინფექციური, შიდსისა და კლინიკური იმუნოლოგიის სპ ცენტრი </c:v>
                </c:pt>
                <c:pt idx="16">
                  <c:v>შ.პ.ს ტრავმატლოგი </c:v>
                </c:pt>
                <c:pt idx="17">
                  <c:v>შპს "აკად. ნ. ყიფშიძის სახ. ცენტრალური საუნივერსიტეტო კლინიკა" </c:v>
                </c:pt>
                <c:pt idx="18">
                  <c:v>შპს "კრიტიკული მედიცინის ინსტიტუტი"</c:v>
                </c:pt>
                <c:pt idx="19">
                  <c:v> სს ალ.წულუკიძის სახ.უროლოგიის ეროვნული ცენტრი </c:v>
                </c:pt>
                <c:pt idx="20">
                  <c:v>ა.ა.ი.პ "ჯო ენის სახელობის სამედიცინო ცენტრი" </c:v>
                </c:pt>
              </c:strCache>
            </c:strRef>
          </c:cat>
          <c:val>
            <c:numRef>
              <c:f>Sheet1!$E$3:$E$23</c:f>
              <c:numCache>
                <c:formatCode>General</c:formatCode>
                <c:ptCount val="21"/>
                <c:pt idx="0">
                  <c:v>60</c:v>
                </c:pt>
                <c:pt idx="1">
                  <c:v>51</c:v>
                </c:pt>
                <c:pt idx="2">
                  <c:v>50</c:v>
                </c:pt>
                <c:pt idx="3">
                  <c:v>29</c:v>
                </c:pt>
                <c:pt idx="4">
                  <c:v>25</c:v>
                </c:pt>
                <c:pt idx="5">
                  <c:v>24</c:v>
                </c:pt>
                <c:pt idx="6">
                  <c:v>19</c:v>
                </c:pt>
                <c:pt idx="7">
                  <c:v>17</c:v>
                </c:pt>
                <c:pt idx="8">
                  <c:v>17</c:v>
                </c:pt>
                <c:pt idx="9">
                  <c:v>16</c:v>
                </c:pt>
                <c:pt idx="10">
                  <c:v>16</c:v>
                </c:pt>
                <c:pt idx="11">
                  <c:v>15</c:v>
                </c:pt>
                <c:pt idx="12">
                  <c:v>15</c:v>
                </c:pt>
                <c:pt idx="13">
                  <c:v>14</c:v>
                </c:pt>
                <c:pt idx="14">
                  <c:v>14</c:v>
                </c:pt>
                <c:pt idx="15">
                  <c:v>13</c:v>
                </c:pt>
                <c:pt idx="16">
                  <c:v>12</c:v>
                </c:pt>
                <c:pt idx="17">
                  <c:v>12</c:v>
                </c:pt>
                <c:pt idx="18">
                  <c:v>12</c:v>
                </c:pt>
                <c:pt idx="19">
                  <c:v>12</c:v>
                </c:pt>
                <c:pt idx="20">
                  <c:v>11</c:v>
                </c:pt>
              </c:numCache>
            </c:numRef>
          </c:val>
        </c:ser>
        <c:ser>
          <c:idx val="3"/>
          <c:order val="3"/>
          <c:dPt>
            <c:idx val="3"/>
            <c:spPr>
              <a:solidFill>
                <a:srgbClr val="FF0000"/>
              </a:solidFill>
            </c:spPr>
          </c:dPt>
          <c:dLbls>
            <c:showVal val="1"/>
          </c:dLbls>
          <c:cat>
            <c:strRef>
              <c:f>Sheet1!$B$3:$B$23</c:f>
              <c:strCache>
                <c:ptCount val="21"/>
                <c:pt idx="0">
                  <c:v>ს.ს.მ.იაშვილის სახელობის ცენტრალური საავადმყოფო</c:v>
                </c:pt>
                <c:pt idx="1">
                  <c:v>შ.პ.ს. ბავშვთა ახალი კლინიკა </c:v>
                </c:pt>
                <c:pt idx="2">
                  <c:v>შ.პ.ს. მაღალი სამედიცინო ტექნოლოგიების ცენტრი, საუნივერსიტეტო კლინიკა</c:v>
                </c:pt>
                <c:pt idx="3">
                  <c:v>შპს. აკად. ო. ღუდუშაურის სახელობის ეროვნული სამედიცინო ცენტრი</c:v>
                </c:pt>
                <c:pt idx="4">
                  <c:v>ს.ს. ,,კ. ერისთავის სახ. ექსპერიმენტული და კლინიკური ქირურუგიის ეროვნული ცენტრი"</c:v>
                </c:pt>
                <c:pt idx="5">
                  <c:v>შპს „ნიუ ჰოსპიტალს“ </c:v>
                </c:pt>
                <c:pt idx="6">
                  <c:v>შპს ამტელ ჰოსპიტალ პირველი კლინიკური</c:v>
                </c:pt>
                <c:pt idx="7">
                  <c:v>შპს სხივური დიაგნოსტიკის ცენტრი–დიღომი</c:v>
                </c:pt>
                <c:pt idx="8">
                  <c:v>შ.პ.ს. ტუბერკულოზისა და ფილტვის დაავადებათა ეროვნული ცენტრი </c:v>
                </c:pt>
                <c:pt idx="9">
                  <c:v>შ.პ.ს. "პირველი კლინიკური შპს" </c:v>
                </c:pt>
                <c:pt idx="10">
                  <c:v>შ.პ.ს "მედჯორჯია" </c:v>
                </c:pt>
                <c:pt idx="11">
                  <c:v>შპს წმინდა მიქაელის მრავალპროფილიანი კლინიკური საავადმყოფო </c:v>
                </c:pt>
                <c:pt idx="12">
                  <c:v>შპს „რეფერალური ჰოსპიტალი 2012“</c:v>
                </c:pt>
                <c:pt idx="13">
                  <c:v>შპს „აკად. გ. ჩაფიძის სახელობის გადაუდებელი კარდიოლოგიის ცენტრი“ </c:v>
                </c:pt>
                <c:pt idx="14">
                  <c:v> გივი ჟვანიას სახ.პედიატრიის აკადემიური კლინიკა</c:v>
                </c:pt>
                <c:pt idx="15">
                  <c:v>სს ინფექციური, შიდსისა და კლინიკური იმუნოლოგიის სპ ცენტრი </c:v>
                </c:pt>
                <c:pt idx="16">
                  <c:v>შ.პ.ს ტრავმატლოგი </c:v>
                </c:pt>
                <c:pt idx="17">
                  <c:v>შპს "აკად. ნ. ყიფშიძის სახ. ცენტრალური საუნივერსიტეტო კლინიკა" </c:v>
                </c:pt>
                <c:pt idx="18">
                  <c:v>შპს "კრიტიკული მედიცინის ინსტიტუტი"</c:v>
                </c:pt>
                <c:pt idx="19">
                  <c:v> სს ალ.წულუკიძის სახ.უროლოგიის ეროვნული ცენტრი </c:v>
                </c:pt>
                <c:pt idx="20">
                  <c:v>ა.ა.ი.პ "ჯო ენის სახელობის სამედიცინო ცენტრი" </c:v>
                </c:pt>
              </c:strCache>
            </c:strRef>
          </c:cat>
          <c:val>
            <c:numRef>
              <c:f>Sheet1!$K$3:$K$23</c:f>
              <c:numCache>
                <c:formatCode>0</c:formatCode>
                <c:ptCount val="21"/>
                <c:pt idx="0">
                  <c:v>473.6</c:v>
                </c:pt>
                <c:pt idx="1">
                  <c:v>419.2</c:v>
                </c:pt>
                <c:pt idx="2">
                  <c:v>532.79999999999995</c:v>
                </c:pt>
                <c:pt idx="3">
                  <c:v>803.2</c:v>
                </c:pt>
                <c:pt idx="4">
                  <c:v>291.2</c:v>
                </c:pt>
                <c:pt idx="5">
                  <c:v>409.6</c:v>
                </c:pt>
                <c:pt idx="6">
                  <c:v>180.8</c:v>
                </c:pt>
                <c:pt idx="7">
                  <c:v>374.4</c:v>
                </c:pt>
                <c:pt idx="8">
                  <c:v>136</c:v>
                </c:pt>
                <c:pt idx="9">
                  <c:v>169.6</c:v>
                </c:pt>
                <c:pt idx="10">
                  <c:v>105.6</c:v>
                </c:pt>
                <c:pt idx="11">
                  <c:v>243.2</c:v>
                </c:pt>
                <c:pt idx="12">
                  <c:v>102.4</c:v>
                </c:pt>
                <c:pt idx="13">
                  <c:v>342.4</c:v>
                </c:pt>
                <c:pt idx="14">
                  <c:v>89.6</c:v>
                </c:pt>
                <c:pt idx="15">
                  <c:v>286.39999999999986</c:v>
                </c:pt>
                <c:pt idx="16">
                  <c:v>334.4</c:v>
                </c:pt>
                <c:pt idx="17">
                  <c:v>224</c:v>
                </c:pt>
                <c:pt idx="18">
                  <c:v>132.80000000000001</c:v>
                </c:pt>
                <c:pt idx="19">
                  <c:v>46.4</c:v>
                </c:pt>
                <c:pt idx="20">
                  <c:v>139.19999999999999</c:v>
                </c:pt>
              </c:numCache>
            </c:numRef>
          </c:val>
        </c:ser>
        <c:dLbls>
          <c:showVal val="1"/>
        </c:dLbls>
        <c:axId val="68396544"/>
        <c:axId val="68398080"/>
      </c:barChart>
      <c:catAx>
        <c:axId val="68396544"/>
        <c:scaling>
          <c:orientation val="minMax"/>
        </c:scaling>
        <c:axPos val="l"/>
        <c:numFmt formatCode="General" sourceLinked="1"/>
        <c:majorTickMark val="none"/>
        <c:tickLblPos val="nextTo"/>
        <c:txPr>
          <a:bodyPr/>
          <a:lstStyle/>
          <a:p>
            <a:pPr>
              <a:defRPr sz="800"/>
            </a:pPr>
            <a:endParaRPr lang="en-US"/>
          </a:p>
        </c:txPr>
        <c:crossAx val="68398080"/>
        <c:crosses val="autoZero"/>
        <c:auto val="1"/>
        <c:lblAlgn val="ctr"/>
        <c:lblOffset val="100"/>
      </c:catAx>
      <c:valAx>
        <c:axId val="68398080"/>
        <c:scaling>
          <c:orientation val="minMax"/>
        </c:scaling>
        <c:axPos val="b"/>
        <c:majorGridlines/>
        <c:numFmt formatCode="General" sourceLinked="1"/>
        <c:majorTickMark val="none"/>
        <c:tickLblPos val="nextTo"/>
        <c:crossAx val="68396544"/>
        <c:crosses val="autoZero"/>
        <c:crossBetween val="between"/>
      </c:valAx>
    </c:plotArea>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200"/>
            </a:pPr>
            <a:r>
              <a:rPr lang="ka-GE" sz="1200" b="1" i="0" baseline="0"/>
              <a:t>რეფერალის მიმღები დაწესებულებები (რეანიმაციის სიმძლავრე 0-10 საწოლი) </a:t>
            </a:r>
            <a:endParaRPr lang="en-US" sz="1200" b="1" i="0" baseline="0"/>
          </a:p>
        </c:rich>
      </c:tx>
      <c:layout>
        <c:manualLayout>
          <c:xMode val="edge"/>
          <c:yMode val="edge"/>
          <c:x val="0.30302924972216322"/>
          <c:y val="1.3355592654424039E-2"/>
        </c:manualLayout>
      </c:layout>
    </c:title>
    <c:plotArea>
      <c:layout>
        <c:manualLayout>
          <c:layoutTarget val="inner"/>
          <c:xMode val="edge"/>
          <c:yMode val="edge"/>
          <c:x val="0.44816308434418667"/>
          <c:y val="8.3066703473418227E-2"/>
          <c:w val="0.44360561348750333"/>
          <c:h val="0.78847580844847498"/>
        </c:manualLayout>
      </c:layout>
      <c:barChart>
        <c:barDir val="bar"/>
        <c:grouping val="clustered"/>
        <c:ser>
          <c:idx val="2"/>
          <c:order val="0"/>
          <c:tx>
            <c:strRef>
              <c:f>'C:\Documents and Settings\ekapanadze\Desktop\ლელას რეფერალი\რეფერალის მიმღებები თბილისში\[რეფერალი თბილისის კლინიკებში 2014.xlsx]Sheet1'!$C$1</c:f>
              <c:strCache>
                <c:ptCount val="1"/>
                <c:pt idx="0">
                  <c:v>რეანიმაციული საწოლები</c:v>
                </c:pt>
              </c:strCache>
            </c:strRef>
          </c:tx>
          <c:dLbls>
            <c:showVal val="1"/>
          </c:dLbls>
          <c:cat>
            <c:strRef>
              <c:f>'C:\Documents and Settings\ekapanadze\Desktop\ლელას რეფერალი\რეფერალის მიმღებები თბილისში\[რეფერალი თბილისის კლინიკებში 2014.xlsx]Sheet1'!$B$25:$B$55</c:f>
              <c:strCache>
                <c:ptCount val="31"/>
                <c:pt idx="0">
                  <c:v>შპს "კიბოს კვლევის ცენტრი მარტინ დ.აბელოფის ლაბორატორია"</c:v>
                </c:pt>
                <c:pt idx="1">
                  <c:v>ვ.ბოჭორიშვილის სახ.სეფსისის საწინააღმდეგო ცენტრი</c:v>
                </c:pt>
                <c:pt idx="2">
                  <c:v>ქ. თბილისი შპს ,, # 5 კლინიკური საავადმყოფო'' </c:v>
                </c:pt>
                <c:pt idx="3">
                  <c:v>შპს "ელიზაბეტ ბლექველის ჰოსპიტალი" </c:v>
                </c:pt>
                <c:pt idx="4">
                  <c:v>შპს "თბილისის ცენტრალური საავადმყოფო"</c:v>
                </c:pt>
                <c:pt idx="5">
                  <c:v>შპს "სისხლძარღვთა და გულის დაავადებათა ცენტრი</c:v>
                </c:pt>
                <c:pt idx="6">
                  <c:v>შპს "ღია გული" </c:v>
                </c:pt>
                <c:pt idx="7">
                  <c:v>ს.ს. ”უნივერსალური სამედიცინო ცენტრი” </c:v>
                </c:pt>
                <c:pt idx="8">
                  <c:v>შპს "საქართველოს საპატრიარქოს წმინდა იოაკიმე და ანას სახელობის სამედიცინო ცენტრი"</c:v>
                </c:pt>
                <c:pt idx="9">
                  <c:v>შპს “გადაუდებელი ქირურგიისა და ტრავმატოლოგიის ცენტრი“</c:v>
                </c:pt>
                <c:pt idx="10">
                  <c:v>საქართველოს საპატრირქოს თერაპიული კლინიკა "უპოვართათვის"</c:v>
                </c:pt>
                <c:pt idx="11">
                  <c:v>შპს"ჰერა 2011"</c:v>
                </c:pt>
                <c:pt idx="12">
                  <c:v>შ.პ.ს "ადაპტი" ანგიოკარდიოლოგიური კლინიკია</c:v>
                </c:pt>
                <c:pt idx="13">
                  <c:v>შპს "გადაუდებელი დახმარებისა და ქირურგიის ცენტრი ჰიგია"</c:v>
                </c:pt>
                <c:pt idx="14">
                  <c:v>მედიქლაბჯორჯია </c:v>
                </c:pt>
                <c:pt idx="15">
                  <c:v>შპს "ჰელს მენეჯმენტ ენდ კონსალტინგ" </c:v>
                </c:pt>
                <c:pt idx="16">
                  <c:v>შპს "ავერსის კლინიკა" </c:v>
                </c:pt>
                <c:pt idx="17">
                  <c:v>შპს ,,სამკურნალო სადიაგნოსტიკო ცენტრი სამგორი მედი" </c:v>
                </c:pt>
                <c:pt idx="18">
                  <c:v>შპს დავით ტატიშვილის სამედიცინო ცენტრი</c:v>
                </c:pt>
                <c:pt idx="19">
                  <c:v>შ.პ.ს. "თბილისის პედიატრიული პრივატ კლინიკა"</c:v>
                </c:pt>
                <c:pt idx="20">
                  <c:v>შ.პ.ს ვ. სანიკიძის სახ. ომის ვეტერანთა კლინიკური ჰოსპიტალი</c:v>
                </c:pt>
                <c:pt idx="21">
                  <c:v>შ.პ.ს. "კლინიკური კარდიოლოგიის ინსტიტუტი"</c:v>
                </c:pt>
                <c:pt idx="22">
                  <c:v>შპს თბილისის გულისა და სისხლძარღვთა კლინიკა</c:v>
                </c:pt>
                <c:pt idx="23">
                  <c:v>შპს "რედი"აკ.ზაალ კახიანის სახელობის კლინია</c:v>
                </c:pt>
                <c:pt idx="24">
                  <c:v>ს.ს. "თანამედროვე სამედიცინო ტექნოლოგიები"</c:v>
                </c:pt>
                <c:pt idx="25">
                  <c:v>შპს "ექიმთა დახელოვნების უროლოგიისა და გადაუდებელი დახმარების კლინიკა"</c:v>
                </c:pt>
                <c:pt idx="26">
                  <c:v>შპს „ალექსანდრე ალადაშვილის სახელობის კლინიკა“ </c:v>
                </c:pt>
                <c:pt idx="27">
                  <c:v>კლინიკური მედიცინის სამეცნიერო–კვლევითი ინსტიტუტი</c:v>
                </c:pt>
                <c:pt idx="28">
                  <c:v>შპს “ალსს" </c:v>
                </c:pt>
                <c:pt idx="29">
                  <c:v>შ.პ.ს.,,ი.ჟორდანიას სახ.ადამიანის რეპროდუქციის ს/კ ინსტიტუტი"</c:v>
                </c:pt>
                <c:pt idx="30">
                  <c:v>შპს კარდიოლოგიური კლინიკა "გული" </c:v>
                </c:pt>
              </c:strCache>
            </c:strRef>
          </c:cat>
          <c:val>
            <c:numRef>
              <c:f>'C:\Documents and Settings\ekapanadze\Desktop\ლელას რეფერალი\რეფერალის მიმღებები თბილისში\[რეფერალი თბილისის კლინიკებში 2014.xlsx]Sheet1'!$E$25:$E$55</c:f>
              <c:numCache>
                <c:formatCode>General</c:formatCode>
                <c:ptCount val="31"/>
                <c:pt idx="0">
                  <c:v>10</c:v>
                </c:pt>
                <c:pt idx="1">
                  <c:v>10</c:v>
                </c:pt>
                <c:pt idx="2">
                  <c:v>10</c:v>
                </c:pt>
                <c:pt idx="3">
                  <c:v>10</c:v>
                </c:pt>
                <c:pt idx="4">
                  <c:v>8</c:v>
                </c:pt>
                <c:pt idx="5">
                  <c:v>8</c:v>
                </c:pt>
                <c:pt idx="6">
                  <c:v>8</c:v>
                </c:pt>
                <c:pt idx="7">
                  <c:v>8</c:v>
                </c:pt>
                <c:pt idx="8">
                  <c:v>8</c:v>
                </c:pt>
                <c:pt idx="9">
                  <c:v>8</c:v>
                </c:pt>
                <c:pt idx="10">
                  <c:v>8</c:v>
                </c:pt>
                <c:pt idx="11">
                  <c:v>8</c:v>
                </c:pt>
                <c:pt idx="12">
                  <c:v>8</c:v>
                </c:pt>
                <c:pt idx="13">
                  <c:v>7</c:v>
                </c:pt>
                <c:pt idx="14">
                  <c:v>7</c:v>
                </c:pt>
                <c:pt idx="15">
                  <c:v>7</c:v>
                </c:pt>
                <c:pt idx="16">
                  <c:v>6</c:v>
                </c:pt>
                <c:pt idx="17">
                  <c:v>6</c:v>
                </c:pt>
                <c:pt idx="18">
                  <c:v>6</c:v>
                </c:pt>
                <c:pt idx="19">
                  <c:v>6</c:v>
                </c:pt>
                <c:pt idx="20">
                  <c:v>6</c:v>
                </c:pt>
                <c:pt idx="21">
                  <c:v>6</c:v>
                </c:pt>
                <c:pt idx="22">
                  <c:v>5</c:v>
                </c:pt>
                <c:pt idx="23">
                  <c:v>5</c:v>
                </c:pt>
                <c:pt idx="24">
                  <c:v>5</c:v>
                </c:pt>
                <c:pt idx="25">
                  <c:v>4</c:v>
                </c:pt>
                <c:pt idx="26">
                  <c:v>4</c:v>
                </c:pt>
                <c:pt idx="27">
                  <c:v>4</c:v>
                </c:pt>
                <c:pt idx="28">
                  <c:v>4</c:v>
                </c:pt>
                <c:pt idx="29">
                  <c:v>4</c:v>
                </c:pt>
                <c:pt idx="30">
                  <c:v>2</c:v>
                </c:pt>
              </c:numCache>
            </c:numRef>
          </c:val>
        </c:ser>
        <c:ser>
          <c:idx val="3"/>
          <c:order val="1"/>
          <c:tx>
            <c:strRef>
              <c:f>'C:\Documents and Settings\ekapanadze\Desktop\ლელას რეფერალი\რეფერალის მიმღებები თბილისში\[რეფერალი თბილისის კლინიკებში 2014.xlsx]Sheet1'!$K$2</c:f>
              <c:strCache>
                <c:ptCount val="1"/>
                <c:pt idx="0">
                  <c:v>მიღებული რეფერალი</c:v>
                </c:pt>
              </c:strCache>
            </c:strRef>
          </c:tx>
          <c:dLbls>
            <c:showVal val="1"/>
          </c:dLbls>
          <c:cat>
            <c:strRef>
              <c:f>'C:\Documents and Settings\ekapanadze\Desktop\ლელას რეფერალი\რეფერალის მიმღებები თბილისში\[რეფერალი თბილისის კლინიკებში 2014.xlsx]Sheet1'!$B$25:$B$55</c:f>
              <c:strCache>
                <c:ptCount val="31"/>
                <c:pt idx="0">
                  <c:v>შპს "კიბოს კვლევის ცენტრი მარტინ დ.აბელოფის ლაბორატორია"</c:v>
                </c:pt>
                <c:pt idx="1">
                  <c:v>ვ.ბოჭორიშვილის სახ.სეფსისის საწინააღმდეგო ცენტრი</c:v>
                </c:pt>
                <c:pt idx="2">
                  <c:v>ქ. თბილისი შპს ,, # 5 კლინიკური საავადმყოფო'' </c:v>
                </c:pt>
                <c:pt idx="3">
                  <c:v>შპს "ელიზაბეტ ბლექველის ჰოსპიტალი" </c:v>
                </c:pt>
                <c:pt idx="4">
                  <c:v>შპს "თბილისის ცენტრალური საავადმყოფო"</c:v>
                </c:pt>
                <c:pt idx="5">
                  <c:v>შპს "სისხლძარღვთა და გულის დაავადებათა ცენტრი</c:v>
                </c:pt>
                <c:pt idx="6">
                  <c:v>შპს "ღია გული" </c:v>
                </c:pt>
                <c:pt idx="7">
                  <c:v>ს.ს. ”უნივერსალური სამედიცინო ცენტრი” </c:v>
                </c:pt>
                <c:pt idx="8">
                  <c:v>შპს "საქართველოს საპატრიარქოს წმინდა იოაკიმე და ანას სახელობის სამედიცინო ცენტრი"</c:v>
                </c:pt>
                <c:pt idx="9">
                  <c:v>შპს “გადაუდებელი ქირურგიისა და ტრავმატოლოგიის ცენტრი“</c:v>
                </c:pt>
                <c:pt idx="10">
                  <c:v>საქართველოს საპატრირქოს თერაპიული კლინიკა "უპოვართათვის"</c:v>
                </c:pt>
                <c:pt idx="11">
                  <c:v>შპს"ჰერა 2011"</c:v>
                </c:pt>
                <c:pt idx="12">
                  <c:v>შ.პ.ს "ადაპტი" ანგიოკარდიოლოგიური კლინიკია</c:v>
                </c:pt>
                <c:pt idx="13">
                  <c:v>შპს "გადაუდებელი დახმარებისა და ქირურგიის ცენტრი ჰიგია"</c:v>
                </c:pt>
                <c:pt idx="14">
                  <c:v>მედიქლაბჯორჯია </c:v>
                </c:pt>
                <c:pt idx="15">
                  <c:v>შპს "ჰელს მენეჯმენტ ენდ კონსალტინგ" </c:v>
                </c:pt>
                <c:pt idx="16">
                  <c:v>შპს "ავერსის კლინიკა" </c:v>
                </c:pt>
                <c:pt idx="17">
                  <c:v>შპს ,,სამკურნალო სადიაგნოსტიკო ცენტრი სამგორი მედი" </c:v>
                </c:pt>
                <c:pt idx="18">
                  <c:v>შპს დავით ტატიშვილის სამედიცინო ცენტრი</c:v>
                </c:pt>
                <c:pt idx="19">
                  <c:v>შ.პ.ს. "თბილისის პედიატრიული პრივატ კლინიკა"</c:v>
                </c:pt>
                <c:pt idx="20">
                  <c:v>შ.პ.ს ვ. სანიკიძის სახ. ომის ვეტერანთა კლინიკური ჰოსპიტალი</c:v>
                </c:pt>
                <c:pt idx="21">
                  <c:v>შ.პ.ს. "კლინიკური კარდიოლოგიის ინსტიტუტი"</c:v>
                </c:pt>
                <c:pt idx="22">
                  <c:v>შპს თბილისის გულისა და სისხლძარღვთა კლინიკა</c:v>
                </c:pt>
                <c:pt idx="23">
                  <c:v>შპს "რედი"აკ.ზაალ კახიანის სახელობის კლინია</c:v>
                </c:pt>
                <c:pt idx="24">
                  <c:v>ს.ს. "თანამედროვე სამედიცინო ტექნოლოგიები"</c:v>
                </c:pt>
                <c:pt idx="25">
                  <c:v>შპს "ექიმთა დახელოვნების უროლოგიისა და გადაუდებელი დახმარების კლინიკა"</c:v>
                </c:pt>
                <c:pt idx="26">
                  <c:v>შპს „ალექსანდრე ალადაშვილის სახელობის კლინიკა“ </c:v>
                </c:pt>
                <c:pt idx="27">
                  <c:v>კლინიკური მედიცინის სამეცნიერო–კვლევითი ინსტიტუტი</c:v>
                </c:pt>
                <c:pt idx="28">
                  <c:v>შპს “ალსს" </c:v>
                </c:pt>
                <c:pt idx="29">
                  <c:v>შ.პ.ს.,,ი.ჟორდანიას სახ.ადამიანის რეპროდუქციის ს/კ ინსტიტუტი"</c:v>
                </c:pt>
                <c:pt idx="30">
                  <c:v>შპს კარდიოლოგიური კლინიკა "გული" </c:v>
                </c:pt>
              </c:strCache>
            </c:strRef>
          </c:cat>
          <c:val>
            <c:numRef>
              <c:f>'C:\Documents and Settings\ekapanadze\Desktop\ლელას რეფერალი\რეფერალის მიმღებები თბილისში\[რეფერალი თბილისის კლინიკებში 2014.xlsx]Sheet1'!$K$25:$K$55</c:f>
              <c:numCache>
                <c:formatCode>General</c:formatCode>
                <c:ptCount val="31"/>
                <c:pt idx="0">
                  <c:v>63</c:v>
                </c:pt>
                <c:pt idx="1">
                  <c:v>46</c:v>
                </c:pt>
                <c:pt idx="2">
                  <c:v>28</c:v>
                </c:pt>
                <c:pt idx="3">
                  <c:v>20</c:v>
                </c:pt>
                <c:pt idx="4">
                  <c:v>97</c:v>
                </c:pt>
                <c:pt idx="5">
                  <c:v>72</c:v>
                </c:pt>
                <c:pt idx="6">
                  <c:v>38</c:v>
                </c:pt>
                <c:pt idx="7">
                  <c:v>29</c:v>
                </c:pt>
                <c:pt idx="8">
                  <c:v>28</c:v>
                </c:pt>
                <c:pt idx="9">
                  <c:v>22</c:v>
                </c:pt>
                <c:pt idx="10">
                  <c:v>8</c:v>
                </c:pt>
                <c:pt idx="11">
                  <c:v>5</c:v>
                </c:pt>
                <c:pt idx="12">
                  <c:v>4</c:v>
                </c:pt>
                <c:pt idx="13">
                  <c:v>71</c:v>
                </c:pt>
                <c:pt idx="14">
                  <c:v>33</c:v>
                </c:pt>
                <c:pt idx="15">
                  <c:v>33</c:v>
                </c:pt>
                <c:pt idx="16">
                  <c:v>141</c:v>
                </c:pt>
                <c:pt idx="17">
                  <c:v>30</c:v>
                </c:pt>
                <c:pt idx="18">
                  <c:v>10</c:v>
                </c:pt>
                <c:pt idx="19">
                  <c:v>6</c:v>
                </c:pt>
                <c:pt idx="20">
                  <c:v>4</c:v>
                </c:pt>
                <c:pt idx="21">
                  <c:v>3</c:v>
                </c:pt>
                <c:pt idx="22">
                  <c:v>99</c:v>
                </c:pt>
                <c:pt idx="23">
                  <c:v>67</c:v>
                </c:pt>
                <c:pt idx="24">
                  <c:v>44</c:v>
                </c:pt>
                <c:pt idx="25">
                  <c:v>126</c:v>
                </c:pt>
                <c:pt idx="26">
                  <c:v>67</c:v>
                </c:pt>
                <c:pt idx="27">
                  <c:v>45</c:v>
                </c:pt>
                <c:pt idx="28">
                  <c:v>12</c:v>
                </c:pt>
                <c:pt idx="29">
                  <c:v>4</c:v>
                </c:pt>
                <c:pt idx="30">
                  <c:v>140</c:v>
                </c:pt>
              </c:numCache>
            </c:numRef>
          </c:val>
        </c:ser>
        <c:dLbls>
          <c:showVal val="1"/>
        </c:dLbls>
        <c:axId val="68464640"/>
        <c:axId val="68466176"/>
      </c:barChart>
      <c:catAx>
        <c:axId val="68464640"/>
        <c:scaling>
          <c:orientation val="minMax"/>
        </c:scaling>
        <c:axPos val="l"/>
        <c:numFmt formatCode="General" sourceLinked="1"/>
        <c:majorTickMark val="none"/>
        <c:tickLblPos val="nextTo"/>
        <c:txPr>
          <a:bodyPr/>
          <a:lstStyle/>
          <a:p>
            <a:pPr>
              <a:defRPr sz="900"/>
            </a:pPr>
            <a:endParaRPr lang="en-US"/>
          </a:p>
        </c:txPr>
        <c:crossAx val="68466176"/>
        <c:crosses val="autoZero"/>
        <c:auto val="1"/>
        <c:lblAlgn val="ctr"/>
        <c:lblOffset val="100"/>
      </c:catAx>
      <c:valAx>
        <c:axId val="68466176"/>
        <c:scaling>
          <c:orientation val="minMax"/>
        </c:scaling>
        <c:axPos val="b"/>
        <c:numFmt formatCode="General" sourceLinked="1"/>
        <c:majorTickMark val="none"/>
        <c:tickLblPos val="nextTo"/>
        <c:crossAx val="68464640"/>
        <c:crosses val="autoZero"/>
        <c:crossBetween val="between"/>
      </c:valAx>
    </c:plotArea>
    <c:legend>
      <c:legendPos val="r"/>
    </c:legend>
    <c:plotVisOnly val="1"/>
    <c:dispBlanksAs val="gap"/>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otX val="30"/>
      <c:perspective val="30"/>
    </c:view3D>
    <c:plotArea>
      <c:layout/>
      <c:pie3DChart>
        <c:varyColors val="1"/>
        <c:ser>
          <c:idx val="0"/>
          <c:order val="0"/>
          <c:explosion val="25"/>
          <c:dPt>
            <c:idx val="5"/>
            <c:explosion val="31"/>
          </c:dPt>
          <c:dLbls>
            <c:showPercent val="1"/>
          </c:dLbls>
          <c:cat>
            <c:strRef>
              <c:f>Sheet3!$B$29:$B$47</c:f>
              <c:strCache>
                <c:ptCount val="19"/>
                <c:pt idx="0">
                  <c:v>A-B ზოგიერთი ინფექციური და პარაზიტული დაავადებები</c:v>
                </c:pt>
                <c:pt idx="1">
                  <c:v>C-D სიმსივნეები/სისხლისა და სისხლმბადი ორგანოების დაავადებები და იმუნური       მექანიზმით მიმდინარე ზოგიერთი დარღვევები</c:v>
                </c:pt>
                <c:pt idx="2">
                  <c:v>E ენდოკრინული სისტემის, კვლევებისა და ნივთიერებათა ცვლის დარღვევით გამოვლენილი დაავადებები</c:v>
                </c:pt>
                <c:pt idx="3">
                  <c:v>F ფსიქიკური და ქცევითი აშლილოებები</c:v>
                </c:pt>
                <c:pt idx="4">
                  <c:v>G ნერვული სისტემის დაავადებები</c:v>
                </c:pt>
                <c:pt idx="5">
                  <c:v>I სისხლის მიმოქცევის სისტემის დაავადებები</c:v>
                </c:pt>
                <c:pt idx="6">
                  <c:v>H  თვალისა და მისი დანამატების ავადმყოფობები/ყურისა და დვრილისებრი მორჩის დაავადებები</c:v>
                </c:pt>
                <c:pt idx="7">
                  <c:v>K  საჭმლის მომნელებელი სისტემის დაავადებები</c:v>
                </c:pt>
                <c:pt idx="8">
                  <c:v>J     სასუნთქი სისტემის დაავადებები</c:v>
                </c:pt>
                <c:pt idx="9">
                  <c:v>L     კანისა და კანქვეშა ქსოვილების დაავადებები</c:v>
                </c:pt>
                <c:pt idx="10">
                  <c:v>M   ძვალ - კუნთოვანი სისტემის და შემადგენელი ქსოვილების დაავადებები</c:v>
                </c:pt>
                <c:pt idx="11">
                  <c:v>N     შარდ - სასქესო სისტემის დაავადებები</c:v>
                </c:pt>
                <c:pt idx="12">
                  <c:v>O       ორსულობა, მშობიარობა და ლოგინობის ხანა</c:v>
                </c:pt>
                <c:pt idx="13">
                  <c:v>P     პერინატალურ პერიოდში განვითარებული ზოგიერთი მდგომარეობები</c:v>
                </c:pt>
                <c:pt idx="14">
                  <c:v>S-T   დაზიანება, მოწამვლა და გარე მიზეზების ზემოქმედებები</c:v>
                </c:pt>
                <c:pt idx="15">
                  <c:v>Q    თანდაყოლილი მანკები, დეფორმაციები და ქრომოსომული დარღვევები</c:v>
                </c:pt>
                <c:pt idx="16">
                  <c:v>R     სიმპტომები, ნიშნები და ნორმიდან გადახრილი კლინიკური და ლაბორატორიული მონაცემები, რომლებიც არ არის შეტანილი სხვა კლასიფიკაციებში</c:v>
                </c:pt>
                <c:pt idx="17">
                  <c:v>Z    ფაქტორები, რომლებიც მოქმედებს ჯანმრთელობის მდგომარეობაზე და დაკავშირებულია სამედიცინო სამსახურთან</c:v>
                </c:pt>
                <c:pt idx="18">
                  <c:v>W-Y-X  ავადობისა და სიკვდილიანობის გარე მიზეზები</c:v>
                </c:pt>
              </c:strCache>
            </c:strRef>
          </c:cat>
          <c:val>
            <c:numRef>
              <c:f>Sheet3!$C$29:$C$47</c:f>
              <c:numCache>
                <c:formatCode>General</c:formatCode>
                <c:ptCount val="19"/>
                <c:pt idx="0">
                  <c:v>433</c:v>
                </c:pt>
                <c:pt idx="1">
                  <c:v>252</c:v>
                </c:pt>
                <c:pt idx="2">
                  <c:v>45</c:v>
                </c:pt>
                <c:pt idx="3">
                  <c:v>191</c:v>
                </c:pt>
                <c:pt idx="4">
                  <c:v>423</c:v>
                </c:pt>
                <c:pt idx="5">
                  <c:v>3727</c:v>
                </c:pt>
                <c:pt idx="6">
                  <c:v>43</c:v>
                </c:pt>
                <c:pt idx="7">
                  <c:v>530</c:v>
                </c:pt>
                <c:pt idx="8">
                  <c:v>1078</c:v>
                </c:pt>
                <c:pt idx="9">
                  <c:v>153</c:v>
                </c:pt>
                <c:pt idx="10">
                  <c:v>112</c:v>
                </c:pt>
                <c:pt idx="11">
                  <c:v>317</c:v>
                </c:pt>
                <c:pt idx="12">
                  <c:v>110</c:v>
                </c:pt>
                <c:pt idx="13">
                  <c:v>206</c:v>
                </c:pt>
                <c:pt idx="14">
                  <c:v>1336</c:v>
                </c:pt>
                <c:pt idx="15">
                  <c:v>71</c:v>
                </c:pt>
                <c:pt idx="16">
                  <c:v>891</c:v>
                </c:pt>
                <c:pt idx="17">
                  <c:v>72</c:v>
                </c:pt>
                <c:pt idx="18">
                  <c:v>164</c:v>
                </c:pt>
              </c:numCache>
            </c:numRef>
          </c:val>
        </c:ser>
        <c:dLbls>
          <c:showPercent val="1"/>
        </c:dLbls>
      </c:pie3DChart>
    </c:plotArea>
    <c:legend>
      <c:legendPos val="r"/>
      <c:layout>
        <c:manualLayout>
          <c:xMode val="edge"/>
          <c:yMode val="edge"/>
          <c:x val="0.62564974469388401"/>
          <c:y val="0.11813598849407808"/>
          <c:w val="0.36365018870452115"/>
          <c:h val="0.82812449633522212"/>
        </c:manualLayout>
      </c:layout>
    </c:legend>
    <c:plotVisOnly val="1"/>
    <c:dispBlanksAs val="zero"/>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I </a:t>
            </a:r>
            <a:r>
              <a:rPr lang="ka-GE"/>
              <a:t>სისხლის მიმოქცევის სისტემის დაავადებები</a:t>
            </a:r>
            <a:endParaRPr lang="en-US"/>
          </a:p>
        </c:rich>
      </c:tx>
      <c:layout>
        <c:manualLayout>
          <c:xMode val="edge"/>
          <c:yMode val="edge"/>
          <c:x val="0.47575130222114725"/>
          <c:y val="0"/>
        </c:manualLayout>
      </c:layout>
      <c:overlay val="1"/>
    </c:title>
    <c:plotArea>
      <c:layout/>
      <c:pieChart>
        <c:varyColors val="1"/>
        <c:ser>
          <c:idx val="0"/>
          <c:order val="0"/>
          <c:dLbls>
            <c:showCatName val="1"/>
            <c:showPercent val="1"/>
            <c:showLeaderLines val="1"/>
          </c:dLbls>
          <c:cat>
            <c:strRef>
              <c:f>[1]Sheet7!$A$3:$A$5</c:f>
              <c:strCache>
                <c:ptCount val="3"/>
                <c:pt idx="0">
                  <c:v> ინსულტი</c:v>
                </c:pt>
                <c:pt idx="1">
                  <c:v>ინფარქტი</c:v>
                </c:pt>
                <c:pt idx="2">
                  <c:v>სისხლის მიმქცევის სხვა დაავადებები</c:v>
                </c:pt>
              </c:strCache>
            </c:strRef>
          </c:cat>
          <c:val>
            <c:numRef>
              <c:f>[1]Sheet7!$B$3:$B$5</c:f>
              <c:numCache>
                <c:formatCode>General</c:formatCode>
                <c:ptCount val="3"/>
                <c:pt idx="0">
                  <c:v>2159</c:v>
                </c:pt>
                <c:pt idx="1">
                  <c:v>1293</c:v>
                </c:pt>
                <c:pt idx="2">
                  <c:v>275</c:v>
                </c:pt>
              </c:numCache>
            </c:numRef>
          </c:val>
        </c:ser>
        <c:firstSliceAng val="0"/>
      </c:pieChart>
      <c:pieChart>
        <c:varyColors val="1"/>
        <c:ser>
          <c:idx val="1"/>
          <c:order val="1"/>
          <c:cat>
            <c:strRef>
              <c:f>Sheet7!$A$3:$A$5</c:f>
              <c:strCache>
                <c:ptCount val="3"/>
                <c:pt idx="0">
                  <c:v> ინსულტი</c:v>
                </c:pt>
                <c:pt idx="1">
                  <c:v>ინფარქტი</c:v>
                </c:pt>
                <c:pt idx="2">
                  <c:v>სისხლის მიმქცევის სხვა დაავადებები</c:v>
                </c:pt>
              </c:strCache>
            </c:strRef>
          </c:cat>
          <c:val>
            <c:numRef>
              <c:f>Sheet7!$B$3:$B$5</c:f>
              <c:numCache>
                <c:formatCode>General</c:formatCode>
                <c:ptCount val="3"/>
                <c:pt idx="0">
                  <c:v>2461</c:v>
                </c:pt>
                <c:pt idx="1">
                  <c:v>2475</c:v>
                </c:pt>
                <c:pt idx="2">
                  <c:v>747</c:v>
                </c:pt>
              </c:numCache>
            </c:numRef>
          </c:val>
        </c:ser>
        <c:firstSliceAng val="0"/>
      </c:pieChart>
    </c:plotArea>
    <c:plotVisOnly val="1"/>
    <c:dispBlanksAs val="gap"/>
  </c:chart>
  <c:txPr>
    <a:bodyPr/>
    <a:lstStyle/>
    <a:p>
      <a:pPr>
        <a:defRPr sz="900"/>
      </a:pPr>
      <a:endParaRPr lang="en-US"/>
    </a:p>
  </c:tx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en-US"/>
  <c:style val="29"/>
  <c:chart>
    <c:autoTitleDeleted val="1"/>
    <c:view3D>
      <c:perspective val="30"/>
    </c:view3D>
    <c:plotArea>
      <c:layout>
        <c:manualLayout>
          <c:layoutTarget val="inner"/>
          <c:xMode val="edge"/>
          <c:yMode val="edge"/>
          <c:x val="8.4594996050288179E-4"/>
          <c:y val="0.11941974995061153"/>
          <c:w val="0.8113887310901966"/>
          <c:h val="0.46822680684467766"/>
        </c:manualLayout>
      </c:layout>
      <c:bar3DChart>
        <c:barDir val="col"/>
        <c:grouping val="clustered"/>
        <c:ser>
          <c:idx val="1"/>
          <c:order val="1"/>
          <c:tx>
            <c:strRef>
              <c:f>Sheet8!$B$3:$B$11</c:f>
            </c:strRef>
          </c:tx>
          <c:cat>
            <c:multiLvlStrRef>
              <c:f>Sheet8!$B$3:$B$11</c:f>
            </c:multiLvlStrRef>
          </c:cat>
          <c:val>
            <c:numRef>
              <c:f>Sheet8!$G$3:$G$11</c:f>
            </c:numRef>
          </c:val>
        </c:ser>
        <c:ser>
          <c:idx val="0"/>
          <c:order val="0"/>
          <c:tx>
            <c:strRef>
              <c:f>'[ნოზოლოგიებით 2014.xlsx]Sheet8'!$B$3:$B$9</c:f>
              <c:strCache>
                <c:ptCount val="1"/>
                <c:pt idx="0">
                  <c:v>  დაზიანება მოწამვლა და გარე მიზეზების ზემოქმედებები სისხლის მიმოქცევის სისტემის დაავადებები  სიმპტომები, ნიშნები და ნორმიდან გადახრილი კლინიკური და ლაბორატორიული მონაცემები, რომლებიც არ არის შეტანილი სხვა კლასიფიკაციებში  სასუნთქი სისტემის დაავადებები ნე</c:v>
                </c:pt>
              </c:strCache>
            </c:strRef>
          </c:tx>
          <c:dPt>
            <c:idx val="1"/>
            <c:spPr>
              <a:solidFill>
                <a:srgbClr val="FF0000"/>
              </a:solidFill>
            </c:spPr>
          </c:dPt>
          <c:dPt>
            <c:idx val="2"/>
            <c:spPr>
              <a:solidFill>
                <a:schemeClr val="accent4">
                  <a:lumMod val="40000"/>
                  <a:lumOff val="60000"/>
                </a:schemeClr>
              </a:solidFill>
            </c:spPr>
          </c:dPt>
          <c:dPt>
            <c:idx val="3"/>
            <c:spPr>
              <a:solidFill>
                <a:schemeClr val="tx2">
                  <a:lumMod val="40000"/>
                  <a:lumOff val="60000"/>
                </a:schemeClr>
              </a:solidFill>
            </c:spPr>
          </c:dPt>
          <c:dPt>
            <c:idx val="4"/>
            <c:spPr>
              <a:solidFill>
                <a:schemeClr val="bg2">
                  <a:lumMod val="75000"/>
                </a:schemeClr>
              </a:solidFill>
            </c:spPr>
          </c:dPt>
          <c:dPt>
            <c:idx val="6"/>
            <c:spPr>
              <a:solidFill>
                <a:schemeClr val="bg2">
                  <a:lumMod val="75000"/>
                </a:schemeClr>
              </a:solidFill>
            </c:spPr>
          </c:dPt>
          <c:dLbls>
            <c:showVal val="1"/>
          </c:dLbls>
          <c:cat>
            <c:strRef>
              <c:f>'[ნოზოლოგიებით 2014.xlsx]Sheet8'!$B$3:$B$9</c:f>
              <c:strCache>
                <c:ptCount val="7"/>
                <c:pt idx="0">
                  <c:v>  დაზიანება</c:v>
                </c:pt>
                <c:pt idx="1">
                  <c:v>მოწამვლა და გარე მიზეზების ზემოქმედებები</c:v>
                </c:pt>
                <c:pt idx="2">
                  <c:v>სისხლის მიმოქცევის სისტემის დაავადებები</c:v>
                </c:pt>
                <c:pt idx="3">
                  <c:v> სიმპტომები, ნიშნები და ნორმიდან გადახრილი კლინიკური და ლაბორატორიული მონაცემები, რომლებიც არ არის შეტანილი სხვა კლასიფიკაციებში</c:v>
                </c:pt>
                <c:pt idx="4">
                  <c:v> სასუნთქი სისტემის დაავადებები</c:v>
                </c:pt>
                <c:pt idx="5">
                  <c:v>ნერვული სისტემის დაავადებები</c:v>
                </c:pt>
                <c:pt idx="6">
                  <c:v> საჭმლის მომნელებელი სისტემის დაავადებები</c:v>
                </c:pt>
              </c:strCache>
            </c:strRef>
          </c:cat>
          <c:val>
            <c:numRef>
              <c:f>'[ნოზოლოგიებით 2014.xlsx]Sheet8'!$G$3:$G$9</c:f>
              <c:numCache>
                <c:formatCode>General</c:formatCode>
                <c:ptCount val="7"/>
                <c:pt idx="0">
                  <c:v>33</c:v>
                </c:pt>
                <c:pt idx="1">
                  <c:v>10</c:v>
                </c:pt>
                <c:pt idx="2">
                  <c:v>6</c:v>
                </c:pt>
                <c:pt idx="3">
                  <c:v>6</c:v>
                </c:pt>
                <c:pt idx="4">
                  <c:v>4</c:v>
                </c:pt>
                <c:pt idx="5">
                  <c:v>3</c:v>
                </c:pt>
                <c:pt idx="6">
                  <c:v>2</c:v>
                </c:pt>
              </c:numCache>
            </c:numRef>
          </c:val>
        </c:ser>
        <c:gapWidth val="300"/>
        <c:gapDepth val="300"/>
        <c:shape val="cylinder"/>
        <c:axId val="68546944"/>
        <c:axId val="68548480"/>
        <c:axId val="0"/>
      </c:bar3DChart>
      <c:catAx>
        <c:axId val="68546944"/>
        <c:scaling>
          <c:orientation val="minMax"/>
        </c:scaling>
        <c:axPos val="b"/>
        <c:numFmt formatCode="General" sourceLinked="1"/>
        <c:majorTickMark val="none"/>
        <c:tickLblPos val="nextTo"/>
        <c:crossAx val="68548480"/>
        <c:crosses val="autoZero"/>
        <c:auto val="1"/>
        <c:lblAlgn val="ctr"/>
        <c:lblOffset val="100"/>
      </c:catAx>
      <c:valAx>
        <c:axId val="68548480"/>
        <c:scaling>
          <c:orientation val="minMax"/>
        </c:scaling>
        <c:axPos val="r"/>
        <c:majorGridlines/>
        <c:numFmt formatCode="General" sourceLinked="1"/>
        <c:majorTickMark val="none"/>
        <c:tickLblPos val="nextTo"/>
        <c:crossAx val="68546944"/>
        <c:crosses val="max"/>
        <c:crossBetween val="between"/>
      </c:valAx>
    </c:plotArea>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8"/>
  <c:chart>
    <c:title>
      <c:tx>
        <c:rich>
          <a:bodyPr/>
          <a:lstStyle/>
          <a:p>
            <a:pPr>
              <a:defRPr sz="1400">
                <a:solidFill>
                  <a:schemeClr val="accent6">
                    <a:lumMod val="75000"/>
                  </a:schemeClr>
                </a:solidFill>
              </a:defRPr>
            </a:pPr>
            <a:r>
              <a:rPr lang="ka-GE" sz="1400"/>
              <a:t>კონსულტაცია 2012</a:t>
            </a:r>
            <a:r>
              <a:rPr lang="en-US" sz="1400"/>
              <a:t>-2014</a:t>
            </a:r>
            <a:endParaRPr lang="ka-GE" sz="1400"/>
          </a:p>
        </c:rich>
      </c:tx>
      <c:layout/>
    </c:title>
    <c:plotArea>
      <c:layout/>
      <c:lineChart>
        <c:grouping val="stacked"/>
        <c:ser>
          <c:idx val="0"/>
          <c:order val="0"/>
          <c:tx>
            <c:strRef>
              <c:f>Sheet1!$A$4</c:f>
              <c:strCache>
                <c:ptCount val="1"/>
                <c:pt idx="0">
                  <c:v>კონსულტაცია</c:v>
                </c:pt>
              </c:strCache>
            </c:strRef>
          </c:tx>
          <c:dLbls>
            <c:txPr>
              <a:bodyPr/>
              <a:lstStyle/>
              <a:p>
                <a:pPr>
                  <a:defRPr sz="1200" b="1" i="1"/>
                </a:pPr>
                <a:endParaRPr lang="en-US"/>
              </a:p>
            </c:txPr>
            <c:showVal val="1"/>
          </c:dLbls>
          <c:cat>
            <c:strRef>
              <c:f>Sheet1!$B$2:$AG$2</c:f>
              <c:strCache>
                <c:ptCount val="32"/>
                <c:pt idx="0">
                  <c:v>I-12</c:v>
                </c:pt>
                <c:pt idx="1">
                  <c:v>II-12</c:v>
                </c:pt>
                <c:pt idx="2">
                  <c:v>III-12</c:v>
                </c:pt>
                <c:pt idx="3">
                  <c:v>IV-12</c:v>
                </c:pt>
                <c:pt idx="4">
                  <c:v>V-12</c:v>
                </c:pt>
                <c:pt idx="5">
                  <c:v>VI-12</c:v>
                </c:pt>
                <c:pt idx="6">
                  <c:v>VII-12</c:v>
                </c:pt>
                <c:pt idx="7">
                  <c:v>VIII-12</c:v>
                </c:pt>
                <c:pt idx="8">
                  <c:v>IX-12</c:v>
                </c:pt>
                <c:pt idx="9">
                  <c:v>X-12</c:v>
                </c:pt>
                <c:pt idx="10">
                  <c:v>XI-12</c:v>
                </c:pt>
                <c:pt idx="11">
                  <c:v>XII-12</c:v>
                </c:pt>
                <c:pt idx="12">
                  <c:v>I-13</c:v>
                </c:pt>
                <c:pt idx="13">
                  <c:v>II-13</c:v>
                </c:pt>
                <c:pt idx="14">
                  <c:v>III-13</c:v>
                </c:pt>
                <c:pt idx="15">
                  <c:v>IV-13</c:v>
                </c:pt>
                <c:pt idx="16">
                  <c:v>V-13</c:v>
                </c:pt>
                <c:pt idx="17">
                  <c:v>VI-13</c:v>
                </c:pt>
                <c:pt idx="18">
                  <c:v>VII-13</c:v>
                </c:pt>
                <c:pt idx="19">
                  <c:v>VIII-13</c:v>
                </c:pt>
                <c:pt idx="20">
                  <c:v>IX-13</c:v>
                </c:pt>
                <c:pt idx="21">
                  <c:v>X-13</c:v>
                </c:pt>
                <c:pt idx="22">
                  <c:v>XI-13</c:v>
                </c:pt>
                <c:pt idx="23">
                  <c:v>XII-13</c:v>
                </c:pt>
                <c:pt idx="24">
                  <c:v>I-14</c:v>
                </c:pt>
                <c:pt idx="25">
                  <c:v>II-14</c:v>
                </c:pt>
                <c:pt idx="26">
                  <c:v>III-14</c:v>
                </c:pt>
                <c:pt idx="27">
                  <c:v>IV-14</c:v>
                </c:pt>
                <c:pt idx="28">
                  <c:v>V-14</c:v>
                </c:pt>
                <c:pt idx="29">
                  <c:v>VI-14</c:v>
                </c:pt>
                <c:pt idx="30">
                  <c:v>VII-14</c:v>
                </c:pt>
                <c:pt idx="31">
                  <c:v>VIII-14</c:v>
                </c:pt>
              </c:strCache>
            </c:strRef>
          </c:cat>
          <c:val>
            <c:numRef>
              <c:f>Sheet1!$B$4:$AG$4</c:f>
              <c:numCache>
                <c:formatCode>General</c:formatCode>
                <c:ptCount val="32"/>
                <c:pt idx="0">
                  <c:v>55</c:v>
                </c:pt>
                <c:pt idx="1">
                  <c:v>70</c:v>
                </c:pt>
                <c:pt idx="2">
                  <c:v>75</c:v>
                </c:pt>
                <c:pt idx="3">
                  <c:v>92</c:v>
                </c:pt>
                <c:pt idx="4">
                  <c:v>73</c:v>
                </c:pt>
                <c:pt idx="5">
                  <c:v>73</c:v>
                </c:pt>
                <c:pt idx="6">
                  <c:v>97</c:v>
                </c:pt>
                <c:pt idx="7">
                  <c:v>98</c:v>
                </c:pt>
                <c:pt idx="8">
                  <c:v>66</c:v>
                </c:pt>
                <c:pt idx="9">
                  <c:v>93</c:v>
                </c:pt>
                <c:pt idx="10">
                  <c:v>91</c:v>
                </c:pt>
                <c:pt idx="11">
                  <c:v>96</c:v>
                </c:pt>
                <c:pt idx="12">
                  <c:v>102</c:v>
                </c:pt>
                <c:pt idx="13">
                  <c:v>127</c:v>
                </c:pt>
                <c:pt idx="14">
                  <c:v>161</c:v>
                </c:pt>
                <c:pt idx="15">
                  <c:v>104</c:v>
                </c:pt>
                <c:pt idx="16">
                  <c:v>84</c:v>
                </c:pt>
                <c:pt idx="17">
                  <c:v>68</c:v>
                </c:pt>
                <c:pt idx="18">
                  <c:v>115</c:v>
                </c:pt>
                <c:pt idx="19">
                  <c:v>148</c:v>
                </c:pt>
                <c:pt idx="20">
                  <c:v>96</c:v>
                </c:pt>
                <c:pt idx="21">
                  <c:v>96</c:v>
                </c:pt>
                <c:pt idx="22">
                  <c:v>96</c:v>
                </c:pt>
                <c:pt idx="23">
                  <c:v>155</c:v>
                </c:pt>
                <c:pt idx="24">
                  <c:v>176</c:v>
                </c:pt>
                <c:pt idx="25">
                  <c:v>149</c:v>
                </c:pt>
                <c:pt idx="26">
                  <c:v>170</c:v>
                </c:pt>
                <c:pt idx="27">
                  <c:v>129</c:v>
                </c:pt>
                <c:pt idx="28">
                  <c:v>97</c:v>
                </c:pt>
                <c:pt idx="29">
                  <c:v>63</c:v>
                </c:pt>
                <c:pt idx="30">
                  <c:v>77</c:v>
                </c:pt>
                <c:pt idx="31">
                  <c:v>82</c:v>
                </c:pt>
              </c:numCache>
            </c:numRef>
          </c:val>
        </c:ser>
        <c:marker val="1"/>
        <c:axId val="24724224"/>
        <c:axId val="24725760"/>
      </c:lineChart>
      <c:catAx>
        <c:axId val="24724224"/>
        <c:scaling>
          <c:orientation val="minMax"/>
        </c:scaling>
        <c:axPos val="b"/>
        <c:majorTickMark val="none"/>
        <c:tickLblPos val="nextTo"/>
        <c:crossAx val="24725760"/>
        <c:crosses val="autoZero"/>
        <c:auto val="1"/>
        <c:lblAlgn val="ctr"/>
        <c:lblOffset val="100"/>
      </c:catAx>
      <c:valAx>
        <c:axId val="24725760"/>
        <c:scaling>
          <c:orientation val="minMax"/>
        </c:scaling>
        <c:axPos val="l"/>
        <c:majorGridlines/>
        <c:numFmt formatCode="General" sourceLinked="1"/>
        <c:majorTickMark val="none"/>
        <c:tickLblPos val="nextTo"/>
        <c:crossAx val="24724224"/>
        <c:crosses val="autoZero"/>
        <c:crossBetween val="between"/>
      </c:valAx>
      <c:dTable>
        <c:showHorzBorder val="1"/>
        <c:showVertBorder val="1"/>
        <c:showOutline val="1"/>
        <c:showKeys val="1"/>
      </c:dTable>
    </c:plotArea>
    <c:plotVisOnly val="1"/>
  </c:chart>
  <c:externalData r:id="rId1"/>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style val="29"/>
  <c:chart>
    <c:title>
      <c:tx>
        <c:rich>
          <a:bodyPr/>
          <a:lstStyle/>
          <a:p>
            <a:pPr>
              <a:defRPr sz="1400">
                <a:solidFill>
                  <a:schemeClr val="accent3">
                    <a:lumMod val="75000"/>
                  </a:schemeClr>
                </a:solidFill>
              </a:defRPr>
            </a:pPr>
            <a:r>
              <a:rPr lang="ka-GE" sz="1400"/>
              <a:t>თანმხლები კონსულტაცია 2012</a:t>
            </a:r>
            <a:r>
              <a:rPr lang="en-US" sz="1400"/>
              <a:t>-2014</a:t>
            </a:r>
            <a:r>
              <a:rPr lang="ka-GE" sz="1400"/>
              <a:t>წ</a:t>
            </a:r>
          </a:p>
        </c:rich>
      </c:tx>
      <c:layout>
        <c:manualLayout>
          <c:xMode val="edge"/>
          <c:yMode val="edge"/>
          <c:x val="0.33042404855643048"/>
          <c:y val="2.3121387283236993E-2"/>
        </c:manualLayout>
      </c:layout>
    </c:title>
    <c:plotArea>
      <c:layout/>
      <c:lineChart>
        <c:grouping val="stacked"/>
        <c:ser>
          <c:idx val="0"/>
          <c:order val="0"/>
          <c:tx>
            <c:strRef>
              <c:f>Sheet1!$A$5</c:f>
              <c:strCache>
                <c:ptCount val="1"/>
                <c:pt idx="0">
                  <c:v>თანმხლები კონსულტაცია</c:v>
                </c:pt>
              </c:strCache>
            </c:strRef>
          </c:tx>
          <c:dLbls>
            <c:txPr>
              <a:bodyPr/>
              <a:lstStyle/>
              <a:p>
                <a:pPr>
                  <a:defRPr sz="1100" b="1" i="1"/>
                </a:pPr>
                <a:endParaRPr lang="en-US"/>
              </a:p>
            </c:txPr>
            <c:showVal val="1"/>
          </c:dLbls>
          <c:cat>
            <c:strRef>
              <c:f>Sheet1!$B$2:$AG$2</c:f>
              <c:strCache>
                <c:ptCount val="32"/>
                <c:pt idx="0">
                  <c:v>I-12</c:v>
                </c:pt>
                <c:pt idx="1">
                  <c:v>II-12</c:v>
                </c:pt>
                <c:pt idx="2">
                  <c:v>III-12</c:v>
                </c:pt>
                <c:pt idx="3">
                  <c:v>IV-12</c:v>
                </c:pt>
                <c:pt idx="4">
                  <c:v>V-12</c:v>
                </c:pt>
                <c:pt idx="5">
                  <c:v>VI-12</c:v>
                </c:pt>
                <c:pt idx="6">
                  <c:v>VII-12</c:v>
                </c:pt>
                <c:pt idx="7">
                  <c:v>VIII-12</c:v>
                </c:pt>
                <c:pt idx="8">
                  <c:v>IX-12</c:v>
                </c:pt>
                <c:pt idx="9">
                  <c:v>X-12</c:v>
                </c:pt>
                <c:pt idx="10">
                  <c:v>XI-12</c:v>
                </c:pt>
                <c:pt idx="11">
                  <c:v>XII-12</c:v>
                </c:pt>
                <c:pt idx="12">
                  <c:v>I-13</c:v>
                </c:pt>
                <c:pt idx="13">
                  <c:v>II-13</c:v>
                </c:pt>
                <c:pt idx="14">
                  <c:v>III-13</c:v>
                </c:pt>
                <c:pt idx="15">
                  <c:v>IV-13</c:v>
                </c:pt>
                <c:pt idx="16">
                  <c:v>V-13</c:v>
                </c:pt>
                <c:pt idx="17">
                  <c:v>VI-13</c:v>
                </c:pt>
                <c:pt idx="18">
                  <c:v>VII-13</c:v>
                </c:pt>
                <c:pt idx="19">
                  <c:v>VIII-13</c:v>
                </c:pt>
                <c:pt idx="20">
                  <c:v>IX-13</c:v>
                </c:pt>
                <c:pt idx="21">
                  <c:v>X-13</c:v>
                </c:pt>
                <c:pt idx="22">
                  <c:v>XI-13</c:v>
                </c:pt>
                <c:pt idx="23">
                  <c:v>XII-13</c:v>
                </c:pt>
                <c:pt idx="24">
                  <c:v>I-14</c:v>
                </c:pt>
                <c:pt idx="25">
                  <c:v>II-14</c:v>
                </c:pt>
                <c:pt idx="26">
                  <c:v>III-14</c:v>
                </c:pt>
                <c:pt idx="27">
                  <c:v>IV-14</c:v>
                </c:pt>
                <c:pt idx="28">
                  <c:v>V-14</c:v>
                </c:pt>
                <c:pt idx="29">
                  <c:v>VI-14</c:v>
                </c:pt>
                <c:pt idx="30">
                  <c:v>VII-14</c:v>
                </c:pt>
                <c:pt idx="31">
                  <c:v>VIII-14</c:v>
                </c:pt>
              </c:strCache>
            </c:strRef>
          </c:cat>
          <c:val>
            <c:numRef>
              <c:f>Sheet1!$B$5:$AG$5</c:f>
              <c:numCache>
                <c:formatCode>General</c:formatCode>
                <c:ptCount val="32"/>
                <c:pt idx="0">
                  <c:v>55</c:v>
                </c:pt>
                <c:pt idx="1">
                  <c:v>73</c:v>
                </c:pt>
                <c:pt idx="2">
                  <c:v>71</c:v>
                </c:pt>
                <c:pt idx="3">
                  <c:v>55</c:v>
                </c:pt>
                <c:pt idx="4">
                  <c:v>72</c:v>
                </c:pt>
                <c:pt idx="5">
                  <c:v>78</c:v>
                </c:pt>
                <c:pt idx="6">
                  <c:v>98</c:v>
                </c:pt>
                <c:pt idx="7">
                  <c:v>95</c:v>
                </c:pt>
                <c:pt idx="8">
                  <c:v>25</c:v>
                </c:pt>
                <c:pt idx="9">
                  <c:v>15</c:v>
                </c:pt>
                <c:pt idx="10">
                  <c:v>25</c:v>
                </c:pt>
                <c:pt idx="11">
                  <c:v>18</c:v>
                </c:pt>
                <c:pt idx="12">
                  <c:v>38</c:v>
                </c:pt>
                <c:pt idx="13">
                  <c:v>150</c:v>
                </c:pt>
                <c:pt idx="14">
                  <c:v>304</c:v>
                </c:pt>
                <c:pt idx="15">
                  <c:v>169</c:v>
                </c:pt>
                <c:pt idx="16">
                  <c:v>30</c:v>
                </c:pt>
                <c:pt idx="17">
                  <c:v>12</c:v>
                </c:pt>
                <c:pt idx="18">
                  <c:v>11</c:v>
                </c:pt>
                <c:pt idx="19">
                  <c:v>30</c:v>
                </c:pt>
                <c:pt idx="20">
                  <c:v>13</c:v>
                </c:pt>
                <c:pt idx="21">
                  <c:v>19</c:v>
                </c:pt>
                <c:pt idx="22">
                  <c:v>11</c:v>
                </c:pt>
                <c:pt idx="23">
                  <c:v>16</c:v>
                </c:pt>
                <c:pt idx="24">
                  <c:v>44</c:v>
                </c:pt>
                <c:pt idx="25">
                  <c:v>32</c:v>
                </c:pt>
                <c:pt idx="26">
                  <c:v>30</c:v>
                </c:pt>
                <c:pt idx="27">
                  <c:v>7</c:v>
                </c:pt>
                <c:pt idx="28">
                  <c:v>12</c:v>
                </c:pt>
                <c:pt idx="29">
                  <c:v>8</c:v>
                </c:pt>
                <c:pt idx="30">
                  <c:v>4</c:v>
                </c:pt>
                <c:pt idx="31">
                  <c:v>29</c:v>
                </c:pt>
              </c:numCache>
            </c:numRef>
          </c:val>
        </c:ser>
        <c:marker val="1"/>
        <c:axId val="67643264"/>
        <c:axId val="67644800"/>
      </c:lineChart>
      <c:catAx>
        <c:axId val="67643264"/>
        <c:scaling>
          <c:orientation val="minMax"/>
        </c:scaling>
        <c:axPos val="b"/>
        <c:majorTickMark val="none"/>
        <c:tickLblPos val="nextTo"/>
        <c:crossAx val="67644800"/>
        <c:crosses val="autoZero"/>
        <c:auto val="1"/>
        <c:lblAlgn val="ctr"/>
        <c:lblOffset val="100"/>
      </c:catAx>
      <c:valAx>
        <c:axId val="67644800"/>
        <c:scaling>
          <c:orientation val="minMax"/>
        </c:scaling>
        <c:axPos val="l"/>
        <c:majorGridlines/>
        <c:numFmt formatCode="General" sourceLinked="1"/>
        <c:majorTickMark val="none"/>
        <c:tickLblPos val="nextTo"/>
        <c:crossAx val="67643264"/>
        <c:crosses val="autoZero"/>
        <c:crossBetween val="between"/>
      </c:valAx>
      <c:dTable>
        <c:showHorzBorder val="1"/>
        <c:showVertBorder val="1"/>
        <c:showOutline val="1"/>
        <c:showKeys val="1"/>
      </c:dTable>
    </c:plotArea>
    <c:plotVisOnly val="1"/>
  </c:chart>
  <c:externalData r:id="rId1"/>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400"/>
            </a:pPr>
            <a:r>
              <a:rPr lang="ka-GE" sz="1400"/>
              <a:t>გამოძახებები სასჯელაღსრულების დაწესებულებებში 2012</a:t>
            </a:r>
            <a:r>
              <a:rPr lang="en-US" sz="1400"/>
              <a:t>-2014</a:t>
            </a:r>
            <a:r>
              <a:rPr lang="ka-GE" sz="1400"/>
              <a:t> </a:t>
            </a:r>
            <a:endParaRPr lang="en-US" sz="1400"/>
          </a:p>
        </c:rich>
      </c:tx>
      <c:layout>
        <c:manualLayout>
          <c:xMode val="edge"/>
          <c:yMode val="edge"/>
          <c:x val="0.27335022899465689"/>
          <c:y val="3.384093852913442E-3"/>
        </c:manualLayout>
      </c:layout>
    </c:title>
    <c:plotArea>
      <c:layout>
        <c:manualLayout>
          <c:layoutTarget val="inner"/>
          <c:xMode val="edge"/>
          <c:yMode val="edge"/>
          <c:x val="0.21243234479307024"/>
          <c:y val="7.5019685039370121E-2"/>
          <c:w val="0.77064998631928328"/>
          <c:h val="0.61606811843832165"/>
        </c:manualLayout>
      </c:layout>
      <c:lineChart>
        <c:grouping val="standard"/>
        <c:ser>
          <c:idx val="0"/>
          <c:order val="0"/>
          <c:tx>
            <c:strRef>
              <c:f>Sheet1!$A$6</c:f>
              <c:strCache>
                <c:ptCount val="1"/>
                <c:pt idx="0">
                  <c:v>მ.შ. ტრანსპორტირება (ს/ა)</c:v>
                </c:pt>
              </c:strCache>
            </c:strRef>
          </c:tx>
          <c:dLbls>
            <c:showVal val="1"/>
          </c:dLbls>
          <c:cat>
            <c:strRef>
              <c:f>Sheet1!$B$2:$AG$2</c:f>
              <c:strCache>
                <c:ptCount val="32"/>
                <c:pt idx="0">
                  <c:v>I-12</c:v>
                </c:pt>
                <c:pt idx="1">
                  <c:v>II-12</c:v>
                </c:pt>
                <c:pt idx="2">
                  <c:v>III-12</c:v>
                </c:pt>
                <c:pt idx="3">
                  <c:v>IV-12</c:v>
                </c:pt>
                <c:pt idx="4">
                  <c:v>V-12</c:v>
                </c:pt>
                <c:pt idx="5">
                  <c:v>VI-12</c:v>
                </c:pt>
                <c:pt idx="6">
                  <c:v>VII-12</c:v>
                </c:pt>
                <c:pt idx="7">
                  <c:v>VIII-12</c:v>
                </c:pt>
                <c:pt idx="8">
                  <c:v>IX-12</c:v>
                </c:pt>
                <c:pt idx="9">
                  <c:v>X-12</c:v>
                </c:pt>
                <c:pt idx="10">
                  <c:v>XI-12</c:v>
                </c:pt>
                <c:pt idx="11">
                  <c:v>XII-12</c:v>
                </c:pt>
                <c:pt idx="12">
                  <c:v>I-13</c:v>
                </c:pt>
                <c:pt idx="13">
                  <c:v>II-13</c:v>
                </c:pt>
                <c:pt idx="14">
                  <c:v>III-13</c:v>
                </c:pt>
                <c:pt idx="15">
                  <c:v>IV-13</c:v>
                </c:pt>
                <c:pt idx="16">
                  <c:v>V-13</c:v>
                </c:pt>
                <c:pt idx="17">
                  <c:v>VI-13</c:v>
                </c:pt>
                <c:pt idx="18">
                  <c:v>VII-13</c:v>
                </c:pt>
                <c:pt idx="19">
                  <c:v>VIII-13</c:v>
                </c:pt>
                <c:pt idx="20">
                  <c:v>IX-13</c:v>
                </c:pt>
                <c:pt idx="21">
                  <c:v>X-13</c:v>
                </c:pt>
                <c:pt idx="22">
                  <c:v>XI-13</c:v>
                </c:pt>
                <c:pt idx="23">
                  <c:v>XII-13</c:v>
                </c:pt>
                <c:pt idx="24">
                  <c:v>I-14</c:v>
                </c:pt>
                <c:pt idx="25">
                  <c:v>II-14</c:v>
                </c:pt>
                <c:pt idx="26">
                  <c:v>III-14</c:v>
                </c:pt>
                <c:pt idx="27">
                  <c:v>IV-14</c:v>
                </c:pt>
                <c:pt idx="28">
                  <c:v>V-14</c:v>
                </c:pt>
                <c:pt idx="29">
                  <c:v>VI-14</c:v>
                </c:pt>
                <c:pt idx="30">
                  <c:v>VII-14</c:v>
                </c:pt>
                <c:pt idx="31">
                  <c:v>VIII-14</c:v>
                </c:pt>
              </c:strCache>
            </c:strRef>
          </c:cat>
          <c:val>
            <c:numRef>
              <c:f>Sheet1!$B$6:$AG$6</c:f>
              <c:numCache>
                <c:formatCode>General</c:formatCode>
                <c:ptCount val="32"/>
                <c:pt idx="0">
                  <c:v>16</c:v>
                </c:pt>
                <c:pt idx="1">
                  <c:v>17</c:v>
                </c:pt>
                <c:pt idx="2">
                  <c:v>18</c:v>
                </c:pt>
                <c:pt idx="3">
                  <c:v>25</c:v>
                </c:pt>
                <c:pt idx="4">
                  <c:v>22</c:v>
                </c:pt>
                <c:pt idx="5">
                  <c:v>18</c:v>
                </c:pt>
                <c:pt idx="6">
                  <c:v>31</c:v>
                </c:pt>
                <c:pt idx="7">
                  <c:v>17</c:v>
                </c:pt>
                <c:pt idx="8">
                  <c:v>19</c:v>
                </c:pt>
                <c:pt idx="9">
                  <c:v>50</c:v>
                </c:pt>
                <c:pt idx="10">
                  <c:v>94</c:v>
                </c:pt>
                <c:pt idx="11">
                  <c:v>56</c:v>
                </c:pt>
                <c:pt idx="12">
                  <c:v>57</c:v>
                </c:pt>
                <c:pt idx="13">
                  <c:v>59</c:v>
                </c:pt>
                <c:pt idx="14">
                  <c:v>100</c:v>
                </c:pt>
                <c:pt idx="15">
                  <c:v>69</c:v>
                </c:pt>
                <c:pt idx="16">
                  <c:v>59</c:v>
                </c:pt>
                <c:pt idx="17">
                  <c:v>51</c:v>
                </c:pt>
                <c:pt idx="18">
                  <c:v>67</c:v>
                </c:pt>
                <c:pt idx="19">
                  <c:v>56</c:v>
                </c:pt>
                <c:pt idx="20">
                  <c:v>63</c:v>
                </c:pt>
                <c:pt idx="21">
                  <c:v>79</c:v>
                </c:pt>
                <c:pt idx="22">
                  <c:v>58</c:v>
                </c:pt>
                <c:pt idx="23">
                  <c:v>62</c:v>
                </c:pt>
                <c:pt idx="24">
                  <c:v>53</c:v>
                </c:pt>
                <c:pt idx="25">
                  <c:v>66</c:v>
                </c:pt>
                <c:pt idx="26">
                  <c:v>58</c:v>
                </c:pt>
                <c:pt idx="27">
                  <c:v>62</c:v>
                </c:pt>
                <c:pt idx="28">
                  <c:v>61</c:v>
                </c:pt>
                <c:pt idx="29">
                  <c:v>50</c:v>
                </c:pt>
                <c:pt idx="30">
                  <c:v>37</c:v>
                </c:pt>
                <c:pt idx="31">
                  <c:v>35</c:v>
                </c:pt>
              </c:numCache>
            </c:numRef>
          </c:val>
        </c:ser>
        <c:ser>
          <c:idx val="1"/>
          <c:order val="1"/>
          <c:tx>
            <c:strRef>
              <c:f>Sheet1!$A$7</c:f>
              <c:strCache>
                <c:ptCount val="1"/>
                <c:pt idx="0">
                  <c:v>კონსულტაცია (ს/ა)</c:v>
                </c:pt>
              </c:strCache>
            </c:strRef>
          </c:tx>
          <c:cat>
            <c:strRef>
              <c:f>Sheet1!$B$2:$AG$2</c:f>
              <c:strCache>
                <c:ptCount val="32"/>
                <c:pt idx="0">
                  <c:v>I-12</c:v>
                </c:pt>
                <c:pt idx="1">
                  <c:v>II-12</c:v>
                </c:pt>
                <c:pt idx="2">
                  <c:v>III-12</c:v>
                </c:pt>
                <c:pt idx="3">
                  <c:v>IV-12</c:v>
                </c:pt>
                <c:pt idx="4">
                  <c:v>V-12</c:v>
                </c:pt>
                <c:pt idx="5">
                  <c:v>VI-12</c:v>
                </c:pt>
                <c:pt idx="6">
                  <c:v>VII-12</c:v>
                </c:pt>
                <c:pt idx="7">
                  <c:v>VIII-12</c:v>
                </c:pt>
                <c:pt idx="8">
                  <c:v>IX-12</c:v>
                </c:pt>
                <c:pt idx="9">
                  <c:v>X-12</c:v>
                </c:pt>
                <c:pt idx="10">
                  <c:v>XI-12</c:v>
                </c:pt>
                <c:pt idx="11">
                  <c:v>XII-12</c:v>
                </c:pt>
                <c:pt idx="12">
                  <c:v>I-13</c:v>
                </c:pt>
                <c:pt idx="13">
                  <c:v>II-13</c:v>
                </c:pt>
                <c:pt idx="14">
                  <c:v>III-13</c:v>
                </c:pt>
                <c:pt idx="15">
                  <c:v>IV-13</c:v>
                </c:pt>
                <c:pt idx="16">
                  <c:v>V-13</c:v>
                </c:pt>
                <c:pt idx="17">
                  <c:v>VI-13</c:v>
                </c:pt>
                <c:pt idx="18">
                  <c:v>VII-13</c:v>
                </c:pt>
                <c:pt idx="19">
                  <c:v>VIII-13</c:v>
                </c:pt>
                <c:pt idx="20">
                  <c:v>IX-13</c:v>
                </c:pt>
                <c:pt idx="21">
                  <c:v>X-13</c:v>
                </c:pt>
                <c:pt idx="22">
                  <c:v>XI-13</c:v>
                </c:pt>
                <c:pt idx="23">
                  <c:v>XII-13</c:v>
                </c:pt>
                <c:pt idx="24">
                  <c:v>I-14</c:v>
                </c:pt>
                <c:pt idx="25">
                  <c:v>II-14</c:v>
                </c:pt>
                <c:pt idx="26">
                  <c:v>III-14</c:v>
                </c:pt>
                <c:pt idx="27">
                  <c:v>IV-14</c:v>
                </c:pt>
                <c:pt idx="28">
                  <c:v>V-14</c:v>
                </c:pt>
                <c:pt idx="29">
                  <c:v>VI-14</c:v>
                </c:pt>
                <c:pt idx="30">
                  <c:v>VII-14</c:v>
                </c:pt>
                <c:pt idx="31">
                  <c:v>VIII-14</c:v>
                </c:pt>
              </c:strCache>
            </c:strRef>
          </c:cat>
          <c:val>
            <c:numRef>
              <c:f>Sheet1!$B$7:$AG$7</c:f>
              <c:numCache>
                <c:formatCode>General</c:formatCode>
                <c:ptCount val="32"/>
                <c:pt idx="0">
                  <c:v>2</c:v>
                </c:pt>
                <c:pt idx="1">
                  <c:v>6</c:v>
                </c:pt>
                <c:pt idx="2">
                  <c:v>5</c:v>
                </c:pt>
                <c:pt idx="3">
                  <c:v>3</c:v>
                </c:pt>
                <c:pt idx="4">
                  <c:v>7</c:v>
                </c:pt>
                <c:pt idx="5">
                  <c:v>3</c:v>
                </c:pt>
                <c:pt idx="6">
                  <c:v>1</c:v>
                </c:pt>
                <c:pt idx="7">
                  <c:v>4</c:v>
                </c:pt>
                <c:pt idx="8">
                  <c:v>1</c:v>
                </c:pt>
                <c:pt idx="9">
                  <c:v>10</c:v>
                </c:pt>
                <c:pt idx="10">
                  <c:v>12</c:v>
                </c:pt>
                <c:pt idx="11">
                  <c:v>14</c:v>
                </c:pt>
                <c:pt idx="12">
                  <c:v>13</c:v>
                </c:pt>
                <c:pt idx="13">
                  <c:v>51</c:v>
                </c:pt>
                <c:pt idx="14">
                  <c:v>111</c:v>
                </c:pt>
                <c:pt idx="15">
                  <c:v>81</c:v>
                </c:pt>
                <c:pt idx="16">
                  <c:v>45</c:v>
                </c:pt>
                <c:pt idx="17">
                  <c:v>28</c:v>
                </c:pt>
                <c:pt idx="18">
                  <c:v>45</c:v>
                </c:pt>
                <c:pt idx="19">
                  <c:v>64</c:v>
                </c:pt>
                <c:pt idx="20">
                  <c:v>69</c:v>
                </c:pt>
                <c:pt idx="21">
                  <c:v>57</c:v>
                </c:pt>
                <c:pt idx="22">
                  <c:v>36</c:v>
                </c:pt>
                <c:pt idx="23">
                  <c:v>97</c:v>
                </c:pt>
                <c:pt idx="24">
                  <c:v>73</c:v>
                </c:pt>
                <c:pt idx="25">
                  <c:v>54</c:v>
                </c:pt>
                <c:pt idx="26">
                  <c:v>36</c:v>
                </c:pt>
                <c:pt idx="27">
                  <c:v>97</c:v>
                </c:pt>
                <c:pt idx="28">
                  <c:v>33</c:v>
                </c:pt>
                <c:pt idx="29">
                  <c:v>3</c:v>
                </c:pt>
                <c:pt idx="30">
                  <c:v>31</c:v>
                </c:pt>
                <c:pt idx="31">
                  <c:v>27</c:v>
                </c:pt>
              </c:numCache>
            </c:numRef>
          </c:val>
        </c:ser>
        <c:ser>
          <c:idx val="2"/>
          <c:order val="2"/>
          <c:tx>
            <c:strRef>
              <c:f>Sheet1!$A$8</c:f>
              <c:strCache>
                <c:ptCount val="1"/>
                <c:pt idx="0">
                  <c:v>თანმხლები კონსულტაცია (ს/ა)</c:v>
                </c:pt>
              </c:strCache>
            </c:strRef>
          </c:tx>
          <c:cat>
            <c:strRef>
              <c:f>Sheet1!$B$2:$AG$2</c:f>
              <c:strCache>
                <c:ptCount val="32"/>
                <c:pt idx="0">
                  <c:v>I-12</c:v>
                </c:pt>
                <c:pt idx="1">
                  <c:v>II-12</c:v>
                </c:pt>
                <c:pt idx="2">
                  <c:v>III-12</c:v>
                </c:pt>
                <c:pt idx="3">
                  <c:v>IV-12</c:v>
                </c:pt>
                <c:pt idx="4">
                  <c:v>V-12</c:v>
                </c:pt>
                <c:pt idx="5">
                  <c:v>VI-12</c:v>
                </c:pt>
                <c:pt idx="6">
                  <c:v>VII-12</c:v>
                </c:pt>
                <c:pt idx="7">
                  <c:v>VIII-12</c:v>
                </c:pt>
                <c:pt idx="8">
                  <c:v>IX-12</c:v>
                </c:pt>
                <c:pt idx="9">
                  <c:v>X-12</c:v>
                </c:pt>
                <c:pt idx="10">
                  <c:v>XI-12</c:v>
                </c:pt>
                <c:pt idx="11">
                  <c:v>XII-12</c:v>
                </c:pt>
                <c:pt idx="12">
                  <c:v>I-13</c:v>
                </c:pt>
                <c:pt idx="13">
                  <c:v>II-13</c:v>
                </c:pt>
                <c:pt idx="14">
                  <c:v>III-13</c:v>
                </c:pt>
                <c:pt idx="15">
                  <c:v>IV-13</c:v>
                </c:pt>
                <c:pt idx="16">
                  <c:v>V-13</c:v>
                </c:pt>
                <c:pt idx="17">
                  <c:v>VI-13</c:v>
                </c:pt>
                <c:pt idx="18">
                  <c:v>VII-13</c:v>
                </c:pt>
                <c:pt idx="19">
                  <c:v>VIII-13</c:v>
                </c:pt>
                <c:pt idx="20">
                  <c:v>IX-13</c:v>
                </c:pt>
                <c:pt idx="21">
                  <c:v>X-13</c:v>
                </c:pt>
                <c:pt idx="22">
                  <c:v>XI-13</c:v>
                </c:pt>
                <c:pt idx="23">
                  <c:v>XII-13</c:v>
                </c:pt>
                <c:pt idx="24">
                  <c:v>I-14</c:v>
                </c:pt>
                <c:pt idx="25">
                  <c:v>II-14</c:v>
                </c:pt>
                <c:pt idx="26">
                  <c:v>III-14</c:v>
                </c:pt>
                <c:pt idx="27">
                  <c:v>IV-14</c:v>
                </c:pt>
                <c:pt idx="28">
                  <c:v>V-14</c:v>
                </c:pt>
                <c:pt idx="29">
                  <c:v>VI-14</c:v>
                </c:pt>
                <c:pt idx="30">
                  <c:v>VII-14</c:v>
                </c:pt>
                <c:pt idx="31">
                  <c:v>VIII-14</c:v>
                </c:pt>
              </c:strCache>
            </c:strRef>
          </c:cat>
          <c:val>
            <c:numRef>
              <c:f>Sheet1!$B$8:$AG$8</c:f>
              <c:numCache>
                <c:formatCode>General</c:formatCode>
                <c:ptCount val="32"/>
                <c:pt idx="0">
                  <c:v>0</c:v>
                </c:pt>
                <c:pt idx="1">
                  <c:v>0</c:v>
                </c:pt>
                <c:pt idx="2">
                  <c:v>0</c:v>
                </c:pt>
                <c:pt idx="3">
                  <c:v>0</c:v>
                </c:pt>
                <c:pt idx="4">
                  <c:v>1</c:v>
                </c:pt>
                <c:pt idx="5">
                  <c:v>0</c:v>
                </c:pt>
                <c:pt idx="6">
                  <c:v>0</c:v>
                </c:pt>
                <c:pt idx="7">
                  <c:v>0</c:v>
                </c:pt>
                <c:pt idx="8">
                  <c:v>0</c:v>
                </c:pt>
                <c:pt idx="9">
                  <c:v>1</c:v>
                </c:pt>
                <c:pt idx="10">
                  <c:v>12</c:v>
                </c:pt>
                <c:pt idx="11">
                  <c:v>6</c:v>
                </c:pt>
                <c:pt idx="12">
                  <c:v>6</c:v>
                </c:pt>
                <c:pt idx="13">
                  <c:v>112</c:v>
                </c:pt>
                <c:pt idx="14">
                  <c:v>264</c:v>
                </c:pt>
                <c:pt idx="15">
                  <c:v>142</c:v>
                </c:pt>
                <c:pt idx="16">
                  <c:v>20</c:v>
                </c:pt>
                <c:pt idx="17">
                  <c:v>7</c:v>
                </c:pt>
                <c:pt idx="18">
                  <c:v>4</c:v>
                </c:pt>
                <c:pt idx="19">
                  <c:v>16</c:v>
                </c:pt>
                <c:pt idx="20">
                  <c:v>2</c:v>
                </c:pt>
                <c:pt idx="21">
                  <c:v>0</c:v>
                </c:pt>
                <c:pt idx="22">
                  <c:v>5</c:v>
                </c:pt>
                <c:pt idx="23">
                  <c:v>3</c:v>
                </c:pt>
                <c:pt idx="24">
                  <c:v>9</c:v>
                </c:pt>
                <c:pt idx="25">
                  <c:v>2</c:v>
                </c:pt>
                <c:pt idx="26">
                  <c:v>5</c:v>
                </c:pt>
                <c:pt idx="27">
                  <c:v>3</c:v>
                </c:pt>
                <c:pt idx="28">
                  <c:v>3</c:v>
                </c:pt>
                <c:pt idx="29">
                  <c:v>4</c:v>
                </c:pt>
                <c:pt idx="30">
                  <c:v>2</c:v>
                </c:pt>
                <c:pt idx="31">
                  <c:v>17</c:v>
                </c:pt>
              </c:numCache>
            </c:numRef>
          </c:val>
        </c:ser>
        <c:marker val="1"/>
        <c:axId val="67680896"/>
        <c:axId val="67694976"/>
      </c:lineChart>
      <c:catAx>
        <c:axId val="67680896"/>
        <c:scaling>
          <c:orientation val="minMax"/>
        </c:scaling>
        <c:axPos val="b"/>
        <c:majorTickMark val="none"/>
        <c:tickLblPos val="nextTo"/>
        <c:crossAx val="67694976"/>
        <c:crosses val="autoZero"/>
        <c:auto val="1"/>
        <c:lblAlgn val="ctr"/>
        <c:lblOffset val="100"/>
      </c:catAx>
      <c:valAx>
        <c:axId val="67694976"/>
        <c:scaling>
          <c:orientation val="minMax"/>
        </c:scaling>
        <c:axPos val="l"/>
        <c:majorGridlines/>
        <c:numFmt formatCode="General" sourceLinked="1"/>
        <c:majorTickMark val="none"/>
        <c:tickLblPos val="nextTo"/>
        <c:crossAx val="67680896"/>
        <c:crosses val="autoZero"/>
        <c:crossBetween val="between"/>
      </c:valAx>
      <c:dTable>
        <c:showHorzBorder val="1"/>
        <c:showVertBorder val="1"/>
        <c:showOutline val="1"/>
        <c:showKeys val="1"/>
      </c:dTable>
    </c:plotArea>
    <c:plotVisOnly val="1"/>
  </c:chart>
  <c:externalData r:id="rId1"/>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ka-GE" sz="1200" b="1" i="0" baseline="0"/>
              <a:t>რეფერალის  მონაცემები  2012</a:t>
            </a:r>
            <a:r>
              <a:rPr lang="en-US" sz="1200" b="1" i="0" baseline="0"/>
              <a:t>-2014</a:t>
            </a:r>
            <a:r>
              <a:rPr lang="ka-GE" sz="1200" b="1" i="0" baseline="0"/>
              <a:t>წ</a:t>
            </a:r>
            <a:endParaRPr lang="en-US" sz="1200"/>
          </a:p>
          <a:p>
            <a:pPr>
              <a:defRPr/>
            </a:pPr>
            <a:r>
              <a:rPr lang="ka-GE" sz="1100" b="1" i="0" baseline="0"/>
              <a:t>გარდა სასჯელაღსრულების დაწესებულებებისა </a:t>
            </a:r>
            <a:endParaRPr lang="en-US" sz="1100" b="1" i="0" baseline="0"/>
          </a:p>
        </c:rich>
      </c:tx>
    </c:title>
    <c:plotArea>
      <c:layout/>
      <c:lineChart>
        <c:grouping val="stacked"/>
        <c:ser>
          <c:idx val="0"/>
          <c:order val="0"/>
          <c:tx>
            <c:strRef>
              <c:f>'cixis gareshe'!$A$9</c:f>
              <c:strCache>
                <c:ptCount val="1"/>
                <c:pt idx="0">
                  <c:v>ტრანსპორტირება</c:v>
                </c:pt>
              </c:strCache>
            </c:strRef>
          </c:tx>
          <c:dLbls>
            <c:txPr>
              <a:bodyPr rot="-5400000" vert="horz"/>
              <a:lstStyle/>
              <a:p>
                <a:pPr>
                  <a:defRPr/>
                </a:pPr>
                <a:endParaRPr lang="en-US"/>
              </a:p>
            </c:txPr>
            <c:dLblPos val="b"/>
            <c:showVal val="1"/>
          </c:dLbls>
          <c:cat>
            <c:strRef>
              <c:f>'cixis gareshe'!$B$1:$AG$1</c:f>
              <c:strCache>
                <c:ptCount val="32"/>
                <c:pt idx="0">
                  <c:v>I-12</c:v>
                </c:pt>
                <c:pt idx="1">
                  <c:v>II-12</c:v>
                </c:pt>
                <c:pt idx="2">
                  <c:v>III-12</c:v>
                </c:pt>
                <c:pt idx="3">
                  <c:v>IV-12</c:v>
                </c:pt>
                <c:pt idx="4">
                  <c:v>V-12</c:v>
                </c:pt>
                <c:pt idx="5">
                  <c:v>VI-12</c:v>
                </c:pt>
                <c:pt idx="6">
                  <c:v>VII-12</c:v>
                </c:pt>
                <c:pt idx="7">
                  <c:v>VIII-12</c:v>
                </c:pt>
                <c:pt idx="8">
                  <c:v>IX-12</c:v>
                </c:pt>
                <c:pt idx="9">
                  <c:v>X-12</c:v>
                </c:pt>
                <c:pt idx="10">
                  <c:v>XI-12</c:v>
                </c:pt>
                <c:pt idx="11">
                  <c:v>XII-12</c:v>
                </c:pt>
                <c:pt idx="12">
                  <c:v>I-13</c:v>
                </c:pt>
                <c:pt idx="13">
                  <c:v>II-13</c:v>
                </c:pt>
                <c:pt idx="14">
                  <c:v>III-13</c:v>
                </c:pt>
                <c:pt idx="15">
                  <c:v>IV-13</c:v>
                </c:pt>
                <c:pt idx="16">
                  <c:v>V-13</c:v>
                </c:pt>
                <c:pt idx="17">
                  <c:v>VI-13</c:v>
                </c:pt>
                <c:pt idx="18">
                  <c:v>VII-13</c:v>
                </c:pt>
                <c:pt idx="19">
                  <c:v>VIII-13</c:v>
                </c:pt>
                <c:pt idx="20">
                  <c:v>IX-13</c:v>
                </c:pt>
                <c:pt idx="21">
                  <c:v>X-13</c:v>
                </c:pt>
                <c:pt idx="22">
                  <c:v>XI-13</c:v>
                </c:pt>
                <c:pt idx="23">
                  <c:v>XII-13</c:v>
                </c:pt>
                <c:pt idx="24">
                  <c:v>I-14</c:v>
                </c:pt>
                <c:pt idx="25">
                  <c:v>II-14</c:v>
                </c:pt>
                <c:pt idx="26">
                  <c:v>III-14</c:v>
                </c:pt>
                <c:pt idx="27">
                  <c:v>IV-14</c:v>
                </c:pt>
                <c:pt idx="28">
                  <c:v>V-14</c:v>
                </c:pt>
                <c:pt idx="29">
                  <c:v>VI-14</c:v>
                </c:pt>
                <c:pt idx="30">
                  <c:v>VII-14</c:v>
                </c:pt>
                <c:pt idx="31">
                  <c:v>VIII-14</c:v>
                </c:pt>
              </c:strCache>
            </c:strRef>
          </c:cat>
          <c:val>
            <c:numRef>
              <c:f>'cixis gareshe'!$B$9:$AG$9</c:f>
              <c:numCache>
                <c:formatCode>General</c:formatCode>
                <c:ptCount val="32"/>
                <c:pt idx="0">
                  <c:v>959</c:v>
                </c:pt>
                <c:pt idx="1">
                  <c:v>977</c:v>
                </c:pt>
                <c:pt idx="2">
                  <c:v>1107</c:v>
                </c:pt>
                <c:pt idx="3">
                  <c:v>1118</c:v>
                </c:pt>
                <c:pt idx="4">
                  <c:v>1242</c:v>
                </c:pt>
                <c:pt idx="5">
                  <c:v>1255</c:v>
                </c:pt>
                <c:pt idx="6">
                  <c:v>1437</c:v>
                </c:pt>
                <c:pt idx="7">
                  <c:v>1363</c:v>
                </c:pt>
                <c:pt idx="8">
                  <c:v>662</c:v>
                </c:pt>
                <c:pt idx="9">
                  <c:v>614</c:v>
                </c:pt>
                <c:pt idx="10">
                  <c:v>551</c:v>
                </c:pt>
                <c:pt idx="11">
                  <c:v>601</c:v>
                </c:pt>
                <c:pt idx="12">
                  <c:v>643</c:v>
                </c:pt>
                <c:pt idx="13">
                  <c:v>626</c:v>
                </c:pt>
                <c:pt idx="14">
                  <c:v>860</c:v>
                </c:pt>
                <c:pt idx="15">
                  <c:v>745</c:v>
                </c:pt>
                <c:pt idx="16">
                  <c:v>908</c:v>
                </c:pt>
                <c:pt idx="17">
                  <c:v>920</c:v>
                </c:pt>
                <c:pt idx="18">
                  <c:v>1055</c:v>
                </c:pt>
                <c:pt idx="19">
                  <c:v>1056</c:v>
                </c:pt>
                <c:pt idx="20">
                  <c:v>936</c:v>
                </c:pt>
                <c:pt idx="21">
                  <c:v>1012</c:v>
                </c:pt>
                <c:pt idx="22">
                  <c:v>1215</c:v>
                </c:pt>
                <c:pt idx="23">
                  <c:v>1172</c:v>
                </c:pt>
                <c:pt idx="24">
                  <c:v>1825</c:v>
                </c:pt>
                <c:pt idx="25">
                  <c:v>2336</c:v>
                </c:pt>
                <c:pt idx="26">
                  <c:v>2466</c:v>
                </c:pt>
                <c:pt idx="27">
                  <c:v>2551</c:v>
                </c:pt>
                <c:pt idx="28">
                  <c:v>2597</c:v>
                </c:pt>
                <c:pt idx="29">
                  <c:v>2423</c:v>
                </c:pt>
                <c:pt idx="30">
                  <c:v>2378</c:v>
                </c:pt>
                <c:pt idx="31">
                  <c:v>2466</c:v>
                </c:pt>
              </c:numCache>
            </c:numRef>
          </c:val>
        </c:ser>
        <c:ser>
          <c:idx val="1"/>
          <c:order val="1"/>
          <c:tx>
            <c:strRef>
              <c:f>'cixis gareshe'!$A$10</c:f>
              <c:strCache>
                <c:ptCount val="1"/>
                <c:pt idx="0">
                  <c:v>კონსულტაცია</c:v>
                </c:pt>
              </c:strCache>
            </c:strRef>
          </c:tx>
          <c:dLbls>
            <c:delete val="1"/>
          </c:dLbls>
          <c:cat>
            <c:strRef>
              <c:f>'cixis gareshe'!$B$1:$AG$1</c:f>
              <c:strCache>
                <c:ptCount val="32"/>
                <c:pt idx="0">
                  <c:v>I-12</c:v>
                </c:pt>
                <c:pt idx="1">
                  <c:v>II-12</c:v>
                </c:pt>
                <c:pt idx="2">
                  <c:v>III-12</c:v>
                </c:pt>
                <c:pt idx="3">
                  <c:v>IV-12</c:v>
                </c:pt>
                <c:pt idx="4">
                  <c:v>V-12</c:v>
                </c:pt>
                <c:pt idx="5">
                  <c:v>VI-12</c:v>
                </c:pt>
                <c:pt idx="6">
                  <c:v>VII-12</c:v>
                </c:pt>
                <c:pt idx="7">
                  <c:v>VIII-12</c:v>
                </c:pt>
                <c:pt idx="8">
                  <c:v>IX-12</c:v>
                </c:pt>
                <c:pt idx="9">
                  <c:v>X-12</c:v>
                </c:pt>
                <c:pt idx="10">
                  <c:v>XI-12</c:v>
                </c:pt>
                <c:pt idx="11">
                  <c:v>XII-12</c:v>
                </c:pt>
                <c:pt idx="12">
                  <c:v>I-13</c:v>
                </c:pt>
                <c:pt idx="13">
                  <c:v>II-13</c:v>
                </c:pt>
                <c:pt idx="14">
                  <c:v>III-13</c:v>
                </c:pt>
                <c:pt idx="15">
                  <c:v>IV-13</c:v>
                </c:pt>
                <c:pt idx="16">
                  <c:v>V-13</c:v>
                </c:pt>
                <c:pt idx="17">
                  <c:v>VI-13</c:v>
                </c:pt>
                <c:pt idx="18">
                  <c:v>VII-13</c:v>
                </c:pt>
                <c:pt idx="19">
                  <c:v>VIII-13</c:v>
                </c:pt>
                <c:pt idx="20">
                  <c:v>IX-13</c:v>
                </c:pt>
                <c:pt idx="21">
                  <c:v>X-13</c:v>
                </c:pt>
                <c:pt idx="22">
                  <c:v>XI-13</c:v>
                </c:pt>
                <c:pt idx="23">
                  <c:v>XII-13</c:v>
                </c:pt>
                <c:pt idx="24">
                  <c:v>I-14</c:v>
                </c:pt>
                <c:pt idx="25">
                  <c:v>II-14</c:v>
                </c:pt>
                <c:pt idx="26">
                  <c:v>III-14</c:v>
                </c:pt>
                <c:pt idx="27">
                  <c:v>IV-14</c:v>
                </c:pt>
                <c:pt idx="28">
                  <c:v>V-14</c:v>
                </c:pt>
                <c:pt idx="29">
                  <c:v>VI-14</c:v>
                </c:pt>
                <c:pt idx="30">
                  <c:v>VII-14</c:v>
                </c:pt>
                <c:pt idx="31">
                  <c:v>VIII-14</c:v>
                </c:pt>
              </c:strCache>
            </c:strRef>
          </c:cat>
          <c:val>
            <c:numRef>
              <c:f>'cixis gareshe'!$B$10:$AG$10</c:f>
              <c:numCache>
                <c:formatCode>General</c:formatCode>
                <c:ptCount val="32"/>
                <c:pt idx="0">
                  <c:v>53</c:v>
                </c:pt>
                <c:pt idx="1">
                  <c:v>64</c:v>
                </c:pt>
                <c:pt idx="2">
                  <c:v>70</c:v>
                </c:pt>
                <c:pt idx="3">
                  <c:v>89</c:v>
                </c:pt>
                <c:pt idx="4">
                  <c:v>66</c:v>
                </c:pt>
                <c:pt idx="5">
                  <c:v>70</c:v>
                </c:pt>
                <c:pt idx="6">
                  <c:v>96</c:v>
                </c:pt>
                <c:pt idx="7">
                  <c:v>94</c:v>
                </c:pt>
                <c:pt idx="8">
                  <c:v>65</c:v>
                </c:pt>
                <c:pt idx="9">
                  <c:v>83</c:v>
                </c:pt>
                <c:pt idx="10">
                  <c:v>79</c:v>
                </c:pt>
                <c:pt idx="11">
                  <c:v>82</c:v>
                </c:pt>
                <c:pt idx="12">
                  <c:v>89</c:v>
                </c:pt>
                <c:pt idx="13">
                  <c:v>76</c:v>
                </c:pt>
                <c:pt idx="14">
                  <c:v>50</c:v>
                </c:pt>
                <c:pt idx="15">
                  <c:v>23</c:v>
                </c:pt>
                <c:pt idx="16">
                  <c:v>39</c:v>
                </c:pt>
                <c:pt idx="17">
                  <c:v>40</c:v>
                </c:pt>
                <c:pt idx="18">
                  <c:v>70</c:v>
                </c:pt>
                <c:pt idx="19">
                  <c:v>84</c:v>
                </c:pt>
                <c:pt idx="20">
                  <c:v>27</c:v>
                </c:pt>
                <c:pt idx="21">
                  <c:v>39</c:v>
                </c:pt>
                <c:pt idx="22">
                  <c:v>60</c:v>
                </c:pt>
                <c:pt idx="23">
                  <c:v>58</c:v>
                </c:pt>
                <c:pt idx="24">
                  <c:v>103</c:v>
                </c:pt>
                <c:pt idx="25">
                  <c:v>95</c:v>
                </c:pt>
                <c:pt idx="26">
                  <c:v>134</c:v>
                </c:pt>
                <c:pt idx="27">
                  <c:v>32</c:v>
                </c:pt>
                <c:pt idx="28">
                  <c:v>64</c:v>
                </c:pt>
                <c:pt idx="29">
                  <c:v>60</c:v>
                </c:pt>
                <c:pt idx="30">
                  <c:v>46</c:v>
                </c:pt>
                <c:pt idx="31">
                  <c:v>55</c:v>
                </c:pt>
              </c:numCache>
            </c:numRef>
          </c:val>
        </c:ser>
        <c:ser>
          <c:idx val="2"/>
          <c:order val="2"/>
          <c:tx>
            <c:strRef>
              <c:f>'cixis gareshe'!$A$11</c:f>
              <c:strCache>
                <c:ptCount val="1"/>
                <c:pt idx="0">
                  <c:v>თანმხლები კონსულტაცია</c:v>
                </c:pt>
              </c:strCache>
            </c:strRef>
          </c:tx>
          <c:dLbls>
            <c:delete val="1"/>
          </c:dLbls>
          <c:cat>
            <c:strRef>
              <c:f>'cixis gareshe'!$B$1:$AG$1</c:f>
              <c:strCache>
                <c:ptCount val="32"/>
                <c:pt idx="0">
                  <c:v>I-12</c:v>
                </c:pt>
                <c:pt idx="1">
                  <c:v>II-12</c:v>
                </c:pt>
                <c:pt idx="2">
                  <c:v>III-12</c:v>
                </c:pt>
                <c:pt idx="3">
                  <c:v>IV-12</c:v>
                </c:pt>
                <c:pt idx="4">
                  <c:v>V-12</c:v>
                </c:pt>
                <c:pt idx="5">
                  <c:v>VI-12</c:v>
                </c:pt>
                <c:pt idx="6">
                  <c:v>VII-12</c:v>
                </c:pt>
                <c:pt idx="7">
                  <c:v>VIII-12</c:v>
                </c:pt>
                <c:pt idx="8">
                  <c:v>IX-12</c:v>
                </c:pt>
                <c:pt idx="9">
                  <c:v>X-12</c:v>
                </c:pt>
                <c:pt idx="10">
                  <c:v>XI-12</c:v>
                </c:pt>
                <c:pt idx="11">
                  <c:v>XII-12</c:v>
                </c:pt>
                <c:pt idx="12">
                  <c:v>I-13</c:v>
                </c:pt>
                <c:pt idx="13">
                  <c:v>II-13</c:v>
                </c:pt>
                <c:pt idx="14">
                  <c:v>III-13</c:v>
                </c:pt>
                <c:pt idx="15">
                  <c:v>IV-13</c:v>
                </c:pt>
                <c:pt idx="16">
                  <c:v>V-13</c:v>
                </c:pt>
                <c:pt idx="17">
                  <c:v>VI-13</c:v>
                </c:pt>
                <c:pt idx="18">
                  <c:v>VII-13</c:v>
                </c:pt>
                <c:pt idx="19">
                  <c:v>VIII-13</c:v>
                </c:pt>
                <c:pt idx="20">
                  <c:v>IX-13</c:v>
                </c:pt>
                <c:pt idx="21">
                  <c:v>X-13</c:v>
                </c:pt>
                <c:pt idx="22">
                  <c:v>XI-13</c:v>
                </c:pt>
                <c:pt idx="23">
                  <c:v>XII-13</c:v>
                </c:pt>
                <c:pt idx="24">
                  <c:v>I-14</c:v>
                </c:pt>
                <c:pt idx="25">
                  <c:v>II-14</c:v>
                </c:pt>
                <c:pt idx="26">
                  <c:v>III-14</c:v>
                </c:pt>
                <c:pt idx="27">
                  <c:v>IV-14</c:v>
                </c:pt>
                <c:pt idx="28">
                  <c:v>V-14</c:v>
                </c:pt>
                <c:pt idx="29">
                  <c:v>VI-14</c:v>
                </c:pt>
                <c:pt idx="30">
                  <c:v>VII-14</c:v>
                </c:pt>
                <c:pt idx="31">
                  <c:v>VIII-14</c:v>
                </c:pt>
              </c:strCache>
            </c:strRef>
          </c:cat>
          <c:val>
            <c:numRef>
              <c:f>'cixis gareshe'!$B$11:$AG$11</c:f>
              <c:numCache>
                <c:formatCode>General</c:formatCode>
                <c:ptCount val="32"/>
                <c:pt idx="0">
                  <c:v>55</c:v>
                </c:pt>
                <c:pt idx="1">
                  <c:v>73</c:v>
                </c:pt>
                <c:pt idx="2">
                  <c:v>71</c:v>
                </c:pt>
                <c:pt idx="3">
                  <c:v>55</c:v>
                </c:pt>
                <c:pt idx="4">
                  <c:v>71</c:v>
                </c:pt>
                <c:pt idx="5">
                  <c:v>78</c:v>
                </c:pt>
                <c:pt idx="6">
                  <c:v>98</c:v>
                </c:pt>
                <c:pt idx="7">
                  <c:v>95</c:v>
                </c:pt>
                <c:pt idx="8">
                  <c:v>25</c:v>
                </c:pt>
                <c:pt idx="9">
                  <c:v>14</c:v>
                </c:pt>
                <c:pt idx="10">
                  <c:v>13</c:v>
                </c:pt>
                <c:pt idx="11">
                  <c:v>12</c:v>
                </c:pt>
                <c:pt idx="12">
                  <c:v>32</c:v>
                </c:pt>
                <c:pt idx="13">
                  <c:v>38</c:v>
                </c:pt>
                <c:pt idx="14">
                  <c:v>40</c:v>
                </c:pt>
                <c:pt idx="15">
                  <c:v>27</c:v>
                </c:pt>
                <c:pt idx="16">
                  <c:v>10</c:v>
                </c:pt>
                <c:pt idx="17">
                  <c:v>5</c:v>
                </c:pt>
                <c:pt idx="18">
                  <c:v>7</c:v>
                </c:pt>
                <c:pt idx="19">
                  <c:v>14</c:v>
                </c:pt>
                <c:pt idx="20">
                  <c:v>11</c:v>
                </c:pt>
                <c:pt idx="21">
                  <c:v>19</c:v>
                </c:pt>
                <c:pt idx="22">
                  <c:v>6</c:v>
                </c:pt>
                <c:pt idx="23">
                  <c:v>13</c:v>
                </c:pt>
                <c:pt idx="24">
                  <c:v>35</c:v>
                </c:pt>
                <c:pt idx="25">
                  <c:v>30</c:v>
                </c:pt>
                <c:pt idx="26">
                  <c:v>25</c:v>
                </c:pt>
                <c:pt idx="27">
                  <c:v>4</c:v>
                </c:pt>
                <c:pt idx="28">
                  <c:v>9</c:v>
                </c:pt>
                <c:pt idx="29">
                  <c:v>4</c:v>
                </c:pt>
                <c:pt idx="30">
                  <c:v>2</c:v>
                </c:pt>
                <c:pt idx="31">
                  <c:v>12</c:v>
                </c:pt>
              </c:numCache>
            </c:numRef>
          </c:val>
        </c:ser>
        <c:dLbls>
          <c:showVal val="1"/>
        </c:dLbls>
        <c:marker val="1"/>
        <c:axId val="67736320"/>
        <c:axId val="67737856"/>
      </c:lineChart>
      <c:catAx>
        <c:axId val="67736320"/>
        <c:scaling>
          <c:orientation val="minMax"/>
        </c:scaling>
        <c:axPos val="b"/>
        <c:majorTickMark val="none"/>
        <c:tickLblPos val="nextTo"/>
        <c:txPr>
          <a:bodyPr rot="-5400000"/>
          <a:lstStyle/>
          <a:p>
            <a:pPr>
              <a:defRPr/>
            </a:pPr>
            <a:endParaRPr lang="en-US"/>
          </a:p>
        </c:txPr>
        <c:crossAx val="67737856"/>
        <c:crosses val="autoZero"/>
        <c:auto val="1"/>
        <c:lblAlgn val="ctr"/>
        <c:lblOffset val="100"/>
      </c:catAx>
      <c:valAx>
        <c:axId val="67737856"/>
        <c:scaling>
          <c:orientation val="minMax"/>
        </c:scaling>
        <c:axPos val="l"/>
        <c:numFmt formatCode="General" sourceLinked="1"/>
        <c:tickLblPos val="nextTo"/>
        <c:crossAx val="67736320"/>
        <c:crosses val="autoZero"/>
        <c:crossBetween val="between"/>
      </c:valAx>
    </c:plotArea>
    <c:legend>
      <c:legendPos val="t"/>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400"/>
            </a:pPr>
            <a:r>
              <a:rPr lang="ka-GE" sz="1400" baseline="0"/>
              <a:t>პროგრამის შესრულება </a:t>
            </a:r>
            <a:r>
              <a:rPr lang="ka-GE" sz="1100" baseline="0"/>
              <a:t>საყოველთაოში ინტეგრირებული ბენეფიციარების პროცენტული  მაჩვენებელით</a:t>
            </a:r>
            <a:endParaRPr lang="en-US" sz="1100"/>
          </a:p>
        </c:rich>
      </c:tx>
      <c:layout>
        <c:manualLayout>
          <c:xMode val="edge"/>
          <c:yMode val="edge"/>
          <c:x val="0.10066025227673135"/>
          <c:y val="3.5650623885918005E-2"/>
        </c:manualLayout>
      </c:layout>
    </c:title>
    <c:view3D>
      <c:rAngAx val="1"/>
    </c:view3D>
    <c:plotArea>
      <c:layout/>
      <c:pie3DChart>
        <c:varyColors val="1"/>
        <c:ser>
          <c:idx val="0"/>
          <c:order val="0"/>
          <c:explosion val="25"/>
          <c:dPt>
            <c:idx val="2"/>
            <c:explosion val="42"/>
          </c:dPt>
          <c:dPt>
            <c:idx val="3"/>
            <c:explosion val="5"/>
          </c:dPt>
          <c:dLbls>
            <c:dLbl>
              <c:idx val="1"/>
              <c:layout>
                <c:manualLayout>
                  <c:x val="0.11257714124708158"/>
                  <c:y val="2.3832582424523276E-2"/>
                </c:manualLayout>
              </c:layout>
              <c:showCatName val="1"/>
              <c:showPercent val="1"/>
            </c:dLbl>
            <c:showCatName val="1"/>
            <c:showPercent val="1"/>
            <c:showLeaderLines val="1"/>
          </c:dLbls>
          <c:cat>
            <c:strRef>
              <c:f>(Sheet1!$D$2,Sheet1!$F$2,Sheet1!$H$2,Sheet1!$J$2)</c:f>
              <c:strCache>
                <c:ptCount val="4"/>
                <c:pt idx="0">
                  <c:v>პროგრამული</c:v>
                </c:pt>
                <c:pt idx="1">
                  <c:v>სასჯელაღსრულება</c:v>
                </c:pt>
                <c:pt idx="2">
                  <c:v>საყოველთაო ჯანდაცვაში ინტეგრირებული N165 დადგენილების ბენეფიციარები</c:v>
                </c:pt>
                <c:pt idx="3">
                  <c:v>საყოველთაო ჯანდაცვაში ინტეგრირებული N218 დადგენილების ბენეფიციარები</c:v>
                </c:pt>
              </c:strCache>
            </c:strRef>
          </c:cat>
          <c:val>
            <c:numRef>
              <c:f>(Sheet1!$D$10,Sheet1!$F$10,Sheet1!$H$10,Sheet1!$J$10)</c:f>
              <c:numCache>
                <c:formatCode>#,##0</c:formatCode>
                <c:ptCount val="4"/>
                <c:pt idx="0">
                  <c:v>1519782</c:v>
                </c:pt>
                <c:pt idx="1">
                  <c:v>208343</c:v>
                </c:pt>
                <c:pt idx="2">
                  <c:v>536012</c:v>
                </c:pt>
                <c:pt idx="3">
                  <c:v>516082</c:v>
                </c:pt>
              </c:numCache>
            </c:numRef>
          </c:val>
        </c:ser>
        <c:dLbls>
          <c:showCatName val="1"/>
          <c:showPercent val="1"/>
        </c:dLbls>
      </c:pie3DChart>
    </c:plotArea>
    <c:plotVisOnly val="1"/>
    <c:dispBlanksAs val="zero"/>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100"/>
            </a:pPr>
            <a:r>
              <a:rPr lang="ka-GE" sz="1100"/>
              <a:t>შემთხვევათა რაოდენობა ინტეგრირებულ ბენეციერებთა ჭრილში </a:t>
            </a:r>
            <a:endParaRPr lang="en-US" sz="1100"/>
          </a:p>
        </c:rich>
      </c:tx>
    </c:title>
    <c:view3D>
      <c:perspective val="30"/>
    </c:view3D>
    <c:plotArea>
      <c:layout/>
      <c:bar3DChart>
        <c:barDir val="bar"/>
        <c:grouping val="clustered"/>
        <c:ser>
          <c:idx val="0"/>
          <c:order val="0"/>
          <c:tx>
            <c:strRef>
              <c:f>Sheet1!$B$4</c:f>
              <c:strCache>
                <c:ptCount val="1"/>
                <c:pt idx="0">
                  <c:v>2013 წ. დეკემბერი</c:v>
                </c:pt>
              </c:strCache>
            </c:strRef>
          </c:tx>
          <c:dLbls>
            <c:showVal val="1"/>
          </c:dLbls>
          <c:cat>
            <c:strRef>
              <c:f>(Sheet1!$C$2:$C$3,Sheet1!$E$2:$E$3,Sheet1!$G$2:$G$3,Sheet1!$I$2:$I$3)</c:f>
              <c:strCache>
                <c:ptCount val="4"/>
                <c:pt idx="0">
                  <c:v>პროგრამული</c:v>
                </c:pt>
                <c:pt idx="1">
                  <c:v>სასჯელაღსრულება</c:v>
                </c:pt>
                <c:pt idx="2">
                  <c:v>საყოველთაო ჯანდაცვაში ინტეგრირებული N165 დადგენილების ბენეფიციარები</c:v>
                </c:pt>
                <c:pt idx="3">
                  <c:v>საყოველთაო ჯანდაცვაში ინტეგრირებული N218 დადგენილების ბენეფიციარები</c:v>
                </c:pt>
              </c:strCache>
            </c:strRef>
          </c:cat>
          <c:val>
            <c:numRef>
              <c:f>(Sheet1!$C$4,Sheet1!$E$4,Sheet1!$G$4,Sheet1!$I$4)</c:f>
            </c:numRef>
          </c:val>
        </c:ser>
        <c:ser>
          <c:idx val="1"/>
          <c:order val="1"/>
          <c:tx>
            <c:strRef>
              <c:f>Sheet1!$B$5</c:f>
              <c:strCache>
                <c:ptCount val="1"/>
                <c:pt idx="0">
                  <c:v>2014 წ. იანვარი</c:v>
                </c:pt>
              </c:strCache>
            </c:strRef>
          </c:tx>
          <c:dLbls>
            <c:showVal val="1"/>
          </c:dLbls>
          <c:cat>
            <c:strRef>
              <c:f>(Sheet1!$C$2:$C$3,Sheet1!$E$2:$E$3,Sheet1!$G$2:$G$3,Sheet1!$I$2:$I$3)</c:f>
              <c:strCache>
                <c:ptCount val="4"/>
                <c:pt idx="0">
                  <c:v>პროგრამული</c:v>
                </c:pt>
                <c:pt idx="1">
                  <c:v>სასჯელაღსრულება</c:v>
                </c:pt>
                <c:pt idx="2">
                  <c:v>საყოველთაო ჯანდაცვაში ინტეგრირებული N165 დადგენილების ბენეფიციარები</c:v>
                </c:pt>
                <c:pt idx="3">
                  <c:v>საყოველთაო ჯანდაცვაში ინტეგრირებული N218 დადგენილების ბენეფიციარები</c:v>
                </c:pt>
              </c:strCache>
            </c:strRef>
          </c:cat>
          <c:val>
            <c:numRef>
              <c:f>(Sheet1!$C$5,Sheet1!$E$5,Sheet1!$G$5,Sheet1!$I$5)</c:f>
              <c:numCache>
                <c:formatCode>General</c:formatCode>
                <c:ptCount val="4"/>
                <c:pt idx="0" formatCode="#,##0">
                  <c:v>1375</c:v>
                </c:pt>
                <c:pt idx="1">
                  <c:v>19</c:v>
                </c:pt>
                <c:pt idx="2">
                  <c:v>104</c:v>
                </c:pt>
                <c:pt idx="3">
                  <c:v>583</c:v>
                </c:pt>
              </c:numCache>
            </c:numRef>
          </c:val>
        </c:ser>
        <c:ser>
          <c:idx val="2"/>
          <c:order val="2"/>
          <c:tx>
            <c:strRef>
              <c:f>Sheet1!$B$6</c:f>
              <c:strCache>
                <c:ptCount val="1"/>
                <c:pt idx="0">
                  <c:v>2014 წ. თებერვალი</c:v>
                </c:pt>
              </c:strCache>
            </c:strRef>
          </c:tx>
          <c:dLbls>
            <c:showVal val="1"/>
          </c:dLbls>
          <c:cat>
            <c:strRef>
              <c:f>(Sheet1!$C$2:$C$3,Sheet1!$E$2:$E$3,Sheet1!$G$2:$G$3,Sheet1!$I$2:$I$3)</c:f>
              <c:strCache>
                <c:ptCount val="4"/>
                <c:pt idx="0">
                  <c:v>პროგრამული</c:v>
                </c:pt>
                <c:pt idx="1">
                  <c:v>სასჯელაღსრულება</c:v>
                </c:pt>
                <c:pt idx="2">
                  <c:v>საყოველთაო ჯანდაცვაში ინტეგრირებული N165 დადგენილების ბენეფიციარები</c:v>
                </c:pt>
                <c:pt idx="3">
                  <c:v>საყოველთაო ჯანდაცვაში ინტეგრირებული N218 დადგენილების ბენეფიციარები</c:v>
                </c:pt>
              </c:strCache>
            </c:strRef>
          </c:cat>
          <c:val>
            <c:numRef>
              <c:f>(Sheet1!$C$6,Sheet1!$E$6,Sheet1!$G$6,Sheet1!$I$6)</c:f>
              <c:numCache>
                <c:formatCode>General</c:formatCode>
                <c:ptCount val="4"/>
                <c:pt idx="0" formatCode="#,##0">
                  <c:v>1205</c:v>
                </c:pt>
                <c:pt idx="1">
                  <c:v>197</c:v>
                </c:pt>
                <c:pt idx="2">
                  <c:v>629</c:v>
                </c:pt>
                <c:pt idx="3">
                  <c:v>475</c:v>
                </c:pt>
              </c:numCache>
            </c:numRef>
          </c:val>
        </c:ser>
        <c:ser>
          <c:idx val="3"/>
          <c:order val="3"/>
          <c:tx>
            <c:strRef>
              <c:f>Sheet1!$B$7</c:f>
              <c:strCache>
                <c:ptCount val="1"/>
                <c:pt idx="0">
                  <c:v>2014 წ. მარტი</c:v>
                </c:pt>
              </c:strCache>
            </c:strRef>
          </c:tx>
          <c:dLbls>
            <c:showVal val="1"/>
          </c:dLbls>
          <c:cat>
            <c:strRef>
              <c:f>(Sheet1!$C$2:$C$3,Sheet1!$E$2:$E$3,Sheet1!$G$2:$G$3,Sheet1!$I$2:$I$3)</c:f>
              <c:strCache>
                <c:ptCount val="4"/>
                <c:pt idx="0">
                  <c:v>პროგრამული</c:v>
                </c:pt>
                <c:pt idx="1">
                  <c:v>სასჯელაღსრულება</c:v>
                </c:pt>
                <c:pt idx="2">
                  <c:v>საყოველთაო ჯანდაცვაში ინტეგრირებული N165 დადგენილების ბენეფიციარები</c:v>
                </c:pt>
                <c:pt idx="3">
                  <c:v>საყოველთაო ჯანდაცვაში ინტეგრირებული N218 დადგენილების ბენეფიციარები</c:v>
                </c:pt>
              </c:strCache>
            </c:strRef>
          </c:cat>
          <c:val>
            <c:numRef>
              <c:f>(Sheet1!$C$7,Sheet1!$E$7,Sheet1!$G$7,Sheet1!$I$7)</c:f>
              <c:numCache>
                <c:formatCode>General</c:formatCode>
                <c:ptCount val="4"/>
                <c:pt idx="0" formatCode="#,##0">
                  <c:v>1404</c:v>
                </c:pt>
                <c:pt idx="1">
                  <c:v>233</c:v>
                </c:pt>
                <c:pt idx="2">
                  <c:v>588</c:v>
                </c:pt>
                <c:pt idx="3">
                  <c:v>478</c:v>
                </c:pt>
              </c:numCache>
            </c:numRef>
          </c:val>
        </c:ser>
        <c:ser>
          <c:idx val="4"/>
          <c:order val="4"/>
          <c:tx>
            <c:strRef>
              <c:f>Sheet1!$B$8</c:f>
              <c:strCache>
                <c:ptCount val="1"/>
                <c:pt idx="0">
                  <c:v>2014 წ. აპრილი</c:v>
                </c:pt>
              </c:strCache>
            </c:strRef>
          </c:tx>
          <c:dLbls>
            <c:showVal val="1"/>
          </c:dLbls>
          <c:cat>
            <c:strRef>
              <c:f>(Sheet1!$C$2:$C$3,Sheet1!$E$2:$E$3,Sheet1!$G$2:$G$3,Sheet1!$I$2:$I$3)</c:f>
              <c:strCache>
                <c:ptCount val="4"/>
                <c:pt idx="0">
                  <c:v>პროგრამული</c:v>
                </c:pt>
                <c:pt idx="1">
                  <c:v>სასჯელაღსრულება</c:v>
                </c:pt>
                <c:pt idx="2">
                  <c:v>საყოველთაო ჯანდაცვაში ინტეგრირებული N165 დადგენილების ბენეფიციარები</c:v>
                </c:pt>
                <c:pt idx="3">
                  <c:v>საყოველთაო ჯანდაცვაში ინტეგრირებული N218 დადგენილების ბენეფიციარები</c:v>
                </c:pt>
              </c:strCache>
            </c:strRef>
          </c:cat>
          <c:val>
            <c:numRef>
              <c:f>(Sheet1!$C$8,Sheet1!$E$8,Sheet1!$G$8,Sheet1!$I$8)</c:f>
              <c:numCache>
                <c:formatCode>General</c:formatCode>
                <c:ptCount val="4"/>
                <c:pt idx="0" formatCode="#,##0">
                  <c:v>1459</c:v>
                </c:pt>
                <c:pt idx="1">
                  <c:v>203</c:v>
                </c:pt>
                <c:pt idx="2">
                  <c:v>616</c:v>
                </c:pt>
                <c:pt idx="3">
                  <c:v>632</c:v>
                </c:pt>
              </c:numCache>
            </c:numRef>
          </c:val>
        </c:ser>
        <c:ser>
          <c:idx val="5"/>
          <c:order val="5"/>
          <c:tx>
            <c:strRef>
              <c:f>Sheet1!$B$9</c:f>
              <c:strCache>
                <c:ptCount val="1"/>
                <c:pt idx="0">
                  <c:v>2014 წ. მაისი</c:v>
                </c:pt>
              </c:strCache>
            </c:strRef>
          </c:tx>
          <c:dLbls>
            <c:showVal val="1"/>
          </c:dLbls>
          <c:cat>
            <c:strRef>
              <c:f>(Sheet1!$C$2:$C$3,Sheet1!$E$2:$E$3,Sheet1!$G$2:$G$3,Sheet1!$I$2:$I$3)</c:f>
              <c:strCache>
                <c:ptCount val="4"/>
                <c:pt idx="0">
                  <c:v>პროგრამული</c:v>
                </c:pt>
                <c:pt idx="1">
                  <c:v>სასჯელაღსრულება</c:v>
                </c:pt>
                <c:pt idx="2">
                  <c:v>საყოველთაო ჯანდაცვაში ინტეგრირებული N165 დადგენილების ბენეფიციარები</c:v>
                </c:pt>
                <c:pt idx="3">
                  <c:v>საყოველთაო ჯანდაცვაში ინტეგრირებული N218 დადგენილების ბენეფიციარები</c:v>
                </c:pt>
              </c:strCache>
            </c:strRef>
          </c:cat>
          <c:val>
            <c:numRef>
              <c:f>(Sheet1!$C$9,Sheet1!$E$9,Sheet1!$G$9,Sheet1!$I$9)</c:f>
              <c:numCache>
                <c:formatCode>General</c:formatCode>
                <c:ptCount val="4"/>
                <c:pt idx="0" formatCode="#,##0">
                  <c:v>1205</c:v>
                </c:pt>
                <c:pt idx="1">
                  <c:v>185</c:v>
                </c:pt>
                <c:pt idx="2">
                  <c:v>493</c:v>
                </c:pt>
                <c:pt idx="3">
                  <c:v>908</c:v>
                </c:pt>
              </c:numCache>
            </c:numRef>
          </c:val>
        </c:ser>
        <c:dLbls>
          <c:showVal val="1"/>
        </c:dLbls>
        <c:gapWidth val="95"/>
        <c:gapDepth val="95"/>
        <c:shape val="box"/>
        <c:axId val="67831296"/>
        <c:axId val="67832832"/>
        <c:axId val="0"/>
      </c:bar3DChart>
      <c:catAx>
        <c:axId val="67831296"/>
        <c:scaling>
          <c:orientation val="minMax"/>
        </c:scaling>
        <c:axPos val="l"/>
        <c:majorTickMark val="none"/>
        <c:tickLblPos val="nextTo"/>
        <c:crossAx val="67832832"/>
        <c:crosses val="autoZero"/>
        <c:auto val="1"/>
        <c:lblAlgn val="ctr"/>
        <c:lblOffset val="100"/>
      </c:catAx>
      <c:valAx>
        <c:axId val="67832832"/>
        <c:scaling>
          <c:orientation val="minMax"/>
        </c:scaling>
        <c:delete val="1"/>
        <c:axPos val="b"/>
        <c:numFmt formatCode="#,##0" sourceLinked="1"/>
        <c:tickLblPos val="nextTo"/>
        <c:crossAx val="67831296"/>
        <c:crosses val="autoZero"/>
        <c:crossBetween val="between"/>
      </c:valAx>
    </c:plotArea>
    <c:plotVisOnly val="1"/>
    <c:dispBlanksAs val="gap"/>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style val="40"/>
  <c:chart>
    <c:title>
      <c:tx>
        <c:rich>
          <a:bodyPr/>
          <a:lstStyle/>
          <a:p>
            <a:pPr>
              <a:defRPr sz="1100"/>
            </a:pPr>
            <a:r>
              <a:rPr lang="ka-GE" sz="1100"/>
              <a:t>რეფერალის მიმღები დაწესებულებები (რეანიმაციის სიმძლავრე 11-60 საწოლი) 2013 წელი</a:t>
            </a:r>
            <a:endParaRPr lang="en-US" sz="1100"/>
          </a:p>
        </c:rich>
      </c:tx>
      <c:layout>
        <c:manualLayout>
          <c:xMode val="edge"/>
          <c:yMode val="edge"/>
          <c:x val="0.16353953780090241"/>
          <c:y val="8.403361344537813E-3"/>
        </c:manualLayout>
      </c:layout>
    </c:title>
    <c:plotArea>
      <c:layout>
        <c:manualLayout>
          <c:layoutTarget val="inner"/>
          <c:xMode val="edge"/>
          <c:yMode val="edge"/>
          <c:x val="0.3923235749377505"/>
          <c:y val="8.7601229333512803E-2"/>
          <c:w val="0.4892258160037688"/>
          <c:h val="0.83836830652578764"/>
        </c:manualLayout>
      </c:layout>
      <c:barChart>
        <c:barDir val="bar"/>
        <c:grouping val="clustered"/>
        <c:ser>
          <c:idx val="0"/>
          <c:order val="0"/>
          <c:tx>
            <c:strRef>
              <c:f>'ტრანსპორტირება 2013'!$C$2</c:f>
              <c:strCache>
                <c:ptCount val="1"/>
                <c:pt idx="0">
                  <c:v>რეანიმაციული საწოლები</c:v>
                </c:pt>
              </c:strCache>
            </c:strRef>
          </c:tx>
          <c:dLbls>
            <c:dLblPos val="outEnd"/>
            <c:showVal val="1"/>
          </c:dLbls>
          <c:cat>
            <c:strRef>
              <c:f>'ტრანსპორტირება 2013'!$B$3:$B$25</c:f>
              <c:strCache>
                <c:ptCount val="22"/>
                <c:pt idx="0">
                  <c:v>შპს მ. იაშვილის სახელობის ბავშვთა ცენტრალური საავადმყოფო</c:v>
                </c:pt>
                <c:pt idx="1">
                  <c:v>შ.პ.ს. ბავშვთა ახალი კლინიკა </c:v>
                </c:pt>
                <c:pt idx="2">
                  <c:v>შ.პ.ს. მაღალი სამედიცინო ტექნოლოგიების ცენტრი, საუნივერსიტეტო კლინიკა</c:v>
                </c:pt>
                <c:pt idx="3">
                  <c:v>შპს. აკად. ო. ღუდუშაურის სახელობის ეროვნული სამედიცინო ცენტრი</c:v>
                </c:pt>
                <c:pt idx="4">
                  <c:v>ს.ს. ,,კ. ერისთავის სახ. ექსპერიმენტული და კლინიკური ქირურუგიის ეროვნული ცენტრი"</c:v>
                </c:pt>
                <c:pt idx="5">
                  <c:v>შპს „ნიუ ჰოსპიტალს“ </c:v>
                </c:pt>
                <c:pt idx="6">
                  <c:v>შპს ამტელ ჰოსპიტალ პირველი კლინიკური</c:v>
                </c:pt>
                <c:pt idx="7">
                  <c:v>შპს სხივური დიაგნოსტიკის ცენტრი–დიღომი</c:v>
                </c:pt>
                <c:pt idx="8">
                  <c:v>შ.პ.ს. ტუბერკულოზისა და ფილტვის დაავადებათა ეროვნული ცენტრი </c:v>
                </c:pt>
                <c:pt idx="9">
                  <c:v>შ.პ.ს "მედჯორჯია" </c:v>
                </c:pt>
                <c:pt idx="10">
                  <c:v>შ.პ.ს. "პირველი კლინიკური შპს" </c:v>
                </c:pt>
                <c:pt idx="11">
                  <c:v>შპს წმინდა მიქაელის  მრავალპროფილიანი კლინიკური საავადმყოფო </c:v>
                </c:pt>
                <c:pt idx="12">
                  <c:v>შპს „რეფერალური ჰოსპიტალი 2012“</c:v>
                </c:pt>
                <c:pt idx="13">
                  <c:v>შპს „აკად. გ. ჩაფიძის სახელობის გადაუდებელი კარდიოლოგიის ცენტრი“ </c:v>
                </c:pt>
                <c:pt idx="14">
                  <c:v>თბილისის სახელმწიფო სამედიცინო უნივერსიტეტის გივი ჟვანიას სახ.პედიატრიის აკადემიური კლინიკა</c:v>
                </c:pt>
                <c:pt idx="15">
                  <c:v>სს ინფექციური, შიდსისა და კლინიკური იმუნოლოგიის სპც </c:v>
                </c:pt>
                <c:pt idx="16">
                  <c:v>შ.პ.ს ტრავმატლოგი </c:v>
                </c:pt>
                <c:pt idx="17">
                  <c:v>შპს "აკად. ნ. ყიფშიძის სახ. ცენტრალური საუნივერსიტეტო კლინიკა" </c:v>
                </c:pt>
                <c:pt idx="18">
                  <c:v>შპს "კრიტიკული მედიცინის ინსტიტუტი"</c:v>
                </c:pt>
                <c:pt idx="19">
                  <c:v> სს ალ.წულუკიძის სახ.უროლოგიის ეროვნული ცენტრი </c:v>
                </c:pt>
                <c:pt idx="20">
                  <c:v>შ.პ.ს. "ს.ხეჩინაშვილის სახელობის საუნივერსიტეტო კლინიკა"</c:v>
                </c:pt>
                <c:pt idx="21">
                  <c:v>ა.ა.ი.პ "ჯო ენის სახელობის სამედიცინო ცენტრი" </c:v>
                </c:pt>
              </c:strCache>
            </c:strRef>
          </c:cat>
          <c:val>
            <c:numRef>
              <c:f>'ტრანსპორტირება 2013'!$C$3:$C$25</c:f>
            </c:numRef>
          </c:val>
        </c:ser>
        <c:ser>
          <c:idx val="1"/>
          <c:order val="1"/>
          <c:tx>
            <c:strRef>
              <c:f>'ტრანსპორტირება 2013'!$D$2</c:f>
              <c:strCache>
                <c:ptCount val="1"/>
              </c:strCache>
            </c:strRef>
          </c:tx>
          <c:dLbls>
            <c:dLblPos val="outEnd"/>
            <c:showVal val="1"/>
          </c:dLbls>
          <c:cat>
            <c:strRef>
              <c:f>'ტრანსპორტირება 2013'!$B$3:$B$25</c:f>
              <c:strCache>
                <c:ptCount val="22"/>
                <c:pt idx="0">
                  <c:v>შპს მ. იაშვილის სახელობის ბავშვთა ცენტრალური საავადმყოფო</c:v>
                </c:pt>
                <c:pt idx="1">
                  <c:v>შ.პ.ს. ბავშვთა ახალი კლინიკა </c:v>
                </c:pt>
                <c:pt idx="2">
                  <c:v>შ.პ.ს. მაღალი სამედიცინო ტექნოლოგიების ცენტრი, საუნივერსიტეტო კლინიკა</c:v>
                </c:pt>
                <c:pt idx="3">
                  <c:v>შპს. აკად. ო. ღუდუშაურის სახელობის ეროვნული სამედიცინო ცენტრი</c:v>
                </c:pt>
                <c:pt idx="4">
                  <c:v>ს.ს. ,,კ. ერისთავის სახ. ექსპერიმენტული და კლინიკური ქირურუგიის ეროვნული ცენტრი"</c:v>
                </c:pt>
                <c:pt idx="5">
                  <c:v>შპს „ნიუ ჰოსპიტალს“ </c:v>
                </c:pt>
                <c:pt idx="6">
                  <c:v>შპს ამტელ ჰოსპიტალ პირველი კლინიკური</c:v>
                </c:pt>
                <c:pt idx="7">
                  <c:v>შპს სხივური დიაგნოსტიკის ცენტრი–დიღომი</c:v>
                </c:pt>
                <c:pt idx="8">
                  <c:v>შ.პ.ს. ტუბერკულოზისა და ფილტვის დაავადებათა ეროვნული ცენტრი </c:v>
                </c:pt>
                <c:pt idx="9">
                  <c:v>შ.პ.ს "მედჯორჯია" </c:v>
                </c:pt>
                <c:pt idx="10">
                  <c:v>შ.პ.ს. "პირველი კლინიკური შპს" </c:v>
                </c:pt>
                <c:pt idx="11">
                  <c:v>შპს წმინდა მიქაელის  მრავალპროფილიანი კლინიკური საავადმყოფო </c:v>
                </c:pt>
                <c:pt idx="12">
                  <c:v>შპს „რეფერალური ჰოსპიტალი 2012“</c:v>
                </c:pt>
                <c:pt idx="13">
                  <c:v>შპს „აკად. გ. ჩაფიძის სახელობის გადაუდებელი კარდიოლოგიის ცენტრი“ </c:v>
                </c:pt>
                <c:pt idx="14">
                  <c:v>თბილისის სახელმწიფო სამედიცინო უნივერსიტეტის გივი ჟვანიას სახ.პედიატრიის აკადემიური კლინიკა</c:v>
                </c:pt>
                <c:pt idx="15">
                  <c:v>სს ინფექციური, შიდსისა და კლინიკური იმუნოლოგიის სპც </c:v>
                </c:pt>
                <c:pt idx="16">
                  <c:v>შ.პ.ს ტრავმატლოგი </c:v>
                </c:pt>
                <c:pt idx="17">
                  <c:v>შპს "აკად. ნ. ყიფშიძის სახ. ცენტრალური საუნივერსიტეტო კლინიკა" </c:v>
                </c:pt>
                <c:pt idx="18">
                  <c:v>შპს "კრიტიკული მედიცინის ინსტიტუტი"</c:v>
                </c:pt>
                <c:pt idx="19">
                  <c:v> სს ალ.წულუკიძის სახ.უროლოგიის ეროვნული ცენტრი </c:v>
                </c:pt>
                <c:pt idx="20">
                  <c:v>შ.პ.ს. "ს.ხეჩინაშვილის სახელობის საუნივერსიტეტო კლინიკა"</c:v>
                </c:pt>
                <c:pt idx="21">
                  <c:v>ა.ა.ი.პ "ჯო ენის სახელობის სამედიცინო ცენტრი" </c:v>
                </c:pt>
              </c:strCache>
            </c:strRef>
          </c:cat>
          <c:val>
            <c:numRef>
              <c:f>'ტრანსპორტირება 2013'!$D$3:$D$25</c:f>
            </c:numRef>
          </c:val>
        </c:ser>
        <c:ser>
          <c:idx val="2"/>
          <c:order val="2"/>
          <c:tx>
            <c:strRef>
              <c:f>'ტრანსპორტირება 2013'!$C$2:$E$2</c:f>
              <c:strCache>
                <c:ptCount val="1"/>
                <c:pt idx="0">
                  <c:v>რეანიმაციული საწოლები</c:v>
                </c:pt>
              </c:strCache>
            </c:strRef>
          </c:tx>
          <c:dLbls>
            <c:dLblPos val="outEnd"/>
            <c:showVal val="1"/>
          </c:dLbls>
          <c:cat>
            <c:strRef>
              <c:f>'ტრანსპორტირება 2013'!$B$3:$B$25</c:f>
              <c:strCache>
                <c:ptCount val="22"/>
                <c:pt idx="0">
                  <c:v>შპს მ. იაშვილის სახელობის ბავშვთა ცენტრალური საავადმყოფო</c:v>
                </c:pt>
                <c:pt idx="1">
                  <c:v>შ.პ.ს. ბავშვთა ახალი კლინიკა </c:v>
                </c:pt>
                <c:pt idx="2">
                  <c:v>შ.პ.ს. მაღალი სამედიცინო ტექნოლოგიების ცენტრი, საუნივერსიტეტო კლინიკა</c:v>
                </c:pt>
                <c:pt idx="3">
                  <c:v>შპს. აკად. ო. ღუდუშაურის სახელობის ეროვნული სამედიცინო ცენტრი</c:v>
                </c:pt>
                <c:pt idx="4">
                  <c:v>ს.ს. ,,კ. ერისთავის სახ. ექსპერიმენტული და კლინიკური ქირურუგიის ეროვნული ცენტრი"</c:v>
                </c:pt>
                <c:pt idx="5">
                  <c:v>შპს „ნიუ ჰოსპიტალს“ </c:v>
                </c:pt>
                <c:pt idx="6">
                  <c:v>შპს ამტელ ჰოსპიტალ პირველი კლინიკური</c:v>
                </c:pt>
                <c:pt idx="7">
                  <c:v>შპს სხივური დიაგნოსტიკის ცენტრი–დიღომი</c:v>
                </c:pt>
                <c:pt idx="8">
                  <c:v>შ.პ.ს. ტუბერკულოზისა და ფილტვის დაავადებათა ეროვნული ცენტრი </c:v>
                </c:pt>
                <c:pt idx="9">
                  <c:v>შ.პ.ს "მედჯორჯია" </c:v>
                </c:pt>
                <c:pt idx="10">
                  <c:v>შ.პ.ს. "პირველი კლინიკური შპს" </c:v>
                </c:pt>
                <c:pt idx="11">
                  <c:v>შპს წმინდა მიქაელის  მრავალპროფილიანი კლინიკური საავადმყოფო </c:v>
                </c:pt>
                <c:pt idx="12">
                  <c:v>შპს „რეფერალური ჰოსპიტალი 2012“</c:v>
                </c:pt>
                <c:pt idx="13">
                  <c:v>შპს „აკად. გ. ჩაფიძის სახელობის გადაუდებელი კარდიოლოგიის ცენტრი“ </c:v>
                </c:pt>
                <c:pt idx="14">
                  <c:v>თბილისის სახელმწიფო სამედიცინო უნივერსიტეტის გივი ჟვანიას სახ.პედიატრიის აკადემიური კლინიკა</c:v>
                </c:pt>
                <c:pt idx="15">
                  <c:v>სს ინფექციური, შიდსისა და კლინიკური იმუნოლოგიის სპც </c:v>
                </c:pt>
                <c:pt idx="16">
                  <c:v>შ.პ.ს ტრავმატლოგი </c:v>
                </c:pt>
                <c:pt idx="17">
                  <c:v>შპს "აკად. ნ. ყიფშიძის სახ. ცენტრალური საუნივერსიტეტო კლინიკა" </c:v>
                </c:pt>
                <c:pt idx="18">
                  <c:v>შპს "კრიტიკული მედიცინის ინსტიტუტი"</c:v>
                </c:pt>
                <c:pt idx="19">
                  <c:v> სს ალ.წულუკიძის სახ.უროლოგიის ეროვნული ცენტრი </c:v>
                </c:pt>
                <c:pt idx="20">
                  <c:v>შ.პ.ს. "ს.ხეჩინაშვილის სახელობის საუნივერსიტეტო კლინიკა"</c:v>
                </c:pt>
                <c:pt idx="21">
                  <c:v>ა.ა.ი.პ "ჯო ენის სახელობის სამედიცინო ცენტრი" </c:v>
                </c:pt>
              </c:strCache>
            </c:strRef>
          </c:cat>
          <c:val>
            <c:numRef>
              <c:f>'ტრანსპორტირება 2013'!$E$3:$E$25</c:f>
              <c:numCache>
                <c:formatCode>General</c:formatCode>
                <c:ptCount val="22"/>
                <c:pt idx="0">
                  <c:v>60</c:v>
                </c:pt>
                <c:pt idx="1">
                  <c:v>51</c:v>
                </c:pt>
                <c:pt idx="2">
                  <c:v>50</c:v>
                </c:pt>
                <c:pt idx="3">
                  <c:v>29</c:v>
                </c:pt>
                <c:pt idx="4">
                  <c:v>25</c:v>
                </c:pt>
                <c:pt idx="5">
                  <c:v>24</c:v>
                </c:pt>
                <c:pt idx="6">
                  <c:v>19</c:v>
                </c:pt>
                <c:pt idx="7">
                  <c:v>17</c:v>
                </c:pt>
                <c:pt idx="8">
                  <c:v>17</c:v>
                </c:pt>
                <c:pt idx="9">
                  <c:v>16</c:v>
                </c:pt>
                <c:pt idx="10">
                  <c:v>16</c:v>
                </c:pt>
                <c:pt idx="11">
                  <c:v>15</c:v>
                </c:pt>
                <c:pt idx="12">
                  <c:v>15</c:v>
                </c:pt>
                <c:pt idx="13">
                  <c:v>14</c:v>
                </c:pt>
                <c:pt idx="14">
                  <c:v>14</c:v>
                </c:pt>
                <c:pt idx="15">
                  <c:v>13</c:v>
                </c:pt>
                <c:pt idx="16">
                  <c:v>12</c:v>
                </c:pt>
                <c:pt idx="17">
                  <c:v>12</c:v>
                </c:pt>
                <c:pt idx="18">
                  <c:v>12</c:v>
                </c:pt>
                <c:pt idx="19">
                  <c:v>12</c:v>
                </c:pt>
                <c:pt idx="20">
                  <c:v>11</c:v>
                </c:pt>
                <c:pt idx="21">
                  <c:v>11</c:v>
                </c:pt>
              </c:numCache>
            </c:numRef>
          </c:val>
        </c:ser>
        <c:ser>
          <c:idx val="3"/>
          <c:order val="3"/>
          <c:tx>
            <c:strRef>
              <c:f>'ტრანსპორტირება 2013'!$R$2</c:f>
              <c:strCache>
                <c:ptCount val="1"/>
                <c:pt idx="0">
                  <c:v>მიღებული რეფერალი  </c:v>
                </c:pt>
              </c:strCache>
            </c:strRef>
          </c:tx>
          <c:dPt>
            <c:idx val="3"/>
            <c:spPr>
              <a:solidFill>
                <a:srgbClr val="FF0000"/>
              </a:solidFill>
            </c:spPr>
          </c:dPt>
          <c:dLbls>
            <c:dLblPos val="outEnd"/>
            <c:showVal val="1"/>
          </c:dLbls>
          <c:cat>
            <c:strRef>
              <c:f>'ტრანსპორტირება 2013'!$B$3:$B$25</c:f>
              <c:strCache>
                <c:ptCount val="22"/>
                <c:pt idx="0">
                  <c:v>შპს მ. იაშვილის სახელობის ბავშვთა ცენტრალური საავადმყოფო</c:v>
                </c:pt>
                <c:pt idx="1">
                  <c:v>შ.პ.ს. ბავშვთა ახალი კლინიკა </c:v>
                </c:pt>
                <c:pt idx="2">
                  <c:v>შ.პ.ს. მაღალი სამედიცინო ტექნოლოგიების ცენტრი, საუნივერსიტეტო კლინიკა</c:v>
                </c:pt>
                <c:pt idx="3">
                  <c:v>შპს. აკად. ო. ღუდუშაურის სახელობის ეროვნული სამედიცინო ცენტრი</c:v>
                </c:pt>
                <c:pt idx="4">
                  <c:v>ს.ს. ,,კ. ერისთავის სახ. ექსპერიმენტული და კლინიკური ქირურუგიის ეროვნული ცენტრი"</c:v>
                </c:pt>
                <c:pt idx="5">
                  <c:v>შპს „ნიუ ჰოსპიტალს“ </c:v>
                </c:pt>
                <c:pt idx="6">
                  <c:v>შპს ამტელ ჰოსპიტალ პირველი კლინიკური</c:v>
                </c:pt>
                <c:pt idx="7">
                  <c:v>შპს სხივური დიაგნოსტიკის ცენტრი–დიღომი</c:v>
                </c:pt>
                <c:pt idx="8">
                  <c:v>შ.პ.ს. ტუბერკულოზისა და ფილტვის დაავადებათა ეროვნული ცენტრი </c:v>
                </c:pt>
                <c:pt idx="9">
                  <c:v>შ.პ.ს "მედჯორჯია" </c:v>
                </c:pt>
                <c:pt idx="10">
                  <c:v>შ.პ.ს. "პირველი კლინიკური შპს" </c:v>
                </c:pt>
                <c:pt idx="11">
                  <c:v>შპს წმინდა მიქაელის  მრავალპროფილიანი კლინიკური საავადმყოფო </c:v>
                </c:pt>
                <c:pt idx="12">
                  <c:v>შპს „რეფერალური ჰოსპიტალი 2012“</c:v>
                </c:pt>
                <c:pt idx="13">
                  <c:v>შპს „აკად. გ. ჩაფიძის სახელობის გადაუდებელი კარდიოლოგიის ცენტრი“ </c:v>
                </c:pt>
                <c:pt idx="14">
                  <c:v>თბილისის სახელმწიფო სამედიცინო უნივერსიტეტის გივი ჟვანიას სახ.პედიატრიის აკადემიური კლინიკა</c:v>
                </c:pt>
                <c:pt idx="15">
                  <c:v>სს ინფექციური, შიდსისა და კლინიკური იმუნოლოგიის სპც </c:v>
                </c:pt>
                <c:pt idx="16">
                  <c:v>შ.პ.ს ტრავმატლოგი </c:v>
                </c:pt>
                <c:pt idx="17">
                  <c:v>შპს "აკად. ნ. ყიფშიძის სახ. ცენტრალური საუნივერსიტეტო კლინიკა" </c:v>
                </c:pt>
                <c:pt idx="18">
                  <c:v>შპს "კრიტიკული მედიცინის ინსტიტუტი"</c:v>
                </c:pt>
                <c:pt idx="19">
                  <c:v> სს ალ.წულუკიძის სახ.უროლოგიის ეროვნული ცენტრი </c:v>
                </c:pt>
                <c:pt idx="20">
                  <c:v>შ.პ.ს. "ს.ხეჩინაშვილის სახელობის საუნივერსიტეტო კლინიკა"</c:v>
                </c:pt>
                <c:pt idx="21">
                  <c:v>ა.ა.ი.პ "ჯო ენის სახელობის სამედიცინო ცენტრი" </c:v>
                </c:pt>
              </c:strCache>
            </c:strRef>
          </c:cat>
          <c:val>
            <c:numRef>
              <c:f>'ტრანსპორტირება 2013'!$R$3:$R$25</c:f>
              <c:numCache>
                <c:formatCode>General</c:formatCode>
                <c:ptCount val="22"/>
                <c:pt idx="0">
                  <c:v>379</c:v>
                </c:pt>
                <c:pt idx="1">
                  <c:v>146</c:v>
                </c:pt>
                <c:pt idx="2">
                  <c:v>263</c:v>
                </c:pt>
                <c:pt idx="3">
                  <c:v>982</c:v>
                </c:pt>
                <c:pt idx="4">
                  <c:v>405</c:v>
                </c:pt>
                <c:pt idx="5">
                  <c:v>173</c:v>
                </c:pt>
                <c:pt idx="6">
                  <c:v>156</c:v>
                </c:pt>
                <c:pt idx="7">
                  <c:v>331</c:v>
                </c:pt>
                <c:pt idx="8">
                  <c:v>117</c:v>
                </c:pt>
                <c:pt idx="9">
                  <c:v>44</c:v>
                </c:pt>
                <c:pt idx="10">
                  <c:v>200</c:v>
                </c:pt>
                <c:pt idx="11">
                  <c:v>393</c:v>
                </c:pt>
                <c:pt idx="12">
                  <c:v>68</c:v>
                </c:pt>
                <c:pt idx="13">
                  <c:v>310</c:v>
                </c:pt>
                <c:pt idx="14">
                  <c:v>64</c:v>
                </c:pt>
                <c:pt idx="15">
                  <c:v>217</c:v>
                </c:pt>
                <c:pt idx="16">
                  <c:v>227</c:v>
                </c:pt>
                <c:pt idx="17">
                  <c:v>307</c:v>
                </c:pt>
                <c:pt idx="18">
                  <c:v>89</c:v>
                </c:pt>
                <c:pt idx="19">
                  <c:v>30</c:v>
                </c:pt>
                <c:pt idx="20">
                  <c:v>50</c:v>
                </c:pt>
                <c:pt idx="21">
                  <c:v>106</c:v>
                </c:pt>
              </c:numCache>
            </c:numRef>
          </c:val>
        </c:ser>
        <c:dLbls>
          <c:showVal val="1"/>
        </c:dLbls>
        <c:axId val="68170112"/>
        <c:axId val="68171648"/>
      </c:barChart>
      <c:catAx>
        <c:axId val="68170112"/>
        <c:scaling>
          <c:orientation val="minMax"/>
        </c:scaling>
        <c:axPos val="l"/>
        <c:tickLblPos val="nextTo"/>
        <c:txPr>
          <a:bodyPr/>
          <a:lstStyle/>
          <a:p>
            <a:pPr>
              <a:defRPr sz="800"/>
            </a:pPr>
            <a:endParaRPr lang="en-US"/>
          </a:p>
        </c:txPr>
        <c:crossAx val="68171648"/>
        <c:crosses val="autoZero"/>
        <c:lblAlgn val="ctr"/>
        <c:lblOffset val="100"/>
      </c:catAx>
      <c:valAx>
        <c:axId val="68171648"/>
        <c:scaling>
          <c:orientation val="minMax"/>
        </c:scaling>
        <c:axPos val="b"/>
        <c:majorGridlines/>
        <c:numFmt formatCode="General" sourceLinked="1"/>
        <c:tickLblPos val="nextTo"/>
        <c:crossAx val="68170112"/>
        <c:crosses val="autoZero"/>
        <c:crossBetween val="between"/>
      </c:valAx>
    </c:plotArea>
    <c:legend>
      <c:legendPos val="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style val="40"/>
  <c:chart>
    <c:title>
      <c:tx>
        <c:rich>
          <a:bodyPr/>
          <a:lstStyle/>
          <a:p>
            <a:pPr>
              <a:defRPr lang="en-US"/>
            </a:pPr>
            <a:r>
              <a:rPr lang="ka-GE"/>
              <a:t>რეფერალის მიმღები დაწესებულებები (რეანიმაციის სიმძლავრე 0-10 საწოლი) 2013 წელი</a:t>
            </a:r>
            <a:endParaRPr lang="en-US"/>
          </a:p>
        </c:rich>
      </c:tx>
    </c:title>
    <c:plotArea>
      <c:layout>
        <c:manualLayout>
          <c:layoutTarget val="inner"/>
          <c:xMode val="edge"/>
          <c:yMode val="edge"/>
          <c:x val="0.43848551354289073"/>
          <c:y val="7.3960106688446783E-2"/>
          <c:w val="0.48237289451446735"/>
          <c:h val="0.8593912632882017"/>
        </c:manualLayout>
      </c:layout>
      <c:barChart>
        <c:barDir val="bar"/>
        <c:grouping val="clustered"/>
        <c:ser>
          <c:idx val="0"/>
          <c:order val="0"/>
          <c:tx>
            <c:strRef>
              <c:f>'მცირე სიმძლავრის'!$C$1</c:f>
              <c:strCache>
                <c:ptCount val="1"/>
                <c:pt idx="0">
                  <c:v>რეანიმაციული საწოლები</c:v>
                </c:pt>
              </c:strCache>
            </c:strRef>
          </c:tx>
          <c:dLbls>
            <c:showVal val="1"/>
          </c:dLbls>
          <c:cat>
            <c:strRef>
              <c:f>'მცირე სიმძლავრის'!$B$2:$B$33</c:f>
              <c:strCache>
                <c:ptCount val="32"/>
                <c:pt idx="0">
                  <c:v>ვ.ბოჭორიშვილის სახ.სეფსისის საწინააღმდეგო ცენტრი</c:v>
                </c:pt>
                <c:pt idx="1">
                  <c:v>ქ. თბილისი შპს ,, # 5 კლინიკური საავადმყოფო'' </c:v>
                </c:pt>
                <c:pt idx="2">
                  <c:v>შპს "ელიზაბეტ ბლექველის ჰოსპიტალი" </c:v>
                </c:pt>
                <c:pt idx="3">
                  <c:v>შპს "თბილისის ცენტრალური საავადმყოფო"</c:v>
                </c:pt>
                <c:pt idx="4">
                  <c:v>შპს "სისხლძარღვთა და გულის დაავადებათა ცენტრი</c:v>
                </c:pt>
                <c:pt idx="5">
                  <c:v>ს.ს. ”უნივერსალური სამედიცინო ცენტრი” </c:v>
                </c:pt>
                <c:pt idx="6">
                  <c:v>შპს “გადაუდებელი ქირურგიისა და ტრავმატოლოგიის ცენტრი“</c:v>
                </c:pt>
                <c:pt idx="7">
                  <c:v>შპს "საქართველოს საპატრიარქოს წმინდა იოაკიმე და ანას სახელობის სამედიცინო ცენტრი"</c:v>
                </c:pt>
                <c:pt idx="8">
                  <c:v>საქართველოს საპატრირქოს თერაპიული კლინიკა "უპოვართათვის" და მისი განვითარების ფონდი </c:v>
                </c:pt>
                <c:pt idx="9">
                  <c:v>შ.პ.ს "ადაპტი" ანგიოკარდიოლოგიური კლინიკია</c:v>
                </c:pt>
                <c:pt idx="10">
                  <c:v>შპს "გადაუდებელი დახმარებისა და ქირურგიის ცენტრი ჰიგია"</c:v>
                </c:pt>
                <c:pt idx="11">
                  <c:v>შპს "ჰელს მენეჯმენტ ენდ კონსალტინგ" </c:v>
                </c:pt>
                <c:pt idx="12">
                  <c:v>შპს "ავერსის კლინიკა" </c:v>
                </c:pt>
                <c:pt idx="13">
                  <c:v>თსსუ აკად. ალ.ალადაშვილის სახ. საუნივერსიტეტო კლინიკა</c:v>
                </c:pt>
                <c:pt idx="14">
                  <c:v>მედიქლაბჯორჯია </c:v>
                </c:pt>
                <c:pt idx="15">
                  <c:v>შპს "ღია გული" </c:v>
                </c:pt>
                <c:pt idx="16">
                  <c:v>შპს ,,სამკურნალო სადიაგნოსტიკო ცენტრი სამგორი მედი" </c:v>
                </c:pt>
                <c:pt idx="17">
                  <c:v>შ.პ.ს ვ. სანიკიძის სახ. ომის ვეტერანთა კლინიკური ჰოსპიტალი</c:v>
                </c:pt>
                <c:pt idx="18">
                  <c:v>მარდალეიშვილის სამედიცინო ცენტრი შპს "უჯრედული ტექნოლოგიებისა და თერაპიის ცენტრი" </c:v>
                </c:pt>
                <c:pt idx="19">
                  <c:v>შპს თბილისის გულისა და სისხლძარღვთა კლინიკა</c:v>
                </c:pt>
                <c:pt idx="20">
                  <c:v>შპს "რედი"აკ.ზაალ კახიანის სახელობის კლინია</c:v>
                </c:pt>
                <c:pt idx="21">
                  <c:v>საქართველო ისრაელის ერთობლივი ქირურგიული კლინიკა შპს "გიდმედი"</c:v>
                </c:pt>
                <c:pt idx="22">
                  <c:v>შპს "ექიმთა დახელოვნების უროლოგიისა და გადაუდებელი დახმარების კლინიკა"</c:v>
                </c:pt>
                <c:pt idx="23">
                  <c:v>კლინიკური მედიცინის სამეცნიერო–კვლევითი ინსტიტუტი</c:v>
                </c:pt>
                <c:pt idx="24">
                  <c:v>შპს „ალექსანდრე ალადაშვილის სახელობის კლინიკა“ </c:v>
                </c:pt>
                <c:pt idx="25">
                  <c:v>ს.ს. "თანამედროვე სამედიცინო ტექნოლოგიები"</c:v>
                </c:pt>
                <c:pt idx="26">
                  <c:v>შპს დავით ტატიშვილის სამედიცინო ცენტრი</c:v>
                </c:pt>
                <c:pt idx="27">
                  <c:v>შპს “ალსს" </c:v>
                </c:pt>
                <c:pt idx="28">
                  <c:v>შ.პ.ს.,,ი.ჟორდანიას სახ.ადამიანის რეპროდუქციის ს/კ ინსტიტუტი"</c:v>
                </c:pt>
                <c:pt idx="29">
                  <c:v>შპს"ჰერა 2011"</c:v>
                </c:pt>
                <c:pt idx="30">
                  <c:v>შპს კარდიოლოგიური კლინიკა "გული" </c:v>
                </c:pt>
                <c:pt idx="31">
                  <c:v>შ.პ.ს "ახალი სიცოცხლე"</c:v>
                </c:pt>
              </c:strCache>
            </c:strRef>
          </c:cat>
          <c:val>
            <c:numRef>
              <c:f>'მცირე სიმძლავრის'!$C$2:$C$33</c:f>
            </c:numRef>
          </c:val>
        </c:ser>
        <c:ser>
          <c:idx val="1"/>
          <c:order val="1"/>
          <c:tx>
            <c:strRef>
              <c:f>'მცირე სიმძლავრის'!$D$1</c:f>
              <c:strCache>
                <c:ptCount val="1"/>
              </c:strCache>
            </c:strRef>
          </c:tx>
          <c:dLbls>
            <c:showVal val="1"/>
          </c:dLbls>
          <c:cat>
            <c:strRef>
              <c:f>'მცირე სიმძლავრის'!$B$2:$B$33</c:f>
              <c:strCache>
                <c:ptCount val="32"/>
                <c:pt idx="0">
                  <c:v>ვ.ბოჭორიშვილის სახ.სეფსისის საწინააღმდეგო ცენტრი</c:v>
                </c:pt>
                <c:pt idx="1">
                  <c:v>ქ. თბილისი შპს ,, # 5 კლინიკური საავადმყოფო'' </c:v>
                </c:pt>
                <c:pt idx="2">
                  <c:v>შპს "ელიზაბეტ ბლექველის ჰოსპიტალი" </c:v>
                </c:pt>
                <c:pt idx="3">
                  <c:v>შპს "თბილისის ცენტრალური საავადმყოფო"</c:v>
                </c:pt>
                <c:pt idx="4">
                  <c:v>შპს "სისხლძარღვთა და გულის დაავადებათა ცენტრი</c:v>
                </c:pt>
                <c:pt idx="5">
                  <c:v>ს.ს. ”უნივერსალური სამედიცინო ცენტრი” </c:v>
                </c:pt>
                <c:pt idx="6">
                  <c:v>შპს “გადაუდებელი ქირურგიისა და ტრავმატოლოგიის ცენტრი“</c:v>
                </c:pt>
                <c:pt idx="7">
                  <c:v>შპს "საქართველოს საპატრიარქოს წმინდა იოაკიმე და ანას სახელობის სამედიცინო ცენტრი"</c:v>
                </c:pt>
                <c:pt idx="8">
                  <c:v>საქართველოს საპატრირქოს თერაპიული კლინიკა "უპოვართათვის" და მისი განვითარების ფონდი </c:v>
                </c:pt>
                <c:pt idx="9">
                  <c:v>შ.პ.ს "ადაპტი" ანგიოკარდიოლოგიური კლინიკია</c:v>
                </c:pt>
                <c:pt idx="10">
                  <c:v>შპს "გადაუდებელი დახმარებისა და ქირურგიის ცენტრი ჰიგია"</c:v>
                </c:pt>
                <c:pt idx="11">
                  <c:v>შპს "ჰელს მენეჯმენტ ენდ კონსალტინგ" </c:v>
                </c:pt>
                <c:pt idx="12">
                  <c:v>შპს "ავერსის კლინიკა" </c:v>
                </c:pt>
                <c:pt idx="13">
                  <c:v>თსსუ აკად. ალ.ალადაშვილის სახ. საუნივერსიტეტო კლინიკა</c:v>
                </c:pt>
                <c:pt idx="14">
                  <c:v>მედიქლაბჯორჯია </c:v>
                </c:pt>
                <c:pt idx="15">
                  <c:v>შპს "ღია გული" </c:v>
                </c:pt>
                <c:pt idx="16">
                  <c:v>შპს ,,სამკურნალო სადიაგნოსტიკო ცენტრი სამგორი მედი" </c:v>
                </c:pt>
                <c:pt idx="17">
                  <c:v>შ.პ.ს ვ. სანიკიძის სახ. ომის ვეტერანთა კლინიკური ჰოსპიტალი</c:v>
                </c:pt>
                <c:pt idx="18">
                  <c:v>მარდალეიშვილის სამედიცინო ცენტრი შპს "უჯრედული ტექნოლოგიებისა და თერაპიის ცენტრი" </c:v>
                </c:pt>
                <c:pt idx="19">
                  <c:v>შპს თბილისის გულისა და სისხლძარღვთა კლინიკა</c:v>
                </c:pt>
                <c:pt idx="20">
                  <c:v>შპს "რედი"აკ.ზაალ კახიანის სახელობის კლინია</c:v>
                </c:pt>
                <c:pt idx="21">
                  <c:v>საქართველო ისრაელის ერთობლივი ქირურგიული კლინიკა შპს "გიდმედი"</c:v>
                </c:pt>
                <c:pt idx="22">
                  <c:v>შპს "ექიმთა დახელოვნების უროლოგიისა და გადაუდებელი დახმარების კლინიკა"</c:v>
                </c:pt>
                <c:pt idx="23">
                  <c:v>კლინიკური მედიცინის სამეცნიერო–კვლევითი ინსტიტუტი</c:v>
                </c:pt>
                <c:pt idx="24">
                  <c:v>შპს „ალექსანდრე ალადაშვილის სახელობის კლინიკა“ </c:v>
                </c:pt>
                <c:pt idx="25">
                  <c:v>ს.ს. "თანამედროვე სამედიცინო ტექნოლოგიები"</c:v>
                </c:pt>
                <c:pt idx="26">
                  <c:v>შპს დავით ტატიშვილის სამედიცინო ცენტრი</c:v>
                </c:pt>
                <c:pt idx="27">
                  <c:v>შპს “ალსს" </c:v>
                </c:pt>
                <c:pt idx="28">
                  <c:v>შ.პ.ს.,,ი.ჟორდანიას სახ.ადამიანის რეპროდუქციის ს/კ ინსტიტუტი"</c:v>
                </c:pt>
                <c:pt idx="29">
                  <c:v>შპს"ჰერა 2011"</c:v>
                </c:pt>
                <c:pt idx="30">
                  <c:v>შპს კარდიოლოგიური კლინიკა "გული" </c:v>
                </c:pt>
                <c:pt idx="31">
                  <c:v>შ.პ.ს "ახალი სიცოცხლე"</c:v>
                </c:pt>
              </c:strCache>
            </c:strRef>
          </c:cat>
          <c:val>
            <c:numRef>
              <c:f>'მცირე სიმძლავრის'!$D$2:$D$33</c:f>
            </c:numRef>
          </c:val>
        </c:ser>
        <c:ser>
          <c:idx val="2"/>
          <c:order val="2"/>
          <c:tx>
            <c:strRef>
              <c:f>'მცირე სიმძლავრის'!$C$1</c:f>
              <c:strCache>
                <c:ptCount val="1"/>
                <c:pt idx="0">
                  <c:v>რეანიმაციული საწოლები</c:v>
                </c:pt>
              </c:strCache>
            </c:strRef>
          </c:tx>
          <c:spPr>
            <a:solidFill>
              <a:srgbClr val="FF0000"/>
            </a:solidFill>
          </c:spPr>
          <c:dLbls>
            <c:showVal val="1"/>
          </c:dLbls>
          <c:cat>
            <c:strRef>
              <c:f>'მცირე სიმძლავრის'!$B$2:$B$33</c:f>
              <c:strCache>
                <c:ptCount val="32"/>
                <c:pt idx="0">
                  <c:v>ვ.ბოჭორიშვილის სახ.სეფსისის საწინააღმდეგო ცენტრი</c:v>
                </c:pt>
                <c:pt idx="1">
                  <c:v>ქ. თბილისი შპს ,, # 5 კლინიკური საავადმყოფო'' </c:v>
                </c:pt>
                <c:pt idx="2">
                  <c:v>შპს "ელიზაბეტ ბლექველის ჰოსპიტალი" </c:v>
                </c:pt>
                <c:pt idx="3">
                  <c:v>შპს "თბილისის ცენტრალური საავადმყოფო"</c:v>
                </c:pt>
                <c:pt idx="4">
                  <c:v>შპს "სისხლძარღვთა და გულის დაავადებათა ცენტრი</c:v>
                </c:pt>
                <c:pt idx="5">
                  <c:v>ს.ს. ”უნივერსალური სამედიცინო ცენტრი” </c:v>
                </c:pt>
                <c:pt idx="6">
                  <c:v>შპს “გადაუდებელი ქირურგიისა და ტრავმატოლოგიის ცენტრი“</c:v>
                </c:pt>
                <c:pt idx="7">
                  <c:v>შპს "საქართველოს საპატრიარქოს წმინდა იოაკიმე და ანას სახელობის სამედიცინო ცენტრი"</c:v>
                </c:pt>
                <c:pt idx="8">
                  <c:v>საქართველოს საპატრირქოს თერაპიული კლინიკა "უპოვართათვის" და მისი განვითარების ფონდი </c:v>
                </c:pt>
                <c:pt idx="9">
                  <c:v>შ.პ.ს "ადაპტი" ანგიოკარდიოლოგიური კლინიკია</c:v>
                </c:pt>
                <c:pt idx="10">
                  <c:v>შპს "გადაუდებელი დახმარებისა და ქირურგიის ცენტრი ჰიგია"</c:v>
                </c:pt>
                <c:pt idx="11">
                  <c:v>შპს "ჰელს მენეჯმენტ ენდ კონსალტინგ" </c:v>
                </c:pt>
                <c:pt idx="12">
                  <c:v>შპს "ავერსის კლინიკა" </c:v>
                </c:pt>
                <c:pt idx="13">
                  <c:v>თსსუ აკად. ალ.ალადაშვილის სახ. საუნივერსიტეტო კლინიკა</c:v>
                </c:pt>
                <c:pt idx="14">
                  <c:v>მედიქლაბჯორჯია </c:v>
                </c:pt>
                <c:pt idx="15">
                  <c:v>შპს "ღია გული" </c:v>
                </c:pt>
                <c:pt idx="16">
                  <c:v>შპს ,,სამკურნალო სადიაგნოსტიკო ცენტრი სამგორი მედი" </c:v>
                </c:pt>
                <c:pt idx="17">
                  <c:v>შ.პ.ს ვ. სანიკიძის სახ. ომის ვეტერანთა კლინიკური ჰოსპიტალი</c:v>
                </c:pt>
                <c:pt idx="18">
                  <c:v>მარდალეიშვილის სამედიცინო ცენტრი შპს "უჯრედული ტექნოლოგიებისა და თერაპიის ცენტრი" </c:v>
                </c:pt>
                <c:pt idx="19">
                  <c:v>შპს თბილისის გულისა და სისხლძარღვთა კლინიკა</c:v>
                </c:pt>
                <c:pt idx="20">
                  <c:v>შპს "რედი"აკ.ზაალ კახიანის სახელობის კლინია</c:v>
                </c:pt>
                <c:pt idx="21">
                  <c:v>საქართველო ისრაელის ერთობლივი ქირურგიული კლინიკა შპს "გიდმედი"</c:v>
                </c:pt>
                <c:pt idx="22">
                  <c:v>შპს "ექიმთა დახელოვნების უროლოგიისა და გადაუდებელი დახმარების კლინიკა"</c:v>
                </c:pt>
                <c:pt idx="23">
                  <c:v>კლინიკური მედიცინის სამეცნიერო–კვლევითი ინსტიტუტი</c:v>
                </c:pt>
                <c:pt idx="24">
                  <c:v>შპს „ალექსანდრე ალადაშვილის სახელობის კლინიკა“ </c:v>
                </c:pt>
                <c:pt idx="25">
                  <c:v>ს.ს. "თანამედროვე სამედიცინო ტექნოლოგიები"</c:v>
                </c:pt>
                <c:pt idx="26">
                  <c:v>შპს დავით ტატიშვილის სამედიცინო ცენტრი</c:v>
                </c:pt>
                <c:pt idx="27">
                  <c:v>შპს “ალსს" </c:v>
                </c:pt>
                <c:pt idx="28">
                  <c:v>შ.პ.ს.,,ი.ჟორდანიას სახ.ადამიანის რეპროდუქციის ს/კ ინსტიტუტი"</c:v>
                </c:pt>
                <c:pt idx="29">
                  <c:v>შპს"ჰერა 2011"</c:v>
                </c:pt>
                <c:pt idx="30">
                  <c:v>შპს კარდიოლოგიური კლინიკა "გული" </c:v>
                </c:pt>
                <c:pt idx="31">
                  <c:v>შ.პ.ს "ახალი სიცოცხლე"</c:v>
                </c:pt>
              </c:strCache>
            </c:strRef>
          </c:cat>
          <c:val>
            <c:numRef>
              <c:f>'მცირე სიმძლავრის'!$E$2:$E$33</c:f>
              <c:numCache>
                <c:formatCode>General</c:formatCode>
                <c:ptCount val="32"/>
                <c:pt idx="0">
                  <c:v>10</c:v>
                </c:pt>
                <c:pt idx="1">
                  <c:v>10</c:v>
                </c:pt>
                <c:pt idx="2">
                  <c:v>10</c:v>
                </c:pt>
                <c:pt idx="3">
                  <c:v>8</c:v>
                </c:pt>
                <c:pt idx="4">
                  <c:v>8</c:v>
                </c:pt>
                <c:pt idx="5">
                  <c:v>8</c:v>
                </c:pt>
                <c:pt idx="6">
                  <c:v>8</c:v>
                </c:pt>
                <c:pt idx="7">
                  <c:v>8</c:v>
                </c:pt>
                <c:pt idx="8">
                  <c:v>8</c:v>
                </c:pt>
                <c:pt idx="9">
                  <c:v>8</c:v>
                </c:pt>
                <c:pt idx="10">
                  <c:v>7</c:v>
                </c:pt>
                <c:pt idx="11">
                  <c:v>7</c:v>
                </c:pt>
                <c:pt idx="12">
                  <c:v>6</c:v>
                </c:pt>
                <c:pt idx="13">
                  <c:v>6</c:v>
                </c:pt>
                <c:pt idx="14">
                  <c:v>7</c:v>
                </c:pt>
                <c:pt idx="15">
                  <c:v>8</c:v>
                </c:pt>
                <c:pt idx="16">
                  <c:v>6</c:v>
                </c:pt>
                <c:pt idx="17">
                  <c:v>6</c:v>
                </c:pt>
                <c:pt idx="18">
                  <c:v>6</c:v>
                </c:pt>
                <c:pt idx="19">
                  <c:v>5</c:v>
                </c:pt>
                <c:pt idx="20">
                  <c:v>5</c:v>
                </c:pt>
                <c:pt idx="21">
                  <c:v>5</c:v>
                </c:pt>
                <c:pt idx="22">
                  <c:v>4</c:v>
                </c:pt>
                <c:pt idx="23">
                  <c:v>4</c:v>
                </c:pt>
                <c:pt idx="24">
                  <c:v>4</c:v>
                </c:pt>
                <c:pt idx="25">
                  <c:v>5</c:v>
                </c:pt>
                <c:pt idx="26">
                  <c:v>6</c:v>
                </c:pt>
                <c:pt idx="27">
                  <c:v>4</c:v>
                </c:pt>
                <c:pt idx="28">
                  <c:v>4</c:v>
                </c:pt>
                <c:pt idx="29">
                  <c:v>8</c:v>
                </c:pt>
                <c:pt idx="30">
                  <c:v>2</c:v>
                </c:pt>
                <c:pt idx="31">
                  <c:v>2</c:v>
                </c:pt>
              </c:numCache>
            </c:numRef>
          </c:val>
        </c:ser>
        <c:ser>
          <c:idx val="3"/>
          <c:order val="3"/>
          <c:tx>
            <c:strRef>
              <c:f>'მცირე სიმძლავრის'!$F$1</c:f>
              <c:strCache>
                <c:ptCount val="1"/>
                <c:pt idx="0">
                  <c:v>იანვარი 2013</c:v>
                </c:pt>
              </c:strCache>
            </c:strRef>
          </c:tx>
          <c:dLbls>
            <c:showVal val="1"/>
          </c:dLbls>
          <c:cat>
            <c:strRef>
              <c:f>'მცირე სიმძლავრის'!$B$2:$B$33</c:f>
              <c:strCache>
                <c:ptCount val="32"/>
                <c:pt idx="0">
                  <c:v>ვ.ბოჭორიშვილის სახ.სეფსისის საწინააღმდეგო ცენტრი</c:v>
                </c:pt>
                <c:pt idx="1">
                  <c:v>ქ. თბილისი შპს ,, # 5 კლინიკური საავადმყოფო'' </c:v>
                </c:pt>
                <c:pt idx="2">
                  <c:v>შპს "ელიზაბეტ ბლექველის ჰოსპიტალი" </c:v>
                </c:pt>
                <c:pt idx="3">
                  <c:v>შპს "თბილისის ცენტრალური საავადმყოფო"</c:v>
                </c:pt>
                <c:pt idx="4">
                  <c:v>შპს "სისხლძარღვთა და გულის დაავადებათა ცენტრი</c:v>
                </c:pt>
                <c:pt idx="5">
                  <c:v>ს.ს. ”უნივერსალური სამედიცინო ცენტრი” </c:v>
                </c:pt>
                <c:pt idx="6">
                  <c:v>შპს “გადაუდებელი ქირურგიისა და ტრავმატოლოგიის ცენტრი“</c:v>
                </c:pt>
                <c:pt idx="7">
                  <c:v>შპს "საქართველოს საპატრიარქოს წმინდა იოაკიმე და ანას სახელობის სამედიცინო ცენტრი"</c:v>
                </c:pt>
                <c:pt idx="8">
                  <c:v>საქართველოს საპატრირქოს თერაპიული კლინიკა "უპოვართათვის" და მისი განვითარების ფონდი </c:v>
                </c:pt>
                <c:pt idx="9">
                  <c:v>შ.პ.ს "ადაპტი" ანგიოკარდიოლოგიური კლინიკია</c:v>
                </c:pt>
                <c:pt idx="10">
                  <c:v>შპს "გადაუდებელი დახმარებისა და ქირურგიის ცენტრი ჰიგია"</c:v>
                </c:pt>
                <c:pt idx="11">
                  <c:v>შპს "ჰელს მენეჯმენტ ენდ კონსალტინგ" </c:v>
                </c:pt>
                <c:pt idx="12">
                  <c:v>შპს "ავერსის კლინიკა" </c:v>
                </c:pt>
                <c:pt idx="13">
                  <c:v>თსსუ აკად. ალ.ალადაშვილის სახ. საუნივერსიტეტო კლინიკა</c:v>
                </c:pt>
                <c:pt idx="14">
                  <c:v>მედიქლაბჯორჯია </c:v>
                </c:pt>
                <c:pt idx="15">
                  <c:v>შპს "ღია გული" </c:v>
                </c:pt>
                <c:pt idx="16">
                  <c:v>შპს ,,სამკურნალო სადიაგნოსტიკო ცენტრი სამგორი მედი" </c:v>
                </c:pt>
                <c:pt idx="17">
                  <c:v>შ.პ.ს ვ. სანიკიძის სახ. ომის ვეტერანთა კლინიკური ჰოსპიტალი</c:v>
                </c:pt>
                <c:pt idx="18">
                  <c:v>მარდალეიშვილის სამედიცინო ცენტრი შპს "უჯრედული ტექნოლოგიებისა და თერაპიის ცენტრი" </c:v>
                </c:pt>
                <c:pt idx="19">
                  <c:v>შპს თბილისის გულისა და სისხლძარღვთა კლინიკა</c:v>
                </c:pt>
                <c:pt idx="20">
                  <c:v>შპს "რედი"აკ.ზაალ კახიანის სახელობის კლინია</c:v>
                </c:pt>
                <c:pt idx="21">
                  <c:v>საქართველო ისრაელის ერთობლივი ქირურგიული კლინიკა შპს "გიდმედი"</c:v>
                </c:pt>
                <c:pt idx="22">
                  <c:v>შპს "ექიმთა დახელოვნების უროლოგიისა და გადაუდებელი დახმარების კლინიკა"</c:v>
                </c:pt>
                <c:pt idx="23">
                  <c:v>კლინიკური მედიცინის სამეცნიერო–კვლევითი ინსტიტუტი</c:v>
                </c:pt>
                <c:pt idx="24">
                  <c:v>შპს „ალექსანდრე ალადაშვილის სახელობის კლინიკა“ </c:v>
                </c:pt>
                <c:pt idx="25">
                  <c:v>ს.ს. "თანამედროვე სამედიცინო ტექნოლოგიები"</c:v>
                </c:pt>
                <c:pt idx="26">
                  <c:v>შპს დავით ტატიშვილის სამედიცინო ცენტრი</c:v>
                </c:pt>
                <c:pt idx="27">
                  <c:v>შპს “ალსს" </c:v>
                </c:pt>
                <c:pt idx="28">
                  <c:v>შ.პ.ს.,,ი.ჟორდანიას სახ.ადამიანის რეპროდუქციის ს/კ ინსტიტუტი"</c:v>
                </c:pt>
                <c:pt idx="29">
                  <c:v>შპს"ჰერა 2011"</c:v>
                </c:pt>
                <c:pt idx="30">
                  <c:v>შპს კარდიოლოგიური კლინიკა "გული" </c:v>
                </c:pt>
                <c:pt idx="31">
                  <c:v>შ.პ.ს "ახალი სიცოცხლე"</c:v>
                </c:pt>
              </c:strCache>
            </c:strRef>
          </c:cat>
          <c:val>
            <c:numRef>
              <c:f>'მცირე სიმძლავრის'!$F$2:$F$33</c:f>
            </c:numRef>
          </c:val>
        </c:ser>
        <c:ser>
          <c:idx val="4"/>
          <c:order val="4"/>
          <c:tx>
            <c:strRef>
              <c:f>'მცირე სიმძლავრის'!$G$1</c:f>
              <c:strCache>
                <c:ptCount val="1"/>
                <c:pt idx="0">
                  <c:v>თებერვალი 2013</c:v>
                </c:pt>
              </c:strCache>
            </c:strRef>
          </c:tx>
          <c:dLbls>
            <c:showVal val="1"/>
          </c:dLbls>
          <c:cat>
            <c:strRef>
              <c:f>'მცირე სიმძლავრის'!$B$2:$B$33</c:f>
              <c:strCache>
                <c:ptCount val="32"/>
                <c:pt idx="0">
                  <c:v>ვ.ბოჭორიშვილის სახ.სეფსისის საწინააღმდეგო ცენტრი</c:v>
                </c:pt>
                <c:pt idx="1">
                  <c:v>ქ. თბილისი შპს ,, # 5 კლინიკური საავადმყოფო'' </c:v>
                </c:pt>
                <c:pt idx="2">
                  <c:v>შპს "ელიზაბეტ ბლექველის ჰოსპიტალი" </c:v>
                </c:pt>
                <c:pt idx="3">
                  <c:v>შპს "თბილისის ცენტრალური საავადმყოფო"</c:v>
                </c:pt>
                <c:pt idx="4">
                  <c:v>შპს "სისხლძარღვთა და გულის დაავადებათა ცენტრი</c:v>
                </c:pt>
                <c:pt idx="5">
                  <c:v>ს.ს. ”უნივერსალური სამედიცინო ცენტრი” </c:v>
                </c:pt>
                <c:pt idx="6">
                  <c:v>შპს “გადაუდებელი ქირურგიისა და ტრავმატოლოგიის ცენტრი“</c:v>
                </c:pt>
                <c:pt idx="7">
                  <c:v>შპს "საქართველოს საპატრიარქოს წმინდა იოაკიმე და ანას სახელობის სამედიცინო ცენტრი"</c:v>
                </c:pt>
                <c:pt idx="8">
                  <c:v>საქართველოს საპატრირქოს თერაპიული კლინიკა "უპოვართათვის" და მისი განვითარების ფონდი </c:v>
                </c:pt>
                <c:pt idx="9">
                  <c:v>შ.პ.ს "ადაპტი" ანგიოკარდიოლოგიური კლინიკია</c:v>
                </c:pt>
                <c:pt idx="10">
                  <c:v>შპს "გადაუდებელი დახმარებისა და ქირურგიის ცენტრი ჰიგია"</c:v>
                </c:pt>
                <c:pt idx="11">
                  <c:v>შპს "ჰელს მენეჯმენტ ენდ კონსალტინგ" </c:v>
                </c:pt>
                <c:pt idx="12">
                  <c:v>შპს "ავერსის კლინიკა" </c:v>
                </c:pt>
                <c:pt idx="13">
                  <c:v>თსსუ აკად. ალ.ალადაშვილის სახ. საუნივერსიტეტო კლინიკა</c:v>
                </c:pt>
                <c:pt idx="14">
                  <c:v>მედიქლაბჯორჯია </c:v>
                </c:pt>
                <c:pt idx="15">
                  <c:v>შპს "ღია გული" </c:v>
                </c:pt>
                <c:pt idx="16">
                  <c:v>შპს ,,სამკურნალო სადიაგნოსტიკო ცენტრი სამგორი მედი" </c:v>
                </c:pt>
                <c:pt idx="17">
                  <c:v>შ.პ.ს ვ. სანიკიძის სახ. ომის ვეტერანთა კლინიკური ჰოსპიტალი</c:v>
                </c:pt>
                <c:pt idx="18">
                  <c:v>მარდალეიშვილის სამედიცინო ცენტრი შპს "უჯრედული ტექნოლოგიებისა და თერაპიის ცენტრი" </c:v>
                </c:pt>
                <c:pt idx="19">
                  <c:v>შპს თბილისის გულისა და სისხლძარღვთა კლინიკა</c:v>
                </c:pt>
                <c:pt idx="20">
                  <c:v>შპს "რედი"აკ.ზაალ კახიანის სახელობის კლინია</c:v>
                </c:pt>
                <c:pt idx="21">
                  <c:v>საქართველო ისრაელის ერთობლივი ქირურგიული კლინიკა შპს "გიდმედი"</c:v>
                </c:pt>
                <c:pt idx="22">
                  <c:v>შპს "ექიმთა დახელოვნების უროლოგიისა და გადაუდებელი დახმარების კლინიკა"</c:v>
                </c:pt>
                <c:pt idx="23">
                  <c:v>კლინიკური მედიცინის სამეცნიერო–კვლევითი ინსტიტუტი</c:v>
                </c:pt>
                <c:pt idx="24">
                  <c:v>შპს „ალექსანდრე ალადაშვილის სახელობის კლინიკა“ </c:v>
                </c:pt>
                <c:pt idx="25">
                  <c:v>ს.ს. "თანამედროვე სამედიცინო ტექნოლოგიები"</c:v>
                </c:pt>
                <c:pt idx="26">
                  <c:v>შპს დავით ტატიშვილის სამედიცინო ცენტრი</c:v>
                </c:pt>
                <c:pt idx="27">
                  <c:v>შპს “ალსს" </c:v>
                </c:pt>
                <c:pt idx="28">
                  <c:v>შ.პ.ს.,,ი.ჟორდანიას სახ.ადამიანის რეპროდუქციის ს/კ ინსტიტუტი"</c:v>
                </c:pt>
                <c:pt idx="29">
                  <c:v>შპს"ჰერა 2011"</c:v>
                </c:pt>
                <c:pt idx="30">
                  <c:v>შპს კარდიოლოგიური კლინიკა "გული" </c:v>
                </c:pt>
                <c:pt idx="31">
                  <c:v>შ.პ.ს "ახალი სიცოცხლე"</c:v>
                </c:pt>
              </c:strCache>
            </c:strRef>
          </c:cat>
          <c:val>
            <c:numRef>
              <c:f>'მცირე სიმძლავრის'!$G$2:$G$33</c:f>
            </c:numRef>
          </c:val>
        </c:ser>
        <c:ser>
          <c:idx val="5"/>
          <c:order val="5"/>
          <c:tx>
            <c:strRef>
              <c:f>'მცირე სიმძლავრის'!$H$1</c:f>
              <c:strCache>
                <c:ptCount val="1"/>
                <c:pt idx="0">
                  <c:v>მარტი 2013</c:v>
                </c:pt>
              </c:strCache>
            </c:strRef>
          </c:tx>
          <c:dLbls>
            <c:showVal val="1"/>
          </c:dLbls>
          <c:cat>
            <c:strRef>
              <c:f>'მცირე სიმძლავრის'!$B$2:$B$33</c:f>
              <c:strCache>
                <c:ptCount val="32"/>
                <c:pt idx="0">
                  <c:v>ვ.ბოჭორიშვილის სახ.სეფსისის საწინააღმდეგო ცენტრი</c:v>
                </c:pt>
                <c:pt idx="1">
                  <c:v>ქ. თბილისი შპს ,, # 5 კლინიკური საავადმყოფო'' </c:v>
                </c:pt>
                <c:pt idx="2">
                  <c:v>შპს "ელიზაბეტ ბლექველის ჰოსპიტალი" </c:v>
                </c:pt>
                <c:pt idx="3">
                  <c:v>შპს "თბილისის ცენტრალური საავადმყოფო"</c:v>
                </c:pt>
                <c:pt idx="4">
                  <c:v>შპს "სისხლძარღვთა და გულის დაავადებათა ცენტრი</c:v>
                </c:pt>
                <c:pt idx="5">
                  <c:v>ს.ს. ”უნივერსალური სამედიცინო ცენტრი” </c:v>
                </c:pt>
                <c:pt idx="6">
                  <c:v>შპს “გადაუდებელი ქირურგიისა და ტრავმატოლოგიის ცენტრი“</c:v>
                </c:pt>
                <c:pt idx="7">
                  <c:v>შპს "საქართველოს საპატრიარქოს წმინდა იოაკიმე და ანას სახელობის სამედიცინო ცენტრი"</c:v>
                </c:pt>
                <c:pt idx="8">
                  <c:v>საქართველოს საპატრირქოს თერაპიული კლინიკა "უპოვართათვის" და მისი განვითარების ფონდი </c:v>
                </c:pt>
                <c:pt idx="9">
                  <c:v>შ.პ.ს "ადაპტი" ანგიოკარდიოლოგიური კლინიკია</c:v>
                </c:pt>
                <c:pt idx="10">
                  <c:v>შპს "გადაუდებელი დახმარებისა და ქირურგიის ცენტრი ჰიგია"</c:v>
                </c:pt>
                <c:pt idx="11">
                  <c:v>შპს "ჰელს მენეჯმენტ ენდ კონსალტინგ" </c:v>
                </c:pt>
                <c:pt idx="12">
                  <c:v>შპს "ავერსის კლინიკა" </c:v>
                </c:pt>
                <c:pt idx="13">
                  <c:v>თსსუ აკად. ალ.ალადაშვილის სახ. საუნივერსიტეტო კლინიკა</c:v>
                </c:pt>
                <c:pt idx="14">
                  <c:v>მედიქლაბჯორჯია </c:v>
                </c:pt>
                <c:pt idx="15">
                  <c:v>შპს "ღია გული" </c:v>
                </c:pt>
                <c:pt idx="16">
                  <c:v>შპს ,,სამკურნალო სადიაგნოსტიკო ცენტრი სამგორი მედი" </c:v>
                </c:pt>
                <c:pt idx="17">
                  <c:v>შ.პ.ს ვ. სანიკიძის სახ. ომის ვეტერანთა კლინიკური ჰოსპიტალი</c:v>
                </c:pt>
                <c:pt idx="18">
                  <c:v>მარდალეიშვილის სამედიცინო ცენტრი შპს "უჯრედული ტექნოლოგიებისა და თერაპიის ცენტრი" </c:v>
                </c:pt>
                <c:pt idx="19">
                  <c:v>შპს თბილისის გულისა და სისხლძარღვთა კლინიკა</c:v>
                </c:pt>
                <c:pt idx="20">
                  <c:v>შპს "რედი"აკ.ზაალ კახიანის სახელობის კლინია</c:v>
                </c:pt>
                <c:pt idx="21">
                  <c:v>საქართველო ისრაელის ერთობლივი ქირურგიული კლინიკა შპს "გიდმედი"</c:v>
                </c:pt>
                <c:pt idx="22">
                  <c:v>შპს "ექიმთა დახელოვნების უროლოგიისა და გადაუდებელი დახმარების კლინიკა"</c:v>
                </c:pt>
                <c:pt idx="23">
                  <c:v>კლინიკური მედიცინის სამეცნიერო–კვლევითი ინსტიტუტი</c:v>
                </c:pt>
                <c:pt idx="24">
                  <c:v>შპს „ალექსანდრე ალადაშვილის სახელობის კლინიკა“ </c:v>
                </c:pt>
                <c:pt idx="25">
                  <c:v>ს.ს. "თანამედროვე სამედიცინო ტექნოლოგიები"</c:v>
                </c:pt>
                <c:pt idx="26">
                  <c:v>შპს დავით ტატიშვილის სამედიცინო ცენტრი</c:v>
                </c:pt>
                <c:pt idx="27">
                  <c:v>შპს “ალსს" </c:v>
                </c:pt>
                <c:pt idx="28">
                  <c:v>შ.პ.ს.,,ი.ჟორდანიას სახ.ადამიანის რეპროდუქციის ს/კ ინსტიტუტი"</c:v>
                </c:pt>
                <c:pt idx="29">
                  <c:v>შპს"ჰერა 2011"</c:v>
                </c:pt>
                <c:pt idx="30">
                  <c:v>შპს კარდიოლოგიური კლინიკა "გული" </c:v>
                </c:pt>
                <c:pt idx="31">
                  <c:v>შ.პ.ს "ახალი სიცოცხლე"</c:v>
                </c:pt>
              </c:strCache>
            </c:strRef>
          </c:cat>
          <c:val>
            <c:numRef>
              <c:f>'მცირე სიმძლავრის'!$H$2:$H$33</c:f>
            </c:numRef>
          </c:val>
        </c:ser>
        <c:ser>
          <c:idx val="6"/>
          <c:order val="6"/>
          <c:tx>
            <c:strRef>
              <c:f>'მცირე სიმძლავრის'!$I$1</c:f>
              <c:strCache>
                <c:ptCount val="1"/>
                <c:pt idx="0">
                  <c:v>აპრილი 2013</c:v>
                </c:pt>
              </c:strCache>
            </c:strRef>
          </c:tx>
          <c:dLbls>
            <c:showVal val="1"/>
          </c:dLbls>
          <c:cat>
            <c:strRef>
              <c:f>'მცირე სიმძლავრის'!$B$2:$B$33</c:f>
              <c:strCache>
                <c:ptCount val="32"/>
                <c:pt idx="0">
                  <c:v>ვ.ბოჭორიშვილის სახ.სეფსისის საწინააღმდეგო ცენტრი</c:v>
                </c:pt>
                <c:pt idx="1">
                  <c:v>ქ. თბილისი შპს ,, # 5 კლინიკური საავადმყოფო'' </c:v>
                </c:pt>
                <c:pt idx="2">
                  <c:v>შპს "ელიზაბეტ ბლექველის ჰოსპიტალი" </c:v>
                </c:pt>
                <c:pt idx="3">
                  <c:v>შპს "თბილისის ცენტრალური საავადმყოფო"</c:v>
                </c:pt>
                <c:pt idx="4">
                  <c:v>შპს "სისხლძარღვთა და გულის დაავადებათა ცენტრი</c:v>
                </c:pt>
                <c:pt idx="5">
                  <c:v>ს.ს. ”უნივერსალური სამედიცინო ცენტრი” </c:v>
                </c:pt>
                <c:pt idx="6">
                  <c:v>შპს “გადაუდებელი ქირურგიისა და ტრავმატოლოგიის ცენტრი“</c:v>
                </c:pt>
                <c:pt idx="7">
                  <c:v>შპს "საქართველოს საპატრიარქოს წმინდა იოაკიმე და ანას სახელობის სამედიცინო ცენტრი"</c:v>
                </c:pt>
                <c:pt idx="8">
                  <c:v>საქართველოს საპატრირქოს თერაპიული კლინიკა "უპოვართათვის" და მისი განვითარების ფონდი </c:v>
                </c:pt>
                <c:pt idx="9">
                  <c:v>შ.პ.ს "ადაპტი" ანგიოკარდიოლოგიური კლინიკია</c:v>
                </c:pt>
                <c:pt idx="10">
                  <c:v>შპს "გადაუდებელი დახმარებისა და ქირურგიის ცენტრი ჰიგია"</c:v>
                </c:pt>
                <c:pt idx="11">
                  <c:v>შპს "ჰელს მენეჯმენტ ენდ კონსალტინგ" </c:v>
                </c:pt>
                <c:pt idx="12">
                  <c:v>შპს "ავერსის კლინიკა" </c:v>
                </c:pt>
                <c:pt idx="13">
                  <c:v>თსსუ აკად. ალ.ალადაშვილის სახ. საუნივერსიტეტო კლინიკა</c:v>
                </c:pt>
                <c:pt idx="14">
                  <c:v>მედიქლაბჯორჯია </c:v>
                </c:pt>
                <c:pt idx="15">
                  <c:v>შპს "ღია გული" </c:v>
                </c:pt>
                <c:pt idx="16">
                  <c:v>შპს ,,სამკურნალო სადიაგნოსტიკო ცენტრი სამგორი მედი" </c:v>
                </c:pt>
                <c:pt idx="17">
                  <c:v>შ.პ.ს ვ. სანიკიძის სახ. ომის ვეტერანთა კლინიკური ჰოსპიტალი</c:v>
                </c:pt>
                <c:pt idx="18">
                  <c:v>მარდალეიშვილის სამედიცინო ცენტრი შპს "უჯრედული ტექნოლოგიებისა და თერაპიის ცენტრი" </c:v>
                </c:pt>
                <c:pt idx="19">
                  <c:v>შპს თბილისის გულისა და სისხლძარღვთა კლინიკა</c:v>
                </c:pt>
                <c:pt idx="20">
                  <c:v>შპს "რედი"აკ.ზაალ კახიანის სახელობის კლინია</c:v>
                </c:pt>
                <c:pt idx="21">
                  <c:v>საქართველო ისრაელის ერთობლივი ქირურგიული კლინიკა შპს "გიდმედი"</c:v>
                </c:pt>
                <c:pt idx="22">
                  <c:v>შპს "ექიმთა დახელოვნების უროლოგიისა და გადაუდებელი დახმარების კლინიკა"</c:v>
                </c:pt>
                <c:pt idx="23">
                  <c:v>კლინიკური მედიცინის სამეცნიერო–კვლევითი ინსტიტუტი</c:v>
                </c:pt>
                <c:pt idx="24">
                  <c:v>შპს „ალექსანდრე ალადაშვილის სახელობის კლინიკა“ </c:v>
                </c:pt>
                <c:pt idx="25">
                  <c:v>ს.ს. "თანამედროვე სამედიცინო ტექნოლოგიები"</c:v>
                </c:pt>
                <c:pt idx="26">
                  <c:v>შპს დავით ტატიშვილის სამედიცინო ცენტრი</c:v>
                </c:pt>
                <c:pt idx="27">
                  <c:v>შპს “ალსს" </c:v>
                </c:pt>
                <c:pt idx="28">
                  <c:v>შ.პ.ს.,,ი.ჟორდანიას სახ.ადამიანის რეპროდუქციის ს/კ ინსტიტუტი"</c:v>
                </c:pt>
                <c:pt idx="29">
                  <c:v>შპს"ჰერა 2011"</c:v>
                </c:pt>
                <c:pt idx="30">
                  <c:v>შპს კარდიოლოგიური კლინიკა "გული" </c:v>
                </c:pt>
                <c:pt idx="31">
                  <c:v>შ.პ.ს "ახალი სიცოცხლე"</c:v>
                </c:pt>
              </c:strCache>
            </c:strRef>
          </c:cat>
          <c:val>
            <c:numRef>
              <c:f>'მცირე სიმძლავრის'!$I$2:$I$33</c:f>
            </c:numRef>
          </c:val>
        </c:ser>
        <c:ser>
          <c:idx val="7"/>
          <c:order val="7"/>
          <c:tx>
            <c:strRef>
              <c:f>'მცირე სიმძლავრის'!$J$1</c:f>
              <c:strCache>
                <c:ptCount val="1"/>
                <c:pt idx="0">
                  <c:v>მაისი 2013</c:v>
                </c:pt>
              </c:strCache>
            </c:strRef>
          </c:tx>
          <c:dLbls>
            <c:showVal val="1"/>
          </c:dLbls>
          <c:cat>
            <c:strRef>
              <c:f>'მცირე სიმძლავრის'!$B$2:$B$33</c:f>
              <c:strCache>
                <c:ptCount val="32"/>
                <c:pt idx="0">
                  <c:v>ვ.ბოჭორიშვილის სახ.სეფსისის საწინააღმდეგო ცენტრი</c:v>
                </c:pt>
                <c:pt idx="1">
                  <c:v>ქ. თბილისი შპს ,, # 5 კლინიკური საავადმყოფო'' </c:v>
                </c:pt>
                <c:pt idx="2">
                  <c:v>შპს "ელიზაბეტ ბლექველის ჰოსპიტალი" </c:v>
                </c:pt>
                <c:pt idx="3">
                  <c:v>შპს "თბილისის ცენტრალური საავადმყოფო"</c:v>
                </c:pt>
                <c:pt idx="4">
                  <c:v>შპს "სისხლძარღვთა და გულის დაავადებათა ცენტრი</c:v>
                </c:pt>
                <c:pt idx="5">
                  <c:v>ს.ს. ”უნივერსალური სამედიცინო ცენტრი” </c:v>
                </c:pt>
                <c:pt idx="6">
                  <c:v>შპს “გადაუდებელი ქირურგიისა და ტრავმატოლოგიის ცენტრი“</c:v>
                </c:pt>
                <c:pt idx="7">
                  <c:v>შპს "საქართველოს საპატრიარქოს წმინდა იოაკიმე და ანას სახელობის სამედიცინო ცენტრი"</c:v>
                </c:pt>
                <c:pt idx="8">
                  <c:v>საქართველოს საპატრირქოს თერაპიული კლინიკა "უპოვართათვის" და მისი განვითარების ფონდი </c:v>
                </c:pt>
                <c:pt idx="9">
                  <c:v>შ.პ.ს "ადაპტი" ანგიოკარდიოლოგიური კლინიკია</c:v>
                </c:pt>
                <c:pt idx="10">
                  <c:v>შპს "გადაუდებელი დახმარებისა და ქირურგიის ცენტრი ჰიგია"</c:v>
                </c:pt>
                <c:pt idx="11">
                  <c:v>შპს "ჰელს მენეჯმენტ ენდ კონსალტინგ" </c:v>
                </c:pt>
                <c:pt idx="12">
                  <c:v>შპს "ავერსის კლინიკა" </c:v>
                </c:pt>
                <c:pt idx="13">
                  <c:v>თსსუ აკად. ალ.ალადაშვილის სახ. საუნივერსიტეტო კლინიკა</c:v>
                </c:pt>
                <c:pt idx="14">
                  <c:v>მედიქლაბჯორჯია </c:v>
                </c:pt>
                <c:pt idx="15">
                  <c:v>შპს "ღია გული" </c:v>
                </c:pt>
                <c:pt idx="16">
                  <c:v>შპს ,,სამკურნალო სადიაგნოსტიკო ცენტრი სამგორი მედი" </c:v>
                </c:pt>
                <c:pt idx="17">
                  <c:v>შ.პ.ს ვ. სანიკიძის სახ. ომის ვეტერანთა კლინიკური ჰოსპიტალი</c:v>
                </c:pt>
                <c:pt idx="18">
                  <c:v>მარდალეიშვილის სამედიცინო ცენტრი შპს "უჯრედული ტექნოლოგიებისა და თერაპიის ცენტრი" </c:v>
                </c:pt>
                <c:pt idx="19">
                  <c:v>შპს თბილისის გულისა და სისხლძარღვთა კლინიკა</c:v>
                </c:pt>
                <c:pt idx="20">
                  <c:v>შპს "რედი"აკ.ზაალ კახიანის სახელობის კლინია</c:v>
                </c:pt>
                <c:pt idx="21">
                  <c:v>საქართველო ისრაელის ერთობლივი ქირურგიული კლინიკა შპს "გიდმედი"</c:v>
                </c:pt>
                <c:pt idx="22">
                  <c:v>შპს "ექიმთა დახელოვნების უროლოგიისა და გადაუდებელი დახმარების კლინიკა"</c:v>
                </c:pt>
                <c:pt idx="23">
                  <c:v>კლინიკური მედიცინის სამეცნიერო–კვლევითი ინსტიტუტი</c:v>
                </c:pt>
                <c:pt idx="24">
                  <c:v>შპს „ალექსანდრე ალადაშვილის სახელობის კლინიკა“ </c:v>
                </c:pt>
                <c:pt idx="25">
                  <c:v>ს.ს. "თანამედროვე სამედიცინო ტექნოლოგიები"</c:v>
                </c:pt>
                <c:pt idx="26">
                  <c:v>შპს დავით ტატიშვილის სამედიცინო ცენტრი</c:v>
                </c:pt>
                <c:pt idx="27">
                  <c:v>შპს “ალსს" </c:v>
                </c:pt>
                <c:pt idx="28">
                  <c:v>შ.პ.ს.,,ი.ჟორდანიას სახ.ადამიანის რეპროდუქციის ს/კ ინსტიტუტი"</c:v>
                </c:pt>
                <c:pt idx="29">
                  <c:v>შპს"ჰერა 2011"</c:v>
                </c:pt>
                <c:pt idx="30">
                  <c:v>შპს კარდიოლოგიური კლინიკა "გული" </c:v>
                </c:pt>
                <c:pt idx="31">
                  <c:v>შ.პ.ს "ახალი სიცოცხლე"</c:v>
                </c:pt>
              </c:strCache>
            </c:strRef>
          </c:cat>
          <c:val>
            <c:numRef>
              <c:f>'მცირე სიმძლავრის'!$J$2:$J$33</c:f>
            </c:numRef>
          </c:val>
        </c:ser>
        <c:ser>
          <c:idx val="8"/>
          <c:order val="8"/>
          <c:tx>
            <c:strRef>
              <c:f>'მცირე სიმძლავრის'!$K$1</c:f>
              <c:strCache>
                <c:ptCount val="1"/>
                <c:pt idx="0">
                  <c:v>ივნისი 2013</c:v>
                </c:pt>
              </c:strCache>
            </c:strRef>
          </c:tx>
          <c:dLbls>
            <c:showVal val="1"/>
          </c:dLbls>
          <c:cat>
            <c:strRef>
              <c:f>'მცირე სიმძლავრის'!$B$2:$B$33</c:f>
              <c:strCache>
                <c:ptCount val="32"/>
                <c:pt idx="0">
                  <c:v>ვ.ბოჭორიშვილის სახ.სეფსისის საწინააღმდეგო ცენტრი</c:v>
                </c:pt>
                <c:pt idx="1">
                  <c:v>ქ. თბილისი შპს ,, # 5 კლინიკური საავადმყოფო'' </c:v>
                </c:pt>
                <c:pt idx="2">
                  <c:v>შპს "ელიზაბეტ ბლექველის ჰოსპიტალი" </c:v>
                </c:pt>
                <c:pt idx="3">
                  <c:v>შპს "თბილისის ცენტრალური საავადმყოფო"</c:v>
                </c:pt>
                <c:pt idx="4">
                  <c:v>შპს "სისხლძარღვთა და გულის დაავადებათა ცენტრი</c:v>
                </c:pt>
                <c:pt idx="5">
                  <c:v>ს.ს. ”უნივერსალური სამედიცინო ცენტრი” </c:v>
                </c:pt>
                <c:pt idx="6">
                  <c:v>შპს “გადაუდებელი ქირურგიისა და ტრავმატოლოგიის ცენტრი“</c:v>
                </c:pt>
                <c:pt idx="7">
                  <c:v>შპს "საქართველოს საპატრიარქოს წმინდა იოაკიმე და ანას სახელობის სამედიცინო ცენტრი"</c:v>
                </c:pt>
                <c:pt idx="8">
                  <c:v>საქართველოს საპატრირქოს თერაპიული კლინიკა "უპოვართათვის" და მისი განვითარების ფონდი </c:v>
                </c:pt>
                <c:pt idx="9">
                  <c:v>შ.პ.ს "ადაპტი" ანგიოკარდიოლოგიური კლინიკია</c:v>
                </c:pt>
                <c:pt idx="10">
                  <c:v>შპს "გადაუდებელი დახმარებისა და ქირურგიის ცენტრი ჰიგია"</c:v>
                </c:pt>
                <c:pt idx="11">
                  <c:v>შპს "ჰელს მენეჯმენტ ენდ კონსალტინგ" </c:v>
                </c:pt>
                <c:pt idx="12">
                  <c:v>შპს "ავერსის კლინიკა" </c:v>
                </c:pt>
                <c:pt idx="13">
                  <c:v>თსსუ აკად. ალ.ალადაშვილის სახ. საუნივერსიტეტო კლინიკა</c:v>
                </c:pt>
                <c:pt idx="14">
                  <c:v>მედიქლაბჯორჯია </c:v>
                </c:pt>
                <c:pt idx="15">
                  <c:v>შპს "ღია გული" </c:v>
                </c:pt>
                <c:pt idx="16">
                  <c:v>შპს ,,სამკურნალო სადიაგნოსტიკო ცენტრი სამგორი მედი" </c:v>
                </c:pt>
                <c:pt idx="17">
                  <c:v>შ.პ.ს ვ. სანიკიძის სახ. ომის ვეტერანთა კლინიკური ჰოსპიტალი</c:v>
                </c:pt>
                <c:pt idx="18">
                  <c:v>მარდალეიშვილის სამედიცინო ცენტრი შპს "უჯრედული ტექნოლოგიებისა და თერაპიის ცენტრი" </c:v>
                </c:pt>
                <c:pt idx="19">
                  <c:v>შპს თბილისის გულისა და სისხლძარღვთა კლინიკა</c:v>
                </c:pt>
                <c:pt idx="20">
                  <c:v>შპს "რედი"აკ.ზაალ კახიანის სახელობის კლინია</c:v>
                </c:pt>
                <c:pt idx="21">
                  <c:v>საქართველო ისრაელის ერთობლივი ქირურგიული კლინიკა შპს "გიდმედი"</c:v>
                </c:pt>
                <c:pt idx="22">
                  <c:v>შპს "ექიმთა დახელოვნების უროლოგიისა და გადაუდებელი დახმარების კლინიკა"</c:v>
                </c:pt>
                <c:pt idx="23">
                  <c:v>კლინიკური მედიცინის სამეცნიერო–კვლევითი ინსტიტუტი</c:v>
                </c:pt>
                <c:pt idx="24">
                  <c:v>შპს „ალექსანდრე ალადაშვილის სახელობის კლინიკა“ </c:v>
                </c:pt>
                <c:pt idx="25">
                  <c:v>ს.ს. "თანამედროვე სამედიცინო ტექნოლოგიები"</c:v>
                </c:pt>
                <c:pt idx="26">
                  <c:v>შპს დავით ტატიშვილის სამედიცინო ცენტრი</c:v>
                </c:pt>
                <c:pt idx="27">
                  <c:v>შპს “ალსს" </c:v>
                </c:pt>
                <c:pt idx="28">
                  <c:v>შ.პ.ს.,,ი.ჟორდანიას სახ.ადამიანის რეპროდუქციის ს/კ ინსტიტუტი"</c:v>
                </c:pt>
                <c:pt idx="29">
                  <c:v>შპს"ჰერა 2011"</c:v>
                </c:pt>
                <c:pt idx="30">
                  <c:v>შპს კარდიოლოგიური კლინიკა "გული" </c:v>
                </c:pt>
                <c:pt idx="31">
                  <c:v>შ.პ.ს "ახალი სიცოცხლე"</c:v>
                </c:pt>
              </c:strCache>
            </c:strRef>
          </c:cat>
          <c:val>
            <c:numRef>
              <c:f>'მცირე სიმძლავრის'!$K$2:$K$33</c:f>
            </c:numRef>
          </c:val>
        </c:ser>
        <c:ser>
          <c:idx val="9"/>
          <c:order val="9"/>
          <c:tx>
            <c:strRef>
              <c:f>'მცირე სიმძლავრის'!$L$1</c:f>
              <c:strCache>
                <c:ptCount val="1"/>
                <c:pt idx="0">
                  <c:v>ივლისი 2013</c:v>
                </c:pt>
              </c:strCache>
            </c:strRef>
          </c:tx>
          <c:dLbls>
            <c:showVal val="1"/>
          </c:dLbls>
          <c:cat>
            <c:strRef>
              <c:f>'მცირე სიმძლავრის'!$B$2:$B$33</c:f>
              <c:strCache>
                <c:ptCount val="32"/>
                <c:pt idx="0">
                  <c:v>ვ.ბოჭორიშვილის სახ.სეფსისის საწინააღმდეგო ცენტრი</c:v>
                </c:pt>
                <c:pt idx="1">
                  <c:v>ქ. თბილისი შპს ,, # 5 კლინიკური საავადმყოფო'' </c:v>
                </c:pt>
                <c:pt idx="2">
                  <c:v>შპს "ელიზაბეტ ბლექველის ჰოსპიტალი" </c:v>
                </c:pt>
                <c:pt idx="3">
                  <c:v>შპს "თბილისის ცენტრალური საავადმყოფო"</c:v>
                </c:pt>
                <c:pt idx="4">
                  <c:v>შპს "სისხლძარღვთა და გულის დაავადებათა ცენტრი</c:v>
                </c:pt>
                <c:pt idx="5">
                  <c:v>ს.ს. ”უნივერსალური სამედიცინო ცენტრი” </c:v>
                </c:pt>
                <c:pt idx="6">
                  <c:v>შპს “გადაუდებელი ქირურგიისა და ტრავმატოლოგიის ცენტრი“</c:v>
                </c:pt>
                <c:pt idx="7">
                  <c:v>შპს "საქართველოს საპატრიარქოს წმინდა იოაკიმე და ანას სახელობის სამედიცინო ცენტრი"</c:v>
                </c:pt>
                <c:pt idx="8">
                  <c:v>საქართველოს საპატრირქოს თერაპიული კლინიკა "უპოვართათვის" და მისი განვითარების ფონდი </c:v>
                </c:pt>
                <c:pt idx="9">
                  <c:v>შ.პ.ს "ადაპტი" ანგიოკარდიოლოგიური კლინიკია</c:v>
                </c:pt>
                <c:pt idx="10">
                  <c:v>შპს "გადაუდებელი დახმარებისა და ქირურგიის ცენტრი ჰიგია"</c:v>
                </c:pt>
                <c:pt idx="11">
                  <c:v>შპს "ჰელს მენეჯმენტ ენდ კონსალტინგ" </c:v>
                </c:pt>
                <c:pt idx="12">
                  <c:v>შპს "ავერსის კლინიკა" </c:v>
                </c:pt>
                <c:pt idx="13">
                  <c:v>თსსუ აკად. ალ.ალადაშვილის სახ. საუნივერსიტეტო კლინიკა</c:v>
                </c:pt>
                <c:pt idx="14">
                  <c:v>მედიქლაბჯორჯია </c:v>
                </c:pt>
                <c:pt idx="15">
                  <c:v>შპს "ღია გული" </c:v>
                </c:pt>
                <c:pt idx="16">
                  <c:v>შპს ,,სამკურნალო სადიაგნოსტიკო ცენტრი სამგორი მედი" </c:v>
                </c:pt>
                <c:pt idx="17">
                  <c:v>შ.პ.ს ვ. სანიკიძის სახ. ომის ვეტერანთა კლინიკური ჰოსპიტალი</c:v>
                </c:pt>
                <c:pt idx="18">
                  <c:v>მარდალეიშვილის სამედიცინო ცენტრი შპს "უჯრედული ტექნოლოგიებისა და თერაპიის ცენტრი" </c:v>
                </c:pt>
                <c:pt idx="19">
                  <c:v>შპს თბილისის გულისა და სისხლძარღვთა კლინიკა</c:v>
                </c:pt>
                <c:pt idx="20">
                  <c:v>შპს "რედი"აკ.ზაალ კახიანის სახელობის კლინია</c:v>
                </c:pt>
                <c:pt idx="21">
                  <c:v>საქართველო ისრაელის ერთობლივი ქირურგიული კლინიკა შპს "გიდმედი"</c:v>
                </c:pt>
                <c:pt idx="22">
                  <c:v>შპს "ექიმთა დახელოვნების უროლოგიისა და გადაუდებელი დახმარების კლინიკა"</c:v>
                </c:pt>
                <c:pt idx="23">
                  <c:v>კლინიკური მედიცინის სამეცნიერო–კვლევითი ინსტიტუტი</c:v>
                </c:pt>
                <c:pt idx="24">
                  <c:v>შპს „ალექსანდრე ალადაშვილის სახელობის კლინიკა“ </c:v>
                </c:pt>
                <c:pt idx="25">
                  <c:v>ს.ს. "თანამედროვე სამედიცინო ტექნოლოგიები"</c:v>
                </c:pt>
                <c:pt idx="26">
                  <c:v>შპს დავით ტატიშვილის სამედიცინო ცენტრი</c:v>
                </c:pt>
                <c:pt idx="27">
                  <c:v>შპს “ალსს" </c:v>
                </c:pt>
                <c:pt idx="28">
                  <c:v>შ.პ.ს.,,ი.ჟორდანიას სახ.ადამიანის რეპროდუქციის ს/კ ინსტიტუტი"</c:v>
                </c:pt>
                <c:pt idx="29">
                  <c:v>შპს"ჰერა 2011"</c:v>
                </c:pt>
                <c:pt idx="30">
                  <c:v>შპს კარდიოლოგიური კლინიკა "გული" </c:v>
                </c:pt>
                <c:pt idx="31">
                  <c:v>შ.პ.ს "ახალი სიცოცხლე"</c:v>
                </c:pt>
              </c:strCache>
            </c:strRef>
          </c:cat>
          <c:val>
            <c:numRef>
              <c:f>'მცირე სიმძლავრის'!$L$2:$L$33</c:f>
            </c:numRef>
          </c:val>
        </c:ser>
        <c:ser>
          <c:idx val="10"/>
          <c:order val="10"/>
          <c:tx>
            <c:strRef>
              <c:f>'მცირე სიმძლავრის'!$M$1</c:f>
              <c:strCache>
                <c:ptCount val="1"/>
                <c:pt idx="0">
                  <c:v>აგვისტო 2013</c:v>
                </c:pt>
              </c:strCache>
            </c:strRef>
          </c:tx>
          <c:dLbls>
            <c:showVal val="1"/>
          </c:dLbls>
          <c:cat>
            <c:strRef>
              <c:f>'მცირე სიმძლავრის'!$B$2:$B$33</c:f>
              <c:strCache>
                <c:ptCount val="32"/>
                <c:pt idx="0">
                  <c:v>ვ.ბოჭორიშვილის სახ.სეფსისის საწინააღმდეგო ცენტრი</c:v>
                </c:pt>
                <c:pt idx="1">
                  <c:v>ქ. თბილისი შპს ,, # 5 კლინიკური საავადმყოფო'' </c:v>
                </c:pt>
                <c:pt idx="2">
                  <c:v>შპს "ელიზაბეტ ბლექველის ჰოსპიტალი" </c:v>
                </c:pt>
                <c:pt idx="3">
                  <c:v>შპს "თბილისის ცენტრალური საავადმყოფო"</c:v>
                </c:pt>
                <c:pt idx="4">
                  <c:v>შპს "სისხლძარღვთა და გულის დაავადებათა ცენტრი</c:v>
                </c:pt>
                <c:pt idx="5">
                  <c:v>ს.ს. ”უნივერსალური სამედიცინო ცენტრი” </c:v>
                </c:pt>
                <c:pt idx="6">
                  <c:v>შპს “გადაუდებელი ქირურგიისა და ტრავმატოლოგიის ცენტრი“</c:v>
                </c:pt>
                <c:pt idx="7">
                  <c:v>შპს "საქართველოს საპატრიარქოს წმინდა იოაკიმე და ანას სახელობის სამედიცინო ცენტრი"</c:v>
                </c:pt>
                <c:pt idx="8">
                  <c:v>საქართველოს საპატრირქოს თერაპიული კლინიკა "უპოვართათვის" და მისი განვითარების ფონდი </c:v>
                </c:pt>
                <c:pt idx="9">
                  <c:v>შ.პ.ს "ადაპტი" ანგიოკარდიოლოგიური კლინიკია</c:v>
                </c:pt>
                <c:pt idx="10">
                  <c:v>შპს "გადაუდებელი დახმარებისა და ქირურგიის ცენტრი ჰიგია"</c:v>
                </c:pt>
                <c:pt idx="11">
                  <c:v>შპს "ჰელს მენეჯმენტ ენდ კონსალტინგ" </c:v>
                </c:pt>
                <c:pt idx="12">
                  <c:v>შპს "ავერსის კლინიკა" </c:v>
                </c:pt>
                <c:pt idx="13">
                  <c:v>თსსუ აკად. ალ.ალადაშვილის სახ. საუნივერსიტეტო კლინიკა</c:v>
                </c:pt>
                <c:pt idx="14">
                  <c:v>მედიქლაბჯორჯია </c:v>
                </c:pt>
                <c:pt idx="15">
                  <c:v>შპს "ღია გული" </c:v>
                </c:pt>
                <c:pt idx="16">
                  <c:v>შპს ,,სამკურნალო სადიაგნოსტიკო ცენტრი სამგორი მედი" </c:v>
                </c:pt>
                <c:pt idx="17">
                  <c:v>შ.პ.ს ვ. სანიკიძის სახ. ომის ვეტერანთა კლინიკური ჰოსპიტალი</c:v>
                </c:pt>
                <c:pt idx="18">
                  <c:v>მარდალეიშვილის სამედიცინო ცენტრი შპს "უჯრედული ტექნოლოგიებისა და თერაპიის ცენტრი" </c:v>
                </c:pt>
                <c:pt idx="19">
                  <c:v>შპს თბილისის გულისა და სისხლძარღვთა კლინიკა</c:v>
                </c:pt>
                <c:pt idx="20">
                  <c:v>შპს "რედი"აკ.ზაალ კახიანის სახელობის კლინია</c:v>
                </c:pt>
                <c:pt idx="21">
                  <c:v>საქართველო ისრაელის ერთობლივი ქირურგიული კლინიკა შპს "გიდმედი"</c:v>
                </c:pt>
                <c:pt idx="22">
                  <c:v>შპს "ექიმთა დახელოვნების უროლოგიისა და გადაუდებელი დახმარების კლინიკა"</c:v>
                </c:pt>
                <c:pt idx="23">
                  <c:v>კლინიკური მედიცინის სამეცნიერო–კვლევითი ინსტიტუტი</c:v>
                </c:pt>
                <c:pt idx="24">
                  <c:v>შპს „ალექსანდრე ალადაშვილის სახელობის კლინიკა“ </c:v>
                </c:pt>
                <c:pt idx="25">
                  <c:v>ს.ს. "თანამედროვე სამედიცინო ტექნოლოგიები"</c:v>
                </c:pt>
                <c:pt idx="26">
                  <c:v>შპს დავით ტატიშვილის სამედიცინო ცენტრი</c:v>
                </c:pt>
                <c:pt idx="27">
                  <c:v>შპს “ალსს" </c:v>
                </c:pt>
                <c:pt idx="28">
                  <c:v>შ.პ.ს.,,ი.ჟორდანიას სახ.ადამიანის რეპროდუქციის ს/კ ინსტიტუტი"</c:v>
                </c:pt>
                <c:pt idx="29">
                  <c:v>შპს"ჰერა 2011"</c:v>
                </c:pt>
                <c:pt idx="30">
                  <c:v>შპს კარდიოლოგიური კლინიკა "გული" </c:v>
                </c:pt>
                <c:pt idx="31">
                  <c:v>შ.პ.ს "ახალი სიცოცხლე"</c:v>
                </c:pt>
              </c:strCache>
            </c:strRef>
          </c:cat>
          <c:val>
            <c:numRef>
              <c:f>'მცირე სიმძლავრის'!$M$2:$M$33</c:f>
            </c:numRef>
          </c:val>
        </c:ser>
        <c:ser>
          <c:idx val="11"/>
          <c:order val="11"/>
          <c:tx>
            <c:strRef>
              <c:f>'მცირე სიმძლავრის'!$N$1</c:f>
              <c:strCache>
                <c:ptCount val="1"/>
                <c:pt idx="0">
                  <c:v>სექტემბერი 2013</c:v>
                </c:pt>
              </c:strCache>
            </c:strRef>
          </c:tx>
          <c:dLbls>
            <c:showVal val="1"/>
          </c:dLbls>
          <c:cat>
            <c:strRef>
              <c:f>'მცირე სიმძლავრის'!$B$2:$B$33</c:f>
              <c:strCache>
                <c:ptCount val="32"/>
                <c:pt idx="0">
                  <c:v>ვ.ბოჭორიშვილის სახ.სეფსისის საწინააღმდეგო ცენტრი</c:v>
                </c:pt>
                <c:pt idx="1">
                  <c:v>ქ. თბილისი შპს ,, # 5 კლინიკური საავადმყოფო'' </c:v>
                </c:pt>
                <c:pt idx="2">
                  <c:v>შპს "ელიზაბეტ ბლექველის ჰოსპიტალი" </c:v>
                </c:pt>
                <c:pt idx="3">
                  <c:v>შპს "თბილისის ცენტრალური საავადმყოფო"</c:v>
                </c:pt>
                <c:pt idx="4">
                  <c:v>შპს "სისხლძარღვთა და გულის დაავადებათა ცენტრი</c:v>
                </c:pt>
                <c:pt idx="5">
                  <c:v>ს.ს. ”უნივერსალური სამედიცინო ცენტრი” </c:v>
                </c:pt>
                <c:pt idx="6">
                  <c:v>შპს “გადაუდებელი ქირურგიისა და ტრავმატოლოგიის ცენტრი“</c:v>
                </c:pt>
                <c:pt idx="7">
                  <c:v>შპს "საქართველოს საპატრიარქოს წმინდა იოაკიმე და ანას სახელობის სამედიცინო ცენტრი"</c:v>
                </c:pt>
                <c:pt idx="8">
                  <c:v>საქართველოს საპატრირქოს თერაპიული კლინიკა "უპოვართათვის" და მისი განვითარების ფონდი </c:v>
                </c:pt>
                <c:pt idx="9">
                  <c:v>შ.პ.ს "ადაპტი" ანგიოკარდიოლოგიური კლინიკია</c:v>
                </c:pt>
                <c:pt idx="10">
                  <c:v>შპს "გადაუდებელი დახმარებისა და ქირურგიის ცენტრი ჰიგია"</c:v>
                </c:pt>
                <c:pt idx="11">
                  <c:v>შპს "ჰელს მენეჯმენტ ენდ კონსალტინგ" </c:v>
                </c:pt>
                <c:pt idx="12">
                  <c:v>შპს "ავერსის კლინიკა" </c:v>
                </c:pt>
                <c:pt idx="13">
                  <c:v>თსსუ აკად. ალ.ალადაშვილის სახ. საუნივერსიტეტო კლინიკა</c:v>
                </c:pt>
                <c:pt idx="14">
                  <c:v>მედიქლაბჯორჯია </c:v>
                </c:pt>
                <c:pt idx="15">
                  <c:v>შპს "ღია გული" </c:v>
                </c:pt>
                <c:pt idx="16">
                  <c:v>შპს ,,სამკურნალო სადიაგნოსტიკო ცენტრი სამგორი მედი" </c:v>
                </c:pt>
                <c:pt idx="17">
                  <c:v>შ.პ.ს ვ. სანიკიძის სახ. ომის ვეტერანთა კლინიკური ჰოსპიტალი</c:v>
                </c:pt>
                <c:pt idx="18">
                  <c:v>მარდალეიშვილის სამედიცინო ცენტრი შპს "უჯრედული ტექნოლოგიებისა და თერაპიის ცენტრი" </c:v>
                </c:pt>
                <c:pt idx="19">
                  <c:v>შპს თბილისის გულისა და სისხლძარღვთა კლინიკა</c:v>
                </c:pt>
                <c:pt idx="20">
                  <c:v>შპს "რედი"აკ.ზაალ კახიანის სახელობის კლინია</c:v>
                </c:pt>
                <c:pt idx="21">
                  <c:v>საქართველო ისრაელის ერთობლივი ქირურგიული კლინიკა შპს "გიდმედი"</c:v>
                </c:pt>
                <c:pt idx="22">
                  <c:v>შპს "ექიმთა დახელოვნების უროლოგიისა და გადაუდებელი დახმარების კლინიკა"</c:v>
                </c:pt>
                <c:pt idx="23">
                  <c:v>კლინიკური მედიცინის სამეცნიერო–კვლევითი ინსტიტუტი</c:v>
                </c:pt>
                <c:pt idx="24">
                  <c:v>შპს „ალექსანდრე ალადაშვილის სახელობის კლინიკა“ </c:v>
                </c:pt>
                <c:pt idx="25">
                  <c:v>ს.ს. "თანამედროვე სამედიცინო ტექნოლოგიები"</c:v>
                </c:pt>
                <c:pt idx="26">
                  <c:v>შპს დავით ტატიშვილის სამედიცინო ცენტრი</c:v>
                </c:pt>
                <c:pt idx="27">
                  <c:v>შპს “ალსს" </c:v>
                </c:pt>
                <c:pt idx="28">
                  <c:v>შ.პ.ს.,,ი.ჟორდანიას სახ.ადამიანის რეპროდუქციის ს/კ ინსტიტუტი"</c:v>
                </c:pt>
                <c:pt idx="29">
                  <c:v>შპს"ჰერა 2011"</c:v>
                </c:pt>
                <c:pt idx="30">
                  <c:v>შპს კარდიოლოგიური კლინიკა "გული" </c:v>
                </c:pt>
                <c:pt idx="31">
                  <c:v>შ.პ.ს "ახალი სიცოცხლე"</c:v>
                </c:pt>
              </c:strCache>
            </c:strRef>
          </c:cat>
          <c:val>
            <c:numRef>
              <c:f>'მცირე სიმძლავრის'!$N$2:$N$33</c:f>
            </c:numRef>
          </c:val>
        </c:ser>
        <c:ser>
          <c:idx val="12"/>
          <c:order val="12"/>
          <c:tx>
            <c:strRef>
              <c:f>'მცირე სიმძლავრის'!$O$1</c:f>
              <c:strCache>
                <c:ptCount val="1"/>
                <c:pt idx="0">
                  <c:v>ოქტომბერი 2013</c:v>
                </c:pt>
              </c:strCache>
            </c:strRef>
          </c:tx>
          <c:dLbls>
            <c:showVal val="1"/>
          </c:dLbls>
          <c:cat>
            <c:strRef>
              <c:f>'მცირე სიმძლავრის'!$B$2:$B$33</c:f>
              <c:strCache>
                <c:ptCount val="32"/>
                <c:pt idx="0">
                  <c:v>ვ.ბოჭორიშვილის სახ.სეფსისის საწინააღმდეგო ცენტრი</c:v>
                </c:pt>
                <c:pt idx="1">
                  <c:v>ქ. თბილისი შპს ,, # 5 კლინიკური საავადმყოფო'' </c:v>
                </c:pt>
                <c:pt idx="2">
                  <c:v>შპს "ელიზაბეტ ბლექველის ჰოსპიტალი" </c:v>
                </c:pt>
                <c:pt idx="3">
                  <c:v>შპს "თბილისის ცენტრალური საავადმყოფო"</c:v>
                </c:pt>
                <c:pt idx="4">
                  <c:v>შპს "სისხლძარღვთა და გულის დაავადებათა ცენტრი</c:v>
                </c:pt>
                <c:pt idx="5">
                  <c:v>ს.ს. ”უნივერსალური სამედიცინო ცენტრი” </c:v>
                </c:pt>
                <c:pt idx="6">
                  <c:v>შპს “გადაუდებელი ქირურგიისა და ტრავმატოლოგიის ცენტრი“</c:v>
                </c:pt>
                <c:pt idx="7">
                  <c:v>შპს "საქართველოს საპატრიარქოს წმინდა იოაკიმე და ანას სახელობის სამედიცინო ცენტრი"</c:v>
                </c:pt>
                <c:pt idx="8">
                  <c:v>საქართველოს საპატრირქოს თერაპიული კლინიკა "უპოვართათვის" და მისი განვითარების ფონდი </c:v>
                </c:pt>
                <c:pt idx="9">
                  <c:v>შ.პ.ს "ადაპტი" ანგიოკარდიოლოგიური კლინიკია</c:v>
                </c:pt>
                <c:pt idx="10">
                  <c:v>შპს "გადაუდებელი დახმარებისა და ქირურგიის ცენტრი ჰიგია"</c:v>
                </c:pt>
                <c:pt idx="11">
                  <c:v>შპს "ჰელს მენეჯმენტ ენდ კონსალტინგ" </c:v>
                </c:pt>
                <c:pt idx="12">
                  <c:v>შპს "ავერსის კლინიკა" </c:v>
                </c:pt>
                <c:pt idx="13">
                  <c:v>თსსუ აკად. ალ.ალადაშვილის სახ. საუნივერსიტეტო კლინიკა</c:v>
                </c:pt>
                <c:pt idx="14">
                  <c:v>მედიქლაბჯორჯია </c:v>
                </c:pt>
                <c:pt idx="15">
                  <c:v>შპს "ღია გული" </c:v>
                </c:pt>
                <c:pt idx="16">
                  <c:v>შპს ,,სამკურნალო სადიაგნოსტიკო ცენტრი სამგორი მედი" </c:v>
                </c:pt>
                <c:pt idx="17">
                  <c:v>შ.პ.ს ვ. სანიკიძის სახ. ომის ვეტერანთა კლინიკური ჰოსპიტალი</c:v>
                </c:pt>
                <c:pt idx="18">
                  <c:v>მარდალეიშვილის სამედიცინო ცენტრი შპს "უჯრედული ტექნოლოგიებისა და თერაპიის ცენტრი" </c:v>
                </c:pt>
                <c:pt idx="19">
                  <c:v>შპს თბილისის გულისა და სისხლძარღვთა კლინიკა</c:v>
                </c:pt>
                <c:pt idx="20">
                  <c:v>შპს "რედი"აკ.ზაალ კახიანის სახელობის კლინია</c:v>
                </c:pt>
                <c:pt idx="21">
                  <c:v>საქართველო ისრაელის ერთობლივი ქირურგიული კლინიკა შპს "გიდმედი"</c:v>
                </c:pt>
                <c:pt idx="22">
                  <c:v>შპს "ექიმთა დახელოვნების უროლოგიისა და გადაუდებელი დახმარების კლინიკა"</c:v>
                </c:pt>
                <c:pt idx="23">
                  <c:v>კლინიკური მედიცინის სამეცნიერო–კვლევითი ინსტიტუტი</c:v>
                </c:pt>
                <c:pt idx="24">
                  <c:v>შპს „ალექსანდრე ალადაშვილის სახელობის კლინიკა“ </c:v>
                </c:pt>
                <c:pt idx="25">
                  <c:v>ს.ს. "თანამედროვე სამედიცინო ტექნოლოგიები"</c:v>
                </c:pt>
                <c:pt idx="26">
                  <c:v>შპს დავით ტატიშვილის სამედიცინო ცენტრი</c:v>
                </c:pt>
                <c:pt idx="27">
                  <c:v>შპს “ალსს" </c:v>
                </c:pt>
                <c:pt idx="28">
                  <c:v>შ.პ.ს.,,ი.ჟორდანიას სახ.ადამიანის რეპროდუქციის ს/კ ინსტიტუტი"</c:v>
                </c:pt>
                <c:pt idx="29">
                  <c:v>შპს"ჰერა 2011"</c:v>
                </c:pt>
                <c:pt idx="30">
                  <c:v>შპს კარდიოლოგიური კლინიკა "გული" </c:v>
                </c:pt>
                <c:pt idx="31">
                  <c:v>შ.პ.ს "ახალი სიცოცხლე"</c:v>
                </c:pt>
              </c:strCache>
            </c:strRef>
          </c:cat>
          <c:val>
            <c:numRef>
              <c:f>'მცირე სიმძლავრის'!$O$2:$O$33</c:f>
            </c:numRef>
          </c:val>
        </c:ser>
        <c:ser>
          <c:idx val="13"/>
          <c:order val="13"/>
          <c:tx>
            <c:strRef>
              <c:f>'მცირე სიმძლავრის'!$P$1</c:f>
              <c:strCache>
                <c:ptCount val="1"/>
                <c:pt idx="0">
                  <c:v>ნოემბერი  2013</c:v>
                </c:pt>
              </c:strCache>
            </c:strRef>
          </c:tx>
          <c:dLbls>
            <c:showVal val="1"/>
          </c:dLbls>
          <c:cat>
            <c:strRef>
              <c:f>'მცირე სიმძლავრის'!$B$2:$B$33</c:f>
              <c:strCache>
                <c:ptCount val="32"/>
                <c:pt idx="0">
                  <c:v>ვ.ბოჭორიშვილის სახ.სეფსისის საწინააღმდეგო ცენტრი</c:v>
                </c:pt>
                <c:pt idx="1">
                  <c:v>ქ. თბილისი შპს ,, # 5 კლინიკური საავადმყოფო'' </c:v>
                </c:pt>
                <c:pt idx="2">
                  <c:v>შპს "ელიზაბეტ ბლექველის ჰოსპიტალი" </c:v>
                </c:pt>
                <c:pt idx="3">
                  <c:v>შპს "თბილისის ცენტრალური საავადმყოფო"</c:v>
                </c:pt>
                <c:pt idx="4">
                  <c:v>შპს "სისხლძარღვთა და გულის დაავადებათა ცენტრი</c:v>
                </c:pt>
                <c:pt idx="5">
                  <c:v>ს.ს. ”უნივერსალური სამედიცინო ცენტრი” </c:v>
                </c:pt>
                <c:pt idx="6">
                  <c:v>შპს “გადაუდებელი ქირურგიისა და ტრავმატოლოგიის ცენტრი“</c:v>
                </c:pt>
                <c:pt idx="7">
                  <c:v>შპს "საქართველოს საპატრიარქოს წმინდა იოაკიმე და ანას სახელობის სამედიცინო ცენტრი"</c:v>
                </c:pt>
                <c:pt idx="8">
                  <c:v>საქართველოს საპატრირქოს თერაპიული კლინიკა "უპოვართათვის" და მისი განვითარების ფონდი </c:v>
                </c:pt>
                <c:pt idx="9">
                  <c:v>შ.პ.ს "ადაპტი" ანგიოკარდიოლოგიური კლინიკია</c:v>
                </c:pt>
                <c:pt idx="10">
                  <c:v>შპს "გადაუდებელი დახმარებისა და ქირურგიის ცენტრი ჰიგია"</c:v>
                </c:pt>
                <c:pt idx="11">
                  <c:v>შპს "ჰელს მენეჯმენტ ენდ კონსალტინგ" </c:v>
                </c:pt>
                <c:pt idx="12">
                  <c:v>შპს "ავერსის კლინიკა" </c:v>
                </c:pt>
                <c:pt idx="13">
                  <c:v>თსსუ აკად. ალ.ალადაშვილის სახ. საუნივერსიტეტო კლინიკა</c:v>
                </c:pt>
                <c:pt idx="14">
                  <c:v>მედიქლაბჯორჯია </c:v>
                </c:pt>
                <c:pt idx="15">
                  <c:v>შპს "ღია გული" </c:v>
                </c:pt>
                <c:pt idx="16">
                  <c:v>შპს ,,სამკურნალო სადიაგნოსტიკო ცენტრი სამგორი მედი" </c:v>
                </c:pt>
                <c:pt idx="17">
                  <c:v>შ.პ.ს ვ. სანიკიძის სახ. ომის ვეტერანთა კლინიკური ჰოსპიტალი</c:v>
                </c:pt>
                <c:pt idx="18">
                  <c:v>მარდალეიშვილის სამედიცინო ცენტრი შპს "უჯრედული ტექნოლოგიებისა და თერაპიის ცენტრი" </c:v>
                </c:pt>
                <c:pt idx="19">
                  <c:v>შპს თბილისის გულისა და სისხლძარღვთა კლინიკა</c:v>
                </c:pt>
                <c:pt idx="20">
                  <c:v>შპს "რედი"აკ.ზაალ კახიანის სახელობის კლინია</c:v>
                </c:pt>
                <c:pt idx="21">
                  <c:v>საქართველო ისრაელის ერთობლივი ქირურგიული კლინიკა შპს "გიდმედი"</c:v>
                </c:pt>
                <c:pt idx="22">
                  <c:v>შპს "ექიმთა დახელოვნების უროლოგიისა და გადაუდებელი დახმარების კლინიკა"</c:v>
                </c:pt>
                <c:pt idx="23">
                  <c:v>კლინიკური მედიცინის სამეცნიერო–კვლევითი ინსტიტუტი</c:v>
                </c:pt>
                <c:pt idx="24">
                  <c:v>შპს „ალექსანდრე ალადაშვილის სახელობის კლინიკა“ </c:v>
                </c:pt>
                <c:pt idx="25">
                  <c:v>ს.ს. "თანამედროვე სამედიცინო ტექნოლოგიები"</c:v>
                </c:pt>
                <c:pt idx="26">
                  <c:v>შპს დავით ტატიშვილის სამედიცინო ცენტრი</c:v>
                </c:pt>
                <c:pt idx="27">
                  <c:v>შპს “ალსს" </c:v>
                </c:pt>
                <c:pt idx="28">
                  <c:v>შ.პ.ს.,,ი.ჟორდანიას სახ.ადამიანის რეპროდუქციის ს/კ ინსტიტუტი"</c:v>
                </c:pt>
                <c:pt idx="29">
                  <c:v>შპს"ჰერა 2011"</c:v>
                </c:pt>
                <c:pt idx="30">
                  <c:v>შპს კარდიოლოგიური კლინიკა "გული" </c:v>
                </c:pt>
                <c:pt idx="31">
                  <c:v>შ.პ.ს "ახალი სიცოცხლე"</c:v>
                </c:pt>
              </c:strCache>
            </c:strRef>
          </c:cat>
          <c:val>
            <c:numRef>
              <c:f>'მცირე სიმძლავრის'!$P$2:$P$33</c:f>
            </c:numRef>
          </c:val>
        </c:ser>
        <c:ser>
          <c:idx val="14"/>
          <c:order val="14"/>
          <c:tx>
            <c:strRef>
              <c:f>'მცირე სიმძლავრის'!$Q$1</c:f>
              <c:strCache>
                <c:ptCount val="1"/>
                <c:pt idx="0">
                  <c:v>დეკემბერი 2013</c:v>
                </c:pt>
              </c:strCache>
            </c:strRef>
          </c:tx>
          <c:dLbls>
            <c:showVal val="1"/>
          </c:dLbls>
          <c:cat>
            <c:strRef>
              <c:f>'მცირე სიმძლავრის'!$B$2:$B$33</c:f>
              <c:strCache>
                <c:ptCount val="32"/>
                <c:pt idx="0">
                  <c:v>ვ.ბოჭორიშვილის სახ.სეფსისის საწინააღმდეგო ცენტრი</c:v>
                </c:pt>
                <c:pt idx="1">
                  <c:v>ქ. თბილისი შპს ,, # 5 კლინიკური საავადმყოფო'' </c:v>
                </c:pt>
                <c:pt idx="2">
                  <c:v>შპს "ელიზაბეტ ბლექველის ჰოსპიტალი" </c:v>
                </c:pt>
                <c:pt idx="3">
                  <c:v>შპს "თბილისის ცენტრალური საავადმყოფო"</c:v>
                </c:pt>
                <c:pt idx="4">
                  <c:v>შპს "სისხლძარღვთა და გულის დაავადებათა ცენტრი</c:v>
                </c:pt>
                <c:pt idx="5">
                  <c:v>ს.ს. ”უნივერსალური სამედიცინო ცენტრი” </c:v>
                </c:pt>
                <c:pt idx="6">
                  <c:v>შპს “გადაუდებელი ქირურგიისა და ტრავმატოლოგიის ცენტრი“</c:v>
                </c:pt>
                <c:pt idx="7">
                  <c:v>შპს "საქართველოს საპატრიარქოს წმინდა იოაკიმე და ანას სახელობის სამედიცინო ცენტრი"</c:v>
                </c:pt>
                <c:pt idx="8">
                  <c:v>საქართველოს საპატრირქოს თერაპიული კლინიკა "უპოვართათვის" და მისი განვითარების ფონდი </c:v>
                </c:pt>
                <c:pt idx="9">
                  <c:v>შ.პ.ს "ადაპტი" ანგიოკარდიოლოგიური კლინიკია</c:v>
                </c:pt>
                <c:pt idx="10">
                  <c:v>შპს "გადაუდებელი დახმარებისა და ქირურგიის ცენტრი ჰიგია"</c:v>
                </c:pt>
                <c:pt idx="11">
                  <c:v>შპს "ჰელს მენეჯმენტ ენდ კონსალტინგ" </c:v>
                </c:pt>
                <c:pt idx="12">
                  <c:v>შპს "ავერსის კლინიკა" </c:v>
                </c:pt>
                <c:pt idx="13">
                  <c:v>თსსუ აკად. ალ.ალადაშვილის სახ. საუნივერსიტეტო კლინიკა</c:v>
                </c:pt>
                <c:pt idx="14">
                  <c:v>მედიქლაბჯორჯია </c:v>
                </c:pt>
                <c:pt idx="15">
                  <c:v>შპს "ღია გული" </c:v>
                </c:pt>
                <c:pt idx="16">
                  <c:v>შპს ,,სამკურნალო სადიაგნოსტიკო ცენტრი სამგორი მედი" </c:v>
                </c:pt>
                <c:pt idx="17">
                  <c:v>შ.პ.ს ვ. სანიკიძის სახ. ომის ვეტერანთა კლინიკური ჰოსპიტალი</c:v>
                </c:pt>
                <c:pt idx="18">
                  <c:v>მარდალეიშვილის სამედიცინო ცენტრი შპს "უჯრედული ტექნოლოგიებისა და თერაპიის ცენტრი" </c:v>
                </c:pt>
                <c:pt idx="19">
                  <c:v>შპს თბილისის გულისა და სისხლძარღვთა კლინიკა</c:v>
                </c:pt>
                <c:pt idx="20">
                  <c:v>შპს "რედი"აკ.ზაალ კახიანის სახელობის კლინია</c:v>
                </c:pt>
                <c:pt idx="21">
                  <c:v>საქართველო ისრაელის ერთობლივი ქირურგიული კლინიკა შპს "გიდმედი"</c:v>
                </c:pt>
                <c:pt idx="22">
                  <c:v>შპს "ექიმთა დახელოვნების უროლოგიისა და გადაუდებელი დახმარების კლინიკა"</c:v>
                </c:pt>
                <c:pt idx="23">
                  <c:v>კლინიკური მედიცინის სამეცნიერო–კვლევითი ინსტიტუტი</c:v>
                </c:pt>
                <c:pt idx="24">
                  <c:v>შპს „ალექსანდრე ალადაშვილის სახელობის კლინიკა“ </c:v>
                </c:pt>
                <c:pt idx="25">
                  <c:v>ს.ს. "თანამედროვე სამედიცინო ტექნოლოგიები"</c:v>
                </c:pt>
                <c:pt idx="26">
                  <c:v>შპს დავით ტატიშვილის სამედიცინო ცენტრი</c:v>
                </c:pt>
                <c:pt idx="27">
                  <c:v>შპს “ალსს" </c:v>
                </c:pt>
                <c:pt idx="28">
                  <c:v>შ.პ.ს.,,ი.ჟორდანიას სახ.ადამიანის რეპროდუქციის ს/კ ინსტიტუტი"</c:v>
                </c:pt>
                <c:pt idx="29">
                  <c:v>შპს"ჰერა 2011"</c:v>
                </c:pt>
                <c:pt idx="30">
                  <c:v>შპს კარდიოლოგიური კლინიკა "გული" </c:v>
                </c:pt>
                <c:pt idx="31">
                  <c:v>შ.პ.ს "ახალი სიცოცხლე"</c:v>
                </c:pt>
              </c:strCache>
            </c:strRef>
          </c:cat>
          <c:val>
            <c:numRef>
              <c:f>'მცირე სიმძლავრის'!$Q$2:$Q$33</c:f>
            </c:numRef>
          </c:val>
        </c:ser>
        <c:ser>
          <c:idx val="15"/>
          <c:order val="15"/>
          <c:tx>
            <c:strRef>
              <c:f>'მცირე სიმძლავრის'!$R$1</c:f>
              <c:strCache>
                <c:ptCount val="1"/>
                <c:pt idx="0">
                  <c:v>მიღებული რეფერალი  </c:v>
                </c:pt>
              </c:strCache>
            </c:strRef>
          </c:tx>
          <c:dLbls>
            <c:showVal val="1"/>
          </c:dLbls>
          <c:cat>
            <c:strRef>
              <c:f>'მცირე სიმძლავრის'!$B$2:$B$33</c:f>
              <c:strCache>
                <c:ptCount val="32"/>
                <c:pt idx="0">
                  <c:v>ვ.ბოჭორიშვილის სახ.სეფსისის საწინააღმდეგო ცენტრი</c:v>
                </c:pt>
                <c:pt idx="1">
                  <c:v>ქ. თბილისი შპს ,, # 5 კლინიკური საავადმყოფო'' </c:v>
                </c:pt>
                <c:pt idx="2">
                  <c:v>შპს "ელიზაბეტ ბლექველის ჰოსპიტალი" </c:v>
                </c:pt>
                <c:pt idx="3">
                  <c:v>შპს "თბილისის ცენტრალური საავადმყოფო"</c:v>
                </c:pt>
                <c:pt idx="4">
                  <c:v>შპს "სისხლძარღვთა და გულის დაავადებათა ცენტრი</c:v>
                </c:pt>
                <c:pt idx="5">
                  <c:v>ს.ს. ”უნივერსალური სამედიცინო ცენტრი” </c:v>
                </c:pt>
                <c:pt idx="6">
                  <c:v>შპს “გადაუდებელი ქირურგიისა და ტრავმატოლოგიის ცენტრი“</c:v>
                </c:pt>
                <c:pt idx="7">
                  <c:v>შპს "საქართველოს საპატრიარქოს წმინდა იოაკიმე და ანას სახელობის სამედიცინო ცენტრი"</c:v>
                </c:pt>
                <c:pt idx="8">
                  <c:v>საქართველოს საპატრირქოს თერაპიული კლინიკა "უპოვართათვის" და მისი განვითარების ფონდი </c:v>
                </c:pt>
                <c:pt idx="9">
                  <c:v>შ.პ.ს "ადაპტი" ანგიოკარდიოლოგიური კლინიკია</c:v>
                </c:pt>
                <c:pt idx="10">
                  <c:v>შპს "გადაუდებელი დახმარებისა და ქირურგიის ცენტრი ჰიგია"</c:v>
                </c:pt>
                <c:pt idx="11">
                  <c:v>შპს "ჰელს მენეჯმენტ ენდ კონსალტინგ" </c:v>
                </c:pt>
                <c:pt idx="12">
                  <c:v>შპს "ავერსის კლინიკა" </c:v>
                </c:pt>
                <c:pt idx="13">
                  <c:v>თსსუ აკად. ალ.ალადაშვილის სახ. საუნივერსიტეტო კლინიკა</c:v>
                </c:pt>
                <c:pt idx="14">
                  <c:v>მედიქლაბჯორჯია </c:v>
                </c:pt>
                <c:pt idx="15">
                  <c:v>შპს "ღია გული" </c:v>
                </c:pt>
                <c:pt idx="16">
                  <c:v>შპს ,,სამკურნალო სადიაგნოსტიკო ცენტრი სამგორი მედი" </c:v>
                </c:pt>
                <c:pt idx="17">
                  <c:v>შ.პ.ს ვ. სანიკიძის სახ. ომის ვეტერანთა კლინიკური ჰოსპიტალი</c:v>
                </c:pt>
                <c:pt idx="18">
                  <c:v>მარდალეიშვილის სამედიცინო ცენტრი შპს "უჯრედული ტექნოლოგიებისა და თერაპიის ცენტრი" </c:v>
                </c:pt>
                <c:pt idx="19">
                  <c:v>შპს თბილისის გულისა და სისხლძარღვთა კლინიკა</c:v>
                </c:pt>
                <c:pt idx="20">
                  <c:v>შპს "რედი"აკ.ზაალ კახიანის სახელობის კლინია</c:v>
                </c:pt>
                <c:pt idx="21">
                  <c:v>საქართველო ისრაელის ერთობლივი ქირურგიული კლინიკა შპს "გიდმედი"</c:v>
                </c:pt>
                <c:pt idx="22">
                  <c:v>შპს "ექიმთა დახელოვნების უროლოგიისა და გადაუდებელი დახმარების კლინიკა"</c:v>
                </c:pt>
                <c:pt idx="23">
                  <c:v>კლინიკური მედიცინის სამეცნიერო–კვლევითი ინსტიტუტი</c:v>
                </c:pt>
                <c:pt idx="24">
                  <c:v>შპს „ალექსანდრე ალადაშვილის სახელობის კლინიკა“ </c:v>
                </c:pt>
                <c:pt idx="25">
                  <c:v>ს.ს. "თანამედროვე სამედიცინო ტექნოლოგიები"</c:v>
                </c:pt>
                <c:pt idx="26">
                  <c:v>შპს დავით ტატიშვილის სამედიცინო ცენტრი</c:v>
                </c:pt>
                <c:pt idx="27">
                  <c:v>შპს “ალსს" </c:v>
                </c:pt>
                <c:pt idx="28">
                  <c:v>შ.პ.ს.,,ი.ჟორდანიას სახ.ადამიანის რეპროდუქციის ს/კ ინსტიტუტი"</c:v>
                </c:pt>
                <c:pt idx="29">
                  <c:v>შპს"ჰერა 2011"</c:v>
                </c:pt>
                <c:pt idx="30">
                  <c:v>შპს კარდიოლოგიური კლინიკა "გული" </c:v>
                </c:pt>
                <c:pt idx="31">
                  <c:v>შ.პ.ს "ახალი სიცოცხლე"</c:v>
                </c:pt>
              </c:strCache>
            </c:strRef>
          </c:cat>
          <c:val>
            <c:numRef>
              <c:f>'მცირე სიმძლავრის'!$R$2:$R$33</c:f>
              <c:numCache>
                <c:formatCode>General</c:formatCode>
                <c:ptCount val="32"/>
                <c:pt idx="0">
                  <c:v>70</c:v>
                </c:pt>
                <c:pt idx="1">
                  <c:v>35</c:v>
                </c:pt>
                <c:pt idx="2">
                  <c:v>27</c:v>
                </c:pt>
                <c:pt idx="3">
                  <c:v>203</c:v>
                </c:pt>
                <c:pt idx="4">
                  <c:v>128</c:v>
                </c:pt>
                <c:pt idx="5">
                  <c:v>60</c:v>
                </c:pt>
                <c:pt idx="6">
                  <c:v>58</c:v>
                </c:pt>
                <c:pt idx="7">
                  <c:v>28</c:v>
                </c:pt>
                <c:pt idx="8">
                  <c:v>12</c:v>
                </c:pt>
                <c:pt idx="9">
                  <c:v>3</c:v>
                </c:pt>
                <c:pt idx="10">
                  <c:v>99</c:v>
                </c:pt>
                <c:pt idx="11">
                  <c:v>34</c:v>
                </c:pt>
                <c:pt idx="12">
                  <c:v>152</c:v>
                </c:pt>
                <c:pt idx="13">
                  <c:v>65</c:v>
                </c:pt>
                <c:pt idx="14">
                  <c:v>64</c:v>
                </c:pt>
                <c:pt idx="15">
                  <c:v>48</c:v>
                </c:pt>
                <c:pt idx="16">
                  <c:v>45</c:v>
                </c:pt>
                <c:pt idx="17">
                  <c:v>13</c:v>
                </c:pt>
                <c:pt idx="18">
                  <c:v>3</c:v>
                </c:pt>
                <c:pt idx="19">
                  <c:v>126</c:v>
                </c:pt>
                <c:pt idx="20">
                  <c:v>67</c:v>
                </c:pt>
                <c:pt idx="21">
                  <c:v>7</c:v>
                </c:pt>
                <c:pt idx="22">
                  <c:v>211</c:v>
                </c:pt>
                <c:pt idx="23">
                  <c:v>64</c:v>
                </c:pt>
                <c:pt idx="24">
                  <c:v>31</c:v>
                </c:pt>
                <c:pt idx="25">
                  <c:v>22</c:v>
                </c:pt>
                <c:pt idx="26">
                  <c:v>14</c:v>
                </c:pt>
                <c:pt idx="27">
                  <c:v>9</c:v>
                </c:pt>
                <c:pt idx="28">
                  <c:v>3</c:v>
                </c:pt>
                <c:pt idx="29">
                  <c:v>2</c:v>
                </c:pt>
                <c:pt idx="30">
                  <c:v>195</c:v>
                </c:pt>
                <c:pt idx="31">
                  <c:v>18</c:v>
                </c:pt>
              </c:numCache>
            </c:numRef>
          </c:val>
        </c:ser>
        <c:dLbls>
          <c:showVal val="1"/>
        </c:dLbls>
        <c:axId val="68372736"/>
        <c:axId val="68390912"/>
      </c:barChart>
      <c:catAx>
        <c:axId val="68372736"/>
        <c:scaling>
          <c:orientation val="minMax"/>
        </c:scaling>
        <c:axPos val="l"/>
        <c:tickLblPos val="nextTo"/>
        <c:txPr>
          <a:bodyPr/>
          <a:lstStyle/>
          <a:p>
            <a:pPr>
              <a:defRPr lang="en-US"/>
            </a:pPr>
            <a:endParaRPr lang="en-US"/>
          </a:p>
        </c:txPr>
        <c:crossAx val="68390912"/>
        <c:crosses val="autoZero"/>
        <c:lblAlgn val="ctr"/>
        <c:lblOffset val="10"/>
        <c:tickLblSkip val="1"/>
      </c:catAx>
      <c:valAx>
        <c:axId val="68390912"/>
        <c:scaling>
          <c:orientation val="minMax"/>
        </c:scaling>
        <c:axPos val="b"/>
        <c:numFmt formatCode="General" sourceLinked="1"/>
        <c:tickLblPos val="nextTo"/>
        <c:txPr>
          <a:bodyPr/>
          <a:lstStyle/>
          <a:p>
            <a:pPr>
              <a:defRPr lang="en-US"/>
            </a:pPr>
            <a:endParaRPr lang="en-US"/>
          </a:p>
        </c:txPr>
        <c:crossAx val="68372736"/>
        <c:crossesAt val="1"/>
        <c:crossBetween val="midCat"/>
      </c:valAx>
    </c:plotArea>
    <c:legend>
      <c:legendPos val="r"/>
      <c:txPr>
        <a:bodyPr/>
        <a:lstStyle/>
        <a:p>
          <a:pPr>
            <a:defRPr lang="en-US"/>
          </a:pPr>
          <a:endParaRPr lang="en-US"/>
        </a:p>
      </c:txPr>
    </c:legend>
    <c:plotVisOnly val="1"/>
    <c:dispBlanksAs val="gap"/>
  </c:chart>
  <c:txPr>
    <a:bodyPr/>
    <a:lstStyle/>
    <a:p>
      <a:pPr>
        <a:defRPr sz="900"/>
      </a:pPr>
      <a:endParaRPr lang="en-US"/>
    </a:p>
  </c:txPr>
  <c:externalData r:id="rId1"/>
</c:chartSpace>
</file>

<file path=word/drawings/_rels/drawing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png"/><Relationship Id="rId4" Type="http://schemas.openxmlformats.org/officeDocument/2006/relationships/image" Target="../media/image5.png"/></Relationships>
</file>

<file path=word/drawings/_rels/drawing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drawings/_rels/drawing3.xml.rels><?xml version="1.0" encoding="UTF-8" standalone="yes"?>
<Relationships xmlns="http://schemas.openxmlformats.org/package/2006/relationships"><Relationship Id="rId1" Type="http://schemas.openxmlformats.org/officeDocument/2006/relationships/image" Target="../media/image3.png"/></Relationships>
</file>

<file path=word/drawings/drawing1.xml><?xml version="1.0" encoding="utf-8"?>
<c:userShapes xmlns:c="http://schemas.openxmlformats.org/drawingml/2006/chart">
  <cdr:relSizeAnchor xmlns:cdr="http://schemas.openxmlformats.org/drawingml/2006/chartDrawing">
    <cdr:from>
      <cdr:x>0.35906</cdr:x>
      <cdr:y>0.60216</cdr:y>
    </cdr:from>
    <cdr:to>
      <cdr:x>0.40136</cdr:x>
      <cdr:y>0.67923</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3152775" y="2381250"/>
          <a:ext cx="371429" cy="304762"/>
        </a:xfrm>
        <a:prstGeom xmlns:a="http://schemas.openxmlformats.org/drawingml/2006/main" prst="rect">
          <a:avLst/>
        </a:prstGeom>
      </cdr:spPr>
    </cdr:pic>
  </cdr:relSizeAnchor>
  <cdr:relSizeAnchor xmlns:cdr="http://schemas.openxmlformats.org/drawingml/2006/chartDrawing">
    <cdr:from>
      <cdr:x>0.499</cdr:x>
      <cdr:y>0.2216</cdr:y>
    </cdr:from>
    <cdr:to>
      <cdr:x>0.5413</cdr:x>
      <cdr:y>0.29866</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4381500" y="876300"/>
          <a:ext cx="371429" cy="304762"/>
        </a:xfrm>
        <a:prstGeom xmlns:a="http://schemas.openxmlformats.org/drawingml/2006/main" prst="rect">
          <a:avLst/>
        </a:prstGeom>
      </cdr:spPr>
    </cdr:pic>
  </cdr:relSizeAnchor>
  <cdr:relSizeAnchor xmlns:cdr="http://schemas.openxmlformats.org/drawingml/2006/chartDrawing">
    <cdr:from>
      <cdr:x>0.58361</cdr:x>
      <cdr:y>0.58771</cdr:y>
    </cdr:from>
    <cdr:to>
      <cdr:x>0.62591</cdr:x>
      <cdr:y>0.68164</cdr:y>
    </cdr:to>
    <cdr:pic>
      <cdr:nvPicPr>
        <cdr:cNvPr id="4" name="chart"/>
        <cdr:cNvPicPr>
          <a:picLocks xmlns:a="http://schemas.openxmlformats.org/drawingml/2006/main" noChangeAspect="1"/>
        </cdr:cNvPicPr>
      </cdr:nvPicPr>
      <cdr:blipFill>
        <a:blip xmlns:a="http://schemas.openxmlformats.org/drawingml/2006/main" xmlns:r="http://schemas.openxmlformats.org/officeDocument/2006/relationships" r:embed="rId3"/>
        <a:stretch xmlns:a="http://schemas.openxmlformats.org/drawingml/2006/main">
          <a:fillRect/>
        </a:stretch>
      </cdr:blipFill>
      <cdr:spPr>
        <a:xfrm xmlns:a="http://schemas.openxmlformats.org/drawingml/2006/main">
          <a:off x="5124450" y="2324100"/>
          <a:ext cx="371429" cy="371429"/>
        </a:xfrm>
        <a:prstGeom xmlns:a="http://schemas.openxmlformats.org/drawingml/2006/main" prst="rect">
          <a:avLst/>
        </a:prstGeom>
      </cdr:spPr>
    </cdr:pic>
  </cdr:relSizeAnchor>
  <cdr:relSizeAnchor xmlns:cdr="http://schemas.openxmlformats.org/drawingml/2006/chartDrawing">
    <cdr:from>
      <cdr:x>0.7485</cdr:x>
      <cdr:y>0.36852</cdr:y>
    </cdr:from>
    <cdr:to>
      <cdr:x>0.7908</cdr:x>
      <cdr:y>0.46727</cdr:y>
    </cdr:to>
    <cdr:pic>
      <cdr:nvPicPr>
        <cdr:cNvPr id="5" name="chart"/>
        <cdr:cNvPicPr>
          <a:picLocks xmlns:a="http://schemas.openxmlformats.org/drawingml/2006/main" noChangeAspect="1"/>
        </cdr:cNvPicPr>
      </cdr:nvPicPr>
      <cdr:blipFill>
        <a:blip xmlns:a="http://schemas.openxmlformats.org/drawingml/2006/main" xmlns:r="http://schemas.openxmlformats.org/officeDocument/2006/relationships" r:embed="rId4"/>
        <a:stretch xmlns:a="http://schemas.openxmlformats.org/drawingml/2006/main">
          <a:fillRect/>
        </a:stretch>
      </cdr:blipFill>
      <cdr:spPr>
        <a:xfrm xmlns:a="http://schemas.openxmlformats.org/drawingml/2006/main">
          <a:off x="6572250" y="1457325"/>
          <a:ext cx="371429" cy="390476"/>
        </a:xfrm>
        <a:prstGeom xmlns:a="http://schemas.openxmlformats.org/drawingml/2006/main" prst="rect">
          <a:avLst/>
        </a:prstGeom>
      </cdr:spPr>
    </cdr:pic>
  </cdr:relSizeAnchor>
  <cdr:relSizeAnchor xmlns:cdr="http://schemas.openxmlformats.org/drawingml/2006/chartDrawing">
    <cdr:from>
      <cdr:x>0.75826</cdr:x>
      <cdr:y>0.13248</cdr:y>
    </cdr:from>
    <cdr:to>
      <cdr:x>0.80056</cdr:x>
      <cdr:y>0.20954</cdr:y>
    </cdr:to>
    <cdr:pic>
      <cdr:nvPicPr>
        <cdr:cNvPr id="6" name="chart"/>
        <cdr:cNvPicPr>
          <a:picLocks xmlns:a="http://schemas.openxmlformats.org/drawingml/2006/main" noChangeAspect="1"/>
        </cdr:cNvPicPr>
      </cdr:nvPicPr>
      <cdr:blipFill>
        <a:blip xmlns:a="http://schemas.openxmlformats.org/drawingml/2006/main" xmlns:r="http://schemas.openxmlformats.org/officeDocument/2006/relationships" r:embed="rId5"/>
        <a:stretch xmlns:a="http://schemas.openxmlformats.org/drawingml/2006/main">
          <a:fillRect/>
        </a:stretch>
      </cdr:blipFill>
      <cdr:spPr>
        <a:xfrm xmlns:a="http://schemas.openxmlformats.org/drawingml/2006/main">
          <a:off x="6657975" y="523875"/>
          <a:ext cx="371429" cy="304762"/>
        </a:xfrm>
        <a:prstGeom xmlns:a="http://schemas.openxmlformats.org/drawingml/2006/main" prst="rect">
          <a:avLst/>
        </a:prstGeom>
      </cdr:spPr>
    </cdr:pic>
  </cdr:relSizeAnchor>
</c:userShapes>
</file>

<file path=word/drawings/drawing2.xml><?xml version="1.0" encoding="utf-8"?>
<c:userShapes xmlns:c="http://schemas.openxmlformats.org/drawingml/2006/chart">
  <cdr:relSizeAnchor xmlns:cdr="http://schemas.openxmlformats.org/drawingml/2006/chartDrawing">
    <cdr:from>
      <cdr:x>0.39699</cdr:x>
      <cdr:y>0.78093</cdr:y>
    </cdr:from>
    <cdr:to>
      <cdr:x>0.4386</cdr:x>
      <cdr:y>0.84247</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3543300" y="3867150"/>
          <a:ext cx="371429" cy="304762"/>
        </a:xfrm>
        <a:prstGeom xmlns:a="http://schemas.openxmlformats.org/drawingml/2006/main" prst="rect">
          <a:avLst/>
        </a:prstGeom>
      </cdr:spPr>
    </cdr:pic>
  </cdr:relSizeAnchor>
  <cdr:relSizeAnchor xmlns:cdr="http://schemas.openxmlformats.org/drawingml/2006/chartDrawing">
    <cdr:from>
      <cdr:x>0.53145</cdr:x>
      <cdr:y>0.17119</cdr:y>
    </cdr:from>
    <cdr:to>
      <cdr:x>0.57307</cdr:x>
      <cdr:y>0.23273</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4743450" y="847725"/>
          <a:ext cx="371429" cy="304762"/>
        </a:xfrm>
        <a:prstGeom xmlns:a="http://schemas.openxmlformats.org/drawingml/2006/main" prst="rect">
          <a:avLst/>
        </a:prstGeom>
      </cdr:spPr>
    </cdr:pic>
  </cdr:relSizeAnchor>
</c:userShapes>
</file>

<file path=word/drawings/drawing3.xml><?xml version="1.0" encoding="utf-8"?>
<c:userShapes xmlns:c="http://schemas.openxmlformats.org/drawingml/2006/chart">
  <cdr:relSizeAnchor xmlns:cdr="http://schemas.openxmlformats.org/drawingml/2006/chartDrawing">
    <cdr:from>
      <cdr:x>0.56319</cdr:x>
      <cdr:y>0.13269</cdr:y>
    </cdr:from>
    <cdr:to>
      <cdr:x>0.6051</cdr:x>
      <cdr:y>0.19606</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4991100" y="638175"/>
          <a:ext cx="371429" cy="304762"/>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CFACC6-86E3-4315-ADFB-536A4EDAD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6639</Words>
  <Characters>37843</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Lela Tsotsoria</dc:creator>
  <cp:keywords/>
  <dc:description/>
  <cp:lastModifiedBy>ekapanadze</cp:lastModifiedBy>
  <cp:revision>2</cp:revision>
  <cp:lastPrinted>2014-10-06T08:21:00Z</cp:lastPrinted>
  <dcterms:created xsi:type="dcterms:W3CDTF">2015-01-06T12:12:00Z</dcterms:created>
  <dcterms:modified xsi:type="dcterms:W3CDTF">2015-01-06T12:12:00Z</dcterms:modified>
</cp:coreProperties>
</file>