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B1" w:rsidRPr="00F80B06" w:rsidRDefault="00FA53B1" w:rsidP="00FA53B1">
      <w:pPr>
        <w:ind w:firstLine="708"/>
        <w:jc w:val="right"/>
        <w:rPr>
          <w:rFonts w:ascii="AcadNusx" w:hAnsi="AcadNusx"/>
          <w:lang w:val="pt-BR"/>
        </w:rPr>
      </w:pPr>
      <w:r w:rsidRPr="00F80B06">
        <w:rPr>
          <w:rFonts w:ascii="AcadNusx" w:hAnsi="AcadNusx"/>
          <w:lang w:val="pt-BR"/>
        </w:rPr>
        <w:t>administraciuli departamentis ufross</w:t>
      </w:r>
    </w:p>
    <w:p w:rsidR="00FA53B1" w:rsidRPr="00F80B06" w:rsidRDefault="00FA53B1" w:rsidP="00FA53B1">
      <w:pPr>
        <w:ind w:firstLine="708"/>
        <w:jc w:val="right"/>
        <w:rPr>
          <w:rFonts w:ascii="AcadNusx" w:hAnsi="AcadNusx"/>
          <w:lang w:val="fi-FI"/>
        </w:rPr>
      </w:pPr>
      <w:r w:rsidRPr="00F80B06">
        <w:rPr>
          <w:rFonts w:ascii="AcadNusx" w:hAnsi="AcadNusx"/>
          <w:lang w:val="fi-FI"/>
        </w:rPr>
        <w:t>baton SoTa WanturiZes</w:t>
      </w: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r w:rsidRPr="00F80B06">
        <w:rPr>
          <w:rFonts w:ascii="AcadNusx" w:hAnsi="AcadNusx"/>
          <w:lang w:val="fi-FI"/>
        </w:rPr>
        <w:t>batono SoTa,</w:t>
      </w: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r w:rsidRPr="00F80B06">
        <w:rPr>
          <w:rFonts w:ascii="AcadNusx" w:hAnsi="AcadNusx"/>
          <w:lang w:val="fi-FI"/>
        </w:rPr>
        <w:t>sagangebo situaciebis koordinaciisa da reJimis departamentSi Semosuli Tqveni 01.10.10. #12/23854 samsaxurebrivi baraTis Taobaze, romelic Seexeba “gadaudebel samedicino momsaxurebasa da sagangebo situaciebis marTva/menejmentSi prehospitaluri da hospitaluri seqtoris profesiuli kadrebis mzadebis” mizniT, saministros mier inteleqtualuri momsaxurebis Sesyidvis proceduraSi monawile organizaciebis ganacxadebis fasTa kotirebis dokumentaciiT gansazRvrul moTxovnebTan Sesabamisobis Taobaze Cveni daskvnis wardgenas gacnobebT, rom zemoaRniSnuli Sesyidvebis proceduraSi monawile organizaciebis (Sps “mediqlabjorjia”, ss “akad. o. RuduSauris erovnuli samedicino centri” da “Tbilisis saxelmwifo samedicino universitetis sagangebo situaciebze samedicino reagirebis da marTvis erovnuli saswavlo centri”) ganacxadebis detaluri gacnobis Sedegad vTvliT, rom samive organizaciis mier warmodgenili winadadebebi SesabamisobaSia Sesasyidi momsaxurebis teqnikuri davalebiT gansazRvrul moTxovnebTan.</w:t>
      </w:r>
    </w:p>
    <w:p w:rsidR="00FA53B1" w:rsidRPr="00F80B06" w:rsidRDefault="00FA53B1" w:rsidP="00FA53B1">
      <w:pPr>
        <w:ind w:firstLine="708"/>
        <w:jc w:val="both"/>
        <w:rPr>
          <w:rFonts w:ascii="AcadNusx" w:hAnsi="AcadNusx"/>
          <w:lang w:val="fi-FI"/>
        </w:rPr>
      </w:pPr>
      <w:r w:rsidRPr="00F80B06">
        <w:rPr>
          <w:rFonts w:ascii="AcadNusx" w:hAnsi="AcadNusx"/>
          <w:lang w:val="fi-FI"/>
        </w:rPr>
        <w:t xml:space="preserve"> </w:t>
      </w: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r w:rsidRPr="00F80B06">
        <w:rPr>
          <w:rFonts w:ascii="AcadNusx" w:hAnsi="AcadNusx"/>
          <w:lang w:val="fi-FI"/>
        </w:rPr>
        <w:t>pativiscemiT,</w:t>
      </w: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r w:rsidRPr="00F80B06">
        <w:rPr>
          <w:rFonts w:ascii="AcadNusx" w:hAnsi="AcadNusx"/>
          <w:lang w:val="fi-FI"/>
        </w:rPr>
        <w:t>sagangebo situaciebis koordinaciisa</w:t>
      </w:r>
    </w:p>
    <w:p w:rsidR="00FA53B1" w:rsidRPr="00F80B06" w:rsidRDefault="00FA53B1" w:rsidP="00FA53B1">
      <w:pPr>
        <w:ind w:firstLine="708"/>
        <w:jc w:val="both"/>
        <w:rPr>
          <w:rFonts w:ascii="AcadNusx" w:hAnsi="AcadNusx"/>
          <w:lang w:val="fi-FI"/>
        </w:rPr>
      </w:pPr>
      <w:r w:rsidRPr="00F80B06">
        <w:rPr>
          <w:rFonts w:ascii="AcadNusx" w:hAnsi="AcadNusx"/>
          <w:lang w:val="fi-FI"/>
        </w:rPr>
        <w:t>da reJimis departamentis ufrosi                     zurab utiaSvili</w:t>
      </w:r>
    </w:p>
    <w:p w:rsidR="00FA53B1" w:rsidRPr="00F80B06" w:rsidRDefault="00FA53B1" w:rsidP="00FA53B1">
      <w:pPr>
        <w:ind w:firstLine="708"/>
        <w:jc w:val="both"/>
        <w:rPr>
          <w:rFonts w:ascii="AcadNusx" w:hAnsi="AcadNusx"/>
          <w:lang w:val="fi-FI"/>
        </w:rPr>
      </w:pPr>
    </w:p>
    <w:p w:rsidR="00FA53B1" w:rsidRPr="00F80B06" w:rsidRDefault="00FA53B1" w:rsidP="00FA53B1">
      <w:pPr>
        <w:ind w:firstLine="708"/>
        <w:jc w:val="both"/>
        <w:rPr>
          <w:rFonts w:ascii="AcadNusx" w:hAnsi="AcadNusx"/>
          <w:lang w:val="fi-FI"/>
        </w:rPr>
      </w:pPr>
    </w:p>
    <w:p w:rsidR="00A27568" w:rsidRPr="00FA53B1" w:rsidRDefault="00A27568">
      <w:pPr>
        <w:rPr>
          <w:lang w:val="fi-FI"/>
        </w:rPr>
      </w:pPr>
      <w:bookmarkStart w:id="0" w:name="_GoBack"/>
      <w:bookmarkEnd w:id="0"/>
    </w:p>
    <w:sectPr w:rsidR="00A27568" w:rsidRPr="00FA53B1"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B1"/>
    <w:rsid w:val="006B701E"/>
    <w:rsid w:val="00A27568"/>
    <w:rsid w:val="00A460C0"/>
    <w:rsid w:val="00D377C9"/>
    <w:rsid w:val="00FA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3B1"/>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FA53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FA53B1"/>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FA53B1"/>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3B1"/>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FA53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FA53B1"/>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FA53B1"/>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cp:revision>
  <dcterms:created xsi:type="dcterms:W3CDTF">2012-06-01T14:09:00Z</dcterms:created>
  <dcterms:modified xsi:type="dcterms:W3CDTF">2012-06-01T14:09:00Z</dcterms:modified>
</cp:coreProperties>
</file>