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DF" w:rsidRDefault="00595323" w:rsidP="00271CD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br/>
      </w:r>
      <w:r w:rsidR="00141001" w:rsidRPr="006227DF">
        <w:rPr>
          <w:rFonts w:ascii="Times New Roman" w:hAnsi="Times New Roman" w:cs="Times New Roman"/>
          <w:b/>
          <w:sz w:val="28"/>
          <w:szCs w:val="28"/>
          <w:lang w:val="en-US"/>
        </w:rPr>
        <w:t>Annex</w:t>
      </w:r>
    </w:p>
    <w:p w:rsidR="008F66F3" w:rsidRDefault="006227DF">
      <w:pPr>
        <w:autoSpaceDE w:val="0"/>
        <w:autoSpaceDN w:val="0"/>
        <w:adjustRightInd w:val="0"/>
        <w:spacing w:after="240"/>
        <w:rPr>
          <w:rFonts w:ascii="Times New Roman" w:eastAsia="ArialNarrow" w:hAnsi="Times New Roman" w:cs="Times New Roman"/>
          <w:sz w:val="24"/>
          <w:szCs w:val="24"/>
          <w:u w:val="single"/>
          <w:lang w:val="en-US"/>
        </w:rPr>
      </w:pPr>
      <w:r w:rsidRPr="006227DF">
        <w:rPr>
          <w:rFonts w:ascii="Times New Roman" w:eastAsia="ArialNarrow" w:hAnsi="Times New Roman" w:cs="Times New Roman"/>
          <w:sz w:val="24"/>
          <w:szCs w:val="24"/>
          <w:u w:val="single"/>
          <w:lang w:val="en-US"/>
        </w:rPr>
        <w:t>Global</w:t>
      </w:r>
      <w:r w:rsidR="006103BB">
        <w:rPr>
          <w:rFonts w:ascii="Times New Roman" w:eastAsia="ArialNarrow" w:hAnsi="Times New Roman" w:cs="Times New Roman"/>
          <w:sz w:val="24"/>
          <w:szCs w:val="24"/>
          <w:u w:val="single"/>
          <w:lang w:val="en-US"/>
        </w:rPr>
        <w:t xml:space="preserve"> </w:t>
      </w:r>
      <w:r w:rsidR="004745E4">
        <w:rPr>
          <w:rFonts w:ascii="Times New Roman" w:eastAsia="ArialNarrow" w:hAnsi="Times New Roman" w:cs="Times New Roman"/>
          <w:sz w:val="24"/>
          <w:szCs w:val="24"/>
          <w:u w:val="single"/>
          <w:lang w:val="en-US"/>
        </w:rPr>
        <w:t>Context</w:t>
      </w:r>
    </w:p>
    <w:p w:rsidR="008F66F3" w:rsidRDefault="00C01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eastAsia="ArialNarrow" w:hAnsi="Times New Roman" w:cs="Times New Roman"/>
          <w:sz w:val="24"/>
          <w:szCs w:val="24"/>
          <w:lang w:val="en-US"/>
        </w:rPr>
      </w:pPr>
      <w:r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The </w:t>
      </w:r>
      <w:r w:rsidR="00141001"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Europe</w:t>
      </w:r>
      <w:r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an Region of WHO</w:t>
      </w:r>
      <w:r w:rsidR="00CA0DA7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 </w:t>
      </w:r>
      <w:r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w</w:t>
      </w:r>
      <w:r w:rsidR="00141001"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as</w:t>
      </w:r>
      <w:r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 certified</w:t>
      </w:r>
      <w:r w:rsidR="00CA0DA7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 </w:t>
      </w:r>
      <w:r w:rsidR="00D30B2B"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a</w:t>
      </w:r>
      <w:r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s free of</w:t>
      </w:r>
      <w:r w:rsidR="00CA0DA7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 </w:t>
      </w:r>
      <w:r w:rsidR="00141001"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>w</w:t>
      </w:r>
      <w:r w:rsidR="00D30B2B" w:rsidRPr="006227DF">
        <w:rPr>
          <w:rFonts w:ascii="Times New Roman" w:eastAsia="ArialNarrow" w:hAnsi="Times New Roman" w:cs="Times New Roman"/>
          <w:sz w:val="24"/>
          <w:szCs w:val="24"/>
          <w:lang w:val="en-US"/>
        </w:rPr>
        <w:t xml:space="preserve">ild </w:t>
      </w:r>
      <w:r w:rsidR="002268B4" w:rsidRPr="006227DF">
        <w:rPr>
          <w:rFonts w:ascii="Times New Roman" w:eastAsia="ArialNarrow" w:hAnsi="Times New Roman" w:cs="Times New Roman"/>
          <w:sz w:val="24"/>
          <w:szCs w:val="24"/>
        </w:rPr>
        <w:t>poliovirus in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2000. Yet the</w:t>
      </w:r>
      <w:r w:rsidR="00141001" w:rsidRPr="006227DF">
        <w:rPr>
          <w:rFonts w:ascii="Times New Roman" w:eastAsia="ArialNarrow" w:hAnsi="Times New Roman" w:cs="Times New Roman"/>
          <w:sz w:val="24"/>
          <w:szCs w:val="24"/>
        </w:rPr>
        <w:t xml:space="preserve"> risk for reintroduction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of polio in to the region remains </w:t>
      </w:r>
      <w:r w:rsidR="00141001" w:rsidRPr="006227DF">
        <w:rPr>
          <w:rFonts w:ascii="Times New Roman" w:eastAsia="ArialNarrow" w:hAnsi="Times New Roman" w:cs="Times New Roman"/>
          <w:sz w:val="24"/>
          <w:szCs w:val="24"/>
        </w:rPr>
        <w:t xml:space="preserve">as long as any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wild polio virus transmission continues in any </w:t>
      </w:r>
      <w:r w:rsidR="00141001" w:rsidRPr="006227DF">
        <w:rPr>
          <w:rFonts w:ascii="Times New Roman" w:eastAsia="ArialNarrow" w:hAnsi="Times New Roman" w:cs="Times New Roman"/>
          <w:sz w:val="24"/>
          <w:szCs w:val="24"/>
        </w:rPr>
        <w:t xml:space="preserve">country. </w:t>
      </w:r>
      <w:r w:rsidR="002268B4">
        <w:rPr>
          <w:rFonts w:ascii="Times New Roman" w:eastAsia="ArialNarrow" w:hAnsi="Times New Roman" w:cs="Times New Roman"/>
          <w:sz w:val="24"/>
          <w:szCs w:val="24"/>
        </w:rPr>
        <w:t xml:space="preserve">The 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>Europe</w:t>
      </w:r>
      <w:r w:rsidR="002268B4">
        <w:rPr>
          <w:rFonts w:ascii="Times New Roman" w:eastAsia="ArialNarrow" w:hAnsi="Times New Roman" w:cs="Times New Roman"/>
          <w:sz w:val="24"/>
          <w:szCs w:val="24"/>
        </w:rPr>
        <w:t>an Region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 xml:space="preserve"> is regularly experiencing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an 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 xml:space="preserve">influx of travellers </w:t>
      </w:r>
      <w:r w:rsidR="004745E4">
        <w:rPr>
          <w:rFonts w:ascii="Times New Roman" w:eastAsia="ArialNarrow" w:hAnsi="Times New Roman" w:cs="Times New Roman"/>
          <w:sz w:val="24"/>
          <w:szCs w:val="24"/>
        </w:rPr>
        <w:t>and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>migratory population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s</w:t>
      </w:r>
      <w:r w:rsidR="004745E4">
        <w:rPr>
          <w:rFonts w:ascii="Times New Roman" w:eastAsia="ArialNarrow" w:hAnsi="Times New Roman" w:cs="Times New Roman"/>
          <w:sz w:val="24"/>
          <w:szCs w:val="24"/>
        </w:rPr>
        <w:t>,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 xml:space="preserve"> including refugees arriving from countries that are either endemic for polio or currently affected by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poliovirus 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 xml:space="preserve">transmission. </w:t>
      </w:r>
      <w:r w:rsidR="004745E4">
        <w:rPr>
          <w:rFonts w:ascii="Times New Roman" w:eastAsia="ArialNarrow" w:hAnsi="Times New Roman" w:cs="Times New Roman"/>
          <w:sz w:val="24"/>
          <w:szCs w:val="24"/>
        </w:rPr>
        <w:t>As of 28 November 2013, these countries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6267A6" w:rsidRPr="006227DF">
        <w:rPr>
          <w:rFonts w:ascii="Times New Roman" w:eastAsia="ArialNarrow" w:hAnsi="Times New Roman" w:cs="Times New Roman"/>
          <w:sz w:val="24"/>
          <w:szCs w:val="24"/>
        </w:rPr>
        <w:t>include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>: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Afghanistan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 xml:space="preserve">, Nigeria, Pakistan 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(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>endemic countries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)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 xml:space="preserve">; Ethiopia, Cameroon, Somalia, Syrian Arab Republic, Kenya 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(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>non endemic countries with reported cases during 2013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)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 xml:space="preserve">, and Israel,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and the 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 xml:space="preserve">West Bank and Gaza 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(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 xml:space="preserve">confirmed wild polio virus transmission </w:t>
      </w:r>
      <w:r w:rsidR="004745E4">
        <w:rPr>
          <w:rFonts w:ascii="Times New Roman" w:eastAsia="ArialNarrow" w:hAnsi="Times New Roman" w:cs="Times New Roman"/>
          <w:sz w:val="24"/>
          <w:szCs w:val="24"/>
        </w:rPr>
        <w:t>but</w:t>
      </w:r>
      <w:r w:rsidR="009B033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>no cases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detected</w:t>
      </w:r>
      <w:proofErr w:type="gramStart"/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)</w:t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(</w:t>
      </w:r>
      <w:proofErr w:type="gramEnd"/>
      <w:r w:rsidR="00490158"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1"/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)</w:t>
      </w:r>
      <w:r w:rsidR="00490158" w:rsidRPr="006227DF">
        <w:rPr>
          <w:rFonts w:ascii="Times New Roman" w:eastAsia="ArialNarrow" w:hAnsi="Times New Roman" w:cs="Times New Roman"/>
          <w:sz w:val="24"/>
          <w:szCs w:val="24"/>
        </w:rPr>
        <w:t>.</w:t>
      </w:r>
      <w:r w:rsidR="002268B4">
        <w:rPr>
          <w:rFonts w:ascii="Times New Roman" w:eastAsia="ArialNarrow" w:hAnsi="Times New Roman" w:cs="Times New Roman"/>
          <w:sz w:val="24"/>
          <w:szCs w:val="24"/>
        </w:rPr>
        <w:t xml:space="preserve">The </w:t>
      </w:r>
      <w:r w:rsidR="0097285A" w:rsidRPr="006227DF">
        <w:rPr>
          <w:rFonts w:ascii="Times New Roman" w:eastAsia="ArialNarrow" w:hAnsi="Times New Roman" w:cs="Times New Roman"/>
          <w:sz w:val="24"/>
          <w:szCs w:val="24"/>
        </w:rPr>
        <w:t>WHO Regional Office for Europe routinely carries out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assessment</w:t>
      </w:r>
      <w:r w:rsidR="004745E4">
        <w:rPr>
          <w:rFonts w:ascii="Times New Roman" w:eastAsia="ArialNarrow" w:hAnsi="Times New Roman" w:cs="Times New Roman"/>
          <w:sz w:val="24"/>
          <w:szCs w:val="24"/>
        </w:rPr>
        <w:t>s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of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the </w:t>
      </w:r>
      <w:r w:rsidR="0097285A" w:rsidRPr="006227DF">
        <w:rPr>
          <w:rFonts w:ascii="Times New Roman" w:eastAsia="ArialNarrow" w:hAnsi="Times New Roman" w:cs="Times New Roman"/>
          <w:sz w:val="24"/>
          <w:szCs w:val="24"/>
        </w:rPr>
        <w:t>risk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of</w:t>
      </w:r>
      <w:r w:rsidR="0097285A" w:rsidRPr="006227DF">
        <w:rPr>
          <w:rFonts w:ascii="Times New Roman" w:eastAsia="ArialNarrow" w:hAnsi="Times New Roman" w:cs="Times New Roman"/>
          <w:sz w:val="24"/>
          <w:szCs w:val="24"/>
        </w:rPr>
        <w:t xml:space="preserve"> polio 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 xml:space="preserve">transmission following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an </w:t>
      </w:r>
      <w:r w:rsidR="0097285A" w:rsidRPr="006227DF">
        <w:rPr>
          <w:rFonts w:ascii="Times New Roman" w:eastAsia="ArialNarrow" w:hAnsi="Times New Roman" w:cs="Times New Roman"/>
          <w:sz w:val="24"/>
          <w:szCs w:val="24"/>
        </w:rPr>
        <w:t>importation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proofErr w:type="spellStart"/>
      <w:r w:rsidRPr="006227DF">
        <w:rPr>
          <w:rFonts w:ascii="Times New Roman" w:eastAsia="ArialNarrow" w:hAnsi="Times New Roman" w:cs="Times New Roman"/>
          <w:sz w:val="24"/>
          <w:szCs w:val="24"/>
        </w:rPr>
        <w:t>in</w:t>
      </w:r>
      <w:r w:rsidR="004745E4">
        <w:rPr>
          <w:rFonts w:ascii="Times New Roman" w:eastAsia="ArialNarrow" w:hAnsi="Times New Roman" w:cs="Times New Roman"/>
          <w:sz w:val="24"/>
          <w:szCs w:val="24"/>
        </w:rPr>
        <w:t>toa</w:t>
      </w:r>
      <w:proofErr w:type="spellEnd"/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Member State</w:t>
      </w:r>
      <w:r w:rsidR="007F3FDD" w:rsidRPr="006227DF">
        <w:rPr>
          <w:rFonts w:ascii="Times New Roman" w:eastAsia="ArialNarrow" w:hAnsi="Times New Roman" w:cs="Times New Roman"/>
          <w:sz w:val="24"/>
          <w:szCs w:val="24"/>
        </w:rPr>
        <w:t>. T</w:t>
      </w:r>
      <w:r w:rsidR="0097285A" w:rsidRPr="006227DF">
        <w:rPr>
          <w:rFonts w:ascii="Times New Roman" w:eastAsia="ArialNarrow" w:hAnsi="Times New Roman" w:cs="Times New Roman"/>
          <w:sz w:val="24"/>
          <w:szCs w:val="24"/>
        </w:rPr>
        <w:t xml:space="preserve">hese </w:t>
      </w:r>
      <w:r w:rsidR="007F3FDD" w:rsidRPr="006227DF">
        <w:rPr>
          <w:rFonts w:ascii="Times New Roman" w:eastAsia="ArialNarrow" w:hAnsi="Times New Roman" w:cs="Times New Roman"/>
          <w:sz w:val="24"/>
          <w:szCs w:val="24"/>
        </w:rPr>
        <w:t xml:space="preserve">reports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provide guidance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for </w:t>
      </w:r>
      <w:r w:rsidR="007F3FDD" w:rsidRPr="006227DF">
        <w:rPr>
          <w:rFonts w:ascii="Times New Roman" w:eastAsia="ArialNarrow" w:hAnsi="Times New Roman" w:cs="Times New Roman"/>
          <w:sz w:val="24"/>
          <w:szCs w:val="24"/>
        </w:rPr>
        <w:t xml:space="preserve">corrective 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 xml:space="preserve">actions to </w:t>
      </w:r>
      <w:r w:rsidR="007F3FDD" w:rsidRPr="006227DF">
        <w:rPr>
          <w:rFonts w:ascii="Times New Roman" w:eastAsia="ArialNarrow" w:hAnsi="Times New Roman" w:cs="Times New Roman"/>
          <w:sz w:val="24"/>
          <w:szCs w:val="24"/>
        </w:rPr>
        <w:t xml:space="preserve">mitigate the </w:t>
      </w:r>
      <w:proofErr w:type="gramStart"/>
      <w:r w:rsidR="007F3FDD" w:rsidRPr="006227DF">
        <w:rPr>
          <w:rFonts w:ascii="Times New Roman" w:eastAsia="ArialNarrow" w:hAnsi="Times New Roman" w:cs="Times New Roman"/>
          <w:sz w:val="24"/>
          <w:szCs w:val="24"/>
        </w:rPr>
        <w:t>risks</w:t>
      </w:r>
      <w:r w:rsidR="0097285A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(</w:t>
      </w:r>
      <w:proofErr w:type="gramEnd"/>
      <w:r w:rsidR="0097285A"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2"/>
      </w:r>
      <w:r w:rsidR="0097285A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)</w:t>
      </w:r>
      <w:r w:rsidR="00595323" w:rsidRPr="006227DF">
        <w:rPr>
          <w:rFonts w:ascii="Times New Roman" w:eastAsia="ArialNarrow" w:hAnsi="Times New Roman" w:cs="Times New Roman"/>
          <w:sz w:val="24"/>
          <w:szCs w:val="24"/>
        </w:rPr>
        <w:t>.</w:t>
      </w:r>
      <w:r w:rsidR="00CA0DA7">
        <w:rPr>
          <w:rFonts w:ascii="Times New Roman" w:eastAsia="ArialNarrow" w:hAnsi="Times New Roman" w:cs="Times New Roman"/>
          <w:sz w:val="24"/>
          <w:szCs w:val="24"/>
        </w:rPr>
        <w:br/>
      </w:r>
      <w:r w:rsidR="00CA0DA7">
        <w:rPr>
          <w:rFonts w:ascii="Times New Roman" w:eastAsia="ArialNarrow" w:hAnsi="Times New Roman" w:cs="Times New Roman"/>
          <w:sz w:val="24"/>
          <w:szCs w:val="24"/>
        </w:rPr>
        <w:tab/>
      </w:r>
    </w:p>
    <w:p w:rsidR="008F66F3" w:rsidRDefault="006227DF">
      <w:pPr>
        <w:spacing w:after="240"/>
        <w:rPr>
          <w:rFonts w:ascii="Times New Roman" w:eastAsia="ArialNarrow" w:hAnsi="Times New Roman" w:cs="Times New Roman"/>
          <w:sz w:val="24"/>
          <w:szCs w:val="24"/>
          <w:u w:val="single"/>
        </w:rPr>
      </w:pPr>
      <w:r w:rsidRPr="006227DF">
        <w:rPr>
          <w:rFonts w:ascii="Times New Roman" w:eastAsia="ArialNarrow" w:hAnsi="Times New Roman" w:cs="Times New Roman"/>
          <w:sz w:val="24"/>
          <w:szCs w:val="24"/>
          <w:u w:val="single"/>
        </w:rPr>
        <w:t>Outbreak response</w:t>
      </w:r>
    </w:p>
    <w:p w:rsidR="008F66F3" w:rsidRDefault="00C01D68">
      <w:pPr>
        <w:pStyle w:val="ListParagraph"/>
        <w:numPr>
          <w:ilvl w:val="0"/>
          <w:numId w:val="1"/>
        </w:numPr>
        <w:spacing w:after="240"/>
        <w:rPr>
          <w:rFonts w:ascii="Times New Roman" w:eastAsia="ArialNarrow" w:hAnsi="Times New Roman" w:cs="Times New Roman"/>
          <w:sz w:val="24"/>
          <w:szCs w:val="24"/>
        </w:rPr>
      </w:pPr>
      <w:r w:rsidRPr="006227DF">
        <w:rPr>
          <w:rFonts w:ascii="Times New Roman" w:eastAsia="ArialNarrow" w:hAnsi="Times New Roman" w:cs="Times New Roman"/>
          <w:sz w:val="24"/>
          <w:szCs w:val="24"/>
        </w:rPr>
        <w:t>O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ral polio vaccine (OPV) is the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vaccine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of choice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for responding to an outbreak </w:t>
      </w:r>
      <w:r w:rsidR="002268B4">
        <w:rPr>
          <w:rFonts w:ascii="Times New Roman" w:eastAsia="ArialNarrow" w:hAnsi="Times New Roman" w:cs="Times New Roman"/>
          <w:sz w:val="24"/>
          <w:szCs w:val="24"/>
        </w:rPr>
        <w:t xml:space="preserve">or circulation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of </w:t>
      </w:r>
      <w:r w:rsidR="002268B4">
        <w:rPr>
          <w:rFonts w:ascii="Times New Roman" w:eastAsia="ArialNarrow" w:hAnsi="Times New Roman" w:cs="Times New Roman"/>
          <w:sz w:val="24"/>
          <w:szCs w:val="24"/>
        </w:rPr>
        <w:t xml:space="preserve">wild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polio</w:t>
      </w:r>
      <w:r w:rsidR="002268B4">
        <w:rPr>
          <w:rFonts w:ascii="Times New Roman" w:eastAsia="ArialNarrow" w:hAnsi="Times New Roman" w:cs="Times New Roman"/>
          <w:sz w:val="24"/>
          <w:szCs w:val="24"/>
        </w:rPr>
        <w:t>virus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. </w:t>
      </w:r>
      <w:proofErr w:type="spellStart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Monovalent</w:t>
      </w:r>
      <w:proofErr w:type="spellEnd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(</w:t>
      </w:r>
      <w:proofErr w:type="spellStart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mOPV</w:t>
      </w:r>
      <w:proofErr w:type="spellEnd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type 1 or 3) or bivalent (</w:t>
      </w:r>
      <w:proofErr w:type="spellStart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bOPV</w:t>
      </w:r>
      <w:proofErr w:type="spellEnd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type 1+3) oral polio vaccine are superior to trivalent (</w:t>
      </w:r>
      <w:proofErr w:type="spellStart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tOPV</w:t>
      </w:r>
      <w:proofErr w:type="spellEnd"/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, type 1, 2, and 3)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oral polio vaccine for responding to wild polioviruses 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due to </w:t>
      </w:r>
      <w:r w:rsidR="003E4B53" w:rsidRPr="006227DF">
        <w:rPr>
          <w:rFonts w:ascii="Times New Roman" w:eastAsia="ArialNarrow" w:hAnsi="Times New Roman" w:cs="Times New Roman"/>
          <w:sz w:val="24"/>
          <w:szCs w:val="24"/>
        </w:rPr>
        <w:t>superior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and </w:t>
      </w:r>
      <w:r w:rsidR="003E4B53" w:rsidRPr="006227DF">
        <w:rPr>
          <w:rFonts w:ascii="Times New Roman" w:eastAsia="ArialNarrow" w:hAnsi="Times New Roman" w:cs="Times New Roman"/>
          <w:sz w:val="24"/>
          <w:szCs w:val="24"/>
        </w:rPr>
        <w:t>faster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immune response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against the relevant serotype 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>in given circumstances and reduce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the</w:t>
      </w:r>
      <w:r w:rsidR="002B0BB8" w:rsidRPr="006227DF">
        <w:rPr>
          <w:rFonts w:ascii="Times New Roman" w:eastAsia="ArialNarrow" w:hAnsi="Times New Roman" w:cs="Times New Roman"/>
          <w:sz w:val="24"/>
          <w:szCs w:val="24"/>
        </w:rPr>
        <w:t xml:space="preserve"> risk of </w:t>
      </w:r>
      <w:r w:rsidR="004745E4">
        <w:rPr>
          <w:rFonts w:ascii="Times New Roman" w:eastAsia="ArialNarrow" w:hAnsi="Times New Roman" w:cs="Times New Roman"/>
          <w:sz w:val="24"/>
          <w:szCs w:val="24"/>
        </w:rPr>
        <w:t>emergence of a</w:t>
      </w:r>
      <w:r w:rsidR="00D30B2B" w:rsidRPr="006227DF">
        <w:rPr>
          <w:rFonts w:ascii="Times New Roman" w:eastAsia="ArialNarrow" w:hAnsi="Times New Roman" w:cs="Times New Roman"/>
          <w:sz w:val="24"/>
          <w:szCs w:val="24"/>
        </w:rPr>
        <w:t xml:space="preserve"> circulati</w:t>
      </w:r>
      <w:r w:rsidR="004745E4">
        <w:rPr>
          <w:rFonts w:ascii="Times New Roman" w:eastAsia="ArialNarrow" w:hAnsi="Times New Roman" w:cs="Times New Roman"/>
          <w:sz w:val="24"/>
          <w:szCs w:val="24"/>
        </w:rPr>
        <w:t>ng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D30B2B" w:rsidRPr="006227DF">
        <w:rPr>
          <w:rFonts w:ascii="Times New Roman" w:eastAsia="ArialNarrow" w:hAnsi="Times New Roman" w:cs="Times New Roman"/>
          <w:sz w:val="24"/>
          <w:szCs w:val="24"/>
        </w:rPr>
        <w:t>vaccine</w:t>
      </w:r>
      <w:r w:rsidR="004745E4">
        <w:rPr>
          <w:rFonts w:ascii="Times New Roman" w:eastAsia="ArialNarrow" w:hAnsi="Times New Roman" w:cs="Times New Roman"/>
          <w:sz w:val="24"/>
          <w:szCs w:val="24"/>
        </w:rPr>
        <w:t>-</w:t>
      </w:r>
      <w:r w:rsidR="00D30B2B" w:rsidRPr="006227DF">
        <w:rPr>
          <w:rFonts w:ascii="Times New Roman" w:eastAsia="ArialNarrow" w:hAnsi="Times New Roman" w:cs="Times New Roman"/>
          <w:sz w:val="24"/>
          <w:szCs w:val="24"/>
        </w:rPr>
        <w:t xml:space="preserve">derived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polio</w:t>
      </w:r>
      <w:r w:rsidR="00D30B2B" w:rsidRPr="006227DF">
        <w:rPr>
          <w:rFonts w:ascii="Times New Roman" w:eastAsia="ArialNarrow" w:hAnsi="Times New Roman" w:cs="Times New Roman"/>
          <w:sz w:val="24"/>
          <w:szCs w:val="24"/>
        </w:rPr>
        <w:t>virus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type 2</w:t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(</w:t>
      </w:r>
      <w:r w:rsidR="00A85082"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3"/>
      </w:r>
      <w:r w:rsidR="00A85082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,</w:t>
      </w:r>
      <w:r w:rsidR="003E4B53"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4"/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)</w:t>
      </w:r>
      <w:r w:rsidR="00D30B2B" w:rsidRPr="006227DF">
        <w:rPr>
          <w:rFonts w:ascii="Times New Roman" w:eastAsia="ArialNarrow" w:hAnsi="Times New Roman" w:cs="Times New Roman"/>
          <w:sz w:val="24"/>
          <w:szCs w:val="24"/>
        </w:rPr>
        <w:t>.</w:t>
      </w:r>
      <w:r w:rsidR="00CA0DA7">
        <w:rPr>
          <w:rFonts w:ascii="Times New Roman" w:eastAsia="ArialNarrow" w:hAnsi="Times New Roman" w:cs="Times New Roman"/>
          <w:sz w:val="24"/>
          <w:szCs w:val="24"/>
        </w:rPr>
        <w:tab/>
      </w:r>
      <w:r w:rsidR="00CA0DA7">
        <w:rPr>
          <w:rFonts w:ascii="Times New Roman" w:eastAsia="ArialNarrow" w:hAnsi="Times New Roman" w:cs="Times New Roman"/>
          <w:sz w:val="24"/>
          <w:szCs w:val="24"/>
        </w:rPr>
        <w:br/>
      </w:r>
    </w:p>
    <w:p w:rsidR="008F66F3" w:rsidRDefault="006227DF">
      <w:pPr>
        <w:autoSpaceDE w:val="0"/>
        <w:autoSpaceDN w:val="0"/>
        <w:adjustRightInd w:val="0"/>
        <w:spacing w:after="240"/>
        <w:rPr>
          <w:rFonts w:ascii="Times New Roman" w:eastAsia="ArialNarrow" w:hAnsi="Times New Roman" w:cs="Times New Roman"/>
          <w:sz w:val="24"/>
          <w:szCs w:val="24"/>
          <w:u w:val="single"/>
        </w:rPr>
      </w:pPr>
      <w:r w:rsidRPr="006227DF">
        <w:rPr>
          <w:rFonts w:ascii="Times New Roman" w:eastAsia="ArialNarrow" w:hAnsi="Times New Roman" w:cs="Times New Roman"/>
          <w:sz w:val="24"/>
          <w:szCs w:val="24"/>
          <w:u w:val="single"/>
        </w:rPr>
        <w:t>Recommendations for travellers</w:t>
      </w:r>
    </w:p>
    <w:p w:rsidR="008F66F3" w:rsidRDefault="00D30B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eastAsia="ArialNarrow" w:hAnsi="Times New Roman" w:cs="Times New Roman"/>
          <w:sz w:val="24"/>
          <w:szCs w:val="24"/>
        </w:rPr>
      </w:pP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Before travelling abroad, individuals living in areas where polio cases are still occurring should have completed a full course of vaccination against polio, </w:t>
      </w:r>
      <w:r w:rsidR="00383405" w:rsidRPr="006227DF">
        <w:rPr>
          <w:rFonts w:ascii="Times New Roman" w:eastAsia="ArialNarrow" w:hAnsi="Times New Roman" w:cs="Times New Roman"/>
          <w:sz w:val="24"/>
          <w:szCs w:val="24"/>
        </w:rPr>
        <w:t>preferably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 with OPV, to boost intestinal immunity and reduce the risk of poliovirus shedding</w:t>
      </w:r>
      <w:r w:rsidR="00C01D68" w:rsidRPr="006227DF">
        <w:rPr>
          <w:rFonts w:ascii="Times New Roman" w:eastAsia="ArialNarrow" w:hAnsi="Times New Roman" w:cs="Times New Roman"/>
          <w:sz w:val="24"/>
          <w:szCs w:val="24"/>
        </w:rPr>
        <w:t xml:space="preserve"> and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re-introduc</w:t>
      </w:r>
      <w:r w:rsidR="00C01D68" w:rsidRPr="006227DF">
        <w:rPr>
          <w:rFonts w:ascii="Times New Roman" w:eastAsia="ArialNarrow" w:hAnsi="Times New Roman" w:cs="Times New Roman"/>
          <w:sz w:val="24"/>
          <w:szCs w:val="24"/>
        </w:rPr>
        <w:t xml:space="preserve">tion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of poliovirus into a polio-free area. Travellers from infected areas should receive </w:t>
      </w:r>
      <w:r w:rsidR="002268B4">
        <w:rPr>
          <w:rFonts w:ascii="Times New Roman" w:eastAsia="ArialNarrow" w:hAnsi="Times New Roman" w:cs="Times New Roman"/>
          <w:sz w:val="24"/>
          <w:szCs w:val="24"/>
        </w:rPr>
        <w:t xml:space="preserve">ideally 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>an additional dose of OPV at least 6 weeks before each international journey</w:t>
      </w:r>
      <w:r w:rsidR="00383405" w:rsidRPr="006227DF">
        <w:rPr>
          <w:rFonts w:ascii="Times New Roman" w:eastAsia="ArialNarrow" w:hAnsi="Times New Roman" w:cs="Times New Roman"/>
          <w:sz w:val="24"/>
          <w:szCs w:val="24"/>
        </w:rPr>
        <w:t xml:space="preserve"> or at least 4 weeks before travel in case of urgency</w:t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(</w:t>
      </w:r>
      <w:r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5"/>
      </w:r>
      <w:r w:rsidR="0021184F" w:rsidRPr="006227DF">
        <w:rPr>
          <w:rFonts w:ascii="Times New Roman" w:eastAsia="ArialNarrow" w:hAnsi="Times New Roman" w:cs="Times New Roman"/>
          <w:sz w:val="24"/>
          <w:szCs w:val="24"/>
          <w:vertAlign w:val="superscript"/>
        </w:rPr>
        <w:t>)</w:t>
      </w:r>
      <w:r w:rsidRPr="006227DF">
        <w:rPr>
          <w:rFonts w:ascii="Times New Roman" w:eastAsia="ArialNarrow" w:hAnsi="Times New Roman" w:cs="Times New Roman"/>
          <w:sz w:val="24"/>
          <w:szCs w:val="24"/>
        </w:rPr>
        <w:t xml:space="preserve">. </w:t>
      </w:r>
      <w:r w:rsidR="00383405" w:rsidRPr="006227DF">
        <w:rPr>
          <w:rFonts w:ascii="Times New Roman" w:eastAsia="ArialNarrow" w:hAnsi="Times New Roman" w:cs="Times New Roman"/>
          <w:sz w:val="24"/>
          <w:szCs w:val="24"/>
        </w:rPr>
        <w:t xml:space="preserve">Refugees </w:t>
      </w:r>
      <w:r w:rsidR="00D821A8" w:rsidRPr="006227DF">
        <w:rPr>
          <w:rFonts w:ascii="Times New Roman" w:eastAsia="ArialNarrow" w:hAnsi="Times New Roman" w:cs="Times New Roman"/>
          <w:sz w:val="24"/>
          <w:szCs w:val="24"/>
        </w:rPr>
        <w:t xml:space="preserve">from polio affected countries </w:t>
      </w:r>
      <w:proofErr w:type="gramStart"/>
      <w:r w:rsidR="00D821A8" w:rsidRPr="006227DF">
        <w:rPr>
          <w:rFonts w:ascii="Times New Roman" w:eastAsia="ArialNarrow" w:hAnsi="Times New Roman" w:cs="Times New Roman"/>
          <w:sz w:val="24"/>
          <w:szCs w:val="24"/>
        </w:rPr>
        <w:t>who</w:t>
      </w:r>
      <w:proofErr w:type="gramEnd"/>
      <w:r w:rsidR="00D821A8" w:rsidRPr="006227DF">
        <w:rPr>
          <w:rFonts w:ascii="Times New Roman" w:eastAsia="ArialNarrow" w:hAnsi="Times New Roman" w:cs="Times New Roman"/>
          <w:sz w:val="24"/>
          <w:szCs w:val="24"/>
        </w:rPr>
        <w:t xml:space="preserve"> are </w:t>
      </w:r>
      <w:r w:rsidR="00383405" w:rsidRPr="006227DF">
        <w:rPr>
          <w:rFonts w:ascii="Times New Roman" w:eastAsia="ArialNarrow" w:hAnsi="Times New Roman" w:cs="Times New Roman"/>
          <w:sz w:val="24"/>
          <w:szCs w:val="24"/>
        </w:rPr>
        <w:t xml:space="preserve">enrolled </w:t>
      </w:r>
      <w:r w:rsidR="00C01D68" w:rsidRPr="006227DF">
        <w:rPr>
          <w:rFonts w:ascii="Times New Roman" w:eastAsia="ArialNarrow" w:hAnsi="Times New Roman" w:cs="Times New Roman"/>
          <w:sz w:val="24"/>
          <w:szCs w:val="24"/>
        </w:rPr>
        <w:t>in</w:t>
      </w:r>
      <w:r w:rsidR="00383405" w:rsidRPr="006227DF">
        <w:rPr>
          <w:rFonts w:ascii="Times New Roman" w:eastAsia="ArialNarrow" w:hAnsi="Times New Roman" w:cs="Times New Roman"/>
          <w:sz w:val="24"/>
          <w:szCs w:val="24"/>
        </w:rPr>
        <w:t xml:space="preserve"> resettlement programmes </w:t>
      </w:r>
      <w:r w:rsidR="000A279C" w:rsidRPr="006227DF">
        <w:rPr>
          <w:rFonts w:ascii="Times New Roman" w:eastAsia="ArialNarrow" w:hAnsi="Times New Roman" w:cs="Times New Roman"/>
          <w:sz w:val="24"/>
          <w:szCs w:val="24"/>
        </w:rPr>
        <w:t xml:space="preserve">should be </w:t>
      </w:r>
      <w:r w:rsidR="00C01D68" w:rsidRPr="006227DF">
        <w:rPr>
          <w:rFonts w:ascii="Times New Roman" w:eastAsia="ArialNarrow" w:hAnsi="Times New Roman" w:cs="Times New Roman"/>
          <w:sz w:val="24"/>
          <w:szCs w:val="24"/>
        </w:rPr>
        <w:t>provided</w:t>
      </w:r>
      <w:r w:rsidR="000A279C" w:rsidRPr="006227DF">
        <w:rPr>
          <w:rFonts w:ascii="Times New Roman" w:eastAsia="ArialNarrow" w:hAnsi="Times New Roman" w:cs="Times New Roman"/>
          <w:sz w:val="24"/>
          <w:szCs w:val="24"/>
        </w:rPr>
        <w:t xml:space="preserve"> polio vaccine prior to departure.</w:t>
      </w:r>
    </w:p>
    <w:p w:rsidR="00CA0DA7" w:rsidRDefault="00CA0DA7">
      <w:pPr>
        <w:rPr>
          <w:rFonts w:ascii="Times New Roman" w:eastAsia="ArialNarrow" w:hAnsi="Times New Roman" w:cs="Times New Roman"/>
          <w:sz w:val="24"/>
          <w:szCs w:val="24"/>
          <w:u w:val="single"/>
        </w:rPr>
      </w:pPr>
    </w:p>
    <w:p w:rsidR="008F66F3" w:rsidRDefault="006227DF">
      <w:pPr>
        <w:autoSpaceDE w:val="0"/>
        <w:autoSpaceDN w:val="0"/>
        <w:adjustRightInd w:val="0"/>
        <w:spacing w:after="240"/>
        <w:rPr>
          <w:rFonts w:ascii="Times New Roman" w:eastAsia="ArialNarrow" w:hAnsi="Times New Roman" w:cs="Times New Roman"/>
          <w:sz w:val="24"/>
          <w:szCs w:val="24"/>
          <w:u w:val="single"/>
        </w:rPr>
      </w:pPr>
      <w:r w:rsidRPr="006227DF">
        <w:rPr>
          <w:rFonts w:ascii="Times New Roman" w:eastAsia="ArialNarrow" w:hAnsi="Times New Roman" w:cs="Times New Roman"/>
          <w:sz w:val="24"/>
          <w:szCs w:val="24"/>
          <w:u w:val="single"/>
        </w:rPr>
        <w:t>Recommendations for refugee and migrant populations</w:t>
      </w:r>
    </w:p>
    <w:p w:rsidR="008F66F3" w:rsidRDefault="000B5F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ArialNarrow" w:hAnsi="Times New Roman" w:cs="Times New Roman"/>
          <w:sz w:val="24"/>
          <w:szCs w:val="24"/>
        </w:rPr>
        <w:t>A</w:t>
      </w:r>
      <w:r w:rsidR="000A279C" w:rsidRPr="006227DF">
        <w:rPr>
          <w:rFonts w:ascii="Times New Roman" w:eastAsia="ArialNarrow" w:hAnsi="Times New Roman" w:cs="Times New Roman"/>
          <w:sz w:val="24"/>
          <w:szCs w:val="24"/>
        </w:rPr>
        <w:t>sylum seekers and refugees from polio</w:t>
      </w:r>
      <w:r w:rsidR="00D821A8" w:rsidRPr="006227DF">
        <w:rPr>
          <w:rFonts w:ascii="Times New Roman" w:eastAsia="ArialNarrow" w:hAnsi="Times New Roman" w:cs="Times New Roman"/>
          <w:sz w:val="24"/>
          <w:szCs w:val="24"/>
        </w:rPr>
        <w:t>-affected</w:t>
      </w:r>
      <w:r w:rsidR="000A279C" w:rsidRPr="006227DF">
        <w:rPr>
          <w:rFonts w:ascii="Times New Roman" w:eastAsia="ArialNarrow" w:hAnsi="Times New Roman" w:cs="Times New Roman"/>
          <w:sz w:val="24"/>
          <w:szCs w:val="24"/>
        </w:rPr>
        <w:t xml:space="preserve"> countries, who have no documentation of </w:t>
      </w:r>
      <w:r w:rsidR="003E4B53" w:rsidRPr="006227DF">
        <w:rPr>
          <w:rFonts w:ascii="Times New Roman" w:eastAsia="ArialNarrow" w:hAnsi="Times New Roman" w:cs="Times New Roman"/>
          <w:sz w:val="24"/>
          <w:szCs w:val="24"/>
        </w:rPr>
        <w:t xml:space="preserve">administration of </w:t>
      </w:r>
      <w:r w:rsidR="004745E4">
        <w:rPr>
          <w:rFonts w:ascii="Times New Roman" w:eastAsia="ArialNarrow" w:hAnsi="Times New Roman" w:cs="Times New Roman"/>
          <w:sz w:val="24"/>
          <w:szCs w:val="24"/>
        </w:rPr>
        <w:t xml:space="preserve">a </w:t>
      </w:r>
      <w:r w:rsidR="003E4B53" w:rsidRPr="006227DF">
        <w:rPr>
          <w:rFonts w:ascii="Times New Roman" w:eastAsia="ArialNarrow" w:hAnsi="Times New Roman" w:cs="Times New Roman"/>
          <w:sz w:val="24"/>
          <w:szCs w:val="24"/>
        </w:rPr>
        <w:t>supplementary dose of polio vaccine</w:t>
      </w:r>
      <w:r w:rsidR="000477F1" w:rsidRPr="006227DF">
        <w:rPr>
          <w:rFonts w:ascii="Times New Roman" w:eastAsia="ArialNarrow" w:hAnsi="Times New Roman" w:cs="Times New Roman"/>
          <w:sz w:val="24"/>
          <w:szCs w:val="24"/>
        </w:rPr>
        <w:t xml:space="preserve"> prior to </w:t>
      </w:r>
      <w:proofErr w:type="gramStart"/>
      <w:r w:rsidR="00A95D95" w:rsidRPr="00A95D95">
        <w:rPr>
          <w:rFonts w:ascii="Times New Roman" w:eastAsia="ArialNarrow" w:hAnsi="Times New Roman" w:cs="Times New Roman"/>
          <w:sz w:val="24"/>
          <w:szCs w:val="24"/>
        </w:rPr>
        <w:t>departure</w:t>
      </w:r>
      <w:proofErr w:type="gramEnd"/>
      <w:r w:rsidR="00A95D95" w:rsidRPr="00A95D95">
        <w:rPr>
          <w:rFonts w:ascii="Times New Roman" w:eastAsia="ArialNarrow" w:hAnsi="Times New Roman" w:cs="Times New Roman"/>
          <w:sz w:val="24"/>
          <w:szCs w:val="24"/>
        </w:rPr>
        <w:t xml:space="preserve"> should be provided a dose of oral polio vaccine upon arrival. If OPV is not available, inactivated polio vaccine should be provided instead. In addition to polio, measles/rubella containing vaccine is recommended to be administered “immediately” in humanitarian </w:t>
      </w:r>
      <w:proofErr w:type="gramStart"/>
      <w:r w:rsidR="00A95D95" w:rsidRPr="00A95D95">
        <w:rPr>
          <w:rFonts w:ascii="Times New Roman" w:eastAsia="ArialNarrow" w:hAnsi="Times New Roman" w:cs="Times New Roman"/>
          <w:sz w:val="24"/>
          <w:szCs w:val="24"/>
        </w:rPr>
        <w:t>emergencies</w:t>
      </w:r>
      <w:r w:rsidR="00A95D95" w:rsidRPr="00A95D95">
        <w:rPr>
          <w:rFonts w:ascii="Times New Roman" w:eastAsia="ArialNarrow" w:hAnsi="Times New Roman" w:cs="Times New Roman"/>
          <w:sz w:val="24"/>
          <w:szCs w:val="24"/>
          <w:vertAlign w:val="superscript"/>
        </w:rPr>
        <w:t>(</w:t>
      </w:r>
      <w:proofErr w:type="gramEnd"/>
      <w:r w:rsidR="00A85082">
        <w:rPr>
          <w:rStyle w:val="FootnoteReference"/>
          <w:rFonts w:ascii="Times New Roman" w:eastAsia="ArialNarrow" w:hAnsi="Times New Roman" w:cs="Times New Roman"/>
          <w:sz w:val="24"/>
          <w:szCs w:val="24"/>
        </w:rPr>
        <w:footnoteReference w:id="6"/>
      </w:r>
      <w:r w:rsidR="00A95D95" w:rsidRPr="00A95D95">
        <w:rPr>
          <w:rFonts w:ascii="Times New Roman" w:eastAsia="ArialNarrow" w:hAnsi="Times New Roman" w:cs="Times New Roman"/>
          <w:sz w:val="24"/>
          <w:szCs w:val="24"/>
          <w:vertAlign w:val="superscript"/>
        </w:rPr>
        <w:t>)</w:t>
      </w:r>
      <w:r w:rsidR="00A95D95" w:rsidRPr="00A95D95">
        <w:rPr>
          <w:rFonts w:ascii="Times New Roman" w:eastAsia="ArialNarrow" w:hAnsi="Times New Roman" w:cs="Times New Roman"/>
          <w:sz w:val="24"/>
          <w:szCs w:val="24"/>
        </w:rPr>
        <w:t>.</w:t>
      </w:r>
      <w:r w:rsidR="00CA0DA7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A95D95" w:rsidRPr="00A95D95">
        <w:rPr>
          <w:rFonts w:ascii="Times New Roman" w:hAnsi="Times New Roman" w:cs="Times New Roman"/>
          <w:sz w:val="24"/>
          <w:szCs w:val="24"/>
          <w:lang w:val="en-US"/>
        </w:rPr>
        <w:t xml:space="preserve">In line with World Health Assembly </w:t>
      </w:r>
      <w:bookmarkStart w:id="0" w:name="_GoBack"/>
      <w:bookmarkEnd w:id="0"/>
      <w:r w:rsidR="00A95D95" w:rsidRPr="00A95D95">
        <w:rPr>
          <w:rFonts w:ascii="Times New Roman" w:hAnsi="Times New Roman" w:cs="Times New Roman"/>
          <w:sz w:val="24"/>
          <w:szCs w:val="24"/>
          <w:lang w:val="en-US"/>
        </w:rPr>
        <w:t xml:space="preserve">resolution 61.17 on the Health of Migrants, the population should be offered access to local immunization services to ensure vaccinations are provided in a timely manner </w:t>
      </w:r>
      <w:r w:rsidR="00A95D95" w:rsidRPr="00A95D9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according to the immunization schedule in the country of destination.</w:t>
      </w:r>
      <w:r w:rsidR="00A95D95" w:rsidRPr="00A95D95">
        <w:rPr>
          <w:rFonts w:ascii="Times New Roman" w:eastAsia="ArialNarrow" w:hAnsi="Times New Roman" w:cs="Times New Roman"/>
          <w:color w:val="000000" w:themeColor="text1"/>
          <w:sz w:val="24"/>
          <w:szCs w:val="24"/>
          <w:vertAlign w:val="superscript"/>
        </w:rPr>
        <w:t>(</w:t>
      </w:r>
      <w:r w:rsidR="000477F1" w:rsidRPr="00AE2074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footnoteReference w:id="7"/>
      </w:r>
      <w:r w:rsidR="00A95D95" w:rsidRPr="00A95D95">
        <w:rPr>
          <w:rFonts w:ascii="Times New Roman" w:eastAsia="ArialNarrow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="00CA0DA7">
        <w:rPr>
          <w:rFonts w:ascii="Times New Roman" w:eastAsia="ArialNarrow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CA0DA7">
        <w:rPr>
          <w:rFonts w:ascii="Times New Roman" w:eastAsia="ArialNarrow" w:hAnsi="Times New Roman" w:cs="Times New Roman"/>
          <w:color w:val="000000" w:themeColor="text1"/>
          <w:sz w:val="24"/>
          <w:szCs w:val="24"/>
          <w:vertAlign w:val="superscript"/>
        </w:rPr>
        <w:br/>
      </w:r>
    </w:p>
    <w:p w:rsidR="008F66F3" w:rsidRDefault="00AE2074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AE2074">
        <w:rPr>
          <w:rFonts w:ascii="Times New Roman" w:hAnsi="Times New Roman" w:cs="Times New Roman"/>
          <w:sz w:val="24"/>
          <w:szCs w:val="24"/>
          <w:u w:val="single"/>
        </w:rPr>
        <w:t>Accessing global OPV stock</w:t>
      </w:r>
      <w:r w:rsidR="004745E4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8F66F3" w:rsidRDefault="00AE20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268B4">
        <w:rPr>
          <w:rFonts w:ascii="Times New Roman" w:hAnsi="Times New Roman" w:cs="Times New Roman"/>
          <w:sz w:val="24"/>
          <w:szCs w:val="24"/>
        </w:rPr>
        <w:t>Through the mechanism</w:t>
      </w:r>
      <w:r w:rsidR="004745E4">
        <w:rPr>
          <w:rFonts w:ascii="Times New Roman" w:hAnsi="Times New Roman" w:cs="Times New Roman"/>
          <w:sz w:val="24"/>
          <w:szCs w:val="24"/>
        </w:rPr>
        <w:t xml:space="preserve"> and processes that have been established to manage global OPV supply</w:t>
      </w:r>
      <w:r w:rsidRPr="002268B4">
        <w:rPr>
          <w:rFonts w:ascii="Times New Roman" w:hAnsi="Times New Roman" w:cs="Times New Roman"/>
          <w:sz w:val="24"/>
          <w:szCs w:val="24"/>
        </w:rPr>
        <w:t xml:space="preserve">, WHO and UNICEF Supply Division intend to collaborate </w:t>
      </w:r>
      <w:r w:rsidR="004745E4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2268B4">
        <w:rPr>
          <w:rFonts w:ascii="Times New Roman" w:hAnsi="Times New Roman" w:cs="Times New Roman"/>
          <w:sz w:val="24"/>
          <w:szCs w:val="24"/>
        </w:rPr>
        <w:t xml:space="preserve">3-5 million doses of OPV </w:t>
      </w:r>
      <w:r w:rsidR="004745E4">
        <w:rPr>
          <w:rFonts w:ascii="Times New Roman" w:hAnsi="Times New Roman" w:cs="Times New Roman"/>
          <w:sz w:val="24"/>
          <w:szCs w:val="24"/>
        </w:rPr>
        <w:t>are available immediately when needed for emergency response by</w:t>
      </w:r>
      <w:r w:rsidR="00CA0DA7">
        <w:rPr>
          <w:rFonts w:ascii="Times New Roman" w:hAnsi="Times New Roman" w:cs="Times New Roman"/>
          <w:sz w:val="24"/>
          <w:szCs w:val="24"/>
        </w:rPr>
        <w:t xml:space="preserve"> </w:t>
      </w:r>
      <w:r w:rsidRPr="002268B4">
        <w:rPr>
          <w:rFonts w:ascii="Times New Roman" w:hAnsi="Times New Roman" w:cs="Times New Roman"/>
          <w:sz w:val="24"/>
          <w:szCs w:val="24"/>
        </w:rPr>
        <w:t>th</w:t>
      </w:r>
      <w:r w:rsidR="004745E4">
        <w:rPr>
          <w:rFonts w:ascii="Times New Roman" w:hAnsi="Times New Roman" w:cs="Times New Roman"/>
          <w:sz w:val="24"/>
          <w:szCs w:val="24"/>
        </w:rPr>
        <w:t>ose</w:t>
      </w:r>
      <w:r w:rsidRPr="002268B4">
        <w:rPr>
          <w:rFonts w:ascii="Times New Roman" w:hAnsi="Times New Roman" w:cs="Times New Roman"/>
          <w:sz w:val="24"/>
          <w:szCs w:val="24"/>
        </w:rPr>
        <w:t xml:space="preserve"> Member States </w:t>
      </w:r>
      <w:r w:rsidR="004745E4">
        <w:rPr>
          <w:rFonts w:ascii="Times New Roman" w:hAnsi="Times New Roman" w:cs="Times New Roman"/>
          <w:sz w:val="24"/>
          <w:szCs w:val="24"/>
        </w:rPr>
        <w:t xml:space="preserve">of </w:t>
      </w:r>
      <w:r w:rsidRPr="002268B4">
        <w:rPr>
          <w:rFonts w:ascii="Times New Roman" w:hAnsi="Times New Roman" w:cs="Times New Roman"/>
          <w:sz w:val="24"/>
          <w:szCs w:val="24"/>
        </w:rPr>
        <w:t xml:space="preserve">the </w:t>
      </w:r>
      <w:r w:rsidR="002268B4" w:rsidRPr="002268B4">
        <w:rPr>
          <w:rFonts w:ascii="Times New Roman" w:hAnsi="Times New Roman" w:cs="Times New Roman"/>
          <w:sz w:val="24"/>
          <w:szCs w:val="24"/>
        </w:rPr>
        <w:t xml:space="preserve">WHO European </w:t>
      </w:r>
      <w:r w:rsidRPr="002268B4">
        <w:rPr>
          <w:rFonts w:ascii="Times New Roman" w:hAnsi="Times New Roman" w:cs="Times New Roman"/>
          <w:sz w:val="24"/>
          <w:szCs w:val="24"/>
        </w:rPr>
        <w:t>Region that have n</w:t>
      </w:r>
      <w:r w:rsidR="004745E4">
        <w:rPr>
          <w:rFonts w:ascii="Times New Roman" w:hAnsi="Times New Roman" w:cs="Times New Roman"/>
          <w:sz w:val="24"/>
          <w:szCs w:val="24"/>
        </w:rPr>
        <w:t>either</w:t>
      </w:r>
      <w:r w:rsidR="00CA0DA7">
        <w:rPr>
          <w:rFonts w:ascii="Times New Roman" w:hAnsi="Times New Roman" w:cs="Times New Roman"/>
          <w:sz w:val="24"/>
          <w:szCs w:val="24"/>
        </w:rPr>
        <w:t xml:space="preserve"> </w:t>
      </w:r>
      <w:r w:rsidR="004745E4">
        <w:rPr>
          <w:rFonts w:ascii="Times New Roman" w:hAnsi="Times New Roman" w:cs="Times New Roman"/>
          <w:sz w:val="24"/>
          <w:szCs w:val="24"/>
        </w:rPr>
        <w:t xml:space="preserve">OPV </w:t>
      </w:r>
      <w:r w:rsidRPr="002268B4">
        <w:rPr>
          <w:rFonts w:ascii="Times New Roman" w:hAnsi="Times New Roman" w:cs="Times New Roman"/>
          <w:sz w:val="24"/>
          <w:szCs w:val="24"/>
        </w:rPr>
        <w:t>stock</w:t>
      </w:r>
      <w:r w:rsidR="004745E4">
        <w:rPr>
          <w:rFonts w:ascii="Times New Roman" w:hAnsi="Times New Roman" w:cs="Times New Roman"/>
          <w:sz w:val="24"/>
          <w:szCs w:val="24"/>
        </w:rPr>
        <w:t>s</w:t>
      </w:r>
      <w:r w:rsidR="00CA0DA7">
        <w:rPr>
          <w:rFonts w:ascii="Times New Roman" w:hAnsi="Times New Roman" w:cs="Times New Roman"/>
          <w:sz w:val="24"/>
          <w:szCs w:val="24"/>
        </w:rPr>
        <w:t xml:space="preserve"> </w:t>
      </w:r>
      <w:r w:rsidR="004745E4">
        <w:rPr>
          <w:rFonts w:ascii="Times New Roman" w:hAnsi="Times New Roman" w:cs="Times New Roman"/>
          <w:sz w:val="24"/>
          <w:szCs w:val="24"/>
        </w:rPr>
        <w:t xml:space="preserve">nor use a </w:t>
      </w:r>
      <w:r w:rsidRPr="002268B4">
        <w:rPr>
          <w:rFonts w:ascii="Times New Roman" w:hAnsi="Times New Roman" w:cs="Times New Roman"/>
          <w:sz w:val="24"/>
          <w:szCs w:val="24"/>
        </w:rPr>
        <w:t>live polio vaccine in the</w:t>
      </w:r>
      <w:r w:rsidR="004745E4">
        <w:rPr>
          <w:rFonts w:ascii="Times New Roman" w:hAnsi="Times New Roman" w:cs="Times New Roman"/>
          <w:sz w:val="24"/>
          <w:szCs w:val="24"/>
        </w:rPr>
        <w:t>ir</w:t>
      </w:r>
      <w:r w:rsidRPr="002268B4">
        <w:rPr>
          <w:rFonts w:ascii="Times New Roman" w:hAnsi="Times New Roman" w:cs="Times New Roman"/>
          <w:sz w:val="24"/>
          <w:szCs w:val="24"/>
        </w:rPr>
        <w:t xml:space="preserve"> routine immunization programme. In the event of confirmed wild polio reintroduction, WHO and UNICEF</w:t>
      </w:r>
      <w:r w:rsidR="004745E4">
        <w:rPr>
          <w:rFonts w:ascii="Times New Roman" w:hAnsi="Times New Roman" w:cs="Times New Roman"/>
          <w:sz w:val="24"/>
          <w:szCs w:val="24"/>
        </w:rPr>
        <w:t xml:space="preserve"> can assist</w:t>
      </w:r>
      <w:r w:rsidRPr="002268B4">
        <w:rPr>
          <w:rFonts w:ascii="Times New Roman" w:hAnsi="Times New Roman" w:cs="Times New Roman"/>
          <w:sz w:val="24"/>
          <w:szCs w:val="24"/>
        </w:rPr>
        <w:t xml:space="preserve"> Member States to procure this vaccine directly and without delay from the manufacturers of WHO prequalified vaccines (see </w:t>
      </w:r>
      <w:hyperlink r:id="rId8" w:history="1">
        <w:r w:rsidRPr="002268B4">
          <w:rPr>
            <w:rStyle w:val="Hyperlink"/>
            <w:rFonts w:ascii="Times New Roman" w:hAnsi="Times New Roman" w:cs="Times New Roman"/>
            <w:sz w:val="24"/>
            <w:szCs w:val="24"/>
          </w:rPr>
          <w:t>http://www.who.int/immunization_ standards/vaccine_ quality/</w:t>
        </w:r>
        <w:proofErr w:type="spellStart"/>
        <w:r w:rsidRPr="002268B4">
          <w:rPr>
            <w:rStyle w:val="Hyperlink"/>
            <w:rFonts w:ascii="Times New Roman" w:hAnsi="Times New Roman" w:cs="Times New Roman"/>
            <w:sz w:val="24"/>
            <w:szCs w:val="24"/>
          </w:rPr>
          <w:t>PQ_vaccine_list_en</w:t>
        </w:r>
        <w:proofErr w:type="spellEnd"/>
        <w:r w:rsidRPr="002268B4">
          <w:rPr>
            <w:rStyle w:val="Hyperlink"/>
            <w:rFonts w:ascii="Times New Roman" w:hAnsi="Times New Roman" w:cs="Times New Roman"/>
            <w:sz w:val="24"/>
            <w:szCs w:val="24"/>
          </w:rPr>
          <w:t>/en/</w:t>
        </w:r>
      </w:hyperlink>
      <w:r w:rsidRPr="002268B4">
        <w:rPr>
          <w:rFonts w:ascii="Times New Roman" w:hAnsi="Times New Roman" w:cs="Times New Roman"/>
          <w:sz w:val="24"/>
          <w:szCs w:val="24"/>
        </w:rPr>
        <w:t xml:space="preserve">) through this global mechanism. </w:t>
      </w:r>
      <w:r w:rsidR="004745E4">
        <w:rPr>
          <w:rFonts w:ascii="Times New Roman" w:hAnsi="Times New Roman" w:cs="Times New Roman"/>
          <w:sz w:val="24"/>
          <w:szCs w:val="24"/>
        </w:rPr>
        <w:t>As an essential part of preparedness planning</w:t>
      </w:r>
      <w:r w:rsidRPr="002268B4">
        <w:rPr>
          <w:rFonts w:ascii="Times New Roman" w:hAnsi="Times New Roman" w:cs="Times New Roman"/>
          <w:sz w:val="24"/>
          <w:szCs w:val="24"/>
        </w:rPr>
        <w:t xml:space="preserve">, Member States </w:t>
      </w:r>
      <w:r w:rsidR="004745E4">
        <w:rPr>
          <w:rFonts w:ascii="Times New Roman" w:hAnsi="Times New Roman" w:cs="Times New Roman"/>
          <w:sz w:val="24"/>
          <w:szCs w:val="24"/>
        </w:rPr>
        <w:t xml:space="preserve">are urged to </w:t>
      </w:r>
      <w:r w:rsidRPr="002268B4">
        <w:rPr>
          <w:rFonts w:ascii="Times New Roman" w:hAnsi="Times New Roman" w:cs="Times New Roman"/>
          <w:sz w:val="24"/>
          <w:szCs w:val="24"/>
        </w:rPr>
        <w:t xml:space="preserve">involve their medicines regulatory authorities </w:t>
      </w:r>
      <w:r w:rsidR="004745E4">
        <w:rPr>
          <w:rFonts w:ascii="Times New Roman" w:hAnsi="Times New Roman" w:cs="Times New Roman"/>
          <w:sz w:val="24"/>
          <w:szCs w:val="24"/>
        </w:rPr>
        <w:t xml:space="preserve">to ensure the necessary </w:t>
      </w:r>
      <w:r w:rsidRPr="002268B4">
        <w:rPr>
          <w:rFonts w:ascii="Times New Roman" w:hAnsi="Times New Roman" w:cs="Times New Roman"/>
          <w:sz w:val="24"/>
          <w:szCs w:val="24"/>
        </w:rPr>
        <w:t xml:space="preserve">regulatory pathways </w:t>
      </w:r>
      <w:r w:rsidR="004745E4">
        <w:rPr>
          <w:rFonts w:ascii="Times New Roman" w:hAnsi="Times New Roman" w:cs="Times New Roman"/>
          <w:sz w:val="24"/>
          <w:szCs w:val="24"/>
          <w:lang w:val="en-US"/>
        </w:rPr>
        <w:t xml:space="preserve">are in place </w:t>
      </w:r>
      <w:r w:rsidRPr="002268B4">
        <w:rPr>
          <w:rFonts w:ascii="Times New Roman" w:hAnsi="Times New Roman" w:cs="Times New Roman"/>
          <w:sz w:val="24"/>
          <w:szCs w:val="24"/>
        </w:rPr>
        <w:t>for licensing or applying expedited process</w:t>
      </w:r>
      <w:r w:rsidR="004745E4">
        <w:rPr>
          <w:rFonts w:ascii="Times New Roman" w:hAnsi="Times New Roman" w:cs="Times New Roman"/>
          <w:sz w:val="24"/>
          <w:szCs w:val="24"/>
        </w:rPr>
        <w:t xml:space="preserve"> for these products</w:t>
      </w:r>
      <w:r w:rsidRPr="002268B4">
        <w:rPr>
          <w:rFonts w:ascii="Times New Roman" w:hAnsi="Times New Roman" w:cs="Times New Roman"/>
          <w:sz w:val="24"/>
          <w:szCs w:val="24"/>
        </w:rPr>
        <w:t xml:space="preserve">. We have </w:t>
      </w:r>
      <w:r w:rsidR="003E12F6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2268B4">
        <w:rPr>
          <w:rFonts w:ascii="Times New Roman" w:hAnsi="Times New Roman" w:cs="Times New Roman"/>
          <w:sz w:val="24"/>
          <w:szCs w:val="24"/>
        </w:rPr>
        <w:t xml:space="preserve">this solution as a responsible </w:t>
      </w:r>
      <w:r w:rsidR="003E12F6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2268B4">
        <w:rPr>
          <w:rFonts w:ascii="Times New Roman" w:hAnsi="Times New Roman" w:cs="Times New Roman"/>
          <w:sz w:val="24"/>
          <w:szCs w:val="24"/>
        </w:rPr>
        <w:t>alternative to individual countries creating their own stockpiles</w:t>
      </w:r>
      <w:r w:rsidR="002268B4" w:rsidRPr="002268B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F66F3" w:rsidSect="00B70883">
      <w:headerReference w:type="default" r:id="rId9"/>
      <w:footnotePr>
        <w:numFmt w:val="lowerRoman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48" w:rsidRDefault="00C70A48" w:rsidP="00490158">
      <w:pPr>
        <w:spacing w:after="0"/>
      </w:pPr>
      <w:r>
        <w:separator/>
      </w:r>
    </w:p>
  </w:endnote>
  <w:endnote w:type="continuationSeparator" w:id="0">
    <w:p w:rsidR="00C70A48" w:rsidRDefault="00C70A48" w:rsidP="004901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48" w:rsidRDefault="00C70A48" w:rsidP="00490158">
      <w:pPr>
        <w:spacing w:after="0"/>
      </w:pPr>
      <w:r>
        <w:separator/>
      </w:r>
    </w:p>
  </w:footnote>
  <w:footnote w:type="continuationSeparator" w:id="0">
    <w:p w:rsidR="00C70A48" w:rsidRDefault="00C70A48" w:rsidP="00490158">
      <w:pPr>
        <w:spacing w:after="0"/>
      </w:pPr>
      <w:r>
        <w:continuationSeparator/>
      </w:r>
    </w:p>
  </w:footnote>
  <w:footnote w:id="1">
    <w:p w:rsidR="00490158" w:rsidRPr="003E4B53" w:rsidRDefault="00490158" w:rsidP="0097285A">
      <w:pPr>
        <w:tabs>
          <w:tab w:val="left" w:pos="284"/>
        </w:tabs>
        <w:spacing w:after="60"/>
        <w:ind w:left="284" w:hanging="284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="00D30B2B">
        <w:tab/>
      </w:r>
      <w:proofErr w:type="gramStart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>Global Polio Eradication Initiative.</w:t>
      </w:r>
      <w:proofErr w:type="gramEnd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 xml:space="preserve"> </w:t>
      </w:r>
      <w:proofErr w:type="gramStart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>Infected countries.</w:t>
      </w:r>
      <w:proofErr w:type="gramEnd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 xml:space="preserve"> </w:t>
      </w:r>
      <w:hyperlink r:id="rId1" w:history="1">
        <w:r w:rsidR="00D30B2B" w:rsidRPr="003E4B53">
          <w:rPr>
            <w:rStyle w:val="Hyperlink"/>
            <w:sz w:val="16"/>
            <w:szCs w:val="16"/>
            <w:lang w:val="en-US"/>
          </w:rPr>
          <w:t>http://www.polioeradication.org/Infectedcountries.aspx</w:t>
        </w:r>
      </w:hyperlink>
      <w:r w:rsidR="00D30B2B" w:rsidRPr="003E4B53">
        <w:rPr>
          <w:rFonts w:ascii="Times New Roman" w:eastAsia="ArialNarrow" w:hAnsi="Times New Roman" w:cs="Times New Roman"/>
          <w:sz w:val="16"/>
          <w:szCs w:val="16"/>
        </w:rPr>
        <w:t xml:space="preserve"> accessed 14 November 2013.</w:t>
      </w:r>
    </w:p>
  </w:footnote>
  <w:footnote w:id="2">
    <w:p w:rsidR="0097285A" w:rsidRPr="0097285A" w:rsidRDefault="0097285A" w:rsidP="0097285A">
      <w:pPr>
        <w:ind w:left="284" w:hanging="284"/>
        <w:rPr>
          <w:rStyle w:val="Hyperlink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rPr>
          <w:rFonts w:ascii="Times New Roman" w:eastAsia="ArialNarrow" w:hAnsi="Times New Roman" w:cs="Times New Roman"/>
          <w:sz w:val="16"/>
          <w:szCs w:val="16"/>
        </w:rPr>
        <w:t>Report of the 27</w:t>
      </w:r>
      <w:r w:rsidRPr="0097285A">
        <w:rPr>
          <w:rFonts w:ascii="Times New Roman" w:eastAsia="ArialNarrow" w:hAnsi="Times New Roman" w:cs="Times New Roman"/>
          <w:sz w:val="16"/>
          <w:szCs w:val="16"/>
          <w:vertAlign w:val="superscript"/>
        </w:rPr>
        <w:t>th</w:t>
      </w:r>
      <w:r>
        <w:rPr>
          <w:rFonts w:ascii="Times New Roman" w:eastAsia="ArialNarrow" w:hAnsi="Times New Roman" w:cs="Times New Roman"/>
          <w:sz w:val="16"/>
          <w:szCs w:val="16"/>
        </w:rPr>
        <w:t xml:space="preserve"> Meeting of the European Regional Certification Commission for Poliomyelitis Eradication.</w:t>
      </w:r>
      <w:proofErr w:type="gramEnd"/>
      <w:r>
        <w:rPr>
          <w:rFonts w:ascii="Times New Roman" w:eastAsia="ArialNarrow" w:hAnsi="Times New Roman" w:cs="Times New Roman"/>
          <w:sz w:val="16"/>
          <w:szCs w:val="16"/>
        </w:rPr>
        <w:t xml:space="preserve"> </w:t>
      </w:r>
      <w:r w:rsidRPr="00555FE0">
        <w:rPr>
          <w:rFonts w:ascii="Times New Roman" w:eastAsia="ArialNarrow" w:hAnsi="Times New Roman" w:cs="Times New Roman"/>
          <w:sz w:val="16"/>
          <w:szCs w:val="16"/>
        </w:rPr>
        <w:t>WHO Regional Office for Europe (20</w:t>
      </w:r>
      <w:r>
        <w:rPr>
          <w:rFonts w:ascii="Times New Roman" w:eastAsia="ArialNarrow" w:hAnsi="Times New Roman" w:cs="Times New Roman"/>
          <w:sz w:val="16"/>
          <w:szCs w:val="16"/>
        </w:rPr>
        <w:t>13</w:t>
      </w:r>
      <w:proofErr w:type="gramStart"/>
      <w:r w:rsidRPr="00555FE0">
        <w:rPr>
          <w:rFonts w:ascii="Times New Roman" w:eastAsia="ArialNarrow" w:hAnsi="Times New Roman" w:cs="Times New Roman"/>
          <w:sz w:val="16"/>
          <w:szCs w:val="16"/>
        </w:rPr>
        <w:t>)</w:t>
      </w:r>
      <w:proofErr w:type="gramEnd"/>
      <w:r w:rsidR="007111B0">
        <w:fldChar w:fldCharType="begin"/>
      </w:r>
      <w:r w:rsidR="006D30D5">
        <w:instrText>HYPERLINK "http://www.euro.who.int/__data/assets/pdf_file/0016/200752/Report-of-the-27th-Meeting-of-the-European-Regional-Certification-Commission-for-Poliomyelitis-Eradication.pdf"</w:instrText>
      </w:r>
      <w:r w:rsidR="007111B0">
        <w:fldChar w:fldCharType="separate"/>
      </w:r>
      <w:r w:rsidRPr="0097285A">
        <w:rPr>
          <w:rStyle w:val="Hyperlink"/>
          <w:sz w:val="16"/>
          <w:szCs w:val="16"/>
          <w:lang w:val="en-US"/>
        </w:rPr>
        <w:t>http://www.euro.who.int/__data/assets/pdf_file/0016/200752/Report-of-the-27th-Meeting-of-the-European-Regional-Certification-Commission-for-Poliomyelitis-Eradication.pdf</w:t>
      </w:r>
      <w:r w:rsidR="007111B0">
        <w:fldChar w:fldCharType="end"/>
      </w:r>
      <w:r w:rsidRPr="003E4B53">
        <w:rPr>
          <w:rFonts w:ascii="Times New Roman" w:eastAsia="ArialNarrow" w:hAnsi="Times New Roman" w:cs="Times New Roman"/>
          <w:sz w:val="16"/>
          <w:szCs w:val="16"/>
        </w:rPr>
        <w:t>accessed 14 November 2013.</w:t>
      </w:r>
    </w:p>
  </w:footnote>
  <w:footnote w:id="3">
    <w:p w:rsidR="00A85082" w:rsidRPr="00A85082" w:rsidRDefault="00A85082" w:rsidP="0097285A">
      <w:pPr>
        <w:pStyle w:val="FootnoteText"/>
        <w:tabs>
          <w:tab w:val="left" w:pos="284"/>
        </w:tabs>
        <w:spacing w:after="60"/>
        <w:ind w:left="284" w:hanging="284"/>
        <w:rPr>
          <w:sz w:val="16"/>
          <w:szCs w:val="16"/>
        </w:rPr>
      </w:pPr>
      <w:r>
        <w:rPr>
          <w:rStyle w:val="FootnoteReference"/>
        </w:rPr>
        <w:footnoteRef/>
      </w:r>
      <w:r>
        <w:tab/>
      </w:r>
      <w:r w:rsidRPr="00A85082">
        <w:rPr>
          <w:rFonts w:ascii="Times New Roman" w:hAnsi="Times New Roman" w:cs="Times New Roman"/>
          <w:sz w:val="16"/>
          <w:szCs w:val="16"/>
        </w:rPr>
        <w:t xml:space="preserve">Polio vaccines and polio immunization in the pre-eradication era: WHO position </w:t>
      </w:r>
      <w:proofErr w:type="gramStart"/>
      <w:r w:rsidRPr="00A85082">
        <w:rPr>
          <w:rFonts w:ascii="Times New Roman" w:hAnsi="Times New Roman" w:cs="Times New Roman"/>
          <w:sz w:val="16"/>
          <w:szCs w:val="16"/>
        </w:rPr>
        <w:t>paper.</w:t>
      </w:r>
      <w:proofErr w:type="gramEnd"/>
      <w:r w:rsidRPr="00A8508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5082">
        <w:rPr>
          <w:rFonts w:ascii="Times New Roman" w:hAnsi="Times New Roman" w:cs="Times New Roman"/>
          <w:sz w:val="16"/>
          <w:szCs w:val="16"/>
        </w:rPr>
        <w:t>WklyEpidem</w:t>
      </w:r>
      <w:r w:rsidR="0021184F">
        <w:rPr>
          <w:rFonts w:ascii="Times New Roman" w:hAnsi="Times New Roman" w:cs="Times New Roman"/>
          <w:sz w:val="16"/>
          <w:szCs w:val="16"/>
        </w:rPr>
        <w:t>iol</w:t>
      </w:r>
      <w:proofErr w:type="spellEnd"/>
      <w:r w:rsidRPr="00A85082">
        <w:rPr>
          <w:rFonts w:ascii="Times New Roman" w:hAnsi="Times New Roman" w:cs="Times New Roman"/>
          <w:sz w:val="16"/>
          <w:szCs w:val="16"/>
        </w:rPr>
        <w:t xml:space="preserve"> Rec</w:t>
      </w:r>
      <w:r w:rsidR="0021184F">
        <w:rPr>
          <w:rFonts w:ascii="Times New Roman" w:hAnsi="Times New Roman" w:cs="Times New Roman"/>
          <w:sz w:val="16"/>
          <w:szCs w:val="16"/>
        </w:rPr>
        <w:t>. 85(23):213-228, 2010.</w:t>
      </w:r>
      <w:hyperlink r:id="rId2" w:history="1">
        <w:r w:rsidR="0021184F" w:rsidRPr="00E74FEE">
          <w:rPr>
            <w:rStyle w:val="Hyperlink"/>
            <w:sz w:val="16"/>
            <w:szCs w:val="16"/>
          </w:rPr>
          <w:t>http://www.who.int/wer/2010/wer8523.pdf</w:t>
        </w:r>
      </w:hyperlink>
      <w:r w:rsidR="0021184F" w:rsidRPr="003E4B53">
        <w:rPr>
          <w:rFonts w:ascii="Times New Roman" w:eastAsia="ArialNarrow" w:hAnsi="Times New Roman" w:cs="Times New Roman"/>
          <w:sz w:val="16"/>
          <w:szCs w:val="16"/>
        </w:rPr>
        <w:t>accessed 14 November 2013.</w:t>
      </w:r>
    </w:p>
  </w:footnote>
  <w:footnote w:id="4">
    <w:p w:rsidR="003E4B53" w:rsidRPr="003E4B53" w:rsidRDefault="003E4B53" w:rsidP="0097285A">
      <w:pPr>
        <w:pStyle w:val="FootnoteText"/>
        <w:tabs>
          <w:tab w:val="left" w:pos="284"/>
        </w:tabs>
        <w:spacing w:after="60"/>
        <w:ind w:left="284" w:hanging="284"/>
        <w:rPr>
          <w:sz w:val="16"/>
          <w:szCs w:val="16"/>
          <w:lang w:val="en-US"/>
        </w:rPr>
      </w:pPr>
      <w:r w:rsidRPr="003E4B53">
        <w:rPr>
          <w:rStyle w:val="FootnoteReference"/>
          <w:sz w:val="16"/>
          <w:szCs w:val="16"/>
        </w:rPr>
        <w:footnoteRef/>
      </w:r>
      <w:r w:rsidR="00A85082">
        <w:rPr>
          <w:rFonts w:ascii="Times New Roman" w:eastAsia="ArialNarrow" w:hAnsi="Times New Roman" w:cs="Times New Roman"/>
          <w:sz w:val="16"/>
          <w:szCs w:val="16"/>
        </w:rPr>
        <w:tab/>
      </w:r>
      <w:r w:rsidRPr="003E4B53">
        <w:rPr>
          <w:rFonts w:ascii="Times New Roman" w:eastAsia="ArialNarrow" w:hAnsi="Times New Roman" w:cs="Times New Roman"/>
          <w:sz w:val="16"/>
          <w:szCs w:val="16"/>
        </w:rPr>
        <w:t>Guidelines on responding to the detection of wild poliovirus in the WHO European Region.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WHO Regional Office for Europe (2007</w:t>
      </w:r>
      <w:proofErr w:type="gramStart"/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)</w:t>
      </w:r>
      <w:proofErr w:type="gramEnd"/>
      <w:r w:rsidR="007111B0">
        <w:fldChar w:fldCharType="begin"/>
      </w:r>
      <w:r w:rsidR="006D30D5">
        <w:instrText>HYPERLINK "http://www.euro.who.int/__data/assets/pdf_file/0008/86498/E91123.pdf"</w:instrText>
      </w:r>
      <w:r w:rsidR="007111B0">
        <w:fldChar w:fldCharType="separate"/>
      </w:r>
      <w:r w:rsidRPr="003E4B53">
        <w:rPr>
          <w:rStyle w:val="Hyperlink"/>
          <w:sz w:val="16"/>
          <w:szCs w:val="16"/>
          <w:lang w:val="en-US"/>
        </w:rPr>
        <w:t>http://www.euro.who.int/__data/assets/pdf_file/0008/86498/E91123.pdf</w:t>
      </w:r>
      <w:r w:rsidR="007111B0">
        <w:fldChar w:fldCharType="end"/>
      </w:r>
      <w:r w:rsidRPr="003E4B53">
        <w:rPr>
          <w:rFonts w:ascii="Times New Roman" w:eastAsia="ArialNarrow" w:hAnsi="Times New Roman" w:cs="Times New Roman"/>
          <w:sz w:val="16"/>
          <w:szCs w:val="16"/>
        </w:rPr>
        <w:t>accessed 14 November 2013.</w:t>
      </w:r>
    </w:p>
  </w:footnote>
  <w:footnote w:id="5">
    <w:p w:rsidR="00D30B2B" w:rsidRPr="00A85082" w:rsidRDefault="00D30B2B" w:rsidP="0097285A">
      <w:pPr>
        <w:tabs>
          <w:tab w:val="left" w:pos="284"/>
        </w:tabs>
        <w:spacing w:after="60"/>
        <w:ind w:left="284" w:hanging="284"/>
        <w:rPr>
          <w:color w:val="0000FF" w:themeColor="hyperlink"/>
          <w:sz w:val="16"/>
          <w:szCs w:val="16"/>
          <w:u w:val="single"/>
          <w:lang w:val="en-US"/>
        </w:rPr>
      </w:pPr>
      <w:r w:rsidRPr="003E4B53">
        <w:rPr>
          <w:rStyle w:val="FootnoteReference"/>
          <w:sz w:val="16"/>
          <w:szCs w:val="16"/>
        </w:rPr>
        <w:footnoteRef/>
      </w:r>
      <w:r w:rsidRPr="003E4B53">
        <w:rPr>
          <w:rStyle w:val="Hyperlink"/>
          <w:sz w:val="16"/>
          <w:szCs w:val="16"/>
          <w:u w:val="none"/>
          <w:lang w:val="en-US"/>
        </w:rPr>
        <w:tab/>
      </w:r>
      <w:proofErr w:type="gramStart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>International travel and Health.</w:t>
      </w:r>
      <w:proofErr w:type="gramEnd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 xml:space="preserve"> </w:t>
      </w:r>
      <w:proofErr w:type="gramStart"/>
      <w:r w:rsidR="00383405" w:rsidRPr="003E4B53">
        <w:rPr>
          <w:rFonts w:ascii="Times New Roman" w:eastAsia="ArialNarrow" w:hAnsi="Times New Roman" w:cs="Times New Roman"/>
          <w:sz w:val="16"/>
          <w:szCs w:val="16"/>
        </w:rPr>
        <w:t xml:space="preserve">Vaccine-preventable disease and </w:t>
      </w:r>
      <w:r w:rsidR="00383405" w:rsidRPr="00555FE0">
        <w:rPr>
          <w:rFonts w:ascii="Times New Roman" w:eastAsia="ArialNarrow" w:hAnsi="Times New Roman" w:cs="Times New Roman"/>
          <w:sz w:val="16"/>
          <w:szCs w:val="16"/>
        </w:rPr>
        <w:t>vaccines.</w:t>
      </w:r>
      <w:proofErr w:type="gramEnd"/>
      <w:r w:rsidR="00383405" w:rsidRPr="00555FE0">
        <w:rPr>
          <w:rFonts w:ascii="Times New Roman" w:eastAsia="ArialNarrow" w:hAnsi="Times New Roman" w:cs="Times New Roman"/>
          <w:sz w:val="16"/>
          <w:szCs w:val="16"/>
        </w:rPr>
        <w:t xml:space="preserve"> 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World Health Organ</w:t>
      </w:r>
      <w:r w:rsidR="00555FE0">
        <w:rPr>
          <w:rFonts w:ascii="Times New Roman" w:eastAsia="ArialNarrow" w:hAnsi="Times New Roman" w:cs="Times New Roman"/>
          <w:sz w:val="16"/>
          <w:szCs w:val="16"/>
        </w:rPr>
        <w:t>i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zation (2012</w:t>
      </w:r>
      <w:proofErr w:type="gramStart"/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)</w:t>
      </w:r>
      <w:proofErr w:type="gramEnd"/>
      <w:r w:rsidR="007111B0">
        <w:fldChar w:fldCharType="begin"/>
      </w:r>
      <w:r w:rsidR="006D30D5">
        <w:instrText>HYPERLINK "http://www.who.int/ith/chapters/ith2012en_chap6.pdf"</w:instrText>
      </w:r>
      <w:r w:rsidR="007111B0">
        <w:fldChar w:fldCharType="separate"/>
      </w:r>
      <w:r w:rsidRPr="003E4B53">
        <w:rPr>
          <w:rStyle w:val="Hyperlink"/>
          <w:sz w:val="16"/>
          <w:szCs w:val="16"/>
          <w:lang w:val="en-US"/>
        </w:rPr>
        <w:t>http://www.who.int/ith/chapters/ith2012en_chap6.pdf</w:t>
      </w:r>
      <w:r w:rsidR="007111B0">
        <w:fldChar w:fldCharType="end"/>
      </w:r>
      <w:r w:rsidRPr="003E4B53">
        <w:rPr>
          <w:rFonts w:ascii="Times New Roman" w:eastAsia="ArialNarrow" w:hAnsi="Times New Roman" w:cs="Times New Roman"/>
          <w:sz w:val="16"/>
          <w:szCs w:val="16"/>
        </w:rPr>
        <w:t>accessed 14 November 2013.</w:t>
      </w:r>
    </w:p>
  </w:footnote>
  <w:footnote w:id="6">
    <w:p w:rsidR="00A85082" w:rsidRPr="00A85082" w:rsidRDefault="00A85082" w:rsidP="0097285A">
      <w:pPr>
        <w:pStyle w:val="FootnoteText"/>
        <w:tabs>
          <w:tab w:val="left" w:pos="284"/>
        </w:tabs>
        <w:spacing w:after="60"/>
        <w:ind w:left="284" w:hanging="284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A85082">
        <w:rPr>
          <w:rFonts w:ascii="Times New Roman" w:eastAsia="ArialNarrow" w:hAnsi="Times New Roman" w:cs="Times New Roman"/>
          <w:sz w:val="16"/>
          <w:szCs w:val="16"/>
        </w:rPr>
        <w:t>Vaccination in acute humanitarian emergencies – a framework for decision making.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World Health Organ</w:t>
      </w:r>
      <w:r w:rsidR="00555FE0">
        <w:rPr>
          <w:rFonts w:ascii="Times New Roman" w:eastAsia="ArialNarrow" w:hAnsi="Times New Roman" w:cs="Times New Roman"/>
          <w:sz w:val="16"/>
          <w:szCs w:val="16"/>
        </w:rPr>
        <w:t>i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zation (201</w:t>
      </w:r>
      <w:r w:rsidR="00555FE0">
        <w:rPr>
          <w:rFonts w:ascii="Times New Roman" w:eastAsia="ArialNarrow" w:hAnsi="Times New Roman" w:cs="Times New Roman"/>
          <w:sz w:val="16"/>
          <w:szCs w:val="16"/>
        </w:rPr>
        <w:t>3</w:t>
      </w:r>
      <w:r w:rsidR="00555FE0" w:rsidRPr="00555FE0">
        <w:rPr>
          <w:rFonts w:ascii="Times New Roman" w:eastAsia="ArialNarrow" w:hAnsi="Times New Roman" w:cs="Times New Roman"/>
          <w:sz w:val="16"/>
          <w:szCs w:val="16"/>
        </w:rPr>
        <w:t>)</w:t>
      </w:r>
      <w:hyperlink r:id="rId3" w:history="1">
        <w:r w:rsidRPr="00E74FEE">
          <w:rPr>
            <w:rStyle w:val="Hyperlink"/>
            <w:sz w:val="16"/>
            <w:szCs w:val="16"/>
            <w:lang w:val="en-US"/>
          </w:rPr>
          <w:t>http://apps.who.int/iris/bitstream/10665/92462/1/WHO_IVB_13.07_eng.pdf</w:t>
        </w:r>
      </w:hyperlink>
      <w:r w:rsidRPr="003E4B53">
        <w:rPr>
          <w:rFonts w:ascii="Times New Roman" w:eastAsia="ArialNarrow" w:hAnsi="Times New Roman" w:cs="Times New Roman"/>
          <w:sz w:val="16"/>
          <w:szCs w:val="16"/>
        </w:rPr>
        <w:t>accessed 14 November 2013</w:t>
      </w:r>
    </w:p>
  </w:footnote>
  <w:footnote w:id="7">
    <w:p w:rsidR="000477F1" w:rsidRPr="000477F1" w:rsidRDefault="000477F1" w:rsidP="0097285A">
      <w:pPr>
        <w:pStyle w:val="FootnoteText"/>
        <w:spacing w:after="60"/>
        <w:ind w:left="284" w:hanging="284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0477F1">
        <w:rPr>
          <w:rFonts w:ascii="Times New Roman" w:eastAsia="ArialNarrow" w:hAnsi="Times New Roman" w:cs="Times New Roman"/>
          <w:sz w:val="16"/>
          <w:szCs w:val="16"/>
        </w:rPr>
        <w:t xml:space="preserve">International Migration, Health and Human </w:t>
      </w:r>
      <w:r w:rsidR="000C5AE8">
        <w:rPr>
          <w:rFonts w:ascii="Times New Roman" w:eastAsia="ArialNarrow" w:hAnsi="Times New Roman" w:cs="Times New Roman"/>
          <w:sz w:val="16"/>
          <w:szCs w:val="16"/>
        </w:rPr>
        <w:t>R</w:t>
      </w:r>
      <w:r w:rsidRPr="000477F1">
        <w:rPr>
          <w:rFonts w:ascii="Times New Roman" w:eastAsia="ArialNarrow" w:hAnsi="Times New Roman" w:cs="Times New Roman"/>
          <w:sz w:val="16"/>
          <w:szCs w:val="16"/>
        </w:rPr>
        <w:t>ights.</w:t>
      </w:r>
      <w:r w:rsidR="000C5AE8" w:rsidRPr="000C5AE8">
        <w:rPr>
          <w:rFonts w:ascii="Times New Roman" w:eastAsia="ArialNarrow" w:hAnsi="Times New Roman" w:cs="Times New Roman"/>
          <w:sz w:val="16"/>
          <w:szCs w:val="16"/>
        </w:rPr>
        <w:t xml:space="preserve">International </w:t>
      </w:r>
      <w:r w:rsidR="000C5AE8" w:rsidRPr="00555FE0">
        <w:rPr>
          <w:rFonts w:ascii="Times New Roman" w:eastAsia="ArialNarrow" w:hAnsi="Times New Roman" w:cs="Times New Roman"/>
          <w:sz w:val="16"/>
          <w:szCs w:val="16"/>
        </w:rPr>
        <w:t>Organ</w:t>
      </w:r>
      <w:r w:rsidR="000C5AE8">
        <w:rPr>
          <w:rFonts w:ascii="Times New Roman" w:eastAsia="ArialNarrow" w:hAnsi="Times New Roman" w:cs="Times New Roman"/>
          <w:sz w:val="16"/>
          <w:szCs w:val="16"/>
        </w:rPr>
        <w:t>i</w:t>
      </w:r>
      <w:r w:rsidR="000C5AE8" w:rsidRPr="00555FE0">
        <w:rPr>
          <w:rFonts w:ascii="Times New Roman" w:eastAsia="ArialNarrow" w:hAnsi="Times New Roman" w:cs="Times New Roman"/>
          <w:sz w:val="16"/>
          <w:szCs w:val="16"/>
        </w:rPr>
        <w:t>zation</w:t>
      </w:r>
      <w:r w:rsidR="000C5AE8">
        <w:rPr>
          <w:rFonts w:ascii="Times New Roman" w:eastAsia="ArialNarrow" w:hAnsi="Times New Roman" w:cs="Times New Roman"/>
          <w:sz w:val="16"/>
          <w:szCs w:val="16"/>
        </w:rPr>
        <w:t xml:space="preserve"> for Migration</w:t>
      </w:r>
      <w:r w:rsidR="000C5AE8" w:rsidRPr="00555FE0">
        <w:rPr>
          <w:rFonts w:ascii="Times New Roman" w:eastAsia="ArialNarrow" w:hAnsi="Times New Roman" w:cs="Times New Roman"/>
          <w:sz w:val="16"/>
          <w:szCs w:val="16"/>
        </w:rPr>
        <w:t xml:space="preserve"> (201</w:t>
      </w:r>
      <w:r w:rsidR="000C5AE8">
        <w:rPr>
          <w:rFonts w:ascii="Times New Roman" w:eastAsia="ArialNarrow" w:hAnsi="Times New Roman" w:cs="Times New Roman"/>
          <w:sz w:val="16"/>
          <w:szCs w:val="16"/>
        </w:rPr>
        <w:t>3</w:t>
      </w:r>
      <w:proofErr w:type="gramStart"/>
      <w:r w:rsidR="000C5AE8" w:rsidRPr="00555FE0">
        <w:rPr>
          <w:rFonts w:ascii="Times New Roman" w:eastAsia="ArialNarrow" w:hAnsi="Times New Roman" w:cs="Times New Roman"/>
          <w:sz w:val="16"/>
          <w:szCs w:val="16"/>
        </w:rPr>
        <w:t>)</w:t>
      </w:r>
      <w:proofErr w:type="gramEnd"/>
      <w:hyperlink r:id="rId4" w:history="1">
        <w:r w:rsidRPr="000477F1">
          <w:rPr>
            <w:rStyle w:val="Hyperlink"/>
            <w:sz w:val="16"/>
            <w:szCs w:val="16"/>
            <w:lang w:val="en-US"/>
          </w:rPr>
          <w:t>http://www.ohchr.org/Documents/Issues/Migration/WHO_IOM_UNOHCHRPublication.pdf</w:t>
        </w:r>
      </w:hyperlink>
      <w:r w:rsidRPr="003E4B53">
        <w:rPr>
          <w:rFonts w:ascii="Times New Roman" w:eastAsia="ArialNarrow" w:hAnsi="Times New Roman" w:cs="Times New Roman"/>
          <w:sz w:val="16"/>
          <w:szCs w:val="16"/>
        </w:rPr>
        <w:t>accessed 14 November 2013</w:t>
      </w:r>
      <w:r w:rsidR="00555FE0">
        <w:rPr>
          <w:rFonts w:ascii="Times New Roman" w:eastAsia="ArialNarrow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5A" w:rsidRDefault="0097285A">
    <w:pPr>
      <w:pStyle w:val="Header"/>
    </w:pPr>
    <w:r w:rsidRPr="0097285A">
      <w:rPr>
        <w:noProof/>
        <w:lang w:eastAsia="en-GB"/>
      </w:rPr>
      <w:drawing>
        <wp:inline distT="0" distB="0" distL="0" distR="0">
          <wp:extent cx="1131701" cy="478367"/>
          <wp:effectExtent l="19050" t="0" r="0" b="0"/>
          <wp:docPr id="2" name="Picture 0" descr="WHO-emblem-ENG-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O-emblem-ENG-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147" cy="47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511D"/>
    <w:multiLevelType w:val="hybridMultilevel"/>
    <w:tmpl w:val="516ADA00"/>
    <w:lvl w:ilvl="0" w:tplc="E3F4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endnote w:id="-1"/>
    <w:endnote w:id="0"/>
  </w:endnotePr>
  <w:compat/>
  <w:rsids>
    <w:rsidRoot w:val="00141001"/>
    <w:rsid w:val="000477F1"/>
    <w:rsid w:val="000A279C"/>
    <w:rsid w:val="000B5F3D"/>
    <w:rsid w:val="000C5AE8"/>
    <w:rsid w:val="00141001"/>
    <w:rsid w:val="001F4EB7"/>
    <w:rsid w:val="0021184F"/>
    <w:rsid w:val="002164AB"/>
    <w:rsid w:val="002268B4"/>
    <w:rsid w:val="00230E14"/>
    <w:rsid w:val="00236F62"/>
    <w:rsid w:val="00271CDF"/>
    <w:rsid w:val="002B0BB8"/>
    <w:rsid w:val="00383405"/>
    <w:rsid w:val="003E12F6"/>
    <w:rsid w:val="003E4B53"/>
    <w:rsid w:val="00444E14"/>
    <w:rsid w:val="004745E4"/>
    <w:rsid w:val="00490158"/>
    <w:rsid w:val="004A245B"/>
    <w:rsid w:val="004A7D2E"/>
    <w:rsid w:val="004B32E6"/>
    <w:rsid w:val="004B3334"/>
    <w:rsid w:val="00555FE0"/>
    <w:rsid w:val="00595323"/>
    <w:rsid w:val="005D1A15"/>
    <w:rsid w:val="006103BB"/>
    <w:rsid w:val="00616529"/>
    <w:rsid w:val="006227DF"/>
    <w:rsid w:val="006267A6"/>
    <w:rsid w:val="006D30D5"/>
    <w:rsid w:val="006D7DD7"/>
    <w:rsid w:val="007111B0"/>
    <w:rsid w:val="007F3FDD"/>
    <w:rsid w:val="00842EF7"/>
    <w:rsid w:val="008F66F3"/>
    <w:rsid w:val="0097285A"/>
    <w:rsid w:val="00996196"/>
    <w:rsid w:val="009B033F"/>
    <w:rsid w:val="00A80F1B"/>
    <w:rsid w:val="00A85082"/>
    <w:rsid w:val="00A95D95"/>
    <w:rsid w:val="00AE2074"/>
    <w:rsid w:val="00B53D7D"/>
    <w:rsid w:val="00B70883"/>
    <w:rsid w:val="00BC76EE"/>
    <w:rsid w:val="00C01D68"/>
    <w:rsid w:val="00C70A48"/>
    <w:rsid w:val="00CA0DA7"/>
    <w:rsid w:val="00D30B2B"/>
    <w:rsid w:val="00D821A8"/>
    <w:rsid w:val="00DA0FCD"/>
    <w:rsid w:val="00EC4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00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15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1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15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7DD7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0B2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0B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0B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28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85A"/>
  </w:style>
  <w:style w:type="paragraph" w:styleId="Footer">
    <w:name w:val="footer"/>
    <w:basedOn w:val="Normal"/>
    <w:link w:val="FooterChar"/>
    <w:uiPriority w:val="99"/>
    <w:semiHidden/>
    <w:unhideWhenUsed/>
    <w:rsid w:val="009728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85A"/>
  </w:style>
  <w:style w:type="paragraph" w:styleId="ListParagraph">
    <w:name w:val="List Paragraph"/>
    <w:basedOn w:val="Normal"/>
    <w:uiPriority w:val="34"/>
    <w:qFormat/>
    <w:rsid w:val="00622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immunization_%20standards/vaccine_%20quality/PQ_vaccine_list_en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pps.who.int/iris/bitstream/10665/92462/1/WHO_IVB_13.07_eng.pdf" TargetMode="External"/><Relationship Id="rId2" Type="http://schemas.openxmlformats.org/officeDocument/2006/relationships/hyperlink" Target="http://www.who.int/wer/2010/wer8523.pdf" TargetMode="External"/><Relationship Id="rId1" Type="http://schemas.openxmlformats.org/officeDocument/2006/relationships/hyperlink" Target="http://www.polioeradication.org/Infectedcountries.aspx" TargetMode="External"/><Relationship Id="rId4" Type="http://schemas.openxmlformats.org/officeDocument/2006/relationships/hyperlink" Target="http://www.ohchr.org/Documents/Issues/Migration/WHO_IOM_UNOHCHRPubli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88E1-F313-495A-9310-B01EDAEA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mer</cp:lastModifiedBy>
  <cp:revision>5</cp:revision>
  <dcterms:created xsi:type="dcterms:W3CDTF">2013-11-27T10:44:00Z</dcterms:created>
  <dcterms:modified xsi:type="dcterms:W3CDTF">2013-11-28T11:21:00Z</dcterms:modified>
</cp:coreProperties>
</file>