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20" w:rsidRDefault="00B17C20" w:rsidP="00B17C20">
      <w:pPr>
        <w:ind w:left="900"/>
        <w:jc w:val="right"/>
        <w:rPr>
          <w:rFonts w:ascii="Sylfaen" w:hAnsi="Sylfaen"/>
          <w:sz w:val="22"/>
          <w:szCs w:val="22"/>
          <w:lang w:val="ka-GE"/>
        </w:rPr>
      </w:pPr>
    </w:p>
    <w:p w:rsidR="00B17C20" w:rsidRDefault="00B17C20" w:rsidP="00B17C20">
      <w:pPr>
        <w:ind w:left="900"/>
        <w:jc w:val="right"/>
        <w:rPr>
          <w:rFonts w:ascii="Sylfaen" w:hAnsi="Sylfaen"/>
          <w:sz w:val="22"/>
          <w:szCs w:val="22"/>
          <w:lang w:val="ka-GE"/>
        </w:rPr>
      </w:pPr>
    </w:p>
    <w:p w:rsidR="00B17C20" w:rsidRDefault="00B17C20" w:rsidP="00B17C20">
      <w:pPr>
        <w:ind w:left="900"/>
        <w:jc w:val="righ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სსიპ ”</w:t>
      </w:r>
      <w:r w:rsidRPr="003338FD">
        <w:rPr>
          <w:rFonts w:ascii="Sylfaen" w:hAnsi="Sylfaen"/>
          <w:sz w:val="22"/>
          <w:szCs w:val="22"/>
          <w:lang w:val="ka-GE"/>
        </w:rPr>
        <w:t xml:space="preserve">ლ. საყვარელიძის სახელობის დაავადებათა </w:t>
      </w:r>
    </w:p>
    <w:p w:rsidR="00B17C20" w:rsidRDefault="00B17C20" w:rsidP="00B17C20">
      <w:pPr>
        <w:ind w:left="900"/>
        <w:jc w:val="right"/>
        <w:rPr>
          <w:rFonts w:ascii="Sylfaen" w:hAnsi="Sylfaen"/>
          <w:sz w:val="22"/>
          <w:szCs w:val="22"/>
          <w:lang w:val="ka-GE"/>
        </w:rPr>
      </w:pPr>
      <w:r w:rsidRPr="003338FD">
        <w:rPr>
          <w:rFonts w:ascii="Sylfaen" w:hAnsi="Sylfaen"/>
          <w:sz w:val="22"/>
          <w:szCs w:val="22"/>
          <w:lang w:val="ka-GE"/>
        </w:rPr>
        <w:t>კონტროლის</w:t>
      </w:r>
      <w:r>
        <w:rPr>
          <w:rFonts w:ascii="Sylfaen" w:hAnsi="Sylfaen"/>
          <w:sz w:val="22"/>
          <w:szCs w:val="22"/>
          <w:lang w:val="ka-GE"/>
        </w:rPr>
        <w:t xml:space="preserve">ა </w:t>
      </w:r>
      <w:r w:rsidRPr="003338FD">
        <w:rPr>
          <w:rFonts w:ascii="Sylfaen" w:hAnsi="Sylfaen"/>
          <w:sz w:val="22"/>
          <w:szCs w:val="22"/>
          <w:lang w:val="ka-GE"/>
        </w:rPr>
        <w:t xml:space="preserve">და საზოგადოებრივი </w:t>
      </w:r>
      <w:r>
        <w:rPr>
          <w:rFonts w:ascii="Sylfaen" w:hAnsi="Sylfaen"/>
          <w:sz w:val="22"/>
          <w:szCs w:val="22"/>
          <w:lang w:val="ka-GE"/>
        </w:rPr>
        <w:t>ჯანმრთელობის</w:t>
      </w:r>
    </w:p>
    <w:p w:rsidR="00B17C20" w:rsidRDefault="00B17C20" w:rsidP="00B17C20">
      <w:pPr>
        <w:ind w:left="900"/>
        <w:jc w:val="right"/>
        <w:rPr>
          <w:rFonts w:ascii="Sylfaen" w:hAnsi="Sylfaen"/>
          <w:sz w:val="22"/>
          <w:szCs w:val="22"/>
          <w:lang w:val="ka-GE"/>
        </w:rPr>
      </w:pPr>
      <w:r w:rsidRPr="003338FD">
        <w:rPr>
          <w:rFonts w:ascii="Sylfaen" w:hAnsi="Sylfaen"/>
          <w:sz w:val="22"/>
          <w:szCs w:val="22"/>
          <w:lang w:val="ka-GE"/>
        </w:rPr>
        <w:t>ეროვნული ცენტრი</w:t>
      </w:r>
      <w:r>
        <w:rPr>
          <w:rFonts w:ascii="Sylfaen" w:hAnsi="Sylfaen"/>
          <w:sz w:val="22"/>
          <w:szCs w:val="22"/>
          <w:lang w:val="ka-GE"/>
        </w:rPr>
        <w:t>ს” გენერალურ დირექტორს</w:t>
      </w:r>
    </w:p>
    <w:p w:rsidR="00B17C20" w:rsidRDefault="00B17C20" w:rsidP="00B17C20">
      <w:pPr>
        <w:ind w:left="900"/>
        <w:jc w:val="righ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ბატონ ამირან გამყრელიძეს </w:t>
      </w:r>
    </w:p>
    <w:p w:rsidR="00B17C20" w:rsidRDefault="00B17C20" w:rsidP="00B17C20">
      <w:pPr>
        <w:ind w:left="900"/>
        <w:jc w:val="right"/>
        <w:rPr>
          <w:rFonts w:ascii="Sylfaen" w:hAnsi="Sylfaen"/>
          <w:sz w:val="22"/>
          <w:szCs w:val="22"/>
          <w:lang w:val="ka-GE"/>
        </w:rPr>
      </w:pPr>
    </w:p>
    <w:p w:rsidR="00B17C20" w:rsidRDefault="00B17C20" w:rsidP="00B17C20">
      <w:pPr>
        <w:ind w:left="900"/>
        <w:jc w:val="right"/>
        <w:rPr>
          <w:rFonts w:ascii="Sylfaen" w:hAnsi="Sylfaen"/>
          <w:sz w:val="22"/>
          <w:szCs w:val="22"/>
          <w:lang w:val="ka-GE"/>
        </w:rPr>
      </w:pPr>
    </w:p>
    <w:p w:rsidR="00B17C20" w:rsidRDefault="00B17C20" w:rsidP="00B17C20">
      <w:pPr>
        <w:tabs>
          <w:tab w:val="left" w:pos="360"/>
          <w:tab w:val="left" w:pos="450"/>
          <w:tab w:val="left" w:pos="540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</w:r>
    </w:p>
    <w:p w:rsidR="00B17C20" w:rsidRDefault="00B17C20" w:rsidP="00B17C20">
      <w:pPr>
        <w:tabs>
          <w:tab w:val="left" w:pos="360"/>
          <w:tab w:val="left" w:pos="540"/>
        </w:tabs>
        <w:jc w:val="both"/>
        <w:rPr>
          <w:rFonts w:ascii="Sylfaen" w:hAnsi="Sylfaen"/>
          <w:sz w:val="22"/>
          <w:szCs w:val="22"/>
          <w:lang w:val="ka-GE"/>
        </w:rPr>
      </w:pPr>
    </w:p>
    <w:p w:rsidR="00B17C20" w:rsidRDefault="00B17C20" w:rsidP="00B17C20">
      <w:pPr>
        <w:tabs>
          <w:tab w:val="left" w:pos="360"/>
          <w:tab w:val="left" w:pos="540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  <w:t>ბატონო ამირან,</w:t>
      </w:r>
    </w:p>
    <w:p w:rsidR="00B17C20" w:rsidRDefault="00B17C20" w:rsidP="00B17C20">
      <w:pPr>
        <w:tabs>
          <w:tab w:val="left" w:pos="360"/>
          <w:tab w:val="left" w:pos="540"/>
        </w:tabs>
        <w:jc w:val="both"/>
        <w:rPr>
          <w:rFonts w:ascii="Sylfaen" w:hAnsi="Sylfaen"/>
          <w:sz w:val="22"/>
          <w:szCs w:val="22"/>
          <w:lang w:val="ka-GE"/>
        </w:rPr>
      </w:pPr>
    </w:p>
    <w:p w:rsidR="00B17C20" w:rsidRPr="004234F6" w:rsidRDefault="00B17C20" w:rsidP="00B17C20">
      <w:pPr>
        <w:ind w:firstLine="36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საქართველოს შრომის, ჯანმრთელობისა და სოციალური დაცვის სამინისტროში მიმდინარე წლის 11 აგვისტოს ელ. ფოსტით შემოსული თქვენი წერილის პასუხად, რომელიც შეეხება „ებოლას ვირუსით გამოწვეული დაავადების მზადყოფნის ოპერატიული გეგმის“ სამუშაო ვერსიას, </w:t>
      </w:r>
      <w:r w:rsidRPr="004234F6">
        <w:rPr>
          <w:rFonts w:ascii="Sylfaen" w:hAnsi="Sylfaen"/>
          <w:sz w:val="22"/>
          <w:szCs w:val="22"/>
          <w:lang w:val="ka-GE"/>
        </w:rPr>
        <w:t>წარმოგიდგენთ ჩვენს შენიშვნებს ზემოაღნიშნულ დოკუმენტთან დაკავშირებით:</w:t>
      </w:r>
    </w:p>
    <w:p w:rsidR="00B17C20" w:rsidRDefault="00B17C20" w:rsidP="00B17C20">
      <w:pPr>
        <w:tabs>
          <w:tab w:val="left" w:pos="360"/>
          <w:tab w:val="left" w:pos="540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</w:t>
      </w:r>
    </w:p>
    <w:p w:rsidR="00B17C20" w:rsidRPr="007C05FF" w:rsidRDefault="00B17C20" w:rsidP="00B17C20">
      <w:pPr>
        <w:numPr>
          <w:ilvl w:val="0"/>
          <w:numId w:val="1"/>
        </w:numPr>
        <w:tabs>
          <w:tab w:val="clear" w:pos="1440"/>
          <w:tab w:val="num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/>
        <w:jc w:val="both"/>
        <w:rPr>
          <w:rFonts w:ascii="AcadNusx" w:hAnsi="AcadNusx"/>
          <w:sz w:val="22"/>
          <w:szCs w:val="22"/>
          <w:lang w:val="ka-GE"/>
        </w:rPr>
      </w:pPr>
      <w:r w:rsidRPr="007C05FF">
        <w:rPr>
          <w:rFonts w:ascii="Sylfaen" w:hAnsi="Sylfaen"/>
          <w:sz w:val="22"/>
          <w:szCs w:val="22"/>
          <w:lang w:val="ka-GE"/>
        </w:rPr>
        <w:t>დოკუმენტი სრულად</w:t>
      </w:r>
      <w:r>
        <w:rPr>
          <w:rFonts w:ascii="Sylfaen" w:hAnsi="Sylfaen"/>
          <w:sz w:val="22"/>
          <w:szCs w:val="22"/>
          <w:lang w:val="ka-GE"/>
        </w:rPr>
        <w:t xml:space="preserve"> საჭიროებს იურიდიული ტექნიკის თვალსაზრისით დახვეწას და ბრძანების პროექტის ფორმატში მოყვანას;</w:t>
      </w:r>
    </w:p>
    <w:p w:rsidR="00B17C20" w:rsidRPr="007C05FF" w:rsidRDefault="00B17C20" w:rsidP="00B17C20">
      <w:pPr>
        <w:tabs>
          <w:tab w:val="num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/>
        <w:jc w:val="both"/>
        <w:rPr>
          <w:rFonts w:ascii="AcadNusx" w:hAnsi="AcadNusx"/>
          <w:sz w:val="22"/>
          <w:szCs w:val="22"/>
          <w:lang w:val="ka-GE"/>
        </w:rPr>
      </w:pPr>
    </w:p>
    <w:p w:rsidR="00B17C20" w:rsidRPr="007C05FF" w:rsidRDefault="00B17C20" w:rsidP="00B17C20">
      <w:pPr>
        <w:numPr>
          <w:ilvl w:val="0"/>
          <w:numId w:val="1"/>
        </w:numPr>
        <w:tabs>
          <w:tab w:val="clear" w:pos="1440"/>
          <w:tab w:val="num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/>
        <w:jc w:val="both"/>
        <w:rPr>
          <w:rFonts w:ascii="AcadNusx" w:hAnsi="AcadNusx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მიზანშეწონილად </w:t>
      </w:r>
      <w:r w:rsidRPr="007C05FF">
        <w:rPr>
          <w:rFonts w:ascii="Sylfaen" w:hAnsi="Sylfaen" w:cs="Sylfaen"/>
          <w:sz w:val="22"/>
          <w:szCs w:val="22"/>
          <w:lang w:val="ka-GE"/>
        </w:rPr>
        <w:t>მი</w:t>
      </w:r>
      <w:r>
        <w:rPr>
          <w:rFonts w:ascii="Sylfaen" w:hAnsi="Sylfaen" w:cs="Sylfaen"/>
          <w:sz w:val="22"/>
          <w:szCs w:val="22"/>
          <w:lang w:val="ka-GE"/>
        </w:rPr>
        <w:t>გვაჩნია</w:t>
      </w:r>
      <w:r w:rsidRPr="007C05FF">
        <w:rPr>
          <w:rFonts w:ascii="AcadNusx" w:hAnsi="AcadNusx"/>
          <w:sz w:val="22"/>
          <w:szCs w:val="22"/>
          <w:lang w:val="ka-GE"/>
        </w:rPr>
        <w:t>,</w:t>
      </w:r>
      <w:r w:rsidRPr="007C05FF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რომ მოხდეს </w:t>
      </w:r>
      <w:r w:rsidRPr="007C05FF">
        <w:rPr>
          <w:rFonts w:ascii="Sylfaen" w:hAnsi="Sylfaen" w:cs="Sylfaen"/>
          <w:sz w:val="22"/>
          <w:szCs w:val="22"/>
          <w:lang w:val="ka-GE"/>
        </w:rPr>
        <w:t xml:space="preserve">მზადყოფნის </w:t>
      </w:r>
      <w:r>
        <w:rPr>
          <w:rFonts w:ascii="Sylfaen" w:hAnsi="Sylfaen" w:cs="Sylfaen"/>
          <w:sz w:val="22"/>
          <w:szCs w:val="22"/>
          <w:lang w:val="ka-GE"/>
        </w:rPr>
        <w:t>გეგმის ჰარმონიზება</w:t>
      </w:r>
      <w:r>
        <w:rPr>
          <w:rFonts w:ascii="Sylfaen" w:hAnsi="Sylfaen"/>
          <w:sz w:val="22"/>
          <w:szCs w:val="22"/>
          <w:lang w:val="ka-GE"/>
        </w:rPr>
        <w:t xml:space="preserve"> „განსაკუთრებით საშიშ პათოგენებსა და ბიოლოგიურ ინციდენტებზე რეაგირების გეგმის დამტკიცების შესახებ“ საქართველოს მთავრობის 2014 წლის 13 მაისის №347</w:t>
      </w:r>
      <w:r w:rsidRPr="007C05FF">
        <w:rPr>
          <w:rFonts w:ascii="Sylfaen" w:hAnsi="Sylfaen"/>
          <w:sz w:val="22"/>
          <w:szCs w:val="22"/>
          <w:lang w:val="ka-GE"/>
        </w:rPr>
        <w:t xml:space="preserve"> </w:t>
      </w:r>
      <w:r w:rsidRPr="007C05FF">
        <w:rPr>
          <w:rFonts w:ascii="Sylfaen" w:hAnsi="Sylfaen" w:cs="Sylfaen"/>
          <w:sz w:val="22"/>
          <w:szCs w:val="22"/>
          <w:lang w:val="ka-GE"/>
        </w:rPr>
        <w:t>დადგენილებასთან და დეტალურად</w:t>
      </w:r>
      <w:r w:rsidRPr="007C05FF">
        <w:rPr>
          <w:rFonts w:ascii="AcadNusx" w:hAnsi="AcadNusx"/>
          <w:sz w:val="22"/>
          <w:szCs w:val="22"/>
          <w:lang w:val="ka-GE"/>
        </w:rPr>
        <w:t xml:space="preserve"> </w:t>
      </w:r>
      <w:r w:rsidRPr="007C05FF">
        <w:rPr>
          <w:rFonts w:ascii="Sylfaen" w:hAnsi="Sylfaen" w:cs="Sylfaen"/>
          <w:sz w:val="22"/>
          <w:szCs w:val="22"/>
          <w:lang w:val="ka-GE"/>
        </w:rPr>
        <w:t xml:space="preserve">განისაზღვროს </w:t>
      </w:r>
      <w:r w:rsidRPr="007C05FF">
        <w:rPr>
          <w:rFonts w:ascii="AcadNusx" w:hAnsi="AcadNusx"/>
          <w:sz w:val="22"/>
          <w:szCs w:val="22"/>
          <w:lang w:val="ka-GE"/>
        </w:rPr>
        <w:t>(</w:t>
      </w:r>
      <w:r w:rsidRPr="007C05FF">
        <w:rPr>
          <w:rFonts w:ascii="Sylfaen" w:hAnsi="Sylfaen" w:cs="Sylfaen"/>
          <w:sz w:val="22"/>
          <w:szCs w:val="22"/>
          <w:lang w:val="ka-GE"/>
        </w:rPr>
        <w:t>ჯანმრთელობის მსოფლიო ორგანიზა</w:t>
      </w:r>
      <w:r>
        <w:rPr>
          <w:rFonts w:ascii="Sylfaen" w:hAnsi="Sylfaen" w:cs="Sylfaen"/>
          <w:sz w:val="22"/>
          <w:szCs w:val="22"/>
          <w:lang w:val="ka-GE"/>
        </w:rPr>
        <w:t>ც</w:t>
      </w:r>
      <w:r w:rsidRPr="007C05FF">
        <w:rPr>
          <w:rFonts w:ascii="Sylfaen" w:hAnsi="Sylfaen" w:cs="Sylfaen"/>
          <w:sz w:val="22"/>
          <w:szCs w:val="22"/>
          <w:lang w:val="ka-GE"/>
        </w:rPr>
        <w:t>იის</w:t>
      </w:r>
      <w:r w:rsidRPr="007C05FF">
        <w:rPr>
          <w:rFonts w:ascii="AcadNusx" w:hAnsi="AcadNusx"/>
          <w:sz w:val="22"/>
          <w:szCs w:val="22"/>
          <w:lang w:val="ka-GE"/>
        </w:rPr>
        <w:t xml:space="preserve"> </w:t>
      </w:r>
      <w:r w:rsidRPr="007C05FF">
        <w:rPr>
          <w:rFonts w:ascii="Sylfaen" w:hAnsi="Sylfaen" w:cs="Sylfaen"/>
          <w:sz w:val="22"/>
          <w:szCs w:val="22"/>
          <w:lang w:val="ka-GE"/>
        </w:rPr>
        <w:t>რეკომენდაციების გათვალისწინებით</w:t>
      </w:r>
      <w:r>
        <w:rPr>
          <w:rFonts w:ascii="AcadNusx" w:hAnsi="AcadNusx"/>
          <w:sz w:val="22"/>
          <w:szCs w:val="22"/>
          <w:lang w:val="ka-GE"/>
        </w:rPr>
        <w:t>)</w:t>
      </w:r>
      <w:r w:rsidRPr="007C05FF">
        <w:rPr>
          <w:rFonts w:ascii="AcadNusx" w:hAnsi="AcadNusx"/>
          <w:sz w:val="22"/>
          <w:szCs w:val="22"/>
          <w:lang w:val="ka-GE"/>
        </w:rPr>
        <w:t xml:space="preserve"> </w:t>
      </w:r>
      <w:r w:rsidRPr="007C05FF">
        <w:rPr>
          <w:rFonts w:ascii="Sylfaen" w:hAnsi="Sylfaen" w:cs="Sylfaen"/>
          <w:sz w:val="22"/>
          <w:szCs w:val="22"/>
          <w:lang w:val="ka-GE"/>
        </w:rPr>
        <w:t>სამინისტროს</w:t>
      </w:r>
      <w:r w:rsidRPr="007C05FF">
        <w:rPr>
          <w:rFonts w:ascii="AcadNusx" w:hAnsi="AcadNusx"/>
          <w:sz w:val="22"/>
          <w:szCs w:val="22"/>
          <w:lang w:val="ka-GE"/>
        </w:rPr>
        <w:t xml:space="preserve">, </w:t>
      </w:r>
      <w:r>
        <w:rPr>
          <w:rFonts w:ascii="Sylfaen" w:hAnsi="Sylfaen"/>
          <w:sz w:val="22"/>
          <w:szCs w:val="22"/>
          <w:lang w:val="ka-GE"/>
        </w:rPr>
        <w:t xml:space="preserve">სამინისტროს </w:t>
      </w:r>
      <w:r w:rsidRPr="007C05FF">
        <w:rPr>
          <w:rFonts w:ascii="Sylfaen" w:hAnsi="Sylfaen" w:cs="Sylfaen"/>
          <w:sz w:val="22"/>
          <w:szCs w:val="22"/>
          <w:lang w:val="ka-GE"/>
        </w:rPr>
        <w:t>ს</w:t>
      </w:r>
      <w:r>
        <w:rPr>
          <w:rFonts w:ascii="Sylfaen" w:hAnsi="Sylfaen" w:cs="Sylfaen"/>
          <w:sz w:val="22"/>
          <w:szCs w:val="22"/>
          <w:lang w:val="ka-GE"/>
        </w:rPr>
        <w:t xml:space="preserve">ახელმწიფო </w:t>
      </w:r>
      <w:r w:rsidRPr="007C05FF">
        <w:rPr>
          <w:rFonts w:ascii="Sylfaen" w:hAnsi="Sylfaen" w:cs="Sylfaen"/>
          <w:sz w:val="22"/>
          <w:szCs w:val="22"/>
          <w:lang w:val="ka-GE"/>
        </w:rPr>
        <w:t>კონტროლს დაქვემდებარებული ორგანიზაციების</w:t>
      </w:r>
      <w:r w:rsidRPr="007C05FF">
        <w:rPr>
          <w:rFonts w:ascii="AcadNusx" w:hAnsi="AcadNusx"/>
          <w:sz w:val="22"/>
          <w:szCs w:val="22"/>
          <w:lang w:val="ka-GE"/>
        </w:rPr>
        <w:t xml:space="preserve"> </w:t>
      </w:r>
      <w:r w:rsidRPr="007C05FF">
        <w:rPr>
          <w:rFonts w:ascii="Sylfaen" w:hAnsi="Sylfaen" w:cs="Sylfaen"/>
          <w:sz w:val="22"/>
          <w:szCs w:val="22"/>
          <w:lang w:val="ka-GE"/>
        </w:rPr>
        <w:t>და</w:t>
      </w:r>
      <w:r w:rsidRPr="007C05FF">
        <w:rPr>
          <w:rFonts w:ascii="AcadNusx" w:hAnsi="AcadNusx"/>
          <w:sz w:val="22"/>
          <w:szCs w:val="22"/>
          <w:lang w:val="ka-GE"/>
        </w:rPr>
        <w:t xml:space="preserve"> </w:t>
      </w:r>
      <w:r w:rsidRPr="007C05FF">
        <w:rPr>
          <w:rFonts w:ascii="Sylfaen" w:hAnsi="Sylfaen" w:cs="Sylfaen"/>
          <w:sz w:val="22"/>
          <w:szCs w:val="22"/>
          <w:lang w:val="ka-GE"/>
        </w:rPr>
        <w:t>მხარდამჭერი</w:t>
      </w:r>
      <w:r w:rsidRPr="007C05FF">
        <w:rPr>
          <w:rFonts w:ascii="AcadNusx" w:hAnsi="AcadNusx"/>
          <w:sz w:val="22"/>
          <w:szCs w:val="22"/>
          <w:lang w:val="ka-GE"/>
        </w:rPr>
        <w:t xml:space="preserve"> </w:t>
      </w:r>
      <w:r w:rsidRPr="007C05FF">
        <w:rPr>
          <w:rFonts w:ascii="Sylfaen" w:hAnsi="Sylfaen" w:cs="Sylfaen"/>
          <w:sz w:val="22"/>
          <w:szCs w:val="22"/>
          <w:lang w:val="ka-GE"/>
        </w:rPr>
        <w:t>უწყებების ღონისძიებები</w:t>
      </w:r>
      <w:r w:rsidRPr="007C05FF">
        <w:rPr>
          <w:rFonts w:ascii="AcadNusx" w:hAnsi="AcadNusx"/>
          <w:sz w:val="22"/>
          <w:szCs w:val="22"/>
          <w:lang w:val="ka-GE"/>
        </w:rPr>
        <w:t xml:space="preserve"> </w:t>
      </w:r>
      <w:r w:rsidRPr="007C05FF">
        <w:rPr>
          <w:rFonts w:ascii="Sylfaen" w:hAnsi="Sylfaen" w:cs="Sylfaen"/>
          <w:sz w:val="22"/>
          <w:szCs w:val="22"/>
          <w:lang w:val="ka-GE"/>
        </w:rPr>
        <w:t>იმ ფუნქციების</w:t>
      </w:r>
      <w:r w:rsidRPr="007C05FF">
        <w:rPr>
          <w:rFonts w:ascii="AcadNusx" w:hAnsi="AcadNusx"/>
          <w:sz w:val="22"/>
          <w:szCs w:val="22"/>
          <w:lang w:val="ka-GE"/>
        </w:rPr>
        <w:t>,</w:t>
      </w:r>
      <w:r w:rsidRPr="007C05FF">
        <w:rPr>
          <w:rFonts w:ascii="Sylfaen" w:hAnsi="Sylfaen"/>
          <w:sz w:val="22"/>
          <w:szCs w:val="22"/>
          <w:lang w:val="ka-GE"/>
        </w:rPr>
        <w:t xml:space="preserve"> </w:t>
      </w:r>
      <w:r w:rsidRPr="007C05FF">
        <w:rPr>
          <w:rFonts w:ascii="Sylfaen" w:hAnsi="Sylfaen" w:cs="Sylfaen"/>
          <w:sz w:val="22"/>
          <w:szCs w:val="22"/>
          <w:lang w:val="ka-GE"/>
        </w:rPr>
        <w:t>პასუხისმგებლობების და</w:t>
      </w:r>
      <w:r w:rsidRPr="007C05FF">
        <w:rPr>
          <w:rFonts w:ascii="AcadNusx" w:hAnsi="AcadNusx"/>
          <w:sz w:val="22"/>
          <w:szCs w:val="22"/>
          <w:lang w:val="ka-GE"/>
        </w:rPr>
        <w:t xml:space="preserve"> </w:t>
      </w:r>
      <w:r w:rsidRPr="007C05FF">
        <w:rPr>
          <w:rFonts w:ascii="Sylfaen" w:hAnsi="Sylfaen" w:cs="Sylfaen"/>
          <w:sz w:val="22"/>
          <w:szCs w:val="22"/>
          <w:lang w:val="ka-GE"/>
        </w:rPr>
        <w:t>ქმედებების განსახორციელებლად</w:t>
      </w:r>
      <w:r w:rsidR="00574ACB">
        <w:rPr>
          <w:rFonts w:ascii="Sylfaen" w:hAnsi="Sylfaen" w:cs="Sylfaen"/>
          <w:sz w:val="22"/>
          <w:szCs w:val="22"/>
          <w:lang w:val="ka-GE"/>
        </w:rPr>
        <w:t>,</w:t>
      </w:r>
      <w:r w:rsidRPr="007C05FF">
        <w:rPr>
          <w:rFonts w:ascii="Sylfaen" w:hAnsi="Sylfaen" w:cs="Sylfaen"/>
          <w:sz w:val="22"/>
          <w:szCs w:val="22"/>
          <w:lang w:val="ka-GE"/>
        </w:rPr>
        <w:t xml:space="preserve"> რომ</w:t>
      </w:r>
      <w:r>
        <w:rPr>
          <w:rFonts w:ascii="Sylfaen" w:hAnsi="Sylfaen" w:cs="Sylfaen"/>
          <w:sz w:val="22"/>
          <w:szCs w:val="22"/>
          <w:lang w:val="ka-GE"/>
        </w:rPr>
        <w:t>ლები</w:t>
      </w:r>
      <w:r w:rsidRPr="007C05FF">
        <w:rPr>
          <w:rFonts w:ascii="Sylfaen" w:hAnsi="Sylfaen" w:cs="Sylfaen"/>
          <w:sz w:val="22"/>
          <w:szCs w:val="22"/>
          <w:lang w:val="ka-GE"/>
        </w:rPr>
        <w:t>ც</w:t>
      </w:r>
      <w:r w:rsidRPr="007C05FF">
        <w:rPr>
          <w:rFonts w:ascii="AcadNusx" w:hAnsi="AcadNusx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განსაზღვრულია </w:t>
      </w:r>
      <w:r w:rsidR="00033D3B">
        <w:rPr>
          <w:rFonts w:ascii="Sylfaen" w:hAnsi="Sylfaen"/>
          <w:sz w:val="22"/>
          <w:szCs w:val="22"/>
          <w:lang w:val="ka-GE"/>
        </w:rPr>
        <w:t xml:space="preserve">რეაგირების </w:t>
      </w:r>
      <w:r w:rsidRPr="007C05FF">
        <w:rPr>
          <w:rFonts w:ascii="Sylfaen" w:hAnsi="Sylfaen" w:cs="Sylfaen"/>
          <w:sz w:val="22"/>
          <w:szCs w:val="22"/>
          <w:lang w:val="ka-GE"/>
        </w:rPr>
        <w:t>ეროვნული</w:t>
      </w:r>
      <w:r w:rsidRPr="007C05FF">
        <w:rPr>
          <w:rFonts w:ascii="AcadNusx" w:hAnsi="AcadNusx"/>
          <w:sz w:val="22"/>
          <w:szCs w:val="22"/>
          <w:lang w:val="ka-GE"/>
        </w:rPr>
        <w:t xml:space="preserve"> </w:t>
      </w:r>
      <w:r w:rsidRPr="007C05FF">
        <w:rPr>
          <w:rFonts w:ascii="Sylfaen" w:hAnsi="Sylfaen" w:cs="Sylfaen"/>
          <w:sz w:val="22"/>
          <w:szCs w:val="22"/>
          <w:lang w:val="ka-GE"/>
        </w:rPr>
        <w:t>გეგმით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B17C20" w:rsidRDefault="00B17C20" w:rsidP="00B17C20">
      <w:pPr>
        <w:pStyle w:val="ListParagraph"/>
        <w:rPr>
          <w:rFonts w:ascii="AcadNusx" w:hAnsi="AcadNusx"/>
          <w:sz w:val="22"/>
          <w:szCs w:val="22"/>
          <w:lang w:val="ka-GE"/>
        </w:rPr>
      </w:pPr>
    </w:p>
    <w:p w:rsidR="00B17C20" w:rsidRPr="001626D2" w:rsidRDefault="00B17C20" w:rsidP="00B17C20">
      <w:pPr>
        <w:numPr>
          <w:ilvl w:val="0"/>
          <w:numId w:val="1"/>
        </w:numPr>
        <w:tabs>
          <w:tab w:val="clear" w:pos="1440"/>
          <w:tab w:val="num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/>
        <w:jc w:val="both"/>
        <w:rPr>
          <w:rFonts w:ascii="AcadNusx" w:hAnsi="AcadNusx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ასევე ვთვლით, რომ „ებოლას ვირუსით გამოწვეული დაავადების მზადყოფნის ოპერატიული გეგმა“ უნდა ითვალისწინებდეს „საქართველოს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2005 წლის 31 დეკემბრის №249 დადგენილების 18</w:t>
      </w:r>
      <w:r w:rsidRPr="001626D2">
        <w:rPr>
          <w:rFonts w:ascii="Sylfaen" w:hAnsi="Sylfaen"/>
          <w:sz w:val="22"/>
          <w:szCs w:val="22"/>
          <w:vertAlign w:val="superscript"/>
          <w:lang w:val="ka-GE"/>
        </w:rPr>
        <w:t xml:space="preserve">5 </w:t>
      </w:r>
      <w:r>
        <w:rPr>
          <w:rFonts w:ascii="Sylfaen" w:hAnsi="Sylfaen"/>
          <w:sz w:val="22"/>
          <w:szCs w:val="22"/>
          <w:lang w:val="ka-GE"/>
        </w:rPr>
        <w:t>მუხ</w:t>
      </w:r>
      <w:r w:rsidR="00A86BDF">
        <w:rPr>
          <w:rFonts w:ascii="Sylfaen" w:hAnsi="Sylfaen"/>
          <w:sz w:val="22"/>
          <w:szCs w:val="22"/>
          <w:lang w:val="ka-GE"/>
        </w:rPr>
        <w:t>ლი</w:t>
      </w:r>
      <w:r>
        <w:rPr>
          <w:rFonts w:ascii="Sylfaen" w:hAnsi="Sylfaen"/>
          <w:sz w:val="22"/>
          <w:szCs w:val="22"/>
          <w:lang w:val="ka-GE"/>
        </w:rPr>
        <w:t>თ განსაზღვრულ იმ ფუნქციებს, რომლებიც ეკისრება სამინისტროს საგანგებო სიტუაციების კოორდინაციისა და რეჟიმის დეპარტამენტს საგანგებო სიტუაციების/მდგომარეობების დადგომისას.</w:t>
      </w:r>
    </w:p>
    <w:p w:rsidR="00B17C20" w:rsidRPr="001626D2" w:rsidRDefault="00B17C20" w:rsidP="00B17C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1440"/>
        <w:jc w:val="both"/>
        <w:rPr>
          <w:rFonts w:ascii="Sylfaen" w:hAnsi="Sylfaen" w:cs="Sylfaen"/>
          <w:b/>
          <w:bCs/>
          <w:lang w:val="en-US" w:eastAsia="en-US"/>
        </w:rPr>
      </w:pPr>
    </w:p>
    <w:p w:rsidR="00B17C20" w:rsidRDefault="00B17C20" w:rsidP="00B17C20">
      <w:pPr>
        <w:pStyle w:val="ListParagraph"/>
        <w:ind w:left="0" w:firstLine="36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ჩვენი მხრივ, გამოვთქვამთ მზადყოფნას აქტიურად ვითანამშრომლოთ მზადყოფნის გეგმის საბოლოო ვერსიის შემუშავების პროცესში.</w:t>
      </w:r>
    </w:p>
    <w:p w:rsidR="00B17C20" w:rsidRDefault="00B17C20" w:rsidP="00B17C20">
      <w:pPr>
        <w:pStyle w:val="ListParagraph"/>
        <w:ind w:left="0" w:firstLine="360"/>
        <w:jc w:val="both"/>
        <w:rPr>
          <w:rFonts w:ascii="Sylfaen" w:hAnsi="Sylfaen"/>
          <w:sz w:val="22"/>
          <w:szCs w:val="22"/>
          <w:lang w:val="ka-GE"/>
        </w:rPr>
      </w:pPr>
    </w:p>
    <w:p w:rsidR="00B17C20" w:rsidRDefault="00B17C20" w:rsidP="00B17C20">
      <w:pPr>
        <w:pStyle w:val="ListParagraph"/>
        <w:ind w:left="0" w:firstLine="360"/>
        <w:jc w:val="both"/>
        <w:rPr>
          <w:rFonts w:ascii="Sylfaen" w:hAnsi="Sylfaen"/>
          <w:sz w:val="22"/>
          <w:szCs w:val="22"/>
          <w:lang w:val="ka-GE"/>
        </w:rPr>
      </w:pPr>
    </w:p>
    <w:p w:rsidR="00B17C20" w:rsidRPr="002763E8" w:rsidRDefault="00B17C20" w:rsidP="00B17C20">
      <w:pPr>
        <w:pStyle w:val="ListParagraph"/>
        <w:ind w:left="0" w:firstLine="36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პატივისცემით,</w:t>
      </w:r>
    </w:p>
    <w:p w:rsidR="00A27568" w:rsidRDefault="00A27568">
      <w:bookmarkStart w:id="0" w:name="_GoBack"/>
      <w:bookmarkEnd w:id="0"/>
    </w:p>
    <w:sectPr w:rsidR="00A27568" w:rsidSect="00A11772">
      <w:pgSz w:w="11906" w:h="16838"/>
      <w:pgMar w:top="1138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97953"/>
    <w:multiLevelType w:val="hybridMultilevel"/>
    <w:tmpl w:val="64744A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20"/>
    <w:rsid w:val="00033D3B"/>
    <w:rsid w:val="00574ACB"/>
    <w:rsid w:val="006B701E"/>
    <w:rsid w:val="006E3110"/>
    <w:rsid w:val="00823618"/>
    <w:rsid w:val="00A27568"/>
    <w:rsid w:val="00A460C0"/>
    <w:rsid w:val="00A86BDF"/>
    <w:rsid w:val="00B17C20"/>
    <w:rsid w:val="00D377C9"/>
    <w:rsid w:val="00D9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C20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fr-FR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C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Heading2"/>
    <w:rsid w:val="00B17C20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B17C20"/>
    <w:pPr>
      <w:ind w:left="708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C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C20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fr-FR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C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Heading2"/>
    <w:rsid w:val="00B17C20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B17C20"/>
    <w:pPr>
      <w:ind w:left="708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C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18</cp:revision>
  <dcterms:created xsi:type="dcterms:W3CDTF">2014-08-13T17:17:00Z</dcterms:created>
  <dcterms:modified xsi:type="dcterms:W3CDTF">2014-08-14T06:15:00Z</dcterms:modified>
</cp:coreProperties>
</file>