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E59A5" w:rsidRDefault="003628C9" w:rsidP="00875EF6">
      <w:pPr>
        <w:numPr>
          <w:ilvl w:val="0"/>
          <w:numId w:val="1"/>
        </w:numPr>
        <w:jc w:val="both"/>
      </w:pPr>
      <w:r w:rsidRPr="00A474BE">
        <w:rPr>
          <w:b/>
          <w:bCs/>
        </w:rPr>
        <w:t>Georgian Government approved national AMR strategy on January 11, 2017</w:t>
      </w:r>
      <w:r w:rsidR="00875EF6" w:rsidRPr="00A474BE">
        <w:rPr>
          <w:b/>
          <w:bCs/>
        </w:rPr>
        <w:t xml:space="preserve"> (#29)</w:t>
      </w:r>
      <w:r w:rsidRPr="00A474BE">
        <w:rPr>
          <w:b/>
          <w:bCs/>
        </w:rPr>
        <w:t xml:space="preserve"> in line with the One Health approach</w:t>
      </w:r>
      <w:r w:rsidR="00875EF6" w:rsidRPr="00A474BE">
        <w:rPr>
          <w:b/>
          <w:bCs/>
        </w:rPr>
        <w:t xml:space="preserve">. The goals of AMR national strategy are: </w:t>
      </w:r>
      <w:r w:rsidR="00A474BE">
        <w:rPr>
          <w:b/>
          <w:bCs/>
        </w:rPr>
        <w:t>e</w:t>
      </w:r>
      <w:r w:rsidR="00875EF6" w:rsidRPr="00A474BE">
        <w:rPr>
          <w:b/>
          <w:bCs/>
        </w:rPr>
        <w:t>stablishing and maintaining surveillance of AMR</w:t>
      </w:r>
      <w:r w:rsidR="00A474BE" w:rsidRPr="00A474BE">
        <w:rPr>
          <w:b/>
          <w:bCs/>
        </w:rPr>
        <w:t xml:space="preserve">, </w:t>
      </w:r>
      <w:r w:rsidR="00A474BE">
        <w:rPr>
          <w:b/>
          <w:bCs/>
        </w:rPr>
        <w:t>e</w:t>
      </w:r>
      <w:r w:rsidR="00875EF6" w:rsidRPr="00A474BE">
        <w:rPr>
          <w:b/>
          <w:bCs/>
        </w:rPr>
        <w:t>ncouraging and facilitating rational use of Antibiotics</w:t>
      </w:r>
      <w:r w:rsidR="00A474BE" w:rsidRPr="00A474BE">
        <w:rPr>
          <w:b/>
          <w:bCs/>
        </w:rPr>
        <w:t xml:space="preserve">, </w:t>
      </w:r>
      <w:r w:rsidR="00A474BE">
        <w:rPr>
          <w:b/>
          <w:bCs/>
        </w:rPr>
        <w:t>s</w:t>
      </w:r>
      <w:r w:rsidR="00875EF6" w:rsidRPr="00A474BE">
        <w:rPr>
          <w:b/>
          <w:bCs/>
        </w:rPr>
        <w:t>trengthening IPC in health-care facilities</w:t>
      </w:r>
    </w:p>
    <w:p w:rsidR="00000000" w:rsidRPr="002E59A5" w:rsidRDefault="003628C9" w:rsidP="00875EF6">
      <w:pPr>
        <w:numPr>
          <w:ilvl w:val="0"/>
          <w:numId w:val="1"/>
        </w:numPr>
        <w:jc w:val="both"/>
      </w:pPr>
      <w:r w:rsidRPr="002E59A5">
        <w:rPr>
          <w:b/>
          <w:bCs/>
        </w:rPr>
        <w:t>Since 2014,  according Georgian legislation, issuing antibiotics from the pharmacies is possible only with a prescription</w:t>
      </w:r>
    </w:p>
    <w:p w:rsidR="00000000" w:rsidRPr="002E59A5" w:rsidRDefault="003628C9" w:rsidP="00875EF6">
      <w:pPr>
        <w:numPr>
          <w:ilvl w:val="0"/>
          <w:numId w:val="1"/>
        </w:numPr>
        <w:jc w:val="both"/>
      </w:pPr>
      <w:r w:rsidRPr="002E59A5">
        <w:rPr>
          <w:b/>
          <w:bCs/>
        </w:rPr>
        <w:t>In 2016 has been elaborated and in 2017 has been started implementation of electronic prescription</w:t>
      </w:r>
    </w:p>
    <w:p w:rsidR="00000000" w:rsidRPr="002E59A5" w:rsidRDefault="003628C9" w:rsidP="00875EF6">
      <w:pPr>
        <w:numPr>
          <w:ilvl w:val="0"/>
          <w:numId w:val="1"/>
        </w:numPr>
        <w:jc w:val="both"/>
      </w:pPr>
      <w:r w:rsidRPr="002E59A5">
        <w:rPr>
          <w:b/>
          <w:bCs/>
        </w:rPr>
        <w:t>In 2016 has started monitoring of the use of antibiotics in Hospitals</w:t>
      </w:r>
      <w:r w:rsidR="002E59A5">
        <w:rPr>
          <w:b/>
          <w:bCs/>
        </w:rPr>
        <w:t xml:space="preserve"> (</w:t>
      </w:r>
      <w:r w:rsidR="00875EF6">
        <w:rPr>
          <w:b/>
          <w:bCs/>
        </w:rPr>
        <w:t>w</w:t>
      </w:r>
      <w:r w:rsidR="00875EF6" w:rsidRPr="00875EF6">
        <w:rPr>
          <w:b/>
          <w:bCs/>
        </w:rPr>
        <w:t xml:space="preserve">ithin </w:t>
      </w:r>
      <w:r w:rsidR="00875EF6">
        <w:rPr>
          <w:b/>
          <w:bCs/>
        </w:rPr>
        <w:t>the m</w:t>
      </w:r>
      <w:r w:rsidR="00875EF6" w:rsidRPr="00875EF6">
        <w:rPr>
          <w:b/>
          <w:bCs/>
        </w:rPr>
        <w:t>onitoring of IPC Systems Functioning in inpatient Health Care Facilities</w:t>
      </w:r>
      <w:r w:rsidR="002E59A5">
        <w:rPr>
          <w:b/>
          <w:bCs/>
        </w:rPr>
        <w:t>)</w:t>
      </w:r>
    </w:p>
    <w:p w:rsidR="00000000" w:rsidRPr="002E59A5" w:rsidRDefault="003628C9" w:rsidP="003F5275">
      <w:pPr>
        <w:numPr>
          <w:ilvl w:val="0"/>
          <w:numId w:val="1"/>
        </w:numPr>
        <w:jc w:val="both"/>
      </w:pPr>
      <w:r w:rsidRPr="002E59A5">
        <w:rPr>
          <w:b/>
          <w:bCs/>
        </w:rPr>
        <w:t xml:space="preserve">Point Prevalence Survey (PPS) </w:t>
      </w:r>
      <w:r w:rsidR="00260DF1">
        <w:rPr>
          <w:b/>
          <w:bCs/>
        </w:rPr>
        <w:t xml:space="preserve">of </w:t>
      </w:r>
      <w:r w:rsidRPr="002E59A5">
        <w:rPr>
          <w:b/>
          <w:bCs/>
        </w:rPr>
        <w:t>Anti</w:t>
      </w:r>
      <w:r w:rsidR="00260DF1">
        <w:rPr>
          <w:b/>
          <w:bCs/>
        </w:rPr>
        <w:t>biotics</w:t>
      </w:r>
      <w:r w:rsidRPr="002E59A5">
        <w:rPr>
          <w:b/>
          <w:bCs/>
        </w:rPr>
        <w:t xml:space="preserve"> </w:t>
      </w:r>
      <w:r w:rsidR="00590FC0">
        <w:rPr>
          <w:b/>
          <w:bCs/>
        </w:rPr>
        <w:t>use health care associated infections and</w:t>
      </w:r>
      <w:r w:rsidRPr="002E59A5">
        <w:rPr>
          <w:b/>
          <w:bCs/>
        </w:rPr>
        <w:t xml:space="preserve"> </w:t>
      </w:r>
      <w:r w:rsidR="00590FC0">
        <w:rPr>
          <w:b/>
          <w:bCs/>
        </w:rPr>
        <w:t xml:space="preserve">antimicrobial </w:t>
      </w:r>
      <w:r w:rsidRPr="002E59A5">
        <w:rPr>
          <w:b/>
          <w:bCs/>
        </w:rPr>
        <w:t>Resistance is being implemented in hospitals</w:t>
      </w:r>
      <w:r w:rsidR="002E59A5">
        <w:rPr>
          <w:b/>
          <w:bCs/>
        </w:rPr>
        <w:t xml:space="preserve"> (</w:t>
      </w:r>
      <w:r w:rsidR="00260DF1">
        <w:rPr>
          <w:b/>
          <w:bCs/>
        </w:rPr>
        <w:t xml:space="preserve">the </w:t>
      </w:r>
      <w:r w:rsidR="00590FC0">
        <w:rPr>
          <w:b/>
          <w:bCs/>
        </w:rPr>
        <w:t xml:space="preserve">pilot project </w:t>
      </w:r>
      <w:r w:rsidR="00260DF1">
        <w:rPr>
          <w:b/>
          <w:bCs/>
        </w:rPr>
        <w:t xml:space="preserve">started with support of CDC </w:t>
      </w:r>
      <w:r w:rsidR="00590FC0">
        <w:rPr>
          <w:b/>
          <w:bCs/>
        </w:rPr>
        <w:t xml:space="preserve">from 2018, </w:t>
      </w:r>
      <w:r w:rsidR="007F358C">
        <w:rPr>
          <w:b/>
          <w:bCs/>
        </w:rPr>
        <w:t>t</w:t>
      </w:r>
      <w:r w:rsidR="007F358C" w:rsidRPr="007F358C">
        <w:rPr>
          <w:b/>
          <w:bCs/>
        </w:rPr>
        <w:t xml:space="preserve">he pilot </w:t>
      </w:r>
      <w:r w:rsidR="007F358C">
        <w:rPr>
          <w:b/>
          <w:bCs/>
        </w:rPr>
        <w:t xml:space="preserve">project </w:t>
      </w:r>
      <w:r w:rsidR="007F358C" w:rsidRPr="007F358C">
        <w:rPr>
          <w:b/>
          <w:bCs/>
        </w:rPr>
        <w:t>will be implemented</w:t>
      </w:r>
      <w:r w:rsidR="007F358C">
        <w:rPr>
          <w:b/>
          <w:bCs/>
        </w:rPr>
        <w:t xml:space="preserve"> in </w:t>
      </w:r>
      <w:r w:rsidR="007F358C" w:rsidRPr="007F358C">
        <w:rPr>
          <w:b/>
          <w:bCs/>
        </w:rPr>
        <w:t>8 hospitals</w:t>
      </w:r>
      <w:r w:rsidR="007F358C">
        <w:rPr>
          <w:b/>
          <w:bCs/>
        </w:rPr>
        <w:t xml:space="preserve"> (Kut</w:t>
      </w:r>
      <w:r w:rsidR="00590FC0">
        <w:rPr>
          <w:b/>
          <w:bCs/>
        </w:rPr>
        <w:t xml:space="preserve">aisi, </w:t>
      </w:r>
      <w:r w:rsidR="007F358C">
        <w:rPr>
          <w:b/>
          <w:bCs/>
        </w:rPr>
        <w:t>B</w:t>
      </w:r>
      <w:r w:rsidR="00590FC0">
        <w:rPr>
          <w:b/>
          <w:bCs/>
        </w:rPr>
        <w:t xml:space="preserve">atumi </w:t>
      </w:r>
      <w:r w:rsidR="007F358C">
        <w:rPr>
          <w:b/>
          <w:bCs/>
        </w:rPr>
        <w:t>and T</w:t>
      </w:r>
      <w:r w:rsidR="00590FC0">
        <w:rPr>
          <w:b/>
          <w:bCs/>
        </w:rPr>
        <w:t>bili</w:t>
      </w:r>
      <w:r w:rsidR="003F5275">
        <w:rPr>
          <w:b/>
          <w:bCs/>
        </w:rPr>
        <w:t xml:space="preserve">si)) </w:t>
      </w:r>
    </w:p>
    <w:p w:rsidR="00000000" w:rsidRPr="002E59A5" w:rsidRDefault="003628C9" w:rsidP="00875EF6">
      <w:pPr>
        <w:numPr>
          <w:ilvl w:val="0"/>
          <w:numId w:val="1"/>
        </w:numPr>
        <w:jc w:val="both"/>
      </w:pPr>
      <w:r w:rsidRPr="002E59A5">
        <w:rPr>
          <w:b/>
          <w:bCs/>
        </w:rPr>
        <w:t xml:space="preserve">Developed accredited training course “Rational use of antibiotics” </w:t>
      </w:r>
    </w:p>
    <w:p w:rsidR="00000000" w:rsidRPr="002E59A5" w:rsidRDefault="003628C9" w:rsidP="003F5275">
      <w:pPr>
        <w:numPr>
          <w:ilvl w:val="0"/>
          <w:numId w:val="1"/>
        </w:numPr>
        <w:jc w:val="both"/>
      </w:pPr>
      <w:r w:rsidRPr="002E59A5">
        <w:rPr>
          <w:b/>
          <w:bCs/>
        </w:rPr>
        <w:t>Awareness campaigns, aimed at increasing level of knowledge of antimicrobial resistance and the use of antibiotics, were held within the frames of the World Antibiotic Awareness Week established by the WHO</w:t>
      </w:r>
      <w:r w:rsidR="003F5275">
        <w:rPr>
          <w:b/>
          <w:bCs/>
        </w:rPr>
        <w:t xml:space="preserve">. </w:t>
      </w:r>
      <w:r w:rsidR="003F5275" w:rsidRPr="003F5275">
        <w:rPr>
          <w:b/>
          <w:bCs/>
        </w:rPr>
        <w:t xml:space="preserve">World Antibiotic Awareness Week (WAAW) is held in November </w:t>
      </w:r>
      <w:r w:rsidR="003F5275">
        <w:rPr>
          <w:b/>
          <w:bCs/>
        </w:rPr>
        <w:t>from 2014</w:t>
      </w:r>
      <w:r w:rsidR="003F5275" w:rsidRPr="003F5275">
        <w:rPr>
          <w:b/>
          <w:bCs/>
        </w:rPr>
        <w:t>, every year</w:t>
      </w:r>
    </w:p>
    <w:p w:rsidR="00000000" w:rsidRPr="002E59A5" w:rsidRDefault="003628C9" w:rsidP="00875EF6">
      <w:pPr>
        <w:numPr>
          <w:ilvl w:val="0"/>
          <w:numId w:val="1"/>
        </w:numPr>
        <w:jc w:val="both"/>
      </w:pPr>
      <w:r w:rsidRPr="002E59A5">
        <w:rPr>
          <w:b/>
          <w:bCs/>
        </w:rPr>
        <w:t>Since 2015 Sanford Guide to Antimicrobial Therapy in Georgian language (hardcopy and web-edition) is available</w:t>
      </w:r>
    </w:p>
    <w:p w:rsidR="00000000" w:rsidRPr="002E59A5" w:rsidRDefault="003628C9" w:rsidP="00015B87">
      <w:pPr>
        <w:numPr>
          <w:ilvl w:val="0"/>
          <w:numId w:val="1"/>
        </w:numPr>
        <w:jc w:val="both"/>
      </w:pPr>
      <w:r w:rsidRPr="002E59A5">
        <w:rPr>
          <w:b/>
          <w:bCs/>
        </w:rPr>
        <w:t xml:space="preserve">Georgia has joined the </w:t>
      </w:r>
      <w:r w:rsidRPr="002E59A5">
        <w:rPr>
          <w:b/>
          <w:bCs/>
          <w:lang w:val="en-GB"/>
        </w:rPr>
        <w:t>the Global Antimicrobial Resistance Surveillance System (</w:t>
      </w:r>
      <w:r w:rsidRPr="002E59A5">
        <w:rPr>
          <w:b/>
          <w:bCs/>
        </w:rPr>
        <w:t>GLASS</w:t>
      </w:r>
      <w:r w:rsidR="00260DF1">
        <w:rPr>
          <w:b/>
          <w:bCs/>
        </w:rPr>
        <w:t>, 2016)</w:t>
      </w:r>
      <w:r w:rsidRPr="002E59A5">
        <w:rPr>
          <w:b/>
          <w:bCs/>
        </w:rPr>
        <w:t>, the Central Asian and Eastern European Surveillance of Antimicrobial Resistance (CAESAR</w:t>
      </w:r>
      <w:r w:rsidR="00260DF1">
        <w:rPr>
          <w:b/>
          <w:bCs/>
        </w:rPr>
        <w:t>, 2014</w:t>
      </w:r>
      <w:r w:rsidRPr="002E59A5">
        <w:rPr>
          <w:b/>
          <w:bCs/>
        </w:rPr>
        <w:t>)</w:t>
      </w:r>
      <w:r w:rsidR="00015B87">
        <w:rPr>
          <w:b/>
          <w:bCs/>
        </w:rPr>
        <w:t>,</w:t>
      </w:r>
      <w:r w:rsidRPr="002E59A5">
        <w:rPr>
          <w:b/>
          <w:bCs/>
        </w:rPr>
        <w:t xml:space="preserve"> Baltic Antibiotic Resistance collaborative Network (BARN</w:t>
      </w:r>
      <w:r w:rsidR="00260DF1">
        <w:rPr>
          <w:b/>
          <w:bCs/>
        </w:rPr>
        <w:t>, 2013</w:t>
      </w:r>
      <w:r w:rsidRPr="002E59A5">
        <w:rPr>
          <w:b/>
          <w:bCs/>
        </w:rPr>
        <w:t>)</w:t>
      </w:r>
      <w:r w:rsidR="00013107">
        <w:rPr>
          <w:b/>
          <w:bCs/>
        </w:rPr>
        <w:t xml:space="preserve"> and</w:t>
      </w:r>
      <w:bookmarkStart w:id="0" w:name="_GoBack"/>
      <w:bookmarkEnd w:id="0"/>
      <w:r w:rsidR="00015B87">
        <w:rPr>
          <w:b/>
          <w:bCs/>
        </w:rPr>
        <w:t xml:space="preserve"> WHO </w:t>
      </w:r>
      <w:r w:rsidR="00015B87" w:rsidRPr="00015B87">
        <w:rPr>
          <w:b/>
          <w:bCs/>
        </w:rPr>
        <w:t>antimicrobial consumption (AMC)</w:t>
      </w:r>
    </w:p>
    <w:p w:rsidR="00147D2C" w:rsidRDefault="003628C9"/>
    <w:sectPr w:rsidR="00147D2C"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B2054"/>
    <w:multiLevelType w:val="hybridMultilevel"/>
    <w:tmpl w:val="FED6F896"/>
    <w:lvl w:ilvl="0" w:tplc="4D320BB2">
      <w:start w:val="1"/>
      <w:numFmt w:val="bullet"/>
      <w:lvlText w:val="•"/>
      <w:lvlJc w:val="left"/>
      <w:pPr>
        <w:tabs>
          <w:tab w:val="num" w:pos="720"/>
        </w:tabs>
        <w:ind w:left="720" w:hanging="360"/>
      </w:pPr>
      <w:rPr>
        <w:rFonts w:ascii="Arial" w:hAnsi="Arial" w:hint="default"/>
      </w:rPr>
    </w:lvl>
    <w:lvl w:ilvl="1" w:tplc="EED4F490" w:tentative="1">
      <w:start w:val="1"/>
      <w:numFmt w:val="bullet"/>
      <w:lvlText w:val="•"/>
      <w:lvlJc w:val="left"/>
      <w:pPr>
        <w:tabs>
          <w:tab w:val="num" w:pos="1440"/>
        </w:tabs>
        <w:ind w:left="1440" w:hanging="360"/>
      </w:pPr>
      <w:rPr>
        <w:rFonts w:ascii="Arial" w:hAnsi="Arial" w:hint="default"/>
      </w:rPr>
    </w:lvl>
    <w:lvl w:ilvl="2" w:tplc="017429BC" w:tentative="1">
      <w:start w:val="1"/>
      <w:numFmt w:val="bullet"/>
      <w:lvlText w:val="•"/>
      <w:lvlJc w:val="left"/>
      <w:pPr>
        <w:tabs>
          <w:tab w:val="num" w:pos="2160"/>
        </w:tabs>
        <w:ind w:left="2160" w:hanging="360"/>
      </w:pPr>
      <w:rPr>
        <w:rFonts w:ascii="Arial" w:hAnsi="Arial" w:hint="default"/>
      </w:rPr>
    </w:lvl>
    <w:lvl w:ilvl="3" w:tplc="589E02DA" w:tentative="1">
      <w:start w:val="1"/>
      <w:numFmt w:val="bullet"/>
      <w:lvlText w:val="•"/>
      <w:lvlJc w:val="left"/>
      <w:pPr>
        <w:tabs>
          <w:tab w:val="num" w:pos="2880"/>
        </w:tabs>
        <w:ind w:left="2880" w:hanging="360"/>
      </w:pPr>
      <w:rPr>
        <w:rFonts w:ascii="Arial" w:hAnsi="Arial" w:hint="default"/>
      </w:rPr>
    </w:lvl>
    <w:lvl w:ilvl="4" w:tplc="C5C8168A" w:tentative="1">
      <w:start w:val="1"/>
      <w:numFmt w:val="bullet"/>
      <w:lvlText w:val="•"/>
      <w:lvlJc w:val="left"/>
      <w:pPr>
        <w:tabs>
          <w:tab w:val="num" w:pos="3600"/>
        </w:tabs>
        <w:ind w:left="3600" w:hanging="360"/>
      </w:pPr>
      <w:rPr>
        <w:rFonts w:ascii="Arial" w:hAnsi="Arial" w:hint="default"/>
      </w:rPr>
    </w:lvl>
    <w:lvl w:ilvl="5" w:tplc="FFD060A2" w:tentative="1">
      <w:start w:val="1"/>
      <w:numFmt w:val="bullet"/>
      <w:lvlText w:val="•"/>
      <w:lvlJc w:val="left"/>
      <w:pPr>
        <w:tabs>
          <w:tab w:val="num" w:pos="4320"/>
        </w:tabs>
        <w:ind w:left="4320" w:hanging="360"/>
      </w:pPr>
      <w:rPr>
        <w:rFonts w:ascii="Arial" w:hAnsi="Arial" w:hint="default"/>
      </w:rPr>
    </w:lvl>
    <w:lvl w:ilvl="6" w:tplc="B7246620" w:tentative="1">
      <w:start w:val="1"/>
      <w:numFmt w:val="bullet"/>
      <w:lvlText w:val="•"/>
      <w:lvlJc w:val="left"/>
      <w:pPr>
        <w:tabs>
          <w:tab w:val="num" w:pos="5040"/>
        </w:tabs>
        <w:ind w:left="5040" w:hanging="360"/>
      </w:pPr>
      <w:rPr>
        <w:rFonts w:ascii="Arial" w:hAnsi="Arial" w:hint="default"/>
      </w:rPr>
    </w:lvl>
    <w:lvl w:ilvl="7" w:tplc="56A67D3E" w:tentative="1">
      <w:start w:val="1"/>
      <w:numFmt w:val="bullet"/>
      <w:lvlText w:val="•"/>
      <w:lvlJc w:val="left"/>
      <w:pPr>
        <w:tabs>
          <w:tab w:val="num" w:pos="5760"/>
        </w:tabs>
        <w:ind w:left="5760" w:hanging="360"/>
      </w:pPr>
      <w:rPr>
        <w:rFonts w:ascii="Arial" w:hAnsi="Arial" w:hint="default"/>
      </w:rPr>
    </w:lvl>
    <w:lvl w:ilvl="8" w:tplc="2B803B7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EF"/>
    <w:rsid w:val="00013107"/>
    <w:rsid w:val="00015B87"/>
    <w:rsid w:val="00260DF1"/>
    <w:rsid w:val="002E59A5"/>
    <w:rsid w:val="003628C9"/>
    <w:rsid w:val="003F5275"/>
    <w:rsid w:val="00590FC0"/>
    <w:rsid w:val="00623270"/>
    <w:rsid w:val="006E3D41"/>
    <w:rsid w:val="0078328D"/>
    <w:rsid w:val="007F358C"/>
    <w:rsid w:val="00875EF6"/>
    <w:rsid w:val="00A474BE"/>
    <w:rsid w:val="00B36DB6"/>
    <w:rsid w:val="00E7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24462">
      <w:bodyDiv w:val="1"/>
      <w:marLeft w:val="0"/>
      <w:marRight w:val="0"/>
      <w:marTop w:val="0"/>
      <w:marBottom w:val="0"/>
      <w:divBdr>
        <w:top w:val="none" w:sz="0" w:space="0" w:color="auto"/>
        <w:left w:val="none" w:sz="0" w:space="0" w:color="auto"/>
        <w:bottom w:val="none" w:sz="0" w:space="0" w:color="auto"/>
        <w:right w:val="none" w:sz="0" w:space="0" w:color="auto"/>
      </w:divBdr>
    </w:div>
    <w:div w:id="1179347356">
      <w:bodyDiv w:val="1"/>
      <w:marLeft w:val="0"/>
      <w:marRight w:val="0"/>
      <w:marTop w:val="0"/>
      <w:marBottom w:val="0"/>
      <w:divBdr>
        <w:top w:val="none" w:sz="0" w:space="0" w:color="auto"/>
        <w:left w:val="none" w:sz="0" w:space="0" w:color="auto"/>
        <w:bottom w:val="none" w:sz="0" w:space="0" w:color="auto"/>
        <w:right w:val="none" w:sz="0" w:space="0" w:color="auto"/>
      </w:divBdr>
      <w:divsChild>
        <w:div w:id="495922918">
          <w:marLeft w:val="547"/>
          <w:marRight w:val="0"/>
          <w:marTop w:val="77"/>
          <w:marBottom w:val="0"/>
          <w:divBdr>
            <w:top w:val="none" w:sz="0" w:space="0" w:color="auto"/>
            <w:left w:val="none" w:sz="0" w:space="0" w:color="auto"/>
            <w:bottom w:val="none" w:sz="0" w:space="0" w:color="auto"/>
            <w:right w:val="none" w:sz="0" w:space="0" w:color="auto"/>
          </w:divBdr>
        </w:div>
        <w:div w:id="717977636">
          <w:marLeft w:val="547"/>
          <w:marRight w:val="0"/>
          <w:marTop w:val="90"/>
          <w:marBottom w:val="0"/>
          <w:divBdr>
            <w:top w:val="none" w:sz="0" w:space="0" w:color="auto"/>
            <w:left w:val="none" w:sz="0" w:space="0" w:color="auto"/>
            <w:bottom w:val="none" w:sz="0" w:space="0" w:color="auto"/>
            <w:right w:val="none" w:sz="0" w:space="0" w:color="auto"/>
          </w:divBdr>
        </w:div>
        <w:div w:id="1248807341">
          <w:marLeft w:val="547"/>
          <w:marRight w:val="0"/>
          <w:marTop w:val="90"/>
          <w:marBottom w:val="0"/>
          <w:divBdr>
            <w:top w:val="none" w:sz="0" w:space="0" w:color="auto"/>
            <w:left w:val="none" w:sz="0" w:space="0" w:color="auto"/>
            <w:bottom w:val="none" w:sz="0" w:space="0" w:color="auto"/>
            <w:right w:val="none" w:sz="0" w:space="0" w:color="auto"/>
          </w:divBdr>
        </w:div>
        <w:div w:id="1600486335">
          <w:marLeft w:val="547"/>
          <w:marRight w:val="0"/>
          <w:marTop w:val="90"/>
          <w:marBottom w:val="0"/>
          <w:divBdr>
            <w:top w:val="none" w:sz="0" w:space="0" w:color="auto"/>
            <w:left w:val="none" w:sz="0" w:space="0" w:color="auto"/>
            <w:bottom w:val="none" w:sz="0" w:space="0" w:color="auto"/>
            <w:right w:val="none" w:sz="0" w:space="0" w:color="auto"/>
          </w:divBdr>
        </w:div>
        <w:div w:id="7756269">
          <w:marLeft w:val="547"/>
          <w:marRight w:val="0"/>
          <w:marTop w:val="90"/>
          <w:marBottom w:val="0"/>
          <w:divBdr>
            <w:top w:val="none" w:sz="0" w:space="0" w:color="auto"/>
            <w:left w:val="none" w:sz="0" w:space="0" w:color="auto"/>
            <w:bottom w:val="none" w:sz="0" w:space="0" w:color="auto"/>
            <w:right w:val="none" w:sz="0" w:space="0" w:color="auto"/>
          </w:divBdr>
        </w:div>
        <w:div w:id="777454779">
          <w:marLeft w:val="547"/>
          <w:marRight w:val="0"/>
          <w:marTop w:val="90"/>
          <w:marBottom w:val="0"/>
          <w:divBdr>
            <w:top w:val="none" w:sz="0" w:space="0" w:color="auto"/>
            <w:left w:val="none" w:sz="0" w:space="0" w:color="auto"/>
            <w:bottom w:val="none" w:sz="0" w:space="0" w:color="auto"/>
            <w:right w:val="none" w:sz="0" w:space="0" w:color="auto"/>
          </w:divBdr>
        </w:div>
        <w:div w:id="1749032511">
          <w:marLeft w:val="547"/>
          <w:marRight w:val="0"/>
          <w:marTop w:val="90"/>
          <w:marBottom w:val="0"/>
          <w:divBdr>
            <w:top w:val="none" w:sz="0" w:space="0" w:color="auto"/>
            <w:left w:val="none" w:sz="0" w:space="0" w:color="auto"/>
            <w:bottom w:val="none" w:sz="0" w:space="0" w:color="auto"/>
            <w:right w:val="none" w:sz="0" w:space="0" w:color="auto"/>
          </w:divBdr>
        </w:div>
        <w:div w:id="536940269">
          <w:marLeft w:val="547"/>
          <w:marRight w:val="0"/>
          <w:marTop w:val="90"/>
          <w:marBottom w:val="0"/>
          <w:divBdr>
            <w:top w:val="none" w:sz="0" w:space="0" w:color="auto"/>
            <w:left w:val="none" w:sz="0" w:space="0" w:color="auto"/>
            <w:bottom w:val="none" w:sz="0" w:space="0" w:color="auto"/>
            <w:right w:val="none" w:sz="0" w:space="0" w:color="auto"/>
          </w:divBdr>
        </w:div>
        <w:div w:id="659577160">
          <w:marLeft w:val="547"/>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2</cp:revision>
  <dcterms:created xsi:type="dcterms:W3CDTF">2018-06-27T16:48:00Z</dcterms:created>
  <dcterms:modified xsi:type="dcterms:W3CDTF">2018-06-27T16:48:00Z</dcterms:modified>
</cp:coreProperties>
</file>