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9381A" w14:textId="3D98E584" w:rsidR="00666B94" w:rsidRPr="0095667E" w:rsidRDefault="00856AA1" w:rsidP="0095667E">
      <w:pPr>
        <w:pStyle w:val="Heading2"/>
        <w:jc w:val="center"/>
        <w:rPr>
          <w:b/>
        </w:rPr>
      </w:pPr>
      <w:r w:rsidRPr="0095667E">
        <w:rPr>
          <w:b/>
        </w:rPr>
        <w:t>Applicat</w:t>
      </w:r>
      <w:bookmarkStart w:id="0" w:name="_GoBack"/>
      <w:bookmarkEnd w:id="0"/>
      <w:r w:rsidRPr="0095667E">
        <w:rPr>
          <w:b/>
        </w:rPr>
        <w:t>ion</w:t>
      </w:r>
      <w:r>
        <w:rPr>
          <w:b/>
        </w:rPr>
        <w:t xml:space="preserve"> Form for </w:t>
      </w:r>
      <w:r w:rsidR="00984E4B" w:rsidRPr="00F44717">
        <w:rPr>
          <w:b/>
          <w:u w:val="single"/>
        </w:rPr>
        <w:t>Stand</w:t>
      </w:r>
      <w:r w:rsidR="009D78AF" w:rsidRPr="00F44717">
        <w:rPr>
          <w:b/>
          <w:u w:val="single"/>
        </w:rPr>
        <w:t>-A</w:t>
      </w:r>
      <w:r w:rsidR="00984E4B" w:rsidRPr="00F44717">
        <w:rPr>
          <w:b/>
          <w:u w:val="single"/>
        </w:rPr>
        <w:t>lone</w:t>
      </w:r>
      <w:r w:rsidR="0095667E" w:rsidRPr="0095667E">
        <w:rPr>
          <w:b/>
        </w:rPr>
        <w:t xml:space="preserve"> </w:t>
      </w:r>
      <w:r w:rsidR="00240DDA">
        <w:rPr>
          <w:b/>
        </w:rPr>
        <w:t xml:space="preserve">South-South Knowledge Exchange </w:t>
      </w:r>
      <w:r>
        <w:rPr>
          <w:b/>
        </w:rPr>
        <w:t>Proposals</w:t>
      </w:r>
    </w:p>
    <w:p w14:paraId="021F7972" w14:textId="0501E2DD" w:rsidR="0095667E" w:rsidRDefault="0095667E"/>
    <w:p w14:paraId="0C82B919" w14:textId="66171248" w:rsidR="00AC386D" w:rsidRDefault="00AC386D" w:rsidP="00AC386D">
      <w:r>
        <w:t xml:space="preserve">The following document can be used as a guide to the applicant on the type of information to be filled in the </w:t>
      </w:r>
      <w:r w:rsidR="009D78AF">
        <w:t>s</w:t>
      </w:r>
      <w:r w:rsidR="00984E4B">
        <w:t>tand</w:t>
      </w:r>
      <w:r w:rsidR="009D78AF">
        <w:t>-</w:t>
      </w:r>
      <w:r w:rsidR="00984E4B">
        <w:t>alone</w:t>
      </w:r>
      <w:r w:rsidR="007A0055">
        <w:t xml:space="preserve"> Application Form.</w:t>
      </w:r>
    </w:p>
    <w:p w14:paraId="0E03ADC8" w14:textId="31D7FFB4" w:rsidR="00AC386D" w:rsidRDefault="00AC386D" w:rsidP="00AC386D">
      <w:r>
        <w:t>In order to apply for</w:t>
      </w:r>
      <w:r w:rsidR="00240DDA">
        <w:t xml:space="preserve"> funding under</w:t>
      </w:r>
      <w:r>
        <w:t xml:space="preserve"> the </w:t>
      </w:r>
      <w:r w:rsidR="009D78AF">
        <w:t>s</w:t>
      </w:r>
      <w:r w:rsidR="00984E4B">
        <w:t>tand</w:t>
      </w:r>
      <w:r w:rsidR="009D78AF">
        <w:t>-</w:t>
      </w:r>
      <w:r w:rsidR="00984E4B">
        <w:t>alone</w:t>
      </w:r>
      <w:r w:rsidR="00240DDA">
        <w:t xml:space="preserve"> window of the South-South Facility,</w:t>
      </w:r>
      <w:r>
        <w:t xml:space="preserve"> the</w:t>
      </w:r>
      <w:r w:rsidR="001C1016">
        <w:t xml:space="preserve"> applicant</w:t>
      </w:r>
      <w:r w:rsidR="00240DDA">
        <w:t>s</w:t>
      </w:r>
      <w:r w:rsidR="001C1016">
        <w:t xml:space="preserve"> must complete th</w:t>
      </w:r>
      <w:r w:rsidR="00240DDA">
        <w:t>is</w:t>
      </w:r>
      <w:r w:rsidR="001C1016">
        <w:t xml:space="preserve"> application form and send it to </w:t>
      </w:r>
      <w:hyperlink r:id="rId11" w:history="1">
        <w:r w:rsidR="001C1016" w:rsidRPr="00171065">
          <w:rPr>
            <w:rStyle w:val="Hyperlink"/>
          </w:rPr>
          <w:t>southsouthfacility@worldbank.org</w:t>
        </w:r>
      </w:hyperlink>
      <w:r w:rsidR="001C1016">
        <w:t xml:space="preserve"> togeth</w:t>
      </w:r>
      <w:r w:rsidR="00240DDA">
        <w:t xml:space="preserve">er with all required documents, </w:t>
      </w:r>
      <w:r w:rsidR="00240DDA" w:rsidRPr="00F44717">
        <w:rPr>
          <w:u w:val="single"/>
        </w:rPr>
        <w:t xml:space="preserve">no later than </w:t>
      </w:r>
      <w:r w:rsidR="00394884" w:rsidRPr="00F44717">
        <w:rPr>
          <w:u w:val="single"/>
        </w:rPr>
        <w:t>Mon</w:t>
      </w:r>
      <w:r w:rsidR="00240DDA" w:rsidRPr="00F44717">
        <w:rPr>
          <w:u w:val="single"/>
        </w:rPr>
        <w:t>day</w:t>
      </w:r>
      <w:r w:rsidR="00A921B4" w:rsidRPr="00F44717">
        <w:rPr>
          <w:u w:val="single"/>
        </w:rPr>
        <w:t xml:space="preserve"> </w:t>
      </w:r>
      <w:r w:rsidR="00F44717" w:rsidRPr="00F44717">
        <w:rPr>
          <w:u w:val="single"/>
        </w:rPr>
        <w:t xml:space="preserve">May 28, </w:t>
      </w:r>
      <w:r w:rsidR="00A921B4" w:rsidRPr="00F44717">
        <w:rPr>
          <w:u w:val="single"/>
        </w:rPr>
        <w:t>2018</w:t>
      </w:r>
      <w:r w:rsidR="00394884" w:rsidRPr="00F44717">
        <w:rPr>
          <w:u w:val="single"/>
        </w:rPr>
        <w:t>.</w:t>
      </w:r>
    </w:p>
    <w:p w14:paraId="1C5F2067" w14:textId="7084A3F8" w:rsidR="00984E4B" w:rsidRDefault="00AC386D" w:rsidP="00AC386D">
      <w:r>
        <w:t xml:space="preserve">If you have any </w:t>
      </w:r>
      <w:r w:rsidR="001C1016">
        <w:t>questions,</w:t>
      </w:r>
      <w:r>
        <w:t xml:space="preserve"> please send an email to </w:t>
      </w:r>
      <w:hyperlink r:id="rId12" w:history="1">
        <w:r w:rsidR="00984E4B" w:rsidRPr="00A01659">
          <w:rPr>
            <w:rStyle w:val="Hyperlink"/>
          </w:rPr>
          <w:t>southsouthfacility@worlbank.org</w:t>
        </w:r>
      </w:hyperlink>
    </w:p>
    <w:p w14:paraId="086AC55F" w14:textId="34C808CC" w:rsidR="00447776" w:rsidRDefault="001C1016" w:rsidP="00AC386D">
      <w:r w:rsidRPr="00394884">
        <w:t xml:space="preserve">For a valid </w:t>
      </w:r>
      <w:r w:rsidR="009D78AF">
        <w:t>s</w:t>
      </w:r>
      <w:r w:rsidRPr="00394884">
        <w:t>tand</w:t>
      </w:r>
      <w:r w:rsidR="009D78AF">
        <w:t>-</w:t>
      </w:r>
      <w:r w:rsidRPr="00394884">
        <w:t>alone</w:t>
      </w:r>
      <w:r w:rsidR="00240DDA" w:rsidRPr="00394884">
        <w:t xml:space="preserve"> South-South </w:t>
      </w:r>
      <w:r w:rsidR="009D78AF">
        <w:t>k</w:t>
      </w:r>
      <w:r w:rsidR="00240DDA" w:rsidRPr="00394884">
        <w:t xml:space="preserve">nowledge </w:t>
      </w:r>
      <w:r w:rsidR="009D78AF">
        <w:t>e</w:t>
      </w:r>
      <w:r w:rsidR="00240DDA" w:rsidRPr="00394884">
        <w:t>xchange proposal</w:t>
      </w:r>
      <w:r w:rsidRPr="00394884">
        <w:t xml:space="preserve"> submission,</w:t>
      </w:r>
      <w:r w:rsidR="00447776">
        <w:t xml:space="preserve"> please</w:t>
      </w:r>
      <w:r>
        <w:t>:</w:t>
      </w:r>
    </w:p>
    <w:p w14:paraId="03227899" w14:textId="4155B1A8" w:rsidR="00AC386D" w:rsidRDefault="1FE90CC4" w:rsidP="00447776">
      <w:pPr>
        <w:pStyle w:val="ListParagraph"/>
        <w:numPr>
          <w:ilvl w:val="0"/>
          <w:numId w:val="6"/>
        </w:numPr>
      </w:pPr>
      <w:r>
        <w:t xml:space="preserve">Review the </w:t>
      </w:r>
      <w:hyperlink r:id="rId13">
        <w:r w:rsidRPr="1FE90CC4">
          <w:rPr>
            <w:rStyle w:val="Hyperlink"/>
          </w:rPr>
          <w:t>Guidelines and Operating Procedures for the South-South Facility</w:t>
        </w:r>
      </w:hyperlink>
    </w:p>
    <w:p w14:paraId="5C794A11" w14:textId="548EBCA8" w:rsidR="00AC386D" w:rsidRDefault="1FE90CC4" w:rsidP="00447776">
      <w:pPr>
        <w:pStyle w:val="ListParagraph"/>
        <w:numPr>
          <w:ilvl w:val="0"/>
          <w:numId w:val="6"/>
        </w:numPr>
      </w:pPr>
      <w:r>
        <w:t xml:space="preserve">Complete this stand-alone SSKE Application Form (also available on the </w:t>
      </w:r>
      <w:hyperlink r:id="rId14">
        <w:r w:rsidRPr="1FE90CC4">
          <w:rPr>
            <w:rStyle w:val="Hyperlink"/>
          </w:rPr>
          <w:t>SSF page</w:t>
        </w:r>
      </w:hyperlink>
      <w:r>
        <w:t xml:space="preserve">). Please note that all fields are mandatory unless indicated otherwise.  </w:t>
      </w:r>
    </w:p>
    <w:p w14:paraId="341B48C4" w14:textId="4972F6F6" w:rsidR="00AC386D" w:rsidRDefault="004A6189" w:rsidP="00447776">
      <w:pPr>
        <w:pStyle w:val="ListParagraph"/>
        <w:numPr>
          <w:ilvl w:val="0"/>
          <w:numId w:val="6"/>
        </w:numPr>
      </w:pPr>
      <w:r>
        <w:t xml:space="preserve">Send </w:t>
      </w:r>
      <w:r w:rsidR="00394884">
        <w:t>your completed</w:t>
      </w:r>
      <w:r>
        <w:t xml:space="preserve"> application form to </w:t>
      </w:r>
      <w:hyperlink r:id="rId15" w:history="1">
        <w:r w:rsidRPr="00BD0F03">
          <w:rPr>
            <w:rStyle w:val="Hyperlink"/>
          </w:rPr>
          <w:t>southsouthfacility@worldbank.org</w:t>
        </w:r>
      </w:hyperlink>
      <w:r w:rsidR="005044DC">
        <w:t xml:space="preserve"> with subject: “SSF Stand-</w:t>
      </w:r>
      <w:r>
        <w:t>alone application: [</w:t>
      </w:r>
      <w:r w:rsidRPr="004A6189">
        <w:rPr>
          <w:i/>
        </w:rPr>
        <w:t>title</w:t>
      </w:r>
      <w:r>
        <w:rPr>
          <w:i/>
        </w:rPr>
        <w:t xml:space="preserve"> of the Knowledge Exchange]</w:t>
      </w:r>
      <w:r>
        <w:t>”</w:t>
      </w:r>
    </w:p>
    <w:p w14:paraId="5172E2CF" w14:textId="20B99790" w:rsidR="00394884" w:rsidRPr="00394884" w:rsidRDefault="00394884" w:rsidP="00394884">
      <w:pPr>
        <w:pStyle w:val="ListParagraph"/>
        <w:numPr>
          <w:ilvl w:val="0"/>
          <w:numId w:val="6"/>
        </w:numPr>
      </w:pPr>
      <w:r w:rsidRPr="00394884">
        <w:t>In case you feel the need to edit your proposal after you already submitted it</w:t>
      </w:r>
      <w:r w:rsidR="00A921B4">
        <w:t>, but before the application deadline</w:t>
      </w:r>
      <w:r w:rsidRPr="00394884">
        <w:t xml:space="preserve">, please forward the revised version </w:t>
      </w:r>
      <w:r w:rsidRPr="007A0055">
        <w:rPr>
          <w:u w:val="single"/>
        </w:rPr>
        <w:t>building on your previous email</w:t>
      </w:r>
      <w:r w:rsidRPr="00394884">
        <w:t xml:space="preserve"> and make sure the subject line indicates: “Cancels and replaces the previous proposal”</w:t>
      </w:r>
    </w:p>
    <w:p w14:paraId="003FE818" w14:textId="79BE9DF6" w:rsidR="001C1016" w:rsidRDefault="001C1016" w:rsidP="001C1016"/>
    <w:p w14:paraId="28860E76" w14:textId="77777777" w:rsidR="0095667E" w:rsidRDefault="0095667E">
      <w:r>
        <w:br w:type="page"/>
      </w:r>
    </w:p>
    <w:p w14:paraId="39E58262" w14:textId="77777777" w:rsidR="001E4851" w:rsidRDefault="001E4851"/>
    <w:p w14:paraId="34C7C850" w14:textId="1AB1A914" w:rsidR="00D92B54" w:rsidRDefault="004A6189">
      <w:r w:rsidRPr="00D92B54">
        <w:rPr>
          <w:bCs/>
        </w:rPr>
        <w:t>Please fill out the following information:</w:t>
      </w:r>
    </w:p>
    <w:tbl>
      <w:tblPr>
        <w:tblStyle w:val="PlainTable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767171" w:themeColor="background2" w:themeShade="80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6925"/>
      </w:tblGrid>
      <w:tr w:rsidR="001E4851" w:rsidRPr="00C14F8E" w14:paraId="2747B224" w14:textId="77777777" w:rsidTr="001C1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6F5C6F50" w14:textId="77777777" w:rsidR="001E4851" w:rsidRPr="00082221" w:rsidRDefault="00C14F8E" w:rsidP="0011573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Title of South-South Knowledge Exchange</w:t>
            </w:r>
          </w:p>
        </w:tc>
        <w:tc>
          <w:tcPr>
            <w:tcW w:w="6925" w:type="dxa"/>
            <w:shd w:val="clear" w:color="auto" w:fill="E7E6E6" w:themeFill="background2"/>
          </w:tcPr>
          <w:p w14:paraId="4827507D" w14:textId="77777777" w:rsidR="001E4851" w:rsidRPr="003475D7" w:rsidRDefault="003475D7" w:rsidP="003D0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Specify a title that simply and distinctly describes the activity (</w:t>
            </w:r>
            <w:r w:rsidR="00954280">
              <w:rPr>
                <w:b w:val="0"/>
                <w:i/>
                <w:sz w:val="18"/>
                <w:szCs w:val="18"/>
              </w:rPr>
              <w:t xml:space="preserve">ex: </w:t>
            </w:r>
            <w:r>
              <w:rPr>
                <w:b w:val="0"/>
                <w:i/>
                <w:sz w:val="18"/>
                <w:szCs w:val="18"/>
              </w:rPr>
              <w:t>use countries or regions, subject</w:t>
            </w:r>
            <w:r w:rsidR="00954280">
              <w:rPr>
                <w:b w:val="0"/>
                <w:i/>
                <w:sz w:val="18"/>
                <w:szCs w:val="18"/>
              </w:rPr>
              <w:t xml:space="preserve">). </w:t>
            </w:r>
          </w:p>
        </w:tc>
      </w:tr>
      <w:tr w:rsidR="001E4851" w:rsidRPr="00C14F8E" w14:paraId="7EB358B9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0489C3AF" w14:textId="77777777" w:rsidR="001E4851" w:rsidRPr="00082221" w:rsidRDefault="00FF6E8F" w:rsidP="0011573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Region(s)</w:t>
            </w:r>
          </w:p>
        </w:tc>
        <w:tc>
          <w:tcPr>
            <w:tcW w:w="6925" w:type="dxa"/>
            <w:shd w:val="clear" w:color="auto" w:fill="E7E6E6" w:themeFill="background2"/>
          </w:tcPr>
          <w:p w14:paraId="3424B152" w14:textId="77777777" w:rsidR="001E4851" w:rsidRPr="005C35BA" w:rsidRDefault="00954280" w:rsidP="003D0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List the regions involved</w:t>
            </w:r>
          </w:p>
        </w:tc>
      </w:tr>
      <w:tr w:rsidR="00FF6E8F" w:rsidRPr="00C14F8E" w14:paraId="444A25EF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415FAB6A" w14:textId="0839B447" w:rsidR="00FF6E8F" w:rsidRPr="00082221" w:rsidRDefault="00FF6E8F" w:rsidP="0011573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GP</w:t>
            </w:r>
            <w:r w:rsidR="00954280" w:rsidRPr="00082221">
              <w:rPr>
                <w:sz w:val="20"/>
                <w:szCs w:val="20"/>
              </w:rPr>
              <w:t>s</w:t>
            </w:r>
            <w:r w:rsidRPr="00082221">
              <w:rPr>
                <w:sz w:val="20"/>
                <w:szCs w:val="20"/>
              </w:rPr>
              <w:t xml:space="preserve"> or </w:t>
            </w:r>
            <w:r w:rsidR="009D78AF">
              <w:rPr>
                <w:sz w:val="20"/>
                <w:szCs w:val="20"/>
              </w:rPr>
              <w:t>GT</w:t>
            </w:r>
            <w:r w:rsidRPr="00082221">
              <w:rPr>
                <w:sz w:val="20"/>
                <w:szCs w:val="20"/>
              </w:rPr>
              <w:t>s</w:t>
            </w:r>
          </w:p>
        </w:tc>
        <w:tc>
          <w:tcPr>
            <w:tcW w:w="6925" w:type="dxa"/>
            <w:shd w:val="clear" w:color="auto" w:fill="E7E6E6" w:themeFill="background2"/>
          </w:tcPr>
          <w:p w14:paraId="0E3FE53E" w14:textId="28C5B6ED" w:rsidR="00FF6E8F" w:rsidRPr="005C35BA" w:rsidRDefault="00954280" w:rsidP="003D0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List the different G</w:t>
            </w:r>
            <w:r w:rsidR="009D78AF">
              <w:rPr>
                <w:i/>
                <w:sz w:val="18"/>
                <w:szCs w:val="18"/>
              </w:rPr>
              <w:t xml:space="preserve">lobal </w:t>
            </w:r>
            <w:r>
              <w:rPr>
                <w:i/>
                <w:sz w:val="18"/>
                <w:szCs w:val="18"/>
              </w:rPr>
              <w:t>P</w:t>
            </w:r>
            <w:r w:rsidR="009D78AF">
              <w:rPr>
                <w:i/>
                <w:sz w:val="18"/>
                <w:szCs w:val="18"/>
              </w:rPr>
              <w:t>ractice</w:t>
            </w:r>
            <w:r>
              <w:rPr>
                <w:i/>
                <w:sz w:val="18"/>
                <w:szCs w:val="18"/>
              </w:rPr>
              <w:t>s or</w:t>
            </w:r>
            <w:r w:rsidR="009D78AF">
              <w:rPr>
                <w:i/>
                <w:sz w:val="18"/>
                <w:szCs w:val="18"/>
              </w:rPr>
              <w:t xml:space="preserve"> Global Themes</w:t>
            </w:r>
          </w:p>
        </w:tc>
      </w:tr>
      <w:tr w:rsidR="00FF6E8F" w:rsidRPr="00C14F8E" w14:paraId="4E463E11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6B9E1451" w14:textId="44075F3D" w:rsidR="00FF6E8F" w:rsidRPr="00082221" w:rsidRDefault="00FF6E8F" w:rsidP="0011573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Primary GP</w:t>
            </w:r>
            <w:r w:rsidR="00711961">
              <w:rPr>
                <w:sz w:val="20"/>
                <w:szCs w:val="20"/>
              </w:rPr>
              <w:t>, GT or Region</w:t>
            </w:r>
          </w:p>
        </w:tc>
        <w:tc>
          <w:tcPr>
            <w:tcW w:w="6925" w:type="dxa"/>
            <w:shd w:val="clear" w:color="auto" w:fill="E7E6E6" w:themeFill="background2"/>
          </w:tcPr>
          <w:p w14:paraId="2A7E671B" w14:textId="69DD8964" w:rsidR="00FF6E8F" w:rsidRPr="005C35BA" w:rsidRDefault="00954280" w:rsidP="003D0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Specify the </w:t>
            </w:r>
            <w:r w:rsidR="00711961">
              <w:rPr>
                <w:i/>
                <w:sz w:val="18"/>
                <w:szCs w:val="18"/>
              </w:rPr>
              <w:t xml:space="preserve">department </w:t>
            </w:r>
            <w:r>
              <w:rPr>
                <w:i/>
                <w:sz w:val="18"/>
                <w:szCs w:val="18"/>
              </w:rPr>
              <w:t>that will be primary responsible for the exchange</w:t>
            </w:r>
          </w:p>
        </w:tc>
      </w:tr>
      <w:tr w:rsidR="00C14F8E" w:rsidRPr="00C14F8E" w14:paraId="5E212C94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77C7E20C" w14:textId="77777777" w:rsidR="00C14F8E" w:rsidRPr="00082221" w:rsidRDefault="00C14F8E" w:rsidP="0011573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Managing Unit</w:t>
            </w:r>
            <w:r w:rsidR="00FF6E8F" w:rsidRPr="00082221">
              <w:rPr>
                <w:sz w:val="20"/>
                <w:szCs w:val="20"/>
              </w:rPr>
              <w:t xml:space="preserve"> of Applicant</w:t>
            </w:r>
          </w:p>
        </w:tc>
        <w:tc>
          <w:tcPr>
            <w:tcW w:w="6925" w:type="dxa"/>
            <w:shd w:val="clear" w:color="auto" w:fill="E7E6E6" w:themeFill="background2"/>
          </w:tcPr>
          <w:p w14:paraId="5B72CCA1" w14:textId="3372B8F9" w:rsidR="00D9224E" w:rsidRPr="005C35BA" w:rsidRDefault="00C14F8E" w:rsidP="001C101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C35BA">
              <w:rPr>
                <w:i/>
                <w:sz w:val="18"/>
                <w:szCs w:val="18"/>
              </w:rPr>
              <w:t>Use 5 letter acronym – Ex. G</w:t>
            </w:r>
            <w:r w:rsidR="009D78AF">
              <w:rPr>
                <w:i/>
                <w:sz w:val="18"/>
                <w:szCs w:val="18"/>
              </w:rPr>
              <w:t>TKM</w:t>
            </w:r>
          </w:p>
        </w:tc>
      </w:tr>
      <w:tr w:rsidR="001E4851" w:rsidRPr="00C14F8E" w14:paraId="31095777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39B81FC7" w14:textId="77777777" w:rsidR="001E4851" w:rsidRPr="00082221" w:rsidRDefault="00C14F8E" w:rsidP="0011573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Amount</w:t>
            </w:r>
          </w:p>
        </w:tc>
        <w:tc>
          <w:tcPr>
            <w:tcW w:w="6925" w:type="dxa"/>
            <w:shd w:val="clear" w:color="auto" w:fill="E7E6E6" w:themeFill="background2"/>
          </w:tcPr>
          <w:p w14:paraId="67A7F25A" w14:textId="77777777" w:rsidR="001E4851" w:rsidRPr="005C35BA" w:rsidRDefault="00954280" w:rsidP="00D45D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No more than </w:t>
            </w:r>
            <w:r w:rsidR="00D45D66">
              <w:rPr>
                <w:i/>
                <w:sz w:val="18"/>
                <w:szCs w:val="18"/>
              </w:rPr>
              <w:t>$25</w:t>
            </w:r>
            <w:r>
              <w:rPr>
                <w:i/>
                <w:sz w:val="18"/>
                <w:szCs w:val="18"/>
              </w:rPr>
              <w:t xml:space="preserve">k </w:t>
            </w:r>
          </w:p>
        </w:tc>
      </w:tr>
      <w:tr w:rsidR="003B09BA" w:rsidRPr="00C14F8E" w14:paraId="4C2454E3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7BBA8C74" w14:textId="27CD43DE" w:rsidR="003B09BA" w:rsidRPr="00240DDA" w:rsidRDefault="003B09BA" w:rsidP="003B09BA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 w:rsidRPr="00240DDA">
              <w:rPr>
                <w:rStyle w:val="bjnp23gsrjmineu0pk0"/>
                <w:sz w:val="20"/>
                <w:szCs w:val="20"/>
              </w:rPr>
              <w:t>Staff week for G</w:t>
            </w:r>
            <w:r w:rsidR="009D78AF">
              <w:rPr>
                <w:rStyle w:val="bjnp23gsrjmineu0pk0"/>
                <w:sz w:val="20"/>
                <w:szCs w:val="20"/>
              </w:rPr>
              <w:t>TKM</w:t>
            </w:r>
            <w:r w:rsidRPr="00240DDA">
              <w:rPr>
                <w:rStyle w:val="bjnp23gsrjmineu0pk0"/>
                <w:sz w:val="20"/>
                <w:szCs w:val="20"/>
              </w:rPr>
              <w:t xml:space="preserve"> services</w:t>
            </w:r>
          </w:p>
        </w:tc>
        <w:tc>
          <w:tcPr>
            <w:tcW w:w="6925" w:type="dxa"/>
            <w:shd w:val="clear" w:color="auto" w:fill="E7E6E6" w:themeFill="background2"/>
          </w:tcPr>
          <w:p w14:paraId="3EAB4935" w14:textId="64240E90" w:rsidR="003B09BA" w:rsidRPr="00240DDA" w:rsidRDefault="003B09BA" w:rsidP="003B09BA">
            <w:pPr>
              <w:spacing w:before="100" w:beforeAutospacing="1" w:after="100" w:afterAutospacing="1"/>
              <w:contextualSpacing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iCs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Please confirm that the applicant</w:t>
            </w:r>
            <w:r w:rsidR="00F44717">
              <w:rPr>
                <w:rStyle w:val="Emphasis"/>
                <w:sz w:val="18"/>
                <w:szCs w:val="18"/>
              </w:rPr>
              <w:t>’s</w:t>
            </w:r>
            <w:r>
              <w:rPr>
                <w:rStyle w:val="Emphasis"/>
                <w:sz w:val="18"/>
                <w:szCs w:val="18"/>
              </w:rPr>
              <w:t xml:space="preserve"> team has $5</w:t>
            </w:r>
            <w:r w:rsidR="00F44717">
              <w:rPr>
                <w:rStyle w:val="Emphasis"/>
                <w:sz w:val="18"/>
                <w:szCs w:val="18"/>
              </w:rPr>
              <w:t>K (or more) available</w:t>
            </w:r>
            <w:r>
              <w:rPr>
                <w:rStyle w:val="Emphasis"/>
                <w:sz w:val="18"/>
                <w:szCs w:val="18"/>
              </w:rPr>
              <w:t xml:space="preserve"> </w:t>
            </w:r>
            <w:r w:rsidRPr="00240DDA">
              <w:rPr>
                <w:rStyle w:val="Emphasis"/>
                <w:sz w:val="18"/>
                <w:szCs w:val="18"/>
              </w:rPr>
              <w:t>to</w:t>
            </w:r>
            <w:r w:rsidR="009D78AF">
              <w:rPr>
                <w:rStyle w:val="Emphasis"/>
                <w:sz w:val="18"/>
                <w:szCs w:val="18"/>
              </w:rPr>
              <w:t xml:space="preserve"> cover the cost</w:t>
            </w:r>
            <w:r w:rsidR="00F44717">
              <w:rPr>
                <w:rStyle w:val="Emphasis"/>
                <w:sz w:val="18"/>
                <w:szCs w:val="18"/>
              </w:rPr>
              <w:t xml:space="preserve"> </w:t>
            </w:r>
            <w:r w:rsidR="009D78AF">
              <w:rPr>
                <w:rStyle w:val="Emphasis"/>
                <w:sz w:val="18"/>
                <w:szCs w:val="18"/>
              </w:rPr>
              <w:t>of</w:t>
            </w:r>
            <w:r w:rsidRPr="00240DDA">
              <w:rPr>
                <w:rStyle w:val="Emphasis"/>
                <w:sz w:val="18"/>
                <w:szCs w:val="18"/>
              </w:rPr>
              <w:t xml:space="preserve"> </w:t>
            </w:r>
            <w:r>
              <w:rPr>
                <w:rStyle w:val="Emphasis"/>
                <w:sz w:val="18"/>
                <w:szCs w:val="18"/>
              </w:rPr>
              <w:t>the Knowledge</w:t>
            </w:r>
            <w:r w:rsidR="009D78AF">
              <w:rPr>
                <w:rStyle w:val="Emphasis"/>
                <w:sz w:val="18"/>
                <w:szCs w:val="18"/>
              </w:rPr>
              <w:t xml:space="preserve"> Exchange</w:t>
            </w:r>
            <w:r>
              <w:rPr>
                <w:rStyle w:val="Emphasis"/>
                <w:sz w:val="18"/>
                <w:szCs w:val="18"/>
              </w:rPr>
              <w:t xml:space="preserve"> Facilitator’s</w:t>
            </w:r>
            <w:r w:rsidRPr="00240DDA">
              <w:rPr>
                <w:rStyle w:val="Emphasis"/>
                <w:sz w:val="18"/>
                <w:szCs w:val="18"/>
              </w:rPr>
              <w:t xml:space="preserve"> time</w:t>
            </w:r>
            <w:r>
              <w:rPr>
                <w:rStyle w:val="Emphasis"/>
                <w:sz w:val="18"/>
                <w:szCs w:val="18"/>
              </w:rPr>
              <w:t>.</w:t>
            </w:r>
            <w:r w:rsidRPr="00240DDA">
              <w:rPr>
                <w:rStyle w:val="Emphasis"/>
                <w:sz w:val="18"/>
                <w:szCs w:val="18"/>
              </w:rPr>
              <w:t xml:space="preserve"> Enter the details in the budget table below.</w:t>
            </w:r>
          </w:p>
        </w:tc>
      </w:tr>
      <w:tr w:rsidR="003B09BA" w:rsidRPr="00C14F8E" w14:paraId="2851990C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28D9721E" w14:textId="77777777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Applicant</w:t>
            </w:r>
          </w:p>
        </w:tc>
        <w:tc>
          <w:tcPr>
            <w:tcW w:w="6925" w:type="dxa"/>
            <w:shd w:val="clear" w:color="auto" w:fill="E7E6E6" w:themeFill="background2"/>
          </w:tcPr>
          <w:p w14:paraId="38FBA0B9" w14:textId="3FB2AB8E" w:rsidR="003B09BA" w:rsidRPr="00954280" w:rsidRDefault="003B09BA" w:rsidP="003B09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C35BA">
              <w:rPr>
                <w:rStyle w:val="Emphasis"/>
                <w:sz w:val="18"/>
                <w:szCs w:val="18"/>
              </w:rPr>
              <w:t>N</w:t>
            </w:r>
            <w:r w:rsidR="00F44717">
              <w:rPr>
                <w:rStyle w:val="Emphasis"/>
                <w:sz w:val="18"/>
                <w:szCs w:val="18"/>
              </w:rPr>
              <w:t>ame of person applying for the knowledge e</w:t>
            </w:r>
            <w:r w:rsidRPr="005C35BA">
              <w:rPr>
                <w:rStyle w:val="Emphasis"/>
                <w:sz w:val="18"/>
                <w:szCs w:val="18"/>
              </w:rPr>
              <w:t>xchange</w:t>
            </w:r>
          </w:p>
        </w:tc>
      </w:tr>
      <w:tr w:rsidR="003B09BA" w:rsidRPr="00C14F8E" w14:paraId="1E1A647A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5D6931E8" w14:textId="77777777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Team Members</w:t>
            </w:r>
          </w:p>
        </w:tc>
        <w:tc>
          <w:tcPr>
            <w:tcW w:w="6925" w:type="dxa"/>
            <w:shd w:val="clear" w:color="auto" w:fill="E7E6E6" w:themeFill="background2"/>
          </w:tcPr>
          <w:p w14:paraId="27AC753D" w14:textId="77777777" w:rsidR="003B09BA" w:rsidRPr="005C35BA" w:rsidRDefault="003B09BA" w:rsidP="003B09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List other team members involved</w:t>
            </w:r>
          </w:p>
        </w:tc>
      </w:tr>
      <w:tr w:rsidR="003B09BA" w:rsidRPr="00C14F8E" w14:paraId="3D62CEE5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758D6273" w14:textId="77777777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Sector</w:t>
            </w:r>
          </w:p>
        </w:tc>
        <w:tc>
          <w:tcPr>
            <w:tcW w:w="6925" w:type="dxa"/>
            <w:shd w:val="clear" w:color="auto" w:fill="E7E6E6" w:themeFill="background2"/>
          </w:tcPr>
          <w:p w14:paraId="4C06D694" w14:textId="6D1FDCBD" w:rsidR="003B09BA" w:rsidRPr="005C35BA" w:rsidRDefault="003B09BA" w:rsidP="003B09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Annex 1 p</w:t>
            </w:r>
            <w:r w:rsidR="00F44717">
              <w:rPr>
                <w:i/>
                <w:sz w:val="18"/>
                <w:szCs w:val="18"/>
              </w:rPr>
              <w:t>rovides a list of s</w:t>
            </w:r>
            <w:r w:rsidRPr="005C35BA">
              <w:rPr>
                <w:i/>
                <w:sz w:val="18"/>
                <w:szCs w:val="18"/>
              </w:rPr>
              <w:t>ectors</w:t>
            </w:r>
            <w:r>
              <w:rPr>
                <w:i/>
                <w:sz w:val="18"/>
                <w:szCs w:val="18"/>
              </w:rPr>
              <w:t>: select all that apply</w:t>
            </w:r>
          </w:p>
        </w:tc>
      </w:tr>
      <w:tr w:rsidR="003B09BA" w:rsidRPr="00C14F8E" w14:paraId="6F3408C5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12A80CF2" w14:textId="77777777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Estimated Start Date</w:t>
            </w:r>
          </w:p>
        </w:tc>
        <w:tc>
          <w:tcPr>
            <w:tcW w:w="6925" w:type="dxa"/>
            <w:shd w:val="clear" w:color="auto" w:fill="E7E6E6" w:themeFill="background2"/>
          </w:tcPr>
          <w:p w14:paraId="54056D04" w14:textId="77777777" w:rsidR="003B09BA" w:rsidRDefault="003B09BA" w:rsidP="003B09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Expected date to begin work on the knowledge exchange</w:t>
            </w:r>
          </w:p>
        </w:tc>
      </w:tr>
      <w:tr w:rsidR="003B09BA" w:rsidRPr="00C14F8E" w14:paraId="369D3768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3A4150FF" w14:textId="77777777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Estimated End Date</w:t>
            </w:r>
          </w:p>
        </w:tc>
        <w:tc>
          <w:tcPr>
            <w:tcW w:w="6925" w:type="dxa"/>
            <w:shd w:val="clear" w:color="auto" w:fill="E7E6E6" w:themeFill="background2"/>
          </w:tcPr>
          <w:p w14:paraId="76CD21F9" w14:textId="77777777" w:rsidR="003B09BA" w:rsidRDefault="003B09BA" w:rsidP="003B09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Expected date to end knowledge exchange</w:t>
            </w:r>
          </w:p>
        </w:tc>
      </w:tr>
      <w:tr w:rsidR="003B09BA" w:rsidRPr="00C14F8E" w14:paraId="433A8F76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486364A0" w14:textId="091EBB56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Country(ies) Receiving Knowledge</w:t>
            </w:r>
          </w:p>
        </w:tc>
        <w:tc>
          <w:tcPr>
            <w:tcW w:w="6925" w:type="dxa"/>
            <w:shd w:val="clear" w:color="auto" w:fill="E7E6E6" w:themeFill="background2"/>
          </w:tcPr>
          <w:p w14:paraId="281831C8" w14:textId="1CFFF83B" w:rsidR="003B09BA" w:rsidRPr="00954280" w:rsidRDefault="003B09BA" w:rsidP="003B09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C35BA">
              <w:rPr>
                <w:rStyle w:val="Emphasis"/>
                <w:sz w:val="18"/>
                <w:szCs w:val="18"/>
              </w:rPr>
              <w:t xml:space="preserve">Countries </w:t>
            </w:r>
            <w:r>
              <w:rPr>
                <w:rStyle w:val="Emphasis"/>
                <w:sz w:val="18"/>
                <w:szCs w:val="18"/>
              </w:rPr>
              <w:t>receiving knowledge in</w:t>
            </w:r>
            <w:r w:rsidRPr="005C35BA">
              <w:rPr>
                <w:rStyle w:val="Emphasis"/>
                <w:sz w:val="18"/>
                <w:szCs w:val="18"/>
              </w:rPr>
              <w:t xml:space="preserve"> the knowledge exchange</w:t>
            </w:r>
            <w:r>
              <w:rPr>
                <w:rStyle w:val="Emphasis"/>
                <w:sz w:val="18"/>
                <w:szCs w:val="18"/>
              </w:rPr>
              <w:t xml:space="preserve"> (Annex 2 provides list of client countries)</w:t>
            </w:r>
          </w:p>
        </w:tc>
      </w:tr>
      <w:tr w:rsidR="003B09BA" w:rsidRPr="00C14F8E" w14:paraId="1ACF85B1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389E787C" w14:textId="2C23AE06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sz w:val="20"/>
                <w:szCs w:val="20"/>
              </w:rPr>
              <w:t>Countr</w:t>
            </w:r>
            <w:r>
              <w:rPr>
                <w:sz w:val="20"/>
                <w:szCs w:val="20"/>
              </w:rPr>
              <w:t>y(</w:t>
            </w:r>
            <w:r w:rsidRPr="00082221">
              <w:rPr>
                <w:sz w:val="20"/>
                <w:szCs w:val="20"/>
              </w:rPr>
              <w:t>ies</w:t>
            </w:r>
            <w:r>
              <w:rPr>
                <w:sz w:val="20"/>
                <w:szCs w:val="20"/>
              </w:rPr>
              <w:t>)</w:t>
            </w:r>
            <w:r w:rsidRPr="00082221">
              <w:rPr>
                <w:sz w:val="20"/>
                <w:szCs w:val="20"/>
              </w:rPr>
              <w:t xml:space="preserve"> providing knowledge</w:t>
            </w:r>
          </w:p>
        </w:tc>
        <w:tc>
          <w:tcPr>
            <w:tcW w:w="6925" w:type="dxa"/>
            <w:shd w:val="clear" w:color="auto" w:fill="E7E6E6" w:themeFill="background2"/>
          </w:tcPr>
          <w:p w14:paraId="328105FD" w14:textId="7FB39590" w:rsidR="003B09BA" w:rsidRPr="005C35BA" w:rsidRDefault="003B09BA" w:rsidP="003B09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C35BA">
              <w:rPr>
                <w:i/>
                <w:sz w:val="18"/>
                <w:szCs w:val="18"/>
              </w:rPr>
              <w:t>C</w:t>
            </w:r>
            <w:r w:rsidR="00F44717">
              <w:rPr>
                <w:i/>
                <w:sz w:val="18"/>
                <w:szCs w:val="18"/>
              </w:rPr>
              <w:t>ountries providing knowledge in</w:t>
            </w:r>
            <w:r w:rsidRPr="005C35BA">
              <w:rPr>
                <w:i/>
                <w:sz w:val="18"/>
                <w:szCs w:val="18"/>
              </w:rPr>
              <w:t xml:space="preserve"> the knowledge exchang</w:t>
            </w:r>
            <w:r w:rsidR="00F44717">
              <w:rPr>
                <w:i/>
                <w:sz w:val="18"/>
                <w:szCs w:val="18"/>
              </w:rPr>
              <w:t>e</w:t>
            </w:r>
          </w:p>
        </w:tc>
      </w:tr>
      <w:tr w:rsidR="003B09BA" w:rsidRPr="00C14F8E" w14:paraId="69025E5B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4617C865" w14:textId="1EBDE9F0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Non-Client Country(ies) Providing Knowledge (optional)</w:t>
            </w:r>
          </w:p>
        </w:tc>
        <w:tc>
          <w:tcPr>
            <w:tcW w:w="6925" w:type="dxa"/>
            <w:shd w:val="clear" w:color="auto" w:fill="E7E6E6" w:themeFill="background2"/>
          </w:tcPr>
          <w:p w14:paraId="196F970C" w14:textId="621AE790" w:rsidR="003B09BA" w:rsidRPr="005C35BA" w:rsidRDefault="003B09BA" w:rsidP="003B09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The primary focus of the knowledge exchange is on </w:t>
            </w:r>
            <w:r w:rsidR="00F44717"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World Bank client countries. </w:t>
            </w:r>
            <w:r>
              <w:rPr>
                <w:rFonts w:eastAsia="Times New Roman" w:cs="Segoe UI"/>
                <w:i/>
                <w:iCs/>
                <w:sz w:val="18"/>
                <w:szCs w:val="18"/>
              </w:rPr>
              <w:t>In</w:t>
            </w:r>
            <w:r w:rsidR="00F44717"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 case</w:t>
            </w:r>
            <w:r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 you have non-</w:t>
            </w:r>
            <w:r w:rsidR="00F44717"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WB </w:t>
            </w:r>
            <w:r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client countries </w:t>
            </w:r>
            <w:r w:rsidR="00F44717"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sharing their development experience in </w:t>
            </w:r>
            <w:r w:rsidR="001C5D1D">
              <w:rPr>
                <w:rFonts w:eastAsia="Times New Roman" w:cs="Segoe UI"/>
                <w:i/>
                <w:iCs/>
                <w:sz w:val="18"/>
                <w:szCs w:val="18"/>
              </w:rPr>
              <w:t>your</w:t>
            </w:r>
            <w:r w:rsidR="00F44717"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 exchange</w:t>
            </w:r>
            <w:r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, </w:t>
            </w:r>
            <w:r w:rsidR="001C5D1D"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please provide </w:t>
            </w:r>
            <w:r w:rsidR="00F44717">
              <w:rPr>
                <w:rFonts w:eastAsia="Times New Roman" w:cs="Times New Roman"/>
                <w:i/>
                <w:iCs/>
                <w:sz w:val="18"/>
                <w:szCs w:val="18"/>
              </w:rPr>
              <w:t>the reason as to why these countries</w:t>
            </w:r>
            <w:r w:rsidRPr="005C35BA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w</w:t>
            </w:r>
            <w:r w:rsidR="00F44717">
              <w:rPr>
                <w:rFonts w:eastAsia="Times New Roman" w:cs="Times New Roman"/>
                <w:i/>
                <w:iCs/>
                <w:sz w:val="18"/>
                <w:szCs w:val="18"/>
              </w:rPr>
              <w:t>ere</w:t>
            </w:r>
            <w:r w:rsidRPr="005C35BA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selected as knowledge provider</w:t>
            </w:r>
            <w:r w:rsidR="001C5D1D">
              <w:rPr>
                <w:rFonts w:eastAsia="Times New Roman" w:cs="Times New Roman"/>
                <w:i/>
                <w:iCs/>
                <w:sz w:val="18"/>
                <w:szCs w:val="18"/>
              </w:rPr>
              <w:t>s. Please note that the main knowledge provider(s) in SSF-supported knowledge exchanges need to be WB client country(ies)</w:t>
            </w:r>
          </w:p>
        </w:tc>
      </w:tr>
      <w:tr w:rsidR="003B09BA" w:rsidRPr="00C14F8E" w14:paraId="4C8FDB9D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22FB2290" w14:textId="77777777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 w:rsidRPr="00082221">
              <w:rPr>
                <w:rStyle w:val="bjnp23gsrjmineu0pk0"/>
                <w:sz w:val="20"/>
                <w:szCs w:val="20"/>
              </w:rPr>
              <w:t>Type of stakeholders</w:t>
            </w:r>
          </w:p>
        </w:tc>
        <w:tc>
          <w:tcPr>
            <w:tcW w:w="6925" w:type="dxa"/>
            <w:shd w:val="clear" w:color="auto" w:fill="E7E6E6" w:themeFill="background2"/>
          </w:tcPr>
          <w:p w14:paraId="1769AFF4" w14:textId="77777777" w:rsidR="003B09BA" w:rsidRPr="005C35BA" w:rsidRDefault="003B09BA" w:rsidP="003B09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cs="Segoe UI"/>
                <w:sz w:val="18"/>
                <w:szCs w:val="18"/>
              </w:rPr>
            </w:pPr>
            <w:r>
              <w:rPr>
                <w:rStyle w:val="Emphasis"/>
                <w:rFonts w:cs="Segoe UI"/>
                <w:sz w:val="18"/>
                <w:szCs w:val="18"/>
              </w:rPr>
              <w:t>Annex 3 provides a list of stakeholders</w:t>
            </w:r>
          </w:p>
        </w:tc>
      </w:tr>
      <w:tr w:rsidR="003B09BA" w:rsidRPr="00C14F8E" w14:paraId="30A8AB5A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45E8E3D0" w14:textId="75D93EB9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 w:rsidRPr="00082221">
              <w:rPr>
                <w:rStyle w:val="bjnp23gsrjmineu0pk0"/>
                <w:sz w:val="20"/>
                <w:szCs w:val="20"/>
              </w:rPr>
              <w:t>ID</w:t>
            </w:r>
            <w:r>
              <w:rPr>
                <w:rStyle w:val="bjnp23gsrjmineu0pk0"/>
                <w:sz w:val="20"/>
                <w:szCs w:val="20"/>
              </w:rPr>
              <w:t xml:space="preserve">(s) of project(s) expected to benefit from the </w:t>
            </w:r>
            <w:r w:rsidR="001C5D1D">
              <w:rPr>
                <w:rStyle w:val="bjnp23gsrjmineu0pk0"/>
                <w:sz w:val="20"/>
                <w:szCs w:val="20"/>
              </w:rPr>
              <w:t>knowledge e</w:t>
            </w:r>
            <w:r>
              <w:rPr>
                <w:rStyle w:val="bjnp23gsrjmineu0pk0"/>
                <w:sz w:val="20"/>
                <w:szCs w:val="20"/>
              </w:rPr>
              <w:t>xchange</w:t>
            </w:r>
          </w:p>
        </w:tc>
        <w:tc>
          <w:tcPr>
            <w:tcW w:w="6925" w:type="dxa"/>
            <w:shd w:val="clear" w:color="auto" w:fill="E7E6E6" w:themeFill="background2"/>
          </w:tcPr>
          <w:p w14:paraId="12786ADF" w14:textId="25837C63" w:rsidR="003B09BA" w:rsidRPr="00BC61F7" w:rsidRDefault="003B09BA" w:rsidP="003B09BA">
            <w:pPr>
              <w:spacing w:before="100" w:beforeAutospacing="1" w:after="100" w:afterAutospacing="1"/>
              <w:contextualSpacing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i/>
                <w:iCs/>
                <w:sz w:val="18"/>
                <w:szCs w:val="18"/>
              </w:rPr>
            </w:pPr>
            <w:r w:rsidRPr="005C35BA">
              <w:rPr>
                <w:rStyle w:val="Emphasis"/>
                <w:rFonts w:cs="Segoe UI"/>
                <w:sz w:val="18"/>
                <w:szCs w:val="18"/>
              </w:rPr>
              <w:t xml:space="preserve">Enter the P code </w:t>
            </w:r>
            <w:r>
              <w:rPr>
                <w:rStyle w:val="Emphasis"/>
                <w:rFonts w:cs="Segoe UI"/>
                <w:sz w:val="18"/>
                <w:szCs w:val="18"/>
              </w:rPr>
              <w:t>of the projects that will benefit from the knowledge exchange</w:t>
            </w:r>
            <w:r w:rsidRPr="005C35BA">
              <w:rPr>
                <w:rStyle w:val="Emphasis"/>
                <w:rFonts w:cs="Segoe UI"/>
                <w:sz w:val="18"/>
                <w:szCs w:val="18"/>
              </w:rPr>
              <w:t xml:space="preserve"> (ex: P12345)</w:t>
            </w:r>
          </w:p>
        </w:tc>
      </w:tr>
      <w:tr w:rsidR="003B09BA" w:rsidRPr="00C14F8E" w14:paraId="081A7372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51C27A54" w14:textId="77777777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 w:rsidRPr="00082221">
              <w:rPr>
                <w:rStyle w:val="bjnp23gsrjmineu0pk0"/>
                <w:sz w:val="20"/>
                <w:szCs w:val="20"/>
              </w:rPr>
              <w:t>Project Name</w:t>
            </w:r>
          </w:p>
        </w:tc>
        <w:tc>
          <w:tcPr>
            <w:tcW w:w="6925" w:type="dxa"/>
            <w:shd w:val="clear" w:color="auto" w:fill="E7E6E6" w:themeFill="background2"/>
          </w:tcPr>
          <w:p w14:paraId="2CDBD22A" w14:textId="5C2C4A3B" w:rsidR="003B09BA" w:rsidRPr="00BC61F7" w:rsidRDefault="00F44717" w:rsidP="003B09BA">
            <w:pPr>
              <w:spacing w:before="100" w:beforeAutospacing="1" w:after="100" w:afterAutospacing="1"/>
              <w:contextualSpacing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Enter the n</w:t>
            </w:r>
            <w:r w:rsidR="003B09BA" w:rsidRPr="005C35BA">
              <w:rPr>
                <w:rStyle w:val="Emphasis"/>
                <w:sz w:val="18"/>
                <w:szCs w:val="18"/>
              </w:rPr>
              <w:t>ame</w:t>
            </w:r>
            <w:r w:rsidR="00C35DF8">
              <w:rPr>
                <w:rStyle w:val="Emphasis"/>
                <w:sz w:val="18"/>
                <w:szCs w:val="18"/>
              </w:rPr>
              <w:t>(</w:t>
            </w:r>
            <w:r w:rsidR="003B09BA">
              <w:rPr>
                <w:rStyle w:val="Emphasis"/>
                <w:sz w:val="18"/>
                <w:szCs w:val="18"/>
              </w:rPr>
              <w:t>s</w:t>
            </w:r>
            <w:r w:rsidR="00C35DF8">
              <w:rPr>
                <w:rStyle w:val="Emphasis"/>
                <w:sz w:val="18"/>
                <w:szCs w:val="18"/>
              </w:rPr>
              <w:t>)</w:t>
            </w:r>
            <w:r w:rsidR="003B09BA">
              <w:rPr>
                <w:rStyle w:val="Emphasis"/>
                <w:sz w:val="18"/>
                <w:szCs w:val="18"/>
              </w:rPr>
              <w:t xml:space="preserve"> of the project</w:t>
            </w:r>
            <w:r w:rsidR="00C35DF8">
              <w:rPr>
                <w:rStyle w:val="Emphasis"/>
                <w:sz w:val="18"/>
                <w:szCs w:val="18"/>
              </w:rPr>
              <w:t>(</w:t>
            </w:r>
            <w:r w:rsidR="003B09BA">
              <w:rPr>
                <w:rStyle w:val="Emphasis"/>
                <w:sz w:val="18"/>
                <w:szCs w:val="18"/>
              </w:rPr>
              <w:t>s</w:t>
            </w:r>
            <w:r w:rsidR="00C35DF8">
              <w:rPr>
                <w:rStyle w:val="Emphasis"/>
                <w:sz w:val="18"/>
                <w:szCs w:val="18"/>
              </w:rPr>
              <w:t>)</w:t>
            </w:r>
            <w:r w:rsidR="003B09BA">
              <w:rPr>
                <w:rStyle w:val="Emphasis"/>
                <w:sz w:val="18"/>
                <w:szCs w:val="18"/>
              </w:rPr>
              <w:t xml:space="preserve"> that </w:t>
            </w:r>
            <w:r w:rsidR="00C35DF8">
              <w:rPr>
                <w:rStyle w:val="Emphasis"/>
                <w:sz w:val="18"/>
                <w:szCs w:val="18"/>
              </w:rPr>
              <w:t>is/</w:t>
            </w:r>
            <w:r w:rsidR="003B09BA">
              <w:rPr>
                <w:rStyle w:val="Emphasis"/>
                <w:sz w:val="18"/>
                <w:szCs w:val="18"/>
              </w:rPr>
              <w:t>are expected t</w:t>
            </w:r>
            <w:r>
              <w:rPr>
                <w:rStyle w:val="Emphasis"/>
                <w:sz w:val="18"/>
                <w:szCs w:val="18"/>
              </w:rPr>
              <w:t>o benefit from the knowledge ex</w:t>
            </w:r>
            <w:r w:rsidR="003B09BA">
              <w:rPr>
                <w:rStyle w:val="Emphasis"/>
                <w:sz w:val="18"/>
                <w:szCs w:val="18"/>
              </w:rPr>
              <w:t xml:space="preserve">change. </w:t>
            </w:r>
          </w:p>
        </w:tc>
      </w:tr>
      <w:tr w:rsidR="003B09BA" w:rsidRPr="00C14F8E" w14:paraId="7AA90AD8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28AFBC62" w14:textId="77777777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rStyle w:val="bjnp23gsrjmineu0pk0"/>
                <w:sz w:val="20"/>
                <w:szCs w:val="20"/>
              </w:rPr>
              <w:t>Development Challenge</w:t>
            </w:r>
          </w:p>
        </w:tc>
        <w:tc>
          <w:tcPr>
            <w:tcW w:w="6925" w:type="dxa"/>
            <w:shd w:val="clear" w:color="auto" w:fill="E7E6E6" w:themeFill="background2"/>
          </w:tcPr>
          <w:p w14:paraId="78DABD9C" w14:textId="7CFC292A" w:rsidR="003B09BA" w:rsidRPr="006A6DEF" w:rsidRDefault="003B09BA" w:rsidP="003B09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/>
                <w:iCs/>
                <w:sz w:val="18"/>
                <w:szCs w:val="18"/>
              </w:rPr>
            </w:pPr>
            <w:r w:rsidRPr="006A6DEF">
              <w:rPr>
                <w:rStyle w:val="Emphasis"/>
                <w:rFonts w:cs="Segoe UI"/>
                <w:sz w:val="18"/>
                <w:szCs w:val="18"/>
              </w:rPr>
              <w:t>What is the development challenge, problem or bottleneck that the</w:t>
            </w:r>
            <w:r>
              <w:rPr>
                <w:rStyle w:val="Emphasis"/>
                <w:rFonts w:cs="Segoe UI"/>
                <w:sz w:val="18"/>
                <w:szCs w:val="18"/>
              </w:rPr>
              <w:t xml:space="preserve"> country (</w:t>
            </w:r>
            <w:r w:rsidRPr="006A6DEF">
              <w:rPr>
                <w:rStyle w:val="Emphasis"/>
                <w:rFonts w:cs="Segoe UI"/>
                <w:sz w:val="18"/>
                <w:szCs w:val="18"/>
              </w:rPr>
              <w:t>countries</w:t>
            </w:r>
            <w:r>
              <w:rPr>
                <w:rStyle w:val="Emphasis"/>
                <w:rFonts w:cs="Segoe UI"/>
                <w:sz w:val="18"/>
                <w:szCs w:val="18"/>
              </w:rPr>
              <w:t>) is/</w:t>
            </w:r>
            <w:r w:rsidRPr="006A6DEF">
              <w:rPr>
                <w:rStyle w:val="Emphasis"/>
                <w:rFonts w:cs="Segoe UI"/>
                <w:sz w:val="18"/>
                <w:szCs w:val="18"/>
              </w:rPr>
              <w:t xml:space="preserve"> are trying to address</w:t>
            </w:r>
            <w:r w:rsidR="00C35DF8">
              <w:rPr>
                <w:rStyle w:val="Emphasis"/>
                <w:rFonts w:cs="Segoe UI"/>
                <w:sz w:val="18"/>
                <w:szCs w:val="18"/>
              </w:rPr>
              <w:t xml:space="preserve"> with this knowledge exchange</w:t>
            </w:r>
            <w:r w:rsidRPr="006A6DEF">
              <w:rPr>
                <w:rStyle w:val="Emphasis"/>
                <w:rFonts w:cs="Segoe UI"/>
                <w:sz w:val="18"/>
                <w:szCs w:val="18"/>
              </w:rPr>
              <w:t>? How does this relate to the CPF?</w:t>
            </w:r>
          </w:p>
        </w:tc>
      </w:tr>
      <w:tr w:rsidR="003B09BA" w:rsidRPr="00C14F8E" w14:paraId="19B45F7C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4212065E" w14:textId="77777777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rStyle w:val="bjnp23gsrjmineu0pk0"/>
                <w:sz w:val="20"/>
                <w:szCs w:val="20"/>
              </w:rPr>
              <w:t>Capacity Development Goal</w:t>
            </w:r>
          </w:p>
        </w:tc>
        <w:tc>
          <w:tcPr>
            <w:tcW w:w="6925" w:type="dxa"/>
            <w:shd w:val="clear" w:color="auto" w:fill="E7E6E6" w:themeFill="background2"/>
          </w:tcPr>
          <w:p w14:paraId="488B0E67" w14:textId="7E06A0D9" w:rsidR="003B09BA" w:rsidRPr="00B76333" w:rsidRDefault="003B09BA" w:rsidP="003B09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C35BA">
              <w:rPr>
                <w:rStyle w:val="aunp23gsrjmineu0pk0"/>
                <w:i/>
                <w:iCs/>
                <w:sz w:val="18"/>
                <w:szCs w:val="18"/>
              </w:rPr>
              <w:t xml:space="preserve">Describe the </w:t>
            </w:r>
            <w:r>
              <w:rPr>
                <w:rStyle w:val="aunp23gsrjmineu0pk0"/>
                <w:i/>
                <w:iCs/>
                <w:sz w:val="18"/>
                <w:szCs w:val="18"/>
              </w:rPr>
              <w:t xml:space="preserve">capacity </w:t>
            </w:r>
            <w:r w:rsidRPr="005C35BA">
              <w:rPr>
                <w:rStyle w:val="aunp23gsrjmineu0pk0"/>
                <w:i/>
                <w:iCs/>
                <w:sz w:val="18"/>
                <w:szCs w:val="18"/>
              </w:rPr>
              <w:t xml:space="preserve">goal that the </w:t>
            </w:r>
            <w:r>
              <w:rPr>
                <w:rStyle w:val="aunp23gsrjmineu0pk0"/>
                <w:i/>
                <w:iCs/>
                <w:sz w:val="18"/>
                <w:szCs w:val="18"/>
              </w:rPr>
              <w:t>countries</w:t>
            </w:r>
            <w:r w:rsidRPr="005C35BA">
              <w:rPr>
                <w:rStyle w:val="aunp23gsrjmineu0pk0"/>
                <w:i/>
                <w:iCs/>
                <w:sz w:val="18"/>
                <w:szCs w:val="18"/>
              </w:rPr>
              <w:t xml:space="preserve"> would like to </w:t>
            </w:r>
            <w:r>
              <w:rPr>
                <w:rStyle w:val="aunp23gsrjmineu0pk0"/>
                <w:i/>
                <w:iCs/>
                <w:sz w:val="18"/>
                <w:szCs w:val="18"/>
              </w:rPr>
              <w:t>achieve</w:t>
            </w:r>
            <w:r w:rsidRPr="005C35BA">
              <w:rPr>
                <w:rStyle w:val="aunp23gsrjmineu0pk0"/>
                <w:i/>
                <w:iCs/>
                <w:sz w:val="18"/>
                <w:szCs w:val="18"/>
              </w:rPr>
              <w:t xml:space="preserve"> at the end of the</w:t>
            </w:r>
            <w:r w:rsidR="00C35DF8">
              <w:rPr>
                <w:rStyle w:val="aunp23gsrjmineu0pk0"/>
                <w:i/>
                <w:iCs/>
                <w:sz w:val="18"/>
                <w:szCs w:val="18"/>
              </w:rPr>
              <w:t xml:space="preserve"> knowledge exchange</w:t>
            </w:r>
            <w:r>
              <w:rPr>
                <w:rStyle w:val="aunp23gsrjmineu0pk0"/>
                <w:i/>
                <w:iCs/>
                <w:sz w:val="18"/>
                <w:szCs w:val="18"/>
              </w:rPr>
              <w:t>. Clearly define the</w:t>
            </w:r>
            <w:r w:rsidRPr="003B09BA">
              <w:rPr>
                <w:rStyle w:val="aunp23gsrjmineu0pk0"/>
                <w:i/>
                <w:iCs/>
                <w:sz w:val="18"/>
                <w:szCs w:val="18"/>
              </w:rPr>
              <w:t xml:space="preserve"> capacity development objective for each </w:t>
            </w:r>
            <w:r w:rsidRPr="003B09BA">
              <w:rPr>
                <w:rStyle w:val="aunp23gsrjmineu0pk0"/>
                <w:i/>
                <w:iCs/>
                <w:sz w:val="18"/>
                <w:szCs w:val="18"/>
              </w:rPr>
              <w:lastRenderedPageBreak/>
              <w:t>knowledge receiving country that is geared toward solving a problem or developing an action plan.</w:t>
            </w:r>
          </w:p>
        </w:tc>
      </w:tr>
      <w:tr w:rsidR="003B09BA" w:rsidRPr="00C14F8E" w14:paraId="59ACC623" w14:textId="77777777" w:rsidTr="00B03E63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5749F2D7" w14:textId="73B3EC27" w:rsidR="003B09BA" w:rsidRPr="00082221" w:rsidRDefault="003B09BA" w:rsidP="003B09BA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>
              <w:rPr>
                <w:rStyle w:val="bjnp23gsrjmineu0pk0"/>
                <w:sz w:val="20"/>
                <w:szCs w:val="20"/>
              </w:rPr>
              <w:lastRenderedPageBreak/>
              <w:t>Outputs and intermediate capacity outcomes</w:t>
            </w:r>
          </w:p>
        </w:tc>
        <w:tc>
          <w:tcPr>
            <w:tcW w:w="6925" w:type="dxa"/>
            <w:shd w:val="clear" w:color="auto" w:fill="E7E6E6" w:themeFill="background2"/>
          </w:tcPr>
          <w:p w14:paraId="652323CF" w14:textId="5178987C" w:rsidR="003B09BA" w:rsidRDefault="003B09BA" w:rsidP="003B09BA">
            <w:pPr>
              <w:spacing w:before="100" w:beforeAutospacing="1" w:after="100" w:afterAutospacing="1"/>
              <w:contextualSpacing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i/>
                <w:iCs/>
                <w:sz w:val="18"/>
                <w:szCs w:val="18"/>
              </w:rPr>
            </w:pPr>
            <w:r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Describe the expected outputs and intermediate capacity outcomes that are directly linked to the advancement of the overall capacity development objective(s). </w:t>
            </w:r>
            <w:r w:rsidR="00BB5DD1">
              <w:rPr>
                <w:rFonts w:eastAsia="Times New Roman" w:cs="Segoe UI"/>
                <w:i/>
                <w:iCs/>
                <w:sz w:val="18"/>
                <w:szCs w:val="18"/>
              </w:rPr>
              <w:t>Some</w:t>
            </w:r>
            <w:r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 guidance on defining outputs </w:t>
            </w:r>
            <w:r w:rsidR="00BB5DD1">
              <w:rPr>
                <w:rFonts w:eastAsia="Times New Roman" w:cs="Segoe UI"/>
                <w:i/>
                <w:iCs/>
                <w:sz w:val="18"/>
                <w:szCs w:val="18"/>
              </w:rPr>
              <w:t>and</w:t>
            </w:r>
            <w:r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 </w:t>
            </w:r>
            <w:r w:rsidR="00C35DF8"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intermediate capacity </w:t>
            </w:r>
            <w:r>
              <w:rPr>
                <w:rFonts w:eastAsia="Times New Roman" w:cs="Segoe UI"/>
                <w:i/>
                <w:iCs/>
                <w:sz w:val="18"/>
                <w:szCs w:val="18"/>
              </w:rPr>
              <w:t>outcomes</w:t>
            </w:r>
            <w:r w:rsidR="00BB5DD1"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 is provided in the guidebook</w:t>
            </w:r>
            <w:r w:rsidR="00BB5DD1" w:rsidRPr="002B4CA1">
              <w:rPr>
                <w:rStyle w:val="Emphasis"/>
                <w:sz w:val="18"/>
                <w:szCs w:val="18"/>
              </w:rPr>
              <w:t xml:space="preserve"> </w:t>
            </w:r>
            <w:hyperlink r:id="rId16" w:history="1">
              <w:r w:rsidR="00BB5DD1" w:rsidRPr="00D00CA6">
                <w:rPr>
                  <w:rStyle w:val="Hyperlink"/>
                  <w:sz w:val="18"/>
                  <w:szCs w:val="18"/>
                </w:rPr>
                <w:t>Art of Knowledge Exchange</w:t>
              </w:r>
            </w:hyperlink>
          </w:p>
          <w:p w14:paraId="4AF5FB0C" w14:textId="0E40C06F" w:rsidR="003B09BA" w:rsidRPr="005C35BA" w:rsidRDefault="003B09BA" w:rsidP="003B09BA">
            <w:pPr>
              <w:spacing w:before="100" w:beforeAutospacing="1" w:after="100" w:afterAutospacing="1"/>
              <w:contextualSpacing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i/>
                <w:iCs/>
                <w:sz w:val="18"/>
                <w:szCs w:val="18"/>
              </w:rPr>
            </w:pPr>
          </w:p>
        </w:tc>
      </w:tr>
      <w:tr w:rsidR="00BB5DD1" w:rsidRPr="00C14F8E" w14:paraId="36B2288E" w14:textId="77777777" w:rsidTr="00B0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308C0655" w14:textId="177FE856" w:rsidR="00BB5DD1" w:rsidRDefault="00BB5DD1" w:rsidP="00BB5DD1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 w:rsidRPr="00082221">
              <w:rPr>
                <w:rStyle w:val="bjnp23gsrjmineu0pk0"/>
                <w:sz w:val="20"/>
                <w:szCs w:val="20"/>
              </w:rPr>
              <w:t>Activities</w:t>
            </w:r>
          </w:p>
        </w:tc>
        <w:tc>
          <w:tcPr>
            <w:tcW w:w="6925" w:type="dxa"/>
            <w:shd w:val="clear" w:color="auto" w:fill="E7E6E6" w:themeFill="background2"/>
          </w:tcPr>
          <w:p w14:paraId="06DBBB6E" w14:textId="788DAEFE" w:rsidR="00BB5DD1" w:rsidRDefault="00BB5DD1" w:rsidP="00BB5DD1">
            <w:pPr>
              <w:spacing w:before="100" w:beforeAutospacing="1" w:after="100" w:afterAutospacing="1"/>
              <w:contextualSpacing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  <w:i/>
                <w:iCs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 xml:space="preserve">Describe the </w:t>
            </w:r>
            <w:r w:rsidR="00E4636C">
              <w:rPr>
                <w:rStyle w:val="Emphasis"/>
                <w:sz w:val="18"/>
                <w:szCs w:val="18"/>
              </w:rPr>
              <w:t xml:space="preserve">knowledge exchange </w:t>
            </w:r>
            <w:r>
              <w:rPr>
                <w:rStyle w:val="Emphasis"/>
                <w:sz w:val="18"/>
                <w:szCs w:val="18"/>
              </w:rPr>
              <w:t xml:space="preserve">activities that </w:t>
            </w:r>
            <w:r w:rsidR="00E4636C">
              <w:rPr>
                <w:rStyle w:val="Emphasis"/>
                <w:sz w:val="18"/>
                <w:szCs w:val="18"/>
              </w:rPr>
              <w:t>you think should take place to</w:t>
            </w:r>
            <w:r>
              <w:rPr>
                <w:rStyle w:val="Emphasis"/>
                <w:sz w:val="18"/>
                <w:szCs w:val="18"/>
              </w:rPr>
              <w:t xml:space="preserve"> </w:t>
            </w:r>
            <w:r w:rsidR="00E4636C">
              <w:rPr>
                <w:rStyle w:val="Emphasis"/>
                <w:sz w:val="18"/>
                <w:szCs w:val="18"/>
              </w:rPr>
              <w:t>support the achievement of the stated capacity development goal</w:t>
            </w:r>
            <w:r>
              <w:rPr>
                <w:rStyle w:val="Emphasis"/>
                <w:sz w:val="18"/>
                <w:szCs w:val="18"/>
              </w:rPr>
              <w:t xml:space="preserve">. </w:t>
            </w:r>
            <w:r w:rsidRPr="002B4CA1">
              <w:rPr>
                <w:rStyle w:val="Emphasis"/>
                <w:sz w:val="18"/>
                <w:szCs w:val="18"/>
              </w:rPr>
              <w:t xml:space="preserve">Refer to the </w:t>
            </w:r>
            <w:hyperlink r:id="rId17" w:history="1">
              <w:r w:rsidRPr="00D00CA6">
                <w:rPr>
                  <w:rStyle w:val="Hyperlink"/>
                  <w:sz w:val="18"/>
                  <w:szCs w:val="18"/>
                </w:rPr>
                <w:t>Art of Knowledge Exchange</w:t>
              </w:r>
            </w:hyperlink>
            <w:r w:rsidRPr="002B4CA1">
              <w:rPr>
                <w:rStyle w:val="Emphasis"/>
                <w:sz w:val="18"/>
                <w:szCs w:val="18"/>
              </w:rPr>
              <w:t xml:space="preserve"> as a guide to help you </w:t>
            </w:r>
            <w:r>
              <w:rPr>
                <w:rStyle w:val="Emphasis"/>
                <w:sz w:val="18"/>
                <w:szCs w:val="18"/>
              </w:rPr>
              <w:t>design your knowledge exchange.</w:t>
            </w:r>
            <w:r w:rsidRPr="002B4CA1">
              <w:rPr>
                <w:rStyle w:val="Emphasis"/>
                <w:sz w:val="18"/>
                <w:szCs w:val="18"/>
              </w:rPr>
              <w:t xml:space="preserve"> </w:t>
            </w:r>
            <w:r w:rsidR="00E4636C">
              <w:rPr>
                <w:rStyle w:val="Emphasis"/>
                <w:sz w:val="18"/>
                <w:szCs w:val="18"/>
              </w:rPr>
              <w:t xml:space="preserve">The activities, outputs and </w:t>
            </w:r>
            <w:r w:rsidR="00C35DF8">
              <w:rPr>
                <w:rStyle w:val="Emphasis"/>
                <w:sz w:val="18"/>
                <w:szCs w:val="18"/>
              </w:rPr>
              <w:t xml:space="preserve">intermediate capacity </w:t>
            </w:r>
            <w:r w:rsidR="00E4636C">
              <w:rPr>
                <w:rStyle w:val="Emphasis"/>
                <w:sz w:val="18"/>
                <w:szCs w:val="18"/>
              </w:rPr>
              <w:t xml:space="preserve">outcomes should together form a convincing Theory of Change for the </w:t>
            </w:r>
            <w:r w:rsidR="00C35DF8">
              <w:rPr>
                <w:rStyle w:val="Emphasis"/>
                <w:sz w:val="18"/>
                <w:szCs w:val="18"/>
              </w:rPr>
              <w:t>knowledge e</w:t>
            </w:r>
            <w:r w:rsidR="00E4636C">
              <w:rPr>
                <w:rStyle w:val="Emphasis"/>
                <w:sz w:val="18"/>
                <w:szCs w:val="18"/>
              </w:rPr>
              <w:t xml:space="preserve">xchange. </w:t>
            </w:r>
          </w:p>
        </w:tc>
      </w:tr>
      <w:tr w:rsidR="00BB5DD1" w:rsidRPr="00C14F8E" w14:paraId="795B65D3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37BFD843" w14:textId="77777777" w:rsidR="00BB5DD1" w:rsidRPr="00082221" w:rsidRDefault="00BB5DD1" w:rsidP="00BB5D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82221">
              <w:rPr>
                <w:rStyle w:val="bjnp23gsrjmineu0pk0"/>
                <w:sz w:val="20"/>
                <w:szCs w:val="20"/>
              </w:rPr>
              <w:t>Country Ownership</w:t>
            </w:r>
          </w:p>
        </w:tc>
        <w:tc>
          <w:tcPr>
            <w:tcW w:w="6925" w:type="dxa"/>
            <w:shd w:val="clear" w:color="auto" w:fill="E7E6E6" w:themeFill="background2"/>
          </w:tcPr>
          <w:p w14:paraId="55D84F5D" w14:textId="65E2131B" w:rsidR="00BB5DD1" w:rsidRPr="00C14F8E" w:rsidRDefault="00BB5DD1" w:rsidP="00BB5DD1">
            <w:pPr>
              <w:spacing w:before="100" w:beforeAutospacing="1" w:after="100" w:afterAutospacing="1"/>
              <w:contextualSpacing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i/>
                <w:sz w:val="18"/>
                <w:szCs w:val="18"/>
              </w:rPr>
            </w:pPr>
            <w:r w:rsidRPr="005C35BA">
              <w:rPr>
                <w:rFonts w:eastAsia="Times New Roman" w:cs="Segoe UI"/>
                <w:i/>
                <w:iCs/>
                <w:sz w:val="18"/>
                <w:szCs w:val="18"/>
              </w:rPr>
              <w:t xml:space="preserve">What evidence do you have that the country (countries) requesting the knowledge exchange </w:t>
            </w:r>
            <w:r>
              <w:rPr>
                <w:rFonts w:eastAsia="Times New Roman" w:cs="Segoe UI"/>
                <w:i/>
                <w:iCs/>
                <w:sz w:val="18"/>
                <w:szCs w:val="18"/>
              </w:rPr>
              <w:t>is/</w:t>
            </w:r>
            <w:r w:rsidRPr="005C35BA">
              <w:rPr>
                <w:rFonts w:eastAsia="Times New Roman" w:cs="Segoe UI"/>
                <w:i/>
                <w:iCs/>
                <w:sz w:val="18"/>
                <w:szCs w:val="18"/>
              </w:rPr>
              <w:t>are committed to the stated goal?</w:t>
            </w:r>
          </w:p>
          <w:p w14:paraId="6669987F" w14:textId="77777777" w:rsidR="00BB5DD1" w:rsidRDefault="00BB5DD1" w:rsidP="00BB5DD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C35BA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What evidence is there that the country </w:t>
            </w:r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(countries) </w:t>
            </w:r>
            <w:r w:rsidRPr="005C35BA">
              <w:rPr>
                <w:rFonts w:eastAsia="Times New Roman" w:cs="Times New Roman"/>
                <w:i/>
                <w:iCs/>
                <w:sz w:val="18"/>
                <w:szCs w:val="18"/>
              </w:rPr>
              <w:t>have political and financial support to catalyze change?</w:t>
            </w:r>
          </w:p>
          <w:p w14:paraId="7C0C27AF" w14:textId="715FC9A3" w:rsidR="00BB5DD1" w:rsidRPr="00B76333" w:rsidRDefault="00BB5DD1" w:rsidP="00BB5DD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What evidence do you have that the countries targeted by your proposal are interested in engaging in </w:t>
            </w:r>
            <w:r w:rsidR="00C35DF8">
              <w:rPr>
                <w:rFonts w:eastAsia="Times New Roman" w:cs="Times New Roman"/>
                <w:i/>
                <w:iCs/>
                <w:sz w:val="18"/>
                <w:szCs w:val="18"/>
              </w:rPr>
              <w:t>knowledge exchange</w:t>
            </w:r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activities over a period of time?</w:t>
            </w:r>
          </w:p>
        </w:tc>
      </w:tr>
      <w:tr w:rsidR="00BB5DD1" w:rsidRPr="00C14F8E" w14:paraId="1C2C5817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425E363B" w14:textId="77777777" w:rsidR="00BB5DD1" w:rsidRPr="00082221" w:rsidRDefault="00BB5DD1" w:rsidP="00BB5DD1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 w:rsidRPr="00082221">
              <w:rPr>
                <w:rStyle w:val="bjnp23gsrjmineu0pk0"/>
                <w:sz w:val="20"/>
                <w:szCs w:val="20"/>
              </w:rPr>
              <w:t>Participant Profile</w:t>
            </w:r>
          </w:p>
        </w:tc>
        <w:tc>
          <w:tcPr>
            <w:tcW w:w="6925" w:type="dxa"/>
            <w:shd w:val="clear" w:color="auto" w:fill="E7E6E6" w:themeFill="background2"/>
          </w:tcPr>
          <w:p w14:paraId="33534289" w14:textId="77777777" w:rsidR="00BB5DD1" w:rsidRPr="00B76333" w:rsidRDefault="00BB5DD1" w:rsidP="00BB5DD1">
            <w:pPr>
              <w:spacing w:before="100" w:beforeAutospacing="1" w:after="100" w:afterAutospacing="1"/>
              <w:contextualSpacing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C35BA">
              <w:rPr>
                <w:rStyle w:val="Emphasis"/>
                <w:sz w:val="18"/>
                <w:szCs w:val="18"/>
              </w:rPr>
              <w:t>Describe the role of the participants who will be receiving knowledge and why they are in a position to play an active role in bringing about change.</w:t>
            </w:r>
          </w:p>
        </w:tc>
      </w:tr>
      <w:tr w:rsidR="00BB5DD1" w:rsidRPr="00C14F8E" w14:paraId="23651275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6C3C276B" w14:textId="77777777" w:rsidR="00BB5DD1" w:rsidRPr="00082221" w:rsidRDefault="00BB5DD1" w:rsidP="00BB5DD1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 w:rsidRPr="00082221">
              <w:rPr>
                <w:rStyle w:val="bjnp23gsrjmineu0pk0"/>
                <w:sz w:val="20"/>
                <w:szCs w:val="20"/>
              </w:rPr>
              <w:t>Institutions providing knowledge</w:t>
            </w:r>
          </w:p>
        </w:tc>
        <w:tc>
          <w:tcPr>
            <w:tcW w:w="6925" w:type="dxa"/>
            <w:shd w:val="clear" w:color="auto" w:fill="E7E6E6" w:themeFill="background2"/>
          </w:tcPr>
          <w:p w14:paraId="412E2C44" w14:textId="73D83074" w:rsidR="00BB5DD1" w:rsidRPr="005C35BA" w:rsidRDefault="00BB5DD1" w:rsidP="00BB5DD1">
            <w:pPr>
              <w:spacing w:before="100" w:beforeAutospacing="1" w:after="100" w:afterAutospacing="1"/>
              <w:contextualSpacing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iCs/>
                <w:sz w:val="18"/>
                <w:szCs w:val="18"/>
              </w:rPr>
            </w:pPr>
            <w:r w:rsidRPr="005C35BA">
              <w:rPr>
                <w:rStyle w:val="Emphasis"/>
                <w:sz w:val="18"/>
                <w:szCs w:val="18"/>
              </w:rPr>
              <w:t xml:space="preserve">List on a </w:t>
            </w:r>
            <w:r w:rsidRPr="005C35BA">
              <w:rPr>
                <w:rStyle w:val="Emphasis"/>
                <w:sz w:val="18"/>
                <w:szCs w:val="18"/>
                <w:u w:val="single"/>
              </w:rPr>
              <w:t>separate</w:t>
            </w:r>
            <w:r w:rsidRPr="005C35BA">
              <w:rPr>
                <w:rStyle w:val="Emphasis"/>
                <w:sz w:val="18"/>
                <w:szCs w:val="18"/>
              </w:rPr>
              <w:t xml:space="preserve"> line the name of the institution</w:t>
            </w:r>
            <w:r>
              <w:rPr>
                <w:rStyle w:val="Emphasis"/>
                <w:sz w:val="18"/>
                <w:szCs w:val="18"/>
              </w:rPr>
              <w:t>s</w:t>
            </w:r>
            <w:r w:rsidRPr="005C35BA">
              <w:rPr>
                <w:rStyle w:val="Emphasis"/>
                <w:sz w:val="18"/>
                <w:szCs w:val="18"/>
              </w:rPr>
              <w:t xml:space="preserve"> providing knowledge</w:t>
            </w:r>
          </w:p>
        </w:tc>
      </w:tr>
      <w:tr w:rsidR="00BB5DD1" w:rsidRPr="00C14F8E" w14:paraId="6939C48D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7781DF9A" w14:textId="77777777" w:rsidR="00BB5DD1" w:rsidRPr="00082221" w:rsidRDefault="00BB5DD1" w:rsidP="00BB5DD1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 w:rsidRPr="00082221">
              <w:rPr>
                <w:rStyle w:val="bjnp23gsrjmineu0pk0"/>
                <w:sz w:val="20"/>
                <w:szCs w:val="20"/>
              </w:rPr>
              <w:t>Knowledge Provider Experience</w:t>
            </w:r>
          </w:p>
        </w:tc>
        <w:tc>
          <w:tcPr>
            <w:tcW w:w="6925" w:type="dxa"/>
            <w:shd w:val="clear" w:color="auto" w:fill="E7E6E6" w:themeFill="background2"/>
          </w:tcPr>
          <w:p w14:paraId="4C6C13A0" w14:textId="77777777" w:rsidR="00BB5DD1" w:rsidRPr="00D92B54" w:rsidRDefault="00BB5DD1" w:rsidP="00BB5DD1">
            <w:pPr>
              <w:spacing w:before="100" w:beforeAutospacing="1" w:after="100" w:afterAutospacing="1"/>
              <w:contextualSpacing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i/>
                <w:iCs/>
                <w:sz w:val="18"/>
                <w:szCs w:val="18"/>
              </w:rPr>
            </w:pPr>
            <w:r w:rsidRPr="005C35BA">
              <w:rPr>
                <w:rStyle w:val="Emphasis"/>
                <w:rFonts w:cs="Segoe UI"/>
                <w:sz w:val="18"/>
                <w:szCs w:val="18"/>
              </w:rPr>
              <w:t>Describe the type of knowledge that will be shared by participants and how this experienc</w:t>
            </w:r>
            <w:r>
              <w:rPr>
                <w:rStyle w:val="Emphasis"/>
                <w:rFonts w:cs="Segoe UI"/>
                <w:sz w:val="18"/>
                <w:szCs w:val="18"/>
              </w:rPr>
              <w:t>e is relevant to other countries</w:t>
            </w:r>
          </w:p>
        </w:tc>
      </w:tr>
      <w:tr w:rsidR="00BB5DD1" w:rsidRPr="00C14F8E" w14:paraId="6492D780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788ACFC7" w14:textId="37BCAEF3" w:rsidR="00BB5DD1" w:rsidRPr="00082221" w:rsidRDefault="00BB5DD1" w:rsidP="00BB5DD1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>
              <w:rPr>
                <w:rStyle w:val="bjnp23gsrjmineu0pk0"/>
                <w:sz w:val="20"/>
                <w:szCs w:val="20"/>
              </w:rPr>
              <w:t>Knowledge Sharing Capacity of Knowledge Provider(s)</w:t>
            </w:r>
          </w:p>
        </w:tc>
        <w:tc>
          <w:tcPr>
            <w:tcW w:w="6925" w:type="dxa"/>
            <w:shd w:val="clear" w:color="auto" w:fill="E7E6E6" w:themeFill="background2"/>
          </w:tcPr>
          <w:p w14:paraId="0051FE3B" w14:textId="19E878E2" w:rsidR="00BB5DD1" w:rsidRPr="005C35BA" w:rsidRDefault="00BB5DD1" w:rsidP="00BB5DD1">
            <w:pPr>
              <w:spacing w:before="100" w:beforeAutospacing="1" w:after="100" w:afterAutospacing="1"/>
              <w:contextualSpacing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Provide evidence that the knowledge providing</w:t>
            </w:r>
            <w:r w:rsidRPr="005C35BA">
              <w:rPr>
                <w:rStyle w:val="Emphasis"/>
                <w:sz w:val="18"/>
                <w:szCs w:val="18"/>
              </w:rPr>
              <w:t xml:space="preserve"> institutions</w:t>
            </w:r>
            <w:r>
              <w:rPr>
                <w:rStyle w:val="Emphasis"/>
                <w:sz w:val="18"/>
                <w:szCs w:val="18"/>
              </w:rPr>
              <w:t xml:space="preserve"> have a sound approach to capturing and sharing knowledge and are thus well prepared to provide relevant knowledge that will help the recipients achieve their capacity development objectives.   </w:t>
            </w:r>
          </w:p>
        </w:tc>
      </w:tr>
      <w:tr w:rsidR="00A52C36" w:rsidRPr="00C14F8E" w14:paraId="5F42395D" w14:textId="77777777" w:rsidTr="001C1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057C74AA" w14:textId="2BB5EAA6" w:rsidR="00A52C36" w:rsidRDefault="00A52C36" w:rsidP="00BB5DD1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>
              <w:rPr>
                <w:rStyle w:val="bjnp23gsrjmineu0pk0"/>
                <w:sz w:val="20"/>
                <w:szCs w:val="20"/>
              </w:rPr>
              <w:t>SDGs supported</w:t>
            </w:r>
          </w:p>
        </w:tc>
        <w:tc>
          <w:tcPr>
            <w:tcW w:w="6925" w:type="dxa"/>
            <w:shd w:val="clear" w:color="auto" w:fill="E7E6E6" w:themeFill="background2"/>
          </w:tcPr>
          <w:p w14:paraId="12945309" w14:textId="6DFBD860" w:rsidR="00A52C36" w:rsidRDefault="00C35DF8" w:rsidP="00BB5DD1">
            <w:pPr>
              <w:spacing w:before="100" w:beforeAutospacing="1" w:after="100" w:afterAutospacing="1"/>
              <w:contextualSpacing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Please indicate which SDG(s)</w:t>
            </w:r>
            <w:r w:rsidR="003B53E5">
              <w:rPr>
                <w:rStyle w:val="Emphasis"/>
                <w:sz w:val="18"/>
                <w:szCs w:val="18"/>
              </w:rPr>
              <w:t xml:space="preserve"> the knowledge exchange</w:t>
            </w:r>
            <w:r>
              <w:rPr>
                <w:rStyle w:val="Emphasis"/>
                <w:sz w:val="18"/>
                <w:szCs w:val="18"/>
              </w:rPr>
              <w:t xml:space="preserve"> will likely</w:t>
            </w:r>
            <w:r w:rsidR="003B53E5">
              <w:rPr>
                <w:rStyle w:val="Emphasis"/>
                <w:sz w:val="18"/>
                <w:szCs w:val="18"/>
              </w:rPr>
              <w:t xml:space="preserve"> contribute</w:t>
            </w:r>
            <w:r>
              <w:rPr>
                <w:rStyle w:val="Emphasis"/>
                <w:sz w:val="18"/>
                <w:szCs w:val="18"/>
              </w:rPr>
              <w:t xml:space="preserve"> to achieve.</w:t>
            </w:r>
            <w:r w:rsidR="003B53E5">
              <w:rPr>
                <w:rStyle w:val="Emphasis"/>
                <w:sz w:val="18"/>
                <w:szCs w:val="18"/>
              </w:rPr>
              <w:t xml:space="preserve"> Please provide the number</w:t>
            </w:r>
            <w:r w:rsidR="000B292F">
              <w:rPr>
                <w:rStyle w:val="Emphasis"/>
                <w:sz w:val="18"/>
                <w:szCs w:val="18"/>
              </w:rPr>
              <w:t>(s)</w:t>
            </w:r>
            <w:r w:rsidR="003B53E5">
              <w:rPr>
                <w:rStyle w:val="Emphasis"/>
                <w:sz w:val="18"/>
                <w:szCs w:val="18"/>
              </w:rPr>
              <w:t xml:space="preserve"> and specific target</w:t>
            </w:r>
            <w:r w:rsidR="000B292F">
              <w:rPr>
                <w:rStyle w:val="Emphasis"/>
                <w:sz w:val="18"/>
                <w:szCs w:val="18"/>
              </w:rPr>
              <w:t xml:space="preserve">(s), starting with the one to which the knowledge exchange mostly </w:t>
            </w:r>
            <w:r w:rsidR="00282E66">
              <w:rPr>
                <w:rStyle w:val="Emphasis"/>
                <w:sz w:val="18"/>
                <w:szCs w:val="18"/>
              </w:rPr>
              <w:t>contributes (</w:t>
            </w:r>
            <w:r w:rsidR="003B53E5">
              <w:rPr>
                <w:rStyle w:val="Emphasis"/>
                <w:sz w:val="18"/>
                <w:szCs w:val="18"/>
              </w:rPr>
              <w:t>see</w:t>
            </w:r>
            <w:r w:rsidR="00937895">
              <w:rPr>
                <w:rStyle w:val="Emphasis"/>
                <w:sz w:val="18"/>
                <w:szCs w:val="18"/>
              </w:rPr>
              <w:t xml:space="preserve"> </w:t>
            </w:r>
            <w:hyperlink r:id="rId18" w:history="1">
              <w:r w:rsidR="000B292F" w:rsidRPr="00D82A19">
                <w:rPr>
                  <w:rStyle w:val="Hyperlink"/>
                  <w:sz w:val="18"/>
                  <w:szCs w:val="18"/>
                </w:rPr>
                <w:t>https://sustainabledevelopment.un.org/sdgs</w:t>
              </w:r>
            </w:hyperlink>
            <w:r w:rsidR="000B292F">
              <w:rPr>
                <w:rStyle w:val="Emphasis"/>
                <w:sz w:val="18"/>
                <w:szCs w:val="18"/>
              </w:rPr>
              <w:t xml:space="preserve"> </w:t>
            </w:r>
            <w:r w:rsidR="003B53E5">
              <w:rPr>
                <w:rStyle w:val="Emphasis"/>
                <w:sz w:val="18"/>
                <w:szCs w:val="18"/>
              </w:rPr>
              <w:t>)</w:t>
            </w:r>
          </w:p>
        </w:tc>
      </w:tr>
      <w:tr w:rsidR="006A4036" w:rsidRPr="00C14F8E" w14:paraId="34561531" w14:textId="77777777" w:rsidTr="001C1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auto"/>
          </w:tcPr>
          <w:p w14:paraId="25E5B063" w14:textId="773AC812" w:rsidR="006A4036" w:rsidRDefault="006A4036" w:rsidP="00BB5DD1">
            <w:pPr>
              <w:pStyle w:val="ListParagraph"/>
              <w:numPr>
                <w:ilvl w:val="0"/>
                <w:numId w:val="4"/>
              </w:numPr>
              <w:rPr>
                <w:rStyle w:val="bjnp23gsrjmineu0pk0"/>
                <w:sz w:val="20"/>
                <w:szCs w:val="20"/>
              </w:rPr>
            </w:pPr>
            <w:r>
              <w:rPr>
                <w:rStyle w:val="bjnp23gsrjmineu0pk0"/>
                <w:sz w:val="20"/>
                <w:szCs w:val="20"/>
              </w:rPr>
              <w:t>Co-financing</w:t>
            </w:r>
          </w:p>
        </w:tc>
        <w:tc>
          <w:tcPr>
            <w:tcW w:w="6925" w:type="dxa"/>
            <w:shd w:val="clear" w:color="auto" w:fill="E7E6E6" w:themeFill="background2"/>
          </w:tcPr>
          <w:p w14:paraId="7B05FA74" w14:textId="77777777" w:rsidR="00C35DF8" w:rsidRDefault="006A4036" w:rsidP="00BB5DD1">
            <w:pPr>
              <w:spacing w:before="100" w:beforeAutospacing="1" w:after="100" w:afterAutospacing="1"/>
              <w:contextualSpacing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Does the team expect co-financing arrangements supporting the knowledge exchange (other than for covering the Knowledge</w:t>
            </w:r>
            <w:r w:rsidR="00C35DF8">
              <w:rPr>
                <w:rStyle w:val="Emphasis"/>
                <w:sz w:val="18"/>
                <w:szCs w:val="18"/>
              </w:rPr>
              <w:t xml:space="preserve"> Exchange</w:t>
            </w:r>
            <w:r>
              <w:rPr>
                <w:rStyle w:val="Emphasis"/>
                <w:sz w:val="18"/>
                <w:szCs w:val="18"/>
              </w:rPr>
              <w:t xml:space="preserve"> Facilitator</w:t>
            </w:r>
            <w:r w:rsidR="00C35DF8">
              <w:rPr>
                <w:rStyle w:val="Emphasis"/>
                <w:sz w:val="18"/>
                <w:szCs w:val="18"/>
              </w:rPr>
              <w:t>’s time</w:t>
            </w:r>
            <w:r>
              <w:rPr>
                <w:rStyle w:val="Emphasis"/>
                <w:sz w:val="18"/>
                <w:szCs w:val="18"/>
              </w:rPr>
              <w:t xml:space="preserve">)? </w:t>
            </w:r>
          </w:p>
          <w:p w14:paraId="77AC9ED4" w14:textId="674FCA04" w:rsidR="006A4036" w:rsidRDefault="006A4036" w:rsidP="00BB5DD1">
            <w:pPr>
              <w:spacing w:before="100" w:beforeAutospacing="1" w:after="100" w:afterAutospacing="1"/>
              <w:contextualSpacing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 xml:space="preserve">If yes, please specify.  </w:t>
            </w:r>
          </w:p>
        </w:tc>
      </w:tr>
    </w:tbl>
    <w:p w14:paraId="5376B6AB" w14:textId="77777777" w:rsidR="00082221" w:rsidRDefault="00082221"/>
    <w:p w14:paraId="0C4AA6A6" w14:textId="77777777" w:rsidR="00082221" w:rsidRDefault="00082221"/>
    <w:p w14:paraId="26E7F0B1" w14:textId="77777777" w:rsidR="00082221" w:rsidRDefault="00082221"/>
    <w:p w14:paraId="2B098D98" w14:textId="77777777" w:rsidR="00082221" w:rsidRDefault="00082221"/>
    <w:p w14:paraId="2889CB26" w14:textId="77777777" w:rsidR="00082221" w:rsidRDefault="00082221"/>
    <w:p w14:paraId="49433CDB" w14:textId="77777777" w:rsidR="00082221" w:rsidRDefault="00082221">
      <w:pPr>
        <w:sectPr w:rsidR="00082221">
          <w:headerReference w:type="default" r:id="rId19"/>
          <w:foot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828569" w14:textId="77777777" w:rsidR="00AC386D" w:rsidRDefault="00AC386D"/>
    <w:p w14:paraId="3144DD8B" w14:textId="77777777" w:rsidR="00AC386D" w:rsidRDefault="00AC386D"/>
    <w:tbl>
      <w:tblPr>
        <w:tblW w:w="354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713"/>
        <w:gridCol w:w="911"/>
        <w:gridCol w:w="913"/>
        <w:gridCol w:w="913"/>
        <w:gridCol w:w="911"/>
        <w:gridCol w:w="913"/>
        <w:gridCol w:w="913"/>
      </w:tblGrid>
      <w:tr w:rsidR="00D4056C" w14:paraId="10754713" w14:textId="77777777" w:rsidTr="00D4056C">
        <w:trPr>
          <w:trHeight w:val="432"/>
        </w:trPr>
        <w:tc>
          <w:tcPr>
            <w:tcW w:w="5000" w:type="pct"/>
            <w:gridSpan w:val="7"/>
            <w:tcBorders>
              <w:bottom w:val="single" w:sz="4" w:space="0" w:color="A6A6A6" w:themeColor="background1" w:themeShade="A6"/>
            </w:tcBorders>
            <w:shd w:val="clear" w:color="auto" w:fill="00B0F0"/>
          </w:tcPr>
          <w:p w14:paraId="2AB22D01" w14:textId="6AA8845E" w:rsidR="00D4056C" w:rsidRPr="00A17262" w:rsidRDefault="00D4056C" w:rsidP="00A17262">
            <w:pPr>
              <w:pStyle w:val="FootnoteText"/>
              <w:tabs>
                <w:tab w:val="left" w:pos="180"/>
              </w:tabs>
              <w:jc w:val="center"/>
              <w:rPr>
                <w:rFonts w:ascii="Calibri" w:hAnsi="Calibri" w:cs="Arial"/>
                <w:b/>
                <w:color w:val="7F7F7F" w:themeColor="text1" w:themeTint="80"/>
                <w:sz w:val="24"/>
                <w:szCs w:val="18"/>
              </w:rPr>
            </w:pPr>
            <w:r w:rsidRPr="00AC386D">
              <w:rPr>
                <w:rFonts w:ascii="Calibri" w:hAnsi="Calibri" w:cs="Arial"/>
                <w:b/>
                <w:color w:val="FFFFFF" w:themeColor="background1"/>
              </w:rPr>
              <w:t>INDICATIVE BUDGET ALLOCATION</w:t>
            </w:r>
          </w:p>
        </w:tc>
      </w:tr>
      <w:tr w:rsidR="00D4056C" w14:paraId="1027C7D8" w14:textId="77777777" w:rsidTr="00D4056C">
        <w:trPr>
          <w:trHeight w:val="432"/>
        </w:trPr>
        <w:tc>
          <w:tcPr>
            <w:tcW w:w="2021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331F24F9" w14:textId="77777777" w:rsidR="00D4056C" w:rsidRPr="00774B69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  <w:t>Enter dollar amount</w:t>
            </w:r>
          </w:p>
        </w:tc>
        <w:tc>
          <w:tcPr>
            <w:tcW w:w="1490" w:type="pct"/>
            <w:gridSpan w:val="3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4CDA45F0" w14:textId="574A7DA7" w:rsidR="00D4056C" w:rsidRPr="00A17262" w:rsidRDefault="00D4056C" w:rsidP="00A1726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color w:val="7F7F7F" w:themeColor="text1" w:themeTint="80"/>
                <w:sz w:val="18"/>
                <w:szCs w:val="18"/>
              </w:rPr>
            </w:pPr>
            <w:r w:rsidRPr="00A17262">
              <w:rPr>
                <w:rFonts w:ascii="Calibri" w:eastAsia="Times New Roman" w:hAnsi="Calibri" w:cs="Arial"/>
                <w:b/>
                <w:color w:val="7F7F7F" w:themeColor="text1" w:themeTint="80"/>
                <w:sz w:val="24"/>
                <w:szCs w:val="18"/>
              </w:rPr>
              <w:t xml:space="preserve">FY </w:t>
            </w:r>
            <w:r w:rsidR="00A52C36">
              <w:rPr>
                <w:rFonts w:ascii="Calibri" w:eastAsia="Times New Roman" w:hAnsi="Calibri" w:cs="Arial"/>
                <w:b/>
                <w:color w:val="7F7F7F" w:themeColor="text1" w:themeTint="80"/>
                <w:sz w:val="24"/>
                <w:szCs w:val="18"/>
              </w:rPr>
              <w:t>19</w:t>
            </w:r>
          </w:p>
        </w:tc>
        <w:tc>
          <w:tcPr>
            <w:tcW w:w="1490" w:type="pct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</w:tcPr>
          <w:p w14:paraId="6CB9EE16" w14:textId="61D692AC" w:rsidR="00D4056C" w:rsidRDefault="00D4056C" w:rsidP="00A17262">
            <w:pPr>
              <w:pStyle w:val="FootnoteText"/>
              <w:tabs>
                <w:tab w:val="left" w:pos="180"/>
              </w:tabs>
              <w:jc w:val="center"/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</w:pPr>
            <w:r w:rsidRPr="00A17262">
              <w:rPr>
                <w:rFonts w:ascii="Calibri" w:hAnsi="Calibri" w:cs="Arial"/>
                <w:b/>
                <w:color w:val="7F7F7F" w:themeColor="text1" w:themeTint="80"/>
                <w:sz w:val="24"/>
                <w:szCs w:val="18"/>
              </w:rPr>
              <w:t xml:space="preserve">FY </w:t>
            </w:r>
            <w:r w:rsidR="00A52C36">
              <w:rPr>
                <w:rFonts w:ascii="Calibri" w:hAnsi="Calibri" w:cs="Arial"/>
                <w:b/>
                <w:color w:val="7F7F7F" w:themeColor="text1" w:themeTint="80"/>
                <w:sz w:val="24"/>
                <w:szCs w:val="18"/>
              </w:rPr>
              <w:t>20</w:t>
            </w:r>
          </w:p>
        </w:tc>
      </w:tr>
      <w:tr w:rsidR="00D4056C" w14:paraId="2CF2E58B" w14:textId="77777777" w:rsidTr="00D4056C">
        <w:trPr>
          <w:trHeight w:val="432"/>
        </w:trPr>
        <w:tc>
          <w:tcPr>
            <w:tcW w:w="2021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612A6E40" w14:textId="77777777" w:rsidR="00D4056C" w:rsidRPr="00774B69" w:rsidRDefault="00D4056C" w:rsidP="00934766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6" w:type="pct"/>
            <w:tcBorders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33D483B6" w14:textId="77777777" w:rsidR="00D4056C" w:rsidRPr="00774B69" w:rsidRDefault="00D4056C" w:rsidP="00934766">
            <w:pPr>
              <w:spacing w:after="0" w:line="276" w:lineRule="auto"/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  <w:t>Proposed SSF financing</w:t>
            </w: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7ACDBD9F" w14:textId="77777777" w:rsidR="00D4056C" w:rsidRDefault="00D4056C" w:rsidP="00934766">
            <w:pPr>
              <w:spacing w:after="0" w:line="276" w:lineRule="auto"/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  <w:t>Financing from BB</w:t>
            </w:r>
          </w:p>
          <w:p w14:paraId="41F07B2A" w14:textId="77777777" w:rsidR="00D4056C" w:rsidRPr="00774B69" w:rsidRDefault="00D4056C" w:rsidP="00934766">
            <w:pPr>
              <w:spacing w:after="0" w:line="276" w:lineRule="auto"/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B1E495" w14:textId="77777777" w:rsidR="00D4056C" w:rsidRPr="00774B69" w:rsidRDefault="00D4056C" w:rsidP="00934766">
            <w:pPr>
              <w:spacing w:after="0" w:line="276" w:lineRule="auto"/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  <w:t>Financing from other TF</w:t>
            </w:r>
          </w:p>
        </w:tc>
        <w:tc>
          <w:tcPr>
            <w:tcW w:w="496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09AF84D" w14:textId="77777777" w:rsidR="00D4056C" w:rsidRPr="00774B69" w:rsidRDefault="00D4056C" w:rsidP="00934766">
            <w:pPr>
              <w:spacing w:after="0" w:line="276" w:lineRule="auto"/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  <w:t>Proposed SSF financing</w:t>
            </w:r>
          </w:p>
        </w:tc>
        <w:tc>
          <w:tcPr>
            <w:tcW w:w="497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348973" w14:textId="77777777" w:rsidR="00D4056C" w:rsidRPr="00774B69" w:rsidRDefault="00D4056C" w:rsidP="00934766">
            <w:pPr>
              <w:spacing w:after="0" w:line="276" w:lineRule="auto"/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  <w:t>Financing from BB</w:t>
            </w:r>
          </w:p>
        </w:tc>
        <w:tc>
          <w:tcPr>
            <w:tcW w:w="497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E89D4B2" w14:textId="77777777" w:rsidR="00D4056C" w:rsidRPr="00774B69" w:rsidRDefault="00D4056C" w:rsidP="00934766">
            <w:pPr>
              <w:spacing w:after="0" w:line="276" w:lineRule="auto"/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7F7F7F" w:themeColor="text1" w:themeTint="80"/>
                <w:sz w:val="18"/>
                <w:szCs w:val="18"/>
              </w:rPr>
              <w:t>Financing from other TF</w:t>
            </w:r>
          </w:p>
        </w:tc>
      </w:tr>
      <w:tr w:rsidR="00D4056C" w14:paraId="7C580035" w14:textId="77777777" w:rsidTr="00D4056C">
        <w:trPr>
          <w:trHeight w:val="481"/>
        </w:trPr>
        <w:tc>
          <w:tcPr>
            <w:tcW w:w="202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5CC734" w14:textId="7FC5C299" w:rsidR="00D4056C" w:rsidRPr="00774B69" w:rsidRDefault="003B09BA" w:rsidP="00A17262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  <w:t xml:space="preserve">Knowledge </w:t>
            </w:r>
            <w:r w:rsidR="009D78AF"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  <w:t xml:space="preserve">Exchange </w:t>
            </w:r>
            <w:r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  <w:t xml:space="preserve">Facilitator </w:t>
            </w:r>
            <w:r w:rsidR="00D4056C"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  <w:t>staff time</w:t>
            </w:r>
          </w:p>
        </w:tc>
        <w:tc>
          <w:tcPr>
            <w:tcW w:w="49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thinDiagStripe" w:color="auto" w:fill="auto"/>
          </w:tcPr>
          <w:p w14:paraId="6B53218E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6F3B349A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5DE710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thinDiagStripe" w:color="auto" w:fill="auto"/>
          </w:tcPr>
          <w:p w14:paraId="2676390A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770183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81C001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D4056C" w14:paraId="0296382C" w14:textId="77777777" w:rsidTr="00D4056C">
        <w:trPr>
          <w:trHeight w:val="481"/>
        </w:trPr>
        <w:tc>
          <w:tcPr>
            <w:tcW w:w="202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D10DC1" w14:textId="77777777" w:rsidR="00D4056C" w:rsidRPr="00774B69" w:rsidRDefault="00D4056C" w:rsidP="00934766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</w:pPr>
            <w:r w:rsidRPr="00774B69"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  <w:t>Activities</w:t>
            </w:r>
            <w:r>
              <w:rPr>
                <w:rFonts w:ascii="Calibri" w:hAnsi="Calibri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Pr="0011573C">
              <w:rPr>
                <w:rFonts w:ascii="Calibri" w:hAnsi="Calibri" w:cs="Arial"/>
                <w:i/>
                <w:color w:val="7F7F7F" w:themeColor="text1" w:themeTint="80"/>
                <w:sz w:val="18"/>
                <w:szCs w:val="18"/>
              </w:rPr>
              <w:t>(Enter a different row for each activity specified in question 28)</w:t>
            </w:r>
          </w:p>
        </w:tc>
        <w:tc>
          <w:tcPr>
            <w:tcW w:w="49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790962ED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782518AD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30AB58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02A2A9B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B15BC4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B1A57C7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D4056C" w14:paraId="485ECDB0" w14:textId="77777777" w:rsidTr="00D4056C">
        <w:trPr>
          <w:trHeight w:val="481"/>
        </w:trPr>
        <w:tc>
          <w:tcPr>
            <w:tcW w:w="202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F59D9D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04AC81A2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68F5D60D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21A563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7D299B0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5EBCCC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E7D9901" w14:textId="77777777" w:rsidR="00D4056C" w:rsidRPr="00594FAC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D4056C" w14:paraId="4DDB40D6" w14:textId="77777777" w:rsidTr="00D4056C">
        <w:trPr>
          <w:trHeight w:val="350"/>
        </w:trPr>
        <w:tc>
          <w:tcPr>
            <w:tcW w:w="202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05C4C2" w14:textId="77777777" w:rsidR="00D4056C" w:rsidRPr="00774B69" w:rsidRDefault="00D4056C" w:rsidP="004A6189">
            <w:pPr>
              <w:pStyle w:val="FootnoteText"/>
              <w:tabs>
                <w:tab w:val="left" w:pos="180"/>
              </w:tabs>
              <w:rPr>
                <w:rFonts w:ascii="Calibri" w:hAnsi="Calibri" w:cs="Arial"/>
                <w:b/>
                <w:color w:val="7F7F7F" w:themeColor="text1" w:themeTint="80"/>
                <w:sz w:val="18"/>
                <w:szCs w:val="18"/>
              </w:rPr>
            </w:pPr>
            <w:r w:rsidRPr="00774B69">
              <w:rPr>
                <w:rFonts w:ascii="Calibri" w:hAnsi="Calibri" w:cs="Arial"/>
                <w:b/>
                <w:color w:val="7F7F7F" w:themeColor="text1" w:themeTint="80"/>
                <w:sz w:val="18"/>
                <w:szCs w:val="18"/>
              </w:rPr>
              <w:t>Total</w:t>
            </w:r>
          </w:p>
        </w:tc>
        <w:tc>
          <w:tcPr>
            <w:tcW w:w="49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105A2EEE" w14:textId="77777777" w:rsidR="00D4056C" w:rsidRPr="00594FAC" w:rsidRDefault="00D4056C" w:rsidP="004A6189">
            <w:pPr>
              <w:spacing w:line="276" w:lineRule="auto"/>
              <w:rPr>
                <w:rFonts w:ascii="Calibri" w:eastAsia="Times New Roman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6EC71C07" w14:textId="77777777" w:rsidR="00D4056C" w:rsidRPr="00594FAC" w:rsidRDefault="00D4056C" w:rsidP="004A6189">
            <w:pPr>
              <w:spacing w:line="276" w:lineRule="auto"/>
              <w:rPr>
                <w:rFonts w:ascii="Calibri" w:eastAsia="Times New Roman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8B21E4" w14:textId="77777777" w:rsidR="00D4056C" w:rsidRPr="00594FAC" w:rsidRDefault="00D4056C" w:rsidP="004A6189">
            <w:pPr>
              <w:spacing w:line="276" w:lineRule="auto"/>
              <w:rPr>
                <w:rFonts w:ascii="Calibri" w:eastAsia="Times New Roman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FA010A7" w14:textId="77777777" w:rsidR="00D4056C" w:rsidRPr="00594FAC" w:rsidRDefault="00D4056C" w:rsidP="004A6189">
            <w:pPr>
              <w:spacing w:line="276" w:lineRule="auto"/>
              <w:rPr>
                <w:rFonts w:ascii="Calibri" w:eastAsia="Times New Roman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ABB4EE" w14:textId="77777777" w:rsidR="00D4056C" w:rsidRPr="00594FAC" w:rsidRDefault="00D4056C" w:rsidP="004A6189">
            <w:pPr>
              <w:spacing w:line="276" w:lineRule="auto"/>
              <w:rPr>
                <w:rFonts w:ascii="Calibri" w:eastAsia="Times New Roman" w:hAnsi="Calibri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848D545" w14:textId="77777777" w:rsidR="00D4056C" w:rsidRPr="00594FAC" w:rsidRDefault="00D4056C" w:rsidP="004A6189">
            <w:pPr>
              <w:spacing w:line="276" w:lineRule="auto"/>
              <w:rPr>
                <w:rFonts w:ascii="Calibri" w:eastAsia="Times New Roman" w:hAnsi="Calibri" w:cs="Arial"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6F532E0E" w14:textId="77777777" w:rsidR="001E4851" w:rsidRDefault="001E4851"/>
    <w:p w14:paraId="651AB789" w14:textId="77777777" w:rsidR="00AC386D" w:rsidRDefault="00AC386D"/>
    <w:p w14:paraId="4CFFE4B3" w14:textId="77777777" w:rsidR="00A17262" w:rsidRDefault="00A17262"/>
    <w:p w14:paraId="0FF59061" w14:textId="77777777" w:rsidR="00082221" w:rsidRDefault="00082221">
      <w:pPr>
        <w:sectPr w:rsidR="00082221" w:rsidSect="0093476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AB09B8C" w14:textId="77777777" w:rsidR="00153E40" w:rsidRDefault="00153E40"/>
    <w:p w14:paraId="444C408C" w14:textId="77777777" w:rsidR="001E4851" w:rsidRPr="00153E40" w:rsidRDefault="00153E40">
      <w:pPr>
        <w:rPr>
          <w:b/>
        </w:rPr>
      </w:pPr>
      <w:r w:rsidRPr="00153E40">
        <w:rPr>
          <w:b/>
        </w:rPr>
        <w:t>Annex 1. List of Sectors</w:t>
      </w:r>
    </w:p>
    <w:p w14:paraId="3C5509E9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Agriculture, Fishing and Forestry</w:t>
      </w:r>
    </w:p>
    <w:p w14:paraId="2569FB53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Education</w:t>
      </w:r>
    </w:p>
    <w:p w14:paraId="6DDB6429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Energy and Extractives</w:t>
      </w:r>
    </w:p>
    <w:p w14:paraId="149E5DE7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Financial Sector</w:t>
      </w:r>
    </w:p>
    <w:p w14:paraId="1A8514B4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Health</w:t>
      </w:r>
    </w:p>
    <w:p w14:paraId="7E77F030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Industry, Trade and Services</w:t>
      </w:r>
    </w:p>
    <w:p w14:paraId="5A46677C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Information and communications technologies</w:t>
      </w:r>
    </w:p>
    <w:p w14:paraId="59FCD83C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Public Administration</w:t>
      </w:r>
    </w:p>
    <w:p w14:paraId="54006DFB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Social Protection</w:t>
      </w:r>
    </w:p>
    <w:p w14:paraId="2F881D83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Transportation</w:t>
      </w:r>
    </w:p>
    <w:p w14:paraId="13E0F093" w14:textId="77777777" w:rsidR="00153E40" w:rsidRDefault="00153E40" w:rsidP="00153E40">
      <w:pPr>
        <w:pStyle w:val="ListParagraph"/>
        <w:numPr>
          <w:ilvl w:val="0"/>
          <w:numId w:val="1"/>
        </w:numPr>
      </w:pPr>
      <w:r>
        <w:t>Water, Sanitation and Waste Management</w:t>
      </w:r>
    </w:p>
    <w:p w14:paraId="377A03E8" w14:textId="77777777" w:rsidR="00153E40" w:rsidRDefault="00153E40">
      <w:r>
        <w:br w:type="page"/>
      </w:r>
    </w:p>
    <w:p w14:paraId="43C0108A" w14:textId="77777777" w:rsidR="00F44717" w:rsidRPr="00153E40" w:rsidRDefault="00F44717" w:rsidP="00F44717">
      <w:pPr>
        <w:rPr>
          <w:b/>
        </w:rPr>
      </w:pPr>
      <w:r w:rsidRPr="00153E40">
        <w:rPr>
          <w:b/>
        </w:rPr>
        <w:lastRenderedPageBreak/>
        <w:t>Annex 2: List of client countries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4"/>
        <w:gridCol w:w="2128"/>
        <w:gridCol w:w="2109"/>
        <w:gridCol w:w="2629"/>
      </w:tblGrid>
      <w:tr w:rsidR="00F44717" w:rsidRPr="00DC071B" w14:paraId="0EF00E30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3A4748FD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Afghanistan</w:t>
            </w:r>
          </w:p>
        </w:tc>
        <w:tc>
          <w:tcPr>
            <w:tcW w:w="1150" w:type="pct"/>
            <w:noWrap/>
            <w:hideMark/>
          </w:tcPr>
          <w:p w14:paraId="5BC7D6FE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Ecuador</w:t>
            </w:r>
          </w:p>
        </w:tc>
        <w:tc>
          <w:tcPr>
            <w:tcW w:w="1215" w:type="pct"/>
            <w:noWrap/>
            <w:hideMark/>
          </w:tcPr>
          <w:p w14:paraId="1C8FBA3F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Madagascar</w:t>
            </w:r>
          </w:p>
        </w:tc>
        <w:tc>
          <w:tcPr>
            <w:tcW w:w="1421" w:type="pct"/>
            <w:noWrap/>
            <w:hideMark/>
          </w:tcPr>
          <w:p w14:paraId="50E8D2E9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Sierra Leone</w:t>
            </w:r>
          </w:p>
        </w:tc>
      </w:tr>
      <w:tr w:rsidR="00F44717" w:rsidRPr="00DC071B" w14:paraId="2EEB622D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2A5CFD3D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Albania</w:t>
            </w:r>
          </w:p>
        </w:tc>
        <w:tc>
          <w:tcPr>
            <w:tcW w:w="1150" w:type="pct"/>
            <w:noWrap/>
            <w:hideMark/>
          </w:tcPr>
          <w:p w14:paraId="4C6BD0AC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Egypt, Arab Republic of</w:t>
            </w:r>
          </w:p>
        </w:tc>
        <w:tc>
          <w:tcPr>
            <w:tcW w:w="1215" w:type="pct"/>
            <w:noWrap/>
            <w:hideMark/>
          </w:tcPr>
          <w:p w14:paraId="5F31233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Malawi</w:t>
            </w:r>
          </w:p>
        </w:tc>
        <w:tc>
          <w:tcPr>
            <w:tcW w:w="1421" w:type="pct"/>
            <w:noWrap/>
            <w:hideMark/>
          </w:tcPr>
          <w:p w14:paraId="7B20A87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Slovak Republic</w:t>
            </w:r>
          </w:p>
        </w:tc>
      </w:tr>
      <w:tr w:rsidR="00F44717" w:rsidRPr="00DC071B" w14:paraId="08ED3A6A" w14:textId="77777777" w:rsidTr="005A5439">
        <w:trPr>
          <w:trHeight w:val="288"/>
        </w:trPr>
        <w:tc>
          <w:tcPr>
            <w:tcW w:w="1214" w:type="pct"/>
            <w:noWrap/>
          </w:tcPr>
          <w:p w14:paraId="172231E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Algeria</w:t>
            </w:r>
          </w:p>
        </w:tc>
        <w:tc>
          <w:tcPr>
            <w:tcW w:w="1150" w:type="pct"/>
            <w:noWrap/>
          </w:tcPr>
          <w:p w14:paraId="15E0ADA1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El Salvador</w:t>
            </w:r>
          </w:p>
        </w:tc>
        <w:tc>
          <w:tcPr>
            <w:tcW w:w="1215" w:type="pct"/>
            <w:noWrap/>
          </w:tcPr>
          <w:p w14:paraId="6771BCFF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Malaysia</w:t>
            </w:r>
          </w:p>
        </w:tc>
        <w:tc>
          <w:tcPr>
            <w:tcW w:w="1421" w:type="pct"/>
            <w:noWrap/>
          </w:tcPr>
          <w:p w14:paraId="116C75BB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Slovenia</w:t>
            </w:r>
          </w:p>
        </w:tc>
      </w:tr>
      <w:tr w:rsidR="00F44717" w:rsidRPr="00DC071B" w14:paraId="343E2436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0FE69FD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Angola</w:t>
            </w:r>
          </w:p>
        </w:tc>
        <w:tc>
          <w:tcPr>
            <w:tcW w:w="1150" w:type="pct"/>
            <w:noWrap/>
            <w:hideMark/>
          </w:tcPr>
          <w:p w14:paraId="1D8DEE51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Equatorial Guinea</w:t>
            </w:r>
          </w:p>
        </w:tc>
        <w:tc>
          <w:tcPr>
            <w:tcW w:w="1215" w:type="pct"/>
            <w:noWrap/>
            <w:hideMark/>
          </w:tcPr>
          <w:p w14:paraId="68FC67A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Maldives</w:t>
            </w:r>
          </w:p>
        </w:tc>
        <w:tc>
          <w:tcPr>
            <w:tcW w:w="1421" w:type="pct"/>
            <w:noWrap/>
            <w:hideMark/>
          </w:tcPr>
          <w:p w14:paraId="36213D6C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Solomon Islands</w:t>
            </w:r>
          </w:p>
        </w:tc>
      </w:tr>
      <w:tr w:rsidR="00F44717" w:rsidRPr="00DC071B" w14:paraId="71B9EAE6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4F000C80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Antigua and Barbuda</w:t>
            </w:r>
          </w:p>
        </w:tc>
        <w:tc>
          <w:tcPr>
            <w:tcW w:w="1150" w:type="pct"/>
            <w:noWrap/>
            <w:hideMark/>
          </w:tcPr>
          <w:p w14:paraId="4FEC5F0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Eritrea</w:t>
            </w:r>
          </w:p>
        </w:tc>
        <w:tc>
          <w:tcPr>
            <w:tcW w:w="1215" w:type="pct"/>
            <w:noWrap/>
            <w:hideMark/>
          </w:tcPr>
          <w:p w14:paraId="3A06187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Mali</w:t>
            </w:r>
          </w:p>
        </w:tc>
        <w:tc>
          <w:tcPr>
            <w:tcW w:w="1421" w:type="pct"/>
            <w:noWrap/>
            <w:hideMark/>
          </w:tcPr>
          <w:p w14:paraId="16E531F3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Somalia</w:t>
            </w:r>
          </w:p>
        </w:tc>
      </w:tr>
      <w:tr w:rsidR="00F44717" w:rsidRPr="00DC071B" w14:paraId="4FDA8B7E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04757F88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Argentina</w:t>
            </w:r>
          </w:p>
        </w:tc>
        <w:tc>
          <w:tcPr>
            <w:tcW w:w="1150" w:type="pct"/>
            <w:noWrap/>
            <w:hideMark/>
          </w:tcPr>
          <w:p w14:paraId="2AAA2F31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Estonia</w:t>
            </w:r>
          </w:p>
        </w:tc>
        <w:tc>
          <w:tcPr>
            <w:tcW w:w="1215" w:type="pct"/>
            <w:noWrap/>
            <w:hideMark/>
          </w:tcPr>
          <w:p w14:paraId="5DE139C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Marshall Islands</w:t>
            </w:r>
          </w:p>
        </w:tc>
        <w:tc>
          <w:tcPr>
            <w:tcW w:w="1421" w:type="pct"/>
            <w:noWrap/>
            <w:hideMark/>
          </w:tcPr>
          <w:p w14:paraId="24724C01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South Africa</w:t>
            </w:r>
          </w:p>
        </w:tc>
      </w:tr>
      <w:tr w:rsidR="00F44717" w:rsidRPr="00DC071B" w14:paraId="23BB58F5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0E264568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Armenia</w:t>
            </w:r>
          </w:p>
        </w:tc>
        <w:tc>
          <w:tcPr>
            <w:tcW w:w="1150" w:type="pct"/>
            <w:noWrap/>
            <w:hideMark/>
          </w:tcPr>
          <w:p w14:paraId="6D41581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Ethiopia</w:t>
            </w:r>
          </w:p>
        </w:tc>
        <w:tc>
          <w:tcPr>
            <w:tcW w:w="1215" w:type="pct"/>
            <w:noWrap/>
            <w:hideMark/>
          </w:tcPr>
          <w:p w14:paraId="7EDD0B6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Mauritania</w:t>
            </w:r>
          </w:p>
        </w:tc>
        <w:tc>
          <w:tcPr>
            <w:tcW w:w="1421" w:type="pct"/>
            <w:noWrap/>
            <w:hideMark/>
          </w:tcPr>
          <w:p w14:paraId="010B25F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South Sudan</w:t>
            </w:r>
          </w:p>
        </w:tc>
      </w:tr>
      <w:tr w:rsidR="00F44717" w:rsidRPr="00DC071B" w14:paraId="19987EEE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655070A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Azerbaijan</w:t>
            </w:r>
          </w:p>
        </w:tc>
        <w:tc>
          <w:tcPr>
            <w:tcW w:w="1150" w:type="pct"/>
            <w:noWrap/>
            <w:hideMark/>
          </w:tcPr>
          <w:p w14:paraId="59FE2D6A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Fiji</w:t>
            </w:r>
          </w:p>
        </w:tc>
        <w:tc>
          <w:tcPr>
            <w:tcW w:w="1215" w:type="pct"/>
            <w:noWrap/>
            <w:hideMark/>
          </w:tcPr>
          <w:p w14:paraId="072117F9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Mauritius</w:t>
            </w:r>
          </w:p>
        </w:tc>
        <w:tc>
          <w:tcPr>
            <w:tcW w:w="1421" w:type="pct"/>
            <w:noWrap/>
            <w:hideMark/>
          </w:tcPr>
          <w:p w14:paraId="1BA1647B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Sri Lanka</w:t>
            </w:r>
          </w:p>
        </w:tc>
      </w:tr>
      <w:tr w:rsidR="00F44717" w:rsidRPr="00DC071B" w14:paraId="55E20904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0A4A2570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Bangladesh</w:t>
            </w:r>
          </w:p>
        </w:tc>
        <w:tc>
          <w:tcPr>
            <w:tcW w:w="1150" w:type="pct"/>
            <w:noWrap/>
            <w:hideMark/>
          </w:tcPr>
          <w:p w14:paraId="598AFD4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Gabon</w:t>
            </w:r>
          </w:p>
        </w:tc>
        <w:tc>
          <w:tcPr>
            <w:tcW w:w="1215" w:type="pct"/>
            <w:noWrap/>
            <w:hideMark/>
          </w:tcPr>
          <w:p w14:paraId="44233A20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Mexico</w:t>
            </w:r>
          </w:p>
        </w:tc>
        <w:tc>
          <w:tcPr>
            <w:tcW w:w="1421" w:type="pct"/>
            <w:noWrap/>
            <w:hideMark/>
          </w:tcPr>
          <w:p w14:paraId="1679B359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St. Kitts and Nevis</w:t>
            </w:r>
          </w:p>
        </w:tc>
      </w:tr>
      <w:tr w:rsidR="00F44717" w:rsidRPr="00DC071B" w14:paraId="76245A5E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5B80B45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Barbuda</w:t>
            </w:r>
          </w:p>
        </w:tc>
        <w:tc>
          <w:tcPr>
            <w:tcW w:w="1150" w:type="pct"/>
            <w:noWrap/>
            <w:hideMark/>
          </w:tcPr>
          <w:p w14:paraId="73928DC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Pr="00DC071B">
              <w:rPr>
                <w:sz w:val="20"/>
                <w:szCs w:val="20"/>
              </w:rPr>
              <w:t>Gambia</w:t>
            </w:r>
          </w:p>
        </w:tc>
        <w:tc>
          <w:tcPr>
            <w:tcW w:w="1215" w:type="pct"/>
            <w:noWrap/>
            <w:hideMark/>
          </w:tcPr>
          <w:p w14:paraId="5855B28E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Micronesia, Fed. Sts. Of</w:t>
            </w:r>
          </w:p>
        </w:tc>
        <w:tc>
          <w:tcPr>
            <w:tcW w:w="1421" w:type="pct"/>
            <w:noWrap/>
            <w:hideMark/>
          </w:tcPr>
          <w:p w14:paraId="6AAFD251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St. Lucia</w:t>
            </w:r>
          </w:p>
        </w:tc>
      </w:tr>
      <w:tr w:rsidR="00F44717" w:rsidRPr="00DC071B" w14:paraId="24EF3E32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6BABCC6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Belarus</w:t>
            </w:r>
          </w:p>
        </w:tc>
        <w:tc>
          <w:tcPr>
            <w:tcW w:w="1150" w:type="pct"/>
            <w:noWrap/>
            <w:hideMark/>
          </w:tcPr>
          <w:p w14:paraId="38CD2F7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Georgia</w:t>
            </w:r>
          </w:p>
        </w:tc>
        <w:tc>
          <w:tcPr>
            <w:tcW w:w="1215" w:type="pct"/>
            <w:noWrap/>
            <w:hideMark/>
          </w:tcPr>
          <w:p w14:paraId="32A2839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Moldova</w:t>
            </w:r>
          </w:p>
        </w:tc>
        <w:tc>
          <w:tcPr>
            <w:tcW w:w="1421" w:type="pct"/>
            <w:noWrap/>
            <w:hideMark/>
          </w:tcPr>
          <w:p w14:paraId="1F9EAA1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St. Vincent and the Grenadine</w:t>
            </w:r>
          </w:p>
        </w:tc>
      </w:tr>
      <w:tr w:rsidR="00F44717" w:rsidRPr="00DC071B" w14:paraId="1D1C4D04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0931CCD9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Belize</w:t>
            </w:r>
          </w:p>
        </w:tc>
        <w:tc>
          <w:tcPr>
            <w:tcW w:w="1150" w:type="pct"/>
            <w:noWrap/>
            <w:hideMark/>
          </w:tcPr>
          <w:p w14:paraId="568C5BA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Ghana</w:t>
            </w:r>
          </w:p>
        </w:tc>
        <w:tc>
          <w:tcPr>
            <w:tcW w:w="1215" w:type="pct"/>
            <w:noWrap/>
            <w:hideMark/>
          </w:tcPr>
          <w:p w14:paraId="61A4DFB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Mongolia</w:t>
            </w:r>
          </w:p>
        </w:tc>
        <w:tc>
          <w:tcPr>
            <w:tcW w:w="1421" w:type="pct"/>
            <w:noWrap/>
            <w:hideMark/>
          </w:tcPr>
          <w:p w14:paraId="0D269B31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Sudan</w:t>
            </w:r>
          </w:p>
        </w:tc>
      </w:tr>
      <w:tr w:rsidR="00F44717" w:rsidRPr="00DC071B" w14:paraId="77756A4B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61C35E5B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Benin</w:t>
            </w:r>
          </w:p>
        </w:tc>
        <w:tc>
          <w:tcPr>
            <w:tcW w:w="1150" w:type="pct"/>
            <w:noWrap/>
            <w:hideMark/>
          </w:tcPr>
          <w:p w14:paraId="1F07A2FA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Grenada</w:t>
            </w:r>
          </w:p>
        </w:tc>
        <w:tc>
          <w:tcPr>
            <w:tcW w:w="1215" w:type="pct"/>
            <w:noWrap/>
            <w:hideMark/>
          </w:tcPr>
          <w:p w14:paraId="0304031A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Montenegro</w:t>
            </w:r>
          </w:p>
        </w:tc>
        <w:tc>
          <w:tcPr>
            <w:tcW w:w="1421" w:type="pct"/>
            <w:noWrap/>
            <w:hideMark/>
          </w:tcPr>
          <w:p w14:paraId="4BF7AB5A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Suriname</w:t>
            </w:r>
          </w:p>
        </w:tc>
      </w:tr>
      <w:tr w:rsidR="00F44717" w:rsidRPr="00DC071B" w14:paraId="5C122D3F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6E7BC4D7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Bhutan</w:t>
            </w:r>
          </w:p>
        </w:tc>
        <w:tc>
          <w:tcPr>
            <w:tcW w:w="1150" w:type="pct"/>
            <w:noWrap/>
            <w:hideMark/>
          </w:tcPr>
          <w:p w14:paraId="1D3B6737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Guatemala</w:t>
            </w:r>
          </w:p>
        </w:tc>
        <w:tc>
          <w:tcPr>
            <w:tcW w:w="1215" w:type="pct"/>
            <w:noWrap/>
            <w:hideMark/>
          </w:tcPr>
          <w:p w14:paraId="0AF36D3E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Morocco</w:t>
            </w:r>
          </w:p>
        </w:tc>
        <w:tc>
          <w:tcPr>
            <w:tcW w:w="1421" w:type="pct"/>
            <w:noWrap/>
            <w:hideMark/>
          </w:tcPr>
          <w:p w14:paraId="37B2A93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Swaziland</w:t>
            </w:r>
          </w:p>
        </w:tc>
      </w:tr>
      <w:tr w:rsidR="00F44717" w:rsidRPr="00DC071B" w14:paraId="7EA62CC6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405E9F4E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Bolivia</w:t>
            </w:r>
          </w:p>
        </w:tc>
        <w:tc>
          <w:tcPr>
            <w:tcW w:w="1150" w:type="pct"/>
            <w:noWrap/>
            <w:hideMark/>
          </w:tcPr>
          <w:p w14:paraId="09124FE0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Guinea</w:t>
            </w:r>
          </w:p>
        </w:tc>
        <w:tc>
          <w:tcPr>
            <w:tcW w:w="1215" w:type="pct"/>
            <w:noWrap/>
            <w:hideMark/>
          </w:tcPr>
          <w:p w14:paraId="1E8F045E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Mozambique</w:t>
            </w:r>
          </w:p>
        </w:tc>
        <w:tc>
          <w:tcPr>
            <w:tcW w:w="1421" w:type="pct"/>
            <w:noWrap/>
            <w:hideMark/>
          </w:tcPr>
          <w:p w14:paraId="6FA7424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Syrian Arab Republic</w:t>
            </w:r>
          </w:p>
        </w:tc>
      </w:tr>
      <w:tr w:rsidR="00F44717" w:rsidRPr="00DC071B" w14:paraId="4BACE6A6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4810B4B8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Bosnia and Herzegovina</w:t>
            </w:r>
          </w:p>
        </w:tc>
        <w:tc>
          <w:tcPr>
            <w:tcW w:w="1150" w:type="pct"/>
            <w:noWrap/>
            <w:hideMark/>
          </w:tcPr>
          <w:p w14:paraId="43F1DC5F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Guinea-Bissau</w:t>
            </w:r>
          </w:p>
        </w:tc>
        <w:tc>
          <w:tcPr>
            <w:tcW w:w="1215" w:type="pct"/>
            <w:noWrap/>
            <w:hideMark/>
          </w:tcPr>
          <w:p w14:paraId="30A00713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Myanmar</w:t>
            </w:r>
          </w:p>
        </w:tc>
        <w:tc>
          <w:tcPr>
            <w:tcW w:w="1421" w:type="pct"/>
            <w:noWrap/>
            <w:hideMark/>
          </w:tcPr>
          <w:p w14:paraId="063C2039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Tajikistan</w:t>
            </w:r>
          </w:p>
        </w:tc>
      </w:tr>
      <w:tr w:rsidR="00F44717" w:rsidRPr="00DC071B" w14:paraId="47A5B2F2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4319542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Botswana</w:t>
            </w:r>
          </w:p>
        </w:tc>
        <w:tc>
          <w:tcPr>
            <w:tcW w:w="1150" w:type="pct"/>
            <w:noWrap/>
            <w:hideMark/>
          </w:tcPr>
          <w:p w14:paraId="3DBD706C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Guyana</w:t>
            </w:r>
          </w:p>
        </w:tc>
        <w:tc>
          <w:tcPr>
            <w:tcW w:w="1215" w:type="pct"/>
            <w:noWrap/>
            <w:hideMark/>
          </w:tcPr>
          <w:p w14:paraId="278EB16F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Namibia</w:t>
            </w:r>
          </w:p>
        </w:tc>
        <w:tc>
          <w:tcPr>
            <w:tcW w:w="1421" w:type="pct"/>
            <w:noWrap/>
            <w:hideMark/>
          </w:tcPr>
          <w:p w14:paraId="2839ACC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Tanzania</w:t>
            </w:r>
          </w:p>
        </w:tc>
      </w:tr>
      <w:tr w:rsidR="00F44717" w:rsidRPr="00DC071B" w14:paraId="500352CF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3ACEBC4A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Brazil</w:t>
            </w:r>
          </w:p>
        </w:tc>
        <w:tc>
          <w:tcPr>
            <w:tcW w:w="1150" w:type="pct"/>
            <w:noWrap/>
            <w:hideMark/>
          </w:tcPr>
          <w:p w14:paraId="281A3C93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Haiti</w:t>
            </w:r>
          </w:p>
        </w:tc>
        <w:tc>
          <w:tcPr>
            <w:tcW w:w="1215" w:type="pct"/>
            <w:noWrap/>
            <w:hideMark/>
          </w:tcPr>
          <w:p w14:paraId="1192972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Nauru</w:t>
            </w:r>
          </w:p>
        </w:tc>
        <w:tc>
          <w:tcPr>
            <w:tcW w:w="1421" w:type="pct"/>
            <w:noWrap/>
            <w:hideMark/>
          </w:tcPr>
          <w:p w14:paraId="3FBCFB59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Thailand</w:t>
            </w:r>
          </w:p>
        </w:tc>
      </w:tr>
      <w:tr w:rsidR="00F44717" w:rsidRPr="00DC071B" w14:paraId="1C61210D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2A8CA1FF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Bulgaria</w:t>
            </w:r>
          </w:p>
        </w:tc>
        <w:tc>
          <w:tcPr>
            <w:tcW w:w="1150" w:type="pct"/>
            <w:noWrap/>
            <w:hideMark/>
          </w:tcPr>
          <w:p w14:paraId="702F827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Honduras</w:t>
            </w:r>
          </w:p>
        </w:tc>
        <w:tc>
          <w:tcPr>
            <w:tcW w:w="1215" w:type="pct"/>
            <w:noWrap/>
            <w:hideMark/>
          </w:tcPr>
          <w:p w14:paraId="69ACC600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Nepal</w:t>
            </w:r>
          </w:p>
        </w:tc>
        <w:tc>
          <w:tcPr>
            <w:tcW w:w="1421" w:type="pct"/>
            <w:noWrap/>
            <w:hideMark/>
          </w:tcPr>
          <w:p w14:paraId="2434E5D0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Timor-Leste</w:t>
            </w:r>
          </w:p>
        </w:tc>
      </w:tr>
      <w:tr w:rsidR="00F44717" w:rsidRPr="00DC071B" w14:paraId="0E787A07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553DA3F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Burkina Faso</w:t>
            </w:r>
          </w:p>
        </w:tc>
        <w:tc>
          <w:tcPr>
            <w:tcW w:w="1150" w:type="pct"/>
            <w:noWrap/>
            <w:hideMark/>
          </w:tcPr>
          <w:p w14:paraId="38C76BE8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Hungary</w:t>
            </w:r>
          </w:p>
        </w:tc>
        <w:tc>
          <w:tcPr>
            <w:tcW w:w="1215" w:type="pct"/>
            <w:noWrap/>
            <w:hideMark/>
          </w:tcPr>
          <w:p w14:paraId="558379D3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Nicaragua</w:t>
            </w:r>
          </w:p>
        </w:tc>
        <w:tc>
          <w:tcPr>
            <w:tcW w:w="1421" w:type="pct"/>
            <w:noWrap/>
            <w:hideMark/>
          </w:tcPr>
          <w:p w14:paraId="2FE565A0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Togo</w:t>
            </w:r>
          </w:p>
        </w:tc>
      </w:tr>
      <w:tr w:rsidR="00F44717" w:rsidRPr="00DC071B" w14:paraId="11244956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3EEE1C49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Burundi</w:t>
            </w:r>
          </w:p>
        </w:tc>
        <w:tc>
          <w:tcPr>
            <w:tcW w:w="1150" w:type="pct"/>
            <w:noWrap/>
            <w:hideMark/>
          </w:tcPr>
          <w:p w14:paraId="4FBFE9C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India</w:t>
            </w:r>
          </w:p>
        </w:tc>
        <w:tc>
          <w:tcPr>
            <w:tcW w:w="1215" w:type="pct"/>
            <w:noWrap/>
            <w:hideMark/>
          </w:tcPr>
          <w:p w14:paraId="10780ED3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Niger</w:t>
            </w:r>
          </w:p>
        </w:tc>
        <w:tc>
          <w:tcPr>
            <w:tcW w:w="1421" w:type="pct"/>
            <w:noWrap/>
            <w:hideMark/>
          </w:tcPr>
          <w:p w14:paraId="68DD697A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Tonga</w:t>
            </w:r>
          </w:p>
        </w:tc>
      </w:tr>
      <w:tr w:rsidR="00F44717" w:rsidRPr="00DC071B" w14:paraId="5AAA6631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381E1DD1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Cabo Verde</w:t>
            </w:r>
          </w:p>
        </w:tc>
        <w:tc>
          <w:tcPr>
            <w:tcW w:w="1150" w:type="pct"/>
            <w:noWrap/>
            <w:hideMark/>
          </w:tcPr>
          <w:p w14:paraId="766AAFE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Indonesia</w:t>
            </w:r>
          </w:p>
        </w:tc>
        <w:tc>
          <w:tcPr>
            <w:tcW w:w="1215" w:type="pct"/>
            <w:noWrap/>
            <w:hideMark/>
          </w:tcPr>
          <w:p w14:paraId="75EABD47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Niger</w:t>
            </w:r>
            <w:r>
              <w:rPr>
                <w:sz w:val="20"/>
                <w:szCs w:val="20"/>
              </w:rPr>
              <w:t>ia</w:t>
            </w:r>
          </w:p>
        </w:tc>
        <w:tc>
          <w:tcPr>
            <w:tcW w:w="1421" w:type="pct"/>
            <w:noWrap/>
            <w:hideMark/>
          </w:tcPr>
          <w:p w14:paraId="496C4BF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Trinidad and Tobago</w:t>
            </w:r>
          </w:p>
        </w:tc>
      </w:tr>
      <w:tr w:rsidR="00F44717" w:rsidRPr="00DC071B" w14:paraId="17B47DE5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561F597D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Cambodia</w:t>
            </w:r>
          </w:p>
        </w:tc>
        <w:tc>
          <w:tcPr>
            <w:tcW w:w="1150" w:type="pct"/>
            <w:noWrap/>
            <w:hideMark/>
          </w:tcPr>
          <w:p w14:paraId="0BB8FBA3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Iran, Islamic Republic of</w:t>
            </w:r>
          </w:p>
        </w:tc>
        <w:tc>
          <w:tcPr>
            <w:tcW w:w="1215" w:type="pct"/>
            <w:noWrap/>
            <w:hideMark/>
          </w:tcPr>
          <w:p w14:paraId="529A4CEB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Pakistan</w:t>
            </w:r>
          </w:p>
        </w:tc>
        <w:tc>
          <w:tcPr>
            <w:tcW w:w="1421" w:type="pct"/>
            <w:noWrap/>
            <w:hideMark/>
          </w:tcPr>
          <w:p w14:paraId="0485AFC3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Tunisia</w:t>
            </w:r>
          </w:p>
        </w:tc>
      </w:tr>
      <w:tr w:rsidR="00F44717" w:rsidRPr="00DC071B" w14:paraId="1ADED012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024E7A8F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Cameroon</w:t>
            </w:r>
          </w:p>
        </w:tc>
        <w:tc>
          <w:tcPr>
            <w:tcW w:w="1150" w:type="pct"/>
            <w:noWrap/>
            <w:hideMark/>
          </w:tcPr>
          <w:p w14:paraId="17C0748D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Iraq</w:t>
            </w:r>
          </w:p>
        </w:tc>
        <w:tc>
          <w:tcPr>
            <w:tcW w:w="1215" w:type="pct"/>
            <w:noWrap/>
            <w:hideMark/>
          </w:tcPr>
          <w:p w14:paraId="4D440C5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Palau</w:t>
            </w:r>
          </w:p>
        </w:tc>
        <w:tc>
          <w:tcPr>
            <w:tcW w:w="1421" w:type="pct"/>
            <w:noWrap/>
            <w:hideMark/>
          </w:tcPr>
          <w:p w14:paraId="4699F1D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Turkey</w:t>
            </w:r>
          </w:p>
        </w:tc>
      </w:tr>
      <w:tr w:rsidR="00F44717" w:rsidRPr="00DC071B" w14:paraId="1AB0515E" w14:textId="77777777" w:rsidTr="005A5439">
        <w:trPr>
          <w:trHeight w:val="288"/>
        </w:trPr>
        <w:tc>
          <w:tcPr>
            <w:tcW w:w="1214" w:type="pct"/>
            <w:noWrap/>
          </w:tcPr>
          <w:p w14:paraId="70E100A7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Central African Republic</w:t>
            </w:r>
          </w:p>
        </w:tc>
        <w:tc>
          <w:tcPr>
            <w:tcW w:w="1150" w:type="pct"/>
            <w:noWrap/>
            <w:hideMark/>
          </w:tcPr>
          <w:p w14:paraId="02E2F6C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Jamaica</w:t>
            </w:r>
          </w:p>
        </w:tc>
        <w:tc>
          <w:tcPr>
            <w:tcW w:w="1215" w:type="pct"/>
            <w:noWrap/>
            <w:hideMark/>
          </w:tcPr>
          <w:p w14:paraId="5821667D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Panama</w:t>
            </w:r>
          </w:p>
        </w:tc>
        <w:tc>
          <w:tcPr>
            <w:tcW w:w="1421" w:type="pct"/>
            <w:noWrap/>
            <w:hideMark/>
          </w:tcPr>
          <w:p w14:paraId="1465A67A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Turkmenistan</w:t>
            </w:r>
          </w:p>
        </w:tc>
      </w:tr>
      <w:tr w:rsidR="00F44717" w:rsidRPr="00DC071B" w14:paraId="6A523010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792E3BB7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Chad</w:t>
            </w:r>
          </w:p>
        </w:tc>
        <w:tc>
          <w:tcPr>
            <w:tcW w:w="1150" w:type="pct"/>
            <w:noWrap/>
            <w:hideMark/>
          </w:tcPr>
          <w:p w14:paraId="7DB5E100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Jordan</w:t>
            </w:r>
          </w:p>
        </w:tc>
        <w:tc>
          <w:tcPr>
            <w:tcW w:w="1215" w:type="pct"/>
            <w:noWrap/>
            <w:hideMark/>
          </w:tcPr>
          <w:p w14:paraId="4585B137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Papua New Guinea</w:t>
            </w:r>
          </w:p>
        </w:tc>
        <w:tc>
          <w:tcPr>
            <w:tcW w:w="1421" w:type="pct"/>
            <w:noWrap/>
            <w:hideMark/>
          </w:tcPr>
          <w:p w14:paraId="34EC5A5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Tuvalu</w:t>
            </w:r>
          </w:p>
        </w:tc>
      </w:tr>
      <w:tr w:rsidR="00F44717" w:rsidRPr="00DC071B" w14:paraId="52946B21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6E0AD710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Chile</w:t>
            </w:r>
          </w:p>
        </w:tc>
        <w:tc>
          <w:tcPr>
            <w:tcW w:w="1150" w:type="pct"/>
            <w:noWrap/>
            <w:hideMark/>
          </w:tcPr>
          <w:p w14:paraId="30E96751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Kazakhstan</w:t>
            </w:r>
          </w:p>
        </w:tc>
        <w:tc>
          <w:tcPr>
            <w:tcW w:w="1215" w:type="pct"/>
            <w:noWrap/>
            <w:hideMark/>
          </w:tcPr>
          <w:p w14:paraId="052D547D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Paraguay</w:t>
            </w:r>
          </w:p>
        </w:tc>
        <w:tc>
          <w:tcPr>
            <w:tcW w:w="1421" w:type="pct"/>
            <w:noWrap/>
            <w:hideMark/>
          </w:tcPr>
          <w:p w14:paraId="370EEC8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Uganda</w:t>
            </w:r>
          </w:p>
        </w:tc>
      </w:tr>
      <w:tr w:rsidR="00F44717" w:rsidRPr="00DC071B" w14:paraId="67AC635C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22DEAF6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China</w:t>
            </w:r>
          </w:p>
        </w:tc>
        <w:tc>
          <w:tcPr>
            <w:tcW w:w="1150" w:type="pct"/>
            <w:noWrap/>
            <w:hideMark/>
          </w:tcPr>
          <w:p w14:paraId="53FBB0CC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Kenya</w:t>
            </w:r>
          </w:p>
        </w:tc>
        <w:tc>
          <w:tcPr>
            <w:tcW w:w="1215" w:type="pct"/>
            <w:noWrap/>
            <w:hideMark/>
          </w:tcPr>
          <w:p w14:paraId="79BA6CA7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Peru</w:t>
            </w:r>
          </w:p>
        </w:tc>
        <w:tc>
          <w:tcPr>
            <w:tcW w:w="1421" w:type="pct"/>
            <w:noWrap/>
            <w:hideMark/>
          </w:tcPr>
          <w:p w14:paraId="7FE74E1B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Ukraine</w:t>
            </w:r>
          </w:p>
        </w:tc>
      </w:tr>
      <w:tr w:rsidR="00F44717" w:rsidRPr="00DC071B" w14:paraId="6ECB5156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5B6C9C8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Colombia</w:t>
            </w:r>
          </w:p>
        </w:tc>
        <w:tc>
          <w:tcPr>
            <w:tcW w:w="1150" w:type="pct"/>
            <w:noWrap/>
            <w:hideMark/>
          </w:tcPr>
          <w:p w14:paraId="70BD0A21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Kiribati</w:t>
            </w:r>
          </w:p>
        </w:tc>
        <w:tc>
          <w:tcPr>
            <w:tcW w:w="1215" w:type="pct"/>
            <w:noWrap/>
            <w:hideMark/>
          </w:tcPr>
          <w:p w14:paraId="1F3A8B3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Philippines</w:t>
            </w:r>
          </w:p>
        </w:tc>
        <w:tc>
          <w:tcPr>
            <w:tcW w:w="1421" w:type="pct"/>
            <w:noWrap/>
            <w:hideMark/>
          </w:tcPr>
          <w:p w14:paraId="23FAFD1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Uruguay</w:t>
            </w:r>
          </w:p>
        </w:tc>
      </w:tr>
      <w:tr w:rsidR="00F44717" w:rsidRPr="00DC071B" w14:paraId="3E017603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08FC3A1F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Comoros</w:t>
            </w:r>
          </w:p>
        </w:tc>
        <w:tc>
          <w:tcPr>
            <w:tcW w:w="1150" w:type="pct"/>
            <w:noWrap/>
            <w:hideMark/>
          </w:tcPr>
          <w:p w14:paraId="4F4E5DB3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Kosovo, Republic of</w:t>
            </w:r>
          </w:p>
        </w:tc>
        <w:tc>
          <w:tcPr>
            <w:tcW w:w="1215" w:type="pct"/>
            <w:noWrap/>
            <w:hideMark/>
          </w:tcPr>
          <w:p w14:paraId="0C6D7CD7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Poland</w:t>
            </w:r>
          </w:p>
        </w:tc>
        <w:tc>
          <w:tcPr>
            <w:tcW w:w="1421" w:type="pct"/>
            <w:noWrap/>
            <w:hideMark/>
          </w:tcPr>
          <w:p w14:paraId="5F5AEB4B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Uzbekistan</w:t>
            </w:r>
          </w:p>
        </w:tc>
      </w:tr>
      <w:tr w:rsidR="00F44717" w:rsidRPr="00DC071B" w14:paraId="67FC2C77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59191BCB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Congo, Democratic Republic</w:t>
            </w:r>
          </w:p>
        </w:tc>
        <w:tc>
          <w:tcPr>
            <w:tcW w:w="1150" w:type="pct"/>
            <w:noWrap/>
            <w:hideMark/>
          </w:tcPr>
          <w:p w14:paraId="334C184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Kyrgyz Republic</w:t>
            </w:r>
          </w:p>
        </w:tc>
        <w:tc>
          <w:tcPr>
            <w:tcW w:w="1215" w:type="pct"/>
            <w:noWrap/>
            <w:hideMark/>
          </w:tcPr>
          <w:p w14:paraId="094B69D5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Romania</w:t>
            </w:r>
          </w:p>
        </w:tc>
        <w:tc>
          <w:tcPr>
            <w:tcW w:w="1421" w:type="pct"/>
            <w:noWrap/>
            <w:hideMark/>
          </w:tcPr>
          <w:p w14:paraId="2D27B94B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Vanuatu</w:t>
            </w:r>
          </w:p>
        </w:tc>
      </w:tr>
      <w:tr w:rsidR="00F44717" w:rsidRPr="00DC071B" w14:paraId="5E3042DA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5042B03D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Congo, Republic of</w:t>
            </w:r>
          </w:p>
        </w:tc>
        <w:tc>
          <w:tcPr>
            <w:tcW w:w="1150" w:type="pct"/>
            <w:noWrap/>
            <w:hideMark/>
          </w:tcPr>
          <w:p w14:paraId="296FFA4A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Lao PDR</w:t>
            </w:r>
          </w:p>
        </w:tc>
        <w:tc>
          <w:tcPr>
            <w:tcW w:w="1215" w:type="pct"/>
            <w:noWrap/>
            <w:hideMark/>
          </w:tcPr>
          <w:p w14:paraId="47E1B27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Russian Federation</w:t>
            </w:r>
          </w:p>
        </w:tc>
        <w:tc>
          <w:tcPr>
            <w:tcW w:w="1421" w:type="pct"/>
            <w:noWrap/>
            <w:hideMark/>
          </w:tcPr>
          <w:p w14:paraId="388840F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Venezuela, RB de</w:t>
            </w:r>
          </w:p>
        </w:tc>
      </w:tr>
      <w:tr w:rsidR="00F44717" w:rsidRPr="00DC071B" w14:paraId="244F7D0D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7C81953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Costa Rica</w:t>
            </w:r>
          </w:p>
        </w:tc>
        <w:tc>
          <w:tcPr>
            <w:tcW w:w="1150" w:type="pct"/>
            <w:noWrap/>
            <w:hideMark/>
          </w:tcPr>
          <w:p w14:paraId="124627AA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Latvia</w:t>
            </w:r>
          </w:p>
        </w:tc>
        <w:tc>
          <w:tcPr>
            <w:tcW w:w="1215" w:type="pct"/>
            <w:noWrap/>
            <w:hideMark/>
          </w:tcPr>
          <w:p w14:paraId="286C5FBA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Rwanda</w:t>
            </w:r>
          </w:p>
        </w:tc>
        <w:tc>
          <w:tcPr>
            <w:tcW w:w="1421" w:type="pct"/>
            <w:noWrap/>
            <w:hideMark/>
          </w:tcPr>
          <w:p w14:paraId="60A13A89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Vietnam</w:t>
            </w:r>
          </w:p>
        </w:tc>
      </w:tr>
      <w:tr w:rsidR="00F44717" w:rsidRPr="00DC071B" w14:paraId="262D7AA4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187D290D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Cote d'Ivoire</w:t>
            </w:r>
          </w:p>
        </w:tc>
        <w:tc>
          <w:tcPr>
            <w:tcW w:w="1150" w:type="pct"/>
            <w:noWrap/>
            <w:hideMark/>
          </w:tcPr>
          <w:p w14:paraId="149C9C96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Lebanon</w:t>
            </w:r>
          </w:p>
        </w:tc>
        <w:tc>
          <w:tcPr>
            <w:tcW w:w="1215" w:type="pct"/>
            <w:noWrap/>
            <w:hideMark/>
          </w:tcPr>
          <w:p w14:paraId="572FD732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Samoa</w:t>
            </w:r>
          </w:p>
        </w:tc>
        <w:tc>
          <w:tcPr>
            <w:tcW w:w="1421" w:type="pct"/>
            <w:noWrap/>
            <w:hideMark/>
          </w:tcPr>
          <w:p w14:paraId="615F758D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Yemen, Republic of</w:t>
            </w:r>
          </w:p>
        </w:tc>
      </w:tr>
      <w:tr w:rsidR="00F44717" w:rsidRPr="00DC071B" w14:paraId="1FDC9899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39C6A5F1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Croatia</w:t>
            </w:r>
          </w:p>
        </w:tc>
        <w:tc>
          <w:tcPr>
            <w:tcW w:w="1150" w:type="pct"/>
            <w:noWrap/>
            <w:hideMark/>
          </w:tcPr>
          <w:p w14:paraId="14D8E98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Lesotho</w:t>
            </w:r>
          </w:p>
        </w:tc>
        <w:tc>
          <w:tcPr>
            <w:tcW w:w="1215" w:type="pct"/>
            <w:noWrap/>
            <w:hideMark/>
          </w:tcPr>
          <w:p w14:paraId="6083340F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Sao Tome and Principe</w:t>
            </w:r>
          </w:p>
        </w:tc>
        <w:tc>
          <w:tcPr>
            <w:tcW w:w="1421" w:type="pct"/>
            <w:noWrap/>
            <w:hideMark/>
          </w:tcPr>
          <w:p w14:paraId="24710BC0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Zambia</w:t>
            </w:r>
          </w:p>
        </w:tc>
      </w:tr>
      <w:tr w:rsidR="00F44717" w:rsidRPr="00DC071B" w14:paraId="51052C2C" w14:textId="77777777" w:rsidTr="005A5439">
        <w:trPr>
          <w:trHeight w:val="288"/>
        </w:trPr>
        <w:tc>
          <w:tcPr>
            <w:tcW w:w="1214" w:type="pct"/>
            <w:noWrap/>
            <w:hideMark/>
          </w:tcPr>
          <w:p w14:paraId="6CD6E2DF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Dominica</w:t>
            </w:r>
          </w:p>
        </w:tc>
        <w:tc>
          <w:tcPr>
            <w:tcW w:w="1150" w:type="pct"/>
            <w:noWrap/>
            <w:hideMark/>
          </w:tcPr>
          <w:p w14:paraId="0ACA752F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Liberia</w:t>
            </w:r>
          </w:p>
        </w:tc>
        <w:tc>
          <w:tcPr>
            <w:tcW w:w="1215" w:type="pct"/>
            <w:noWrap/>
            <w:hideMark/>
          </w:tcPr>
          <w:p w14:paraId="13FE3C68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Seychelles</w:t>
            </w:r>
          </w:p>
        </w:tc>
        <w:tc>
          <w:tcPr>
            <w:tcW w:w="1421" w:type="pct"/>
            <w:noWrap/>
            <w:hideMark/>
          </w:tcPr>
          <w:p w14:paraId="1B601B54" w14:textId="77777777" w:rsidR="00F44717" w:rsidRPr="00DC071B" w:rsidRDefault="00F44717" w:rsidP="005A5439">
            <w:pPr>
              <w:rPr>
                <w:sz w:val="20"/>
                <w:szCs w:val="20"/>
              </w:rPr>
            </w:pPr>
            <w:r w:rsidRPr="00DC071B">
              <w:rPr>
                <w:sz w:val="20"/>
                <w:szCs w:val="20"/>
              </w:rPr>
              <w:t>Zimbabwe</w:t>
            </w:r>
          </w:p>
        </w:tc>
      </w:tr>
    </w:tbl>
    <w:p w14:paraId="6B454002" w14:textId="77777777" w:rsidR="0094290E" w:rsidRDefault="0094290E" w:rsidP="00153E40"/>
    <w:p w14:paraId="5AB586A2" w14:textId="77777777" w:rsidR="0094290E" w:rsidRPr="00C85590" w:rsidRDefault="00C85590" w:rsidP="00153E40">
      <w:pPr>
        <w:rPr>
          <w:b/>
        </w:rPr>
      </w:pPr>
      <w:r w:rsidRPr="00C85590">
        <w:rPr>
          <w:b/>
        </w:rPr>
        <w:t xml:space="preserve">Annex 3: </w:t>
      </w:r>
      <w:r w:rsidR="0094290E" w:rsidRPr="00C85590">
        <w:rPr>
          <w:b/>
        </w:rPr>
        <w:t>Types of Stakeholders</w:t>
      </w:r>
    </w:p>
    <w:p w14:paraId="00FAE313" w14:textId="77777777" w:rsidR="00E262C6" w:rsidRPr="00E262C6" w:rsidRDefault="00E262C6" w:rsidP="00E262C6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262C6">
        <w:rPr>
          <w:sz w:val="22"/>
          <w:szCs w:val="22"/>
        </w:rPr>
        <w:t>Office of the President, Prime Minister, Minister, Parliamentarian</w:t>
      </w:r>
    </w:p>
    <w:p w14:paraId="33E60ACC" w14:textId="77777777" w:rsidR="00E262C6" w:rsidRPr="00E262C6" w:rsidRDefault="00E262C6" w:rsidP="00E262C6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262C6">
        <w:rPr>
          <w:sz w:val="22"/>
          <w:szCs w:val="22"/>
        </w:rPr>
        <w:t xml:space="preserve">Employee of a Ministry, Ministerial Department or Implementation Agency </w:t>
      </w:r>
    </w:p>
    <w:p w14:paraId="1B39051C" w14:textId="77777777" w:rsidR="00E262C6" w:rsidRPr="00E262C6" w:rsidRDefault="00E262C6" w:rsidP="00E262C6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262C6">
        <w:rPr>
          <w:sz w:val="22"/>
          <w:szCs w:val="22"/>
        </w:rPr>
        <w:t>Local Government Office or Staff</w:t>
      </w:r>
    </w:p>
    <w:p w14:paraId="7585CFB5" w14:textId="77777777" w:rsidR="00E262C6" w:rsidRPr="00E262C6" w:rsidRDefault="00E262C6" w:rsidP="00E262C6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262C6">
        <w:rPr>
          <w:sz w:val="22"/>
          <w:szCs w:val="22"/>
        </w:rPr>
        <w:t>Bilateral or Multilateral Development Agency</w:t>
      </w:r>
      <w:r w:rsidR="00C85590">
        <w:rPr>
          <w:sz w:val="22"/>
          <w:szCs w:val="22"/>
        </w:rPr>
        <w:t xml:space="preserve"> (excluding WBG)</w:t>
      </w:r>
    </w:p>
    <w:p w14:paraId="297E54B8" w14:textId="77777777" w:rsidR="00E262C6" w:rsidRPr="00C85590" w:rsidRDefault="00E262C6" w:rsidP="00C8559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262C6">
        <w:rPr>
          <w:sz w:val="22"/>
          <w:szCs w:val="22"/>
        </w:rPr>
        <w:t>Private Sector Organization</w:t>
      </w:r>
    </w:p>
    <w:p w14:paraId="6E84DFBF" w14:textId="77777777" w:rsidR="00E262C6" w:rsidRDefault="00E262C6" w:rsidP="00E262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Academic / training / research institution </w:t>
      </w:r>
    </w:p>
    <w:p w14:paraId="7A889878" w14:textId="77777777" w:rsidR="00E262C6" w:rsidRDefault="00E262C6" w:rsidP="00E262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Religious Organization</w:t>
      </w:r>
    </w:p>
    <w:p w14:paraId="654E3DFC" w14:textId="77777777" w:rsidR="00E262C6" w:rsidRDefault="00E262C6" w:rsidP="00E262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Media </w:t>
      </w:r>
    </w:p>
    <w:p w14:paraId="05ACD946" w14:textId="77777777" w:rsidR="00E262C6" w:rsidRDefault="00E262C6" w:rsidP="00E262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Civil society / Not-for-profit non-governmental organization </w:t>
      </w:r>
    </w:p>
    <w:p w14:paraId="5317F50C" w14:textId="77777777" w:rsidR="0094290E" w:rsidRDefault="00E262C6" w:rsidP="00E262C6">
      <w:pPr>
        <w:pStyle w:val="ListParagraph"/>
        <w:numPr>
          <w:ilvl w:val="0"/>
          <w:numId w:val="8"/>
        </w:numPr>
      </w:pPr>
      <w:r>
        <w:t>Other (please specify)</w:t>
      </w:r>
    </w:p>
    <w:sectPr w:rsidR="0094290E" w:rsidSect="0008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FE78C" w14:textId="77777777" w:rsidR="000D46EA" w:rsidRDefault="000D46EA" w:rsidP="001E4851">
      <w:pPr>
        <w:spacing w:after="0" w:line="240" w:lineRule="auto"/>
      </w:pPr>
      <w:r>
        <w:separator/>
      </w:r>
    </w:p>
  </w:endnote>
  <w:endnote w:type="continuationSeparator" w:id="0">
    <w:p w14:paraId="34373DAB" w14:textId="77777777" w:rsidR="000D46EA" w:rsidRDefault="000D46EA" w:rsidP="001E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74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F877C" w14:textId="32822790" w:rsidR="003B09BA" w:rsidRDefault="003B09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4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23868" w14:textId="77777777" w:rsidR="000D46EA" w:rsidRDefault="000D46EA" w:rsidP="001E4851">
      <w:pPr>
        <w:spacing w:after="0" w:line="240" w:lineRule="auto"/>
      </w:pPr>
      <w:r>
        <w:separator/>
      </w:r>
    </w:p>
  </w:footnote>
  <w:footnote w:type="continuationSeparator" w:id="0">
    <w:p w14:paraId="5165A8FD" w14:textId="77777777" w:rsidR="000D46EA" w:rsidRDefault="000D46EA" w:rsidP="001E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D5A84" w14:textId="13D0B5DF" w:rsidR="003B09BA" w:rsidRDefault="003B09BA">
    <w:pPr>
      <w:pStyle w:val="Header"/>
    </w:pPr>
    <w:r>
      <w:rPr>
        <w:noProof/>
      </w:rPr>
      <w:drawing>
        <wp:inline distT="0" distB="0" distL="0" distR="0" wp14:anchorId="60DE699A" wp14:editId="4F8630C1">
          <wp:extent cx="5943600" cy="97472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34ABF"/>
    <w:multiLevelType w:val="hybridMultilevel"/>
    <w:tmpl w:val="C01CA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5C43BE"/>
    <w:multiLevelType w:val="hybridMultilevel"/>
    <w:tmpl w:val="12CA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35DE"/>
    <w:multiLevelType w:val="hybridMultilevel"/>
    <w:tmpl w:val="A76A2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373EEC"/>
    <w:multiLevelType w:val="hybridMultilevel"/>
    <w:tmpl w:val="5172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33251"/>
    <w:multiLevelType w:val="hybridMultilevel"/>
    <w:tmpl w:val="17B82F9C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683D3B63"/>
    <w:multiLevelType w:val="hybridMultilevel"/>
    <w:tmpl w:val="96163AB0"/>
    <w:lvl w:ilvl="0" w:tplc="987AF9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6770B"/>
    <w:multiLevelType w:val="hybridMultilevel"/>
    <w:tmpl w:val="5A98E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D3D13"/>
    <w:multiLevelType w:val="hybridMultilevel"/>
    <w:tmpl w:val="6ABC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C0CE0"/>
    <w:multiLevelType w:val="hybridMultilevel"/>
    <w:tmpl w:val="3A66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51"/>
    <w:rsid w:val="00082221"/>
    <w:rsid w:val="000B292F"/>
    <w:rsid w:val="000C49C4"/>
    <w:rsid w:val="000D46EA"/>
    <w:rsid w:val="000E0817"/>
    <w:rsid w:val="0011573C"/>
    <w:rsid w:val="00153E40"/>
    <w:rsid w:val="00156DB8"/>
    <w:rsid w:val="001C1016"/>
    <w:rsid w:val="001C5D1D"/>
    <w:rsid w:val="001E4851"/>
    <w:rsid w:val="001E48F0"/>
    <w:rsid w:val="00240DDA"/>
    <w:rsid w:val="00282E66"/>
    <w:rsid w:val="00290757"/>
    <w:rsid w:val="002B4CA1"/>
    <w:rsid w:val="002C26B8"/>
    <w:rsid w:val="003475D7"/>
    <w:rsid w:val="0036423D"/>
    <w:rsid w:val="00394884"/>
    <w:rsid w:val="003B09BA"/>
    <w:rsid w:val="003B53E5"/>
    <w:rsid w:val="003D03B9"/>
    <w:rsid w:val="00447776"/>
    <w:rsid w:val="00485EF7"/>
    <w:rsid w:val="004A6189"/>
    <w:rsid w:val="005044DC"/>
    <w:rsid w:val="00541DBC"/>
    <w:rsid w:val="0057717B"/>
    <w:rsid w:val="005C35BA"/>
    <w:rsid w:val="005C574E"/>
    <w:rsid w:val="006037C8"/>
    <w:rsid w:val="00610750"/>
    <w:rsid w:val="00666B94"/>
    <w:rsid w:val="006A4036"/>
    <w:rsid w:val="006A6DEF"/>
    <w:rsid w:val="006D007D"/>
    <w:rsid w:val="006D098F"/>
    <w:rsid w:val="006D6E94"/>
    <w:rsid w:val="00711961"/>
    <w:rsid w:val="00783FFF"/>
    <w:rsid w:val="007A0055"/>
    <w:rsid w:val="007E040B"/>
    <w:rsid w:val="00856AA1"/>
    <w:rsid w:val="008A2E02"/>
    <w:rsid w:val="008C2655"/>
    <w:rsid w:val="00931500"/>
    <w:rsid w:val="00934766"/>
    <w:rsid w:val="00937895"/>
    <w:rsid w:val="0094290E"/>
    <w:rsid w:val="00954280"/>
    <w:rsid w:val="0095667E"/>
    <w:rsid w:val="009827A8"/>
    <w:rsid w:val="00984E4B"/>
    <w:rsid w:val="009D78AF"/>
    <w:rsid w:val="00A17262"/>
    <w:rsid w:val="00A36F2D"/>
    <w:rsid w:val="00A40AD0"/>
    <w:rsid w:val="00A44837"/>
    <w:rsid w:val="00A52C36"/>
    <w:rsid w:val="00A921B4"/>
    <w:rsid w:val="00AC386D"/>
    <w:rsid w:val="00AC643D"/>
    <w:rsid w:val="00AE5396"/>
    <w:rsid w:val="00B03E63"/>
    <w:rsid w:val="00B76333"/>
    <w:rsid w:val="00BB5DD1"/>
    <w:rsid w:val="00BC61F7"/>
    <w:rsid w:val="00BF6B13"/>
    <w:rsid w:val="00C047AE"/>
    <w:rsid w:val="00C14F8E"/>
    <w:rsid w:val="00C327CB"/>
    <w:rsid w:val="00C35DF8"/>
    <w:rsid w:val="00C70B7E"/>
    <w:rsid w:val="00C85590"/>
    <w:rsid w:val="00D00CA6"/>
    <w:rsid w:val="00D4056C"/>
    <w:rsid w:val="00D45D66"/>
    <w:rsid w:val="00D70689"/>
    <w:rsid w:val="00D9224E"/>
    <w:rsid w:val="00D92B54"/>
    <w:rsid w:val="00DC071B"/>
    <w:rsid w:val="00E262C6"/>
    <w:rsid w:val="00E4636C"/>
    <w:rsid w:val="00F372A2"/>
    <w:rsid w:val="00F44717"/>
    <w:rsid w:val="00F72B61"/>
    <w:rsid w:val="00FA427C"/>
    <w:rsid w:val="00FF6E8F"/>
    <w:rsid w:val="1FE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425F6"/>
  <w15:chartTrackingRefBased/>
  <w15:docId w15:val="{2A5381D9-2ABA-4B17-8327-30662F8A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6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6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C14F8E"/>
    <w:pPr>
      <w:spacing w:before="100" w:beforeAutospacing="1" w:after="100" w:afterAutospacing="1" w:line="240" w:lineRule="auto"/>
      <w:outlineLvl w:val="5"/>
    </w:pPr>
    <w:rPr>
      <w:rFonts w:ascii="Segoe UI" w:eastAsia="Times New Roman" w:hAnsi="Segoe UI" w:cs="Segoe U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851"/>
  </w:style>
  <w:style w:type="paragraph" w:styleId="Footer">
    <w:name w:val="footer"/>
    <w:basedOn w:val="Normal"/>
    <w:link w:val="FooterChar"/>
    <w:uiPriority w:val="99"/>
    <w:unhideWhenUsed/>
    <w:rsid w:val="001E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851"/>
  </w:style>
  <w:style w:type="table" w:styleId="TableGrid">
    <w:name w:val="Table Grid"/>
    <w:basedOn w:val="TableNormal"/>
    <w:uiPriority w:val="39"/>
    <w:rsid w:val="001E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14F8E"/>
    <w:rPr>
      <w:i/>
      <w:iCs/>
    </w:rPr>
  </w:style>
  <w:style w:type="character" w:customStyle="1" w:styleId="a3np23gsrjmineu0pk0">
    <w:name w:val="a3_np23gsrjmineu0pk_0"/>
    <w:basedOn w:val="DefaultParagraphFont"/>
    <w:rsid w:val="00C14F8E"/>
  </w:style>
  <w:style w:type="character" w:customStyle="1" w:styleId="Heading6Char">
    <w:name w:val="Heading 6 Char"/>
    <w:basedOn w:val="DefaultParagraphFont"/>
    <w:link w:val="Heading6"/>
    <w:uiPriority w:val="9"/>
    <w:rsid w:val="00C14F8E"/>
    <w:rPr>
      <w:rFonts w:ascii="Segoe UI" w:eastAsia="Times New Roman" w:hAnsi="Segoe UI" w:cs="Segoe UI"/>
      <w:sz w:val="24"/>
      <w:szCs w:val="24"/>
    </w:rPr>
  </w:style>
  <w:style w:type="character" w:customStyle="1" w:styleId="bjnp23gsrjmineu0pk0">
    <w:name w:val="bj_np23gsrjmineu0pk_0"/>
    <w:basedOn w:val="DefaultParagraphFont"/>
    <w:rsid w:val="00C14F8E"/>
  </w:style>
  <w:style w:type="character" w:customStyle="1" w:styleId="aunp23gsrjmineu0pk0">
    <w:name w:val="au_np23gsrjmineu0pk_0"/>
    <w:basedOn w:val="DefaultParagraphFont"/>
    <w:rsid w:val="00C14F8E"/>
  </w:style>
  <w:style w:type="character" w:customStyle="1" w:styleId="a7np23gsrjmineu0pk0">
    <w:name w:val="a7_np23gsrjmineu0pk_0"/>
    <w:basedOn w:val="DefaultParagraphFont"/>
    <w:rsid w:val="00C14F8E"/>
  </w:style>
  <w:style w:type="paragraph" w:styleId="BalloonText">
    <w:name w:val="Balloon Text"/>
    <w:basedOn w:val="Normal"/>
    <w:link w:val="BalloonTextChar"/>
    <w:uiPriority w:val="99"/>
    <w:semiHidden/>
    <w:unhideWhenUsed/>
    <w:rsid w:val="00C1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8E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3D03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C35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66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66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93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476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262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4E4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5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D6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1016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29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3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36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1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49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32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540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598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17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211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802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orldbankgroup.sharepoint.com/sites/wbsites/south-south-community/Documents/Guidelines_South-South%20Facility%202.2.pdf" TargetMode="External"/><Relationship Id="rId18" Type="http://schemas.openxmlformats.org/officeDocument/2006/relationships/hyperlink" Target="https://sustainabledevelopment.un.org/sdg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outhsouthfacility@worlbank.org" TargetMode="External"/><Relationship Id="rId17" Type="http://schemas.openxmlformats.org/officeDocument/2006/relationships/hyperlink" Target="http://knowledgesharingfordev.org/Data/wbi/wbicms/files/drupal-acquia/wbi/document_repository/aoke_2015_handbook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knowledgesharingfordev.org/Data/wbi/wbicms/files/drupal-acquia/wbi/document_repository/aoke_2015_handbook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thsouthfacility@worldbank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outhsouthfacility@worldbank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rldbankgroup.sharepoint.com/sites/wbsites/south-south-community/Pages/index.asp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B3444E7016149A50CF30A8EB718DB" ma:contentTypeVersion="3" ma:contentTypeDescription="Create a new document." ma:contentTypeScope="" ma:versionID="bf86241f284d82b07123b25bf12c3b4b">
  <xsd:schema xmlns:xsd="http://www.w3.org/2001/XMLSchema" xmlns:xs="http://www.w3.org/2001/XMLSchema" xmlns:p="http://schemas.microsoft.com/office/2006/metadata/properties" xmlns:ns1="http://schemas.microsoft.com/sharepoint/v3" xmlns:ns2="519a110c-3b7c-4605-9741-e143712bb9b8" targetNamespace="http://schemas.microsoft.com/office/2006/metadata/properties" ma:root="true" ma:fieldsID="2ef600f6346619c8aa336f50d2f6bc81" ns1:_="" ns2:_="">
    <xsd:import namespace="http://schemas.microsoft.com/sharepoint/v3"/>
    <xsd:import namespace="519a110c-3b7c-4605-9741-e143712bb9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110c-3b7c-4605-9741-e143712bb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E11F-BF1B-4B3E-ACFD-BD3B5FE611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29FC7F7-2790-48DD-883E-D57304A0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9a110c-3b7c-4605-9741-e143712bb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D06D0-F202-42F1-AA0E-082F4A4468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620D1-7F14-4BC9-984C-639DC527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Perez Tello</dc:creator>
  <cp:keywords/>
  <dc:description/>
  <cp:lastModifiedBy>Nino Moroshkina</cp:lastModifiedBy>
  <cp:revision>2</cp:revision>
  <dcterms:created xsi:type="dcterms:W3CDTF">2018-05-12T16:51:00Z</dcterms:created>
  <dcterms:modified xsi:type="dcterms:W3CDTF">2018-05-12T16:51:00Z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0x0101003DAB3444E7016149A50CF30A8EB718DB</vt:lpwstr>
  </property>
</Properties>
</file>