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618DB" w14:textId="77777777" w:rsidR="00E81377" w:rsidRPr="0073443B" w:rsidRDefault="00E81377" w:rsidP="0073443B">
      <w:pPr>
        <w:spacing w:after="0" w:line="360" w:lineRule="auto"/>
        <w:jc w:val="both"/>
        <w:rPr>
          <w:rFonts w:ascii="Sylfaen" w:hAnsi="Sylfaen"/>
          <w:b/>
          <w:color w:val="1F497D" w:themeColor="text2"/>
          <w:sz w:val="24"/>
          <w:szCs w:val="24"/>
        </w:rPr>
      </w:pPr>
      <w:r w:rsidRPr="0073443B">
        <w:rPr>
          <w:rFonts w:ascii="Sylfaen" w:hAnsi="Sylfaen"/>
          <w:b/>
          <w:color w:val="1F497D" w:themeColor="text2"/>
          <w:sz w:val="24"/>
          <w:szCs w:val="24"/>
        </w:rPr>
        <w:t>Hospital Infrastructure Development in Georgia</w:t>
      </w:r>
    </w:p>
    <w:p w14:paraId="3BE45430" w14:textId="77777777" w:rsidR="00E81377" w:rsidRPr="0073443B" w:rsidRDefault="00E81377" w:rsidP="0073443B">
      <w:pPr>
        <w:spacing w:after="0" w:line="360" w:lineRule="auto"/>
        <w:jc w:val="both"/>
        <w:rPr>
          <w:rFonts w:ascii="Sylfaen" w:hAnsi="Sylfaen"/>
          <w:b/>
          <w:color w:val="1F497D" w:themeColor="text2"/>
          <w:sz w:val="24"/>
          <w:szCs w:val="24"/>
        </w:rPr>
      </w:pPr>
      <w:r w:rsidRPr="0073443B">
        <w:rPr>
          <w:rFonts w:ascii="Sylfaen" w:hAnsi="Sylfaen"/>
          <w:b/>
          <w:color w:val="1F497D" w:themeColor="text2"/>
          <w:sz w:val="24"/>
          <w:szCs w:val="24"/>
        </w:rPr>
        <w:t>General vision</w:t>
      </w:r>
    </w:p>
    <w:p w14:paraId="5BF2BAAF" w14:textId="77777777" w:rsidR="0073443B" w:rsidRDefault="0073443B" w:rsidP="0073443B">
      <w:pPr>
        <w:spacing w:after="0" w:line="360" w:lineRule="auto"/>
        <w:jc w:val="both"/>
        <w:rPr>
          <w:rFonts w:ascii="Sylfaen" w:hAnsi="Sylfaen"/>
        </w:rPr>
      </w:pPr>
    </w:p>
    <w:p w14:paraId="417E8BFB" w14:textId="29E2C462" w:rsidR="00F40AA3" w:rsidRPr="0073443B" w:rsidRDefault="00031F9F" w:rsidP="00F53A2B">
      <w:pPr>
        <w:shd w:val="clear" w:color="auto" w:fill="FFFFFF"/>
        <w:spacing w:after="0" w:line="360" w:lineRule="auto"/>
        <w:jc w:val="both"/>
        <w:rPr>
          <w:rFonts w:ascii="Sylfaen" w:hAnsi="Sylfaen"/>
        </w:rPr>
      </w:pPr>
      <w:r>
        <w:rPr>
          <w:rFonts w:ascii="Sylfaen" w:hAnsi="Sylfaen"/>
        </w:rPr>
        <w:t>O</w:t>
      </w:r>
      <w:r w:rsidRPr="0073443B">
        <w:rPr>
          <w:rFonts w:ascii="Sylfaen" w:hAnsi="Sylfaen"/>
        </w:rPr>
        <w:t>ne of the priorities of Georgia’s Healthcare System</w:t>
      </w:r>
      <w:r>
        <w:rPr>
          <w:rFonts w:ascii="Sylfaen" w:hAnsi="Sylfaen"/>
        </w:rPr>
        <w:t xml:space="preserve"> is to</w:t>
      </w:r>
      <w:r w:rsidR="0073443B" w:rsidRPr="0073443B">
        <w:rPr>
          <w:rFonts w:ascii="Sylfaen" w:hAnsi="Sylfaen"/>
        </w:rPr>
        <w:t xml:space="preserve"> ensure equal geographic and financial accessibility for high-quality and effective</w:t>
      </w:r>
      <w:r>
        <w:rPr>
          <w:rFonts w:ascii="Sylfaen" w:hAnsi="Sylfaen"/>
        </w:rPr>
        <w:t xml:space="preserve"> health care services</w:t>
      </w:r>
      <w:bookmarkStart w:id="0" w:name="_GoBack"/>
      <w:bookmarkEnd w:id="0"/>
      <w:r w:rsidR="0073443B" w:rsidRPr="0073443B">
        <w:rPr>
          <w:rFonts w:ascii="Sylfaen" w:hAnsi="Sylfaen"/>
        </w:rPr>
        <w:t>.</w:t>
      </w:r>
      <w:r w:rsidR="0073443B">
        <w:rPr>
          <w:rFonts w:ascii="Sylfaen" w:hAnsi="Sylfaen"/>
        </w:rPr>
        <w:t xml:space="preserve"> </w:t>
      </w:r>
      <w:r w:rsidR="00F40AA3" w:rsidRPr="007B3CA6">
        <w:rPr>
          <w:rFonts w:ascii="Sylfaen" w:hAnsi="Sylfaen"/>
        </w:rPr>
        <w:t xml:space="preserve">This substantially depends on countrywide </w:t>
      </w:r>
      <w:r w:rsidR="00AC322A" w:rsidRPr="007B3CA6">
        <w:rPr>
          <w:rFonts w:ascii="Sylfaen" w:hAnsi="Sylfaen"/>
        </w:rPr>
        <w:t xml:space="preserve">planning of the </w:t>
      </w:r>
      <w:r w:rsidR="00F40AA3" w:rsidRPr="007B3CA6">
        <w:rPr>
          <w:rFonts w:ascii="Sylfaen" w:hAnsi="Sylfaen"/>
        </w:rPr>
        <w:t>hospital infrastructure</w:t>
      </w:r>
      <w:r w:rsidR="00AC322A" w:rsidRPr="007B3CA6">
        <w:rPr>
          <w:rFonts w:ascii="Sylfaen" w:hAnsi="Sylfaen"/>
        </w:rPr>
        <w:t xml:space="preserve"> development</w:t>
      </w:r>
      <w:r w:rsidR="00F40AA3" w:rsidRPr="007B3CA6">
        <w:rPr>
          <w:rFonts w:ascii="Sylfaen" w:hAnsi="Sylfaen"/>
        </w:rPr>
        <w:t xml:space="preserve">, </w:t>
      </w:r>
      <w:r w:rsidR="00AC322A" w:rsidRPr="007B3CA6">
        <w:rPr>
          <w:rFonts w:ascii="Sylfaen" w:hAnsi="Sylfaen"/>
        </w:rPr>
        <w:t xml:space="preserve">including </w:t>
      </w:r>
      <w:r w:rsidR="00F40AA3" w:rsidRPr="007B3CA6">
        <w:rPr>
          <w:rFonts w:ascii="Sylfaen" w:hAnsi="Sylfaen"/>
        </w:rPr>
        <w:t>its organizational arra</w:t>
      </w:r>
      <w:r w:rsidR="00AC322A" w:rsidRPr="007B3CA6">
        <w:rPr>
          <w:rFonts w:ascii="Sylfaen" w:hAnsi="Sylfaen"/>
        </w:rPr>
        <w:t>ngement, functioning conditions and medical service</w:t>
      </w:r>
      <w:r w:rsidR="00F40AA3" w:rsidRPr="007B3CA6">
        <w:rPr>
          <w:rFonts w:ascii="Sylfaen" w:hAnsi="Sylfaen"/>
        </w:rPr>
        <w:t xml:space="preserve"> types, as well as on </w:t>
      </w:r>
      <w:r w:rsidR="00AC322A" w:rsidRPr="007B3CA6">
        <w:rPr>
          <w:rFonts w:ascii="Sylfaen" w:hAnsi="Sylfaen"/>
        </w:rPr>
        <w:t>creation</w:t>
      </w:r>
      <w:r w:rsidR="00F40AA3" w:rsidRPr="007B3CA6">
        <w:rPr>
          <w:rFonts w:ascii="Sylfaen" w:hAnsi="Sylfaen"/>
        </w:rPr>
        <w:t xml:space="preserve"> and implementation of </w:t>
      </w:r>
      <w:r w:rsidR="007B3CA6" w:rsidRPr="007B3CA6">
        <w:rPr>
          <w:rFonts w:ascii="Sylfaen" w:hAnsi="Sylfaen"/>
        </w:rPr>
        <w:t>regulatory mechanisms of h</w:t>
      </w:r>
      <w:r w:rsidR="007B3CA6">
        <w:rPr>
          <w:rFonts w:ascii="Sylfaen" w:hAnsi="Sylfaen"/>
        </w:rPr>
        <w:t>ealthc</w:t>
      </w:r>
      <w:r w:rsidR="00F40AA3" w:rsidRPr="007B3CA6">
        <w:rPr>
          <w:rFonts w:ascii="Sylfaen" w:hAnsi="Sylfaen"/>
        </w:rPr>
        <w:t>are</w:t>
      </w:r>
      <w:r w:rsidR="007B3CA6">
        <w:rPr>
          <w:rFonts w:ascii="Sylfaen" w:hAnsi="Sylfaen"/>
        </w:rPr>
        <w:t xml:space="preserve"> </w:t>
      </w:r>
      <w:r w:rsidR="007B3CA6" w:rsidRPr="007B3CA6">
        <w:rPr>
          <w:rFonts w:ascii="Sylfaen" w:hAnsi="Sylfaen"/>
        </w:rPr>
        <w:t>quality</w:t>
      </w:r>
      <w:r w:rsidR="00F40AA3" w:rsidRPr="007B3CA6">
        <w:rPr>
          <w:rFonts w:ascii="Sylfaen" w:hAnsi="Sylfaen"/>
        </w:rPr>
        <w:t xml:space="preserve">, </w:t>
      </w:r>
      <w:r w:rsidR="007B3CA6" w:rsidRPr="007B3CA6">
        <w:rPr>
          <w:rFonts w:ascii="Sylfaen" w:hAnsi="Sylfaen"/>
        </w:rPr>
        <w:t>h</w:t>
      </w:r>
      <w:r w:rsidR="00F40AA3" w:rsidRPr="007B3CA6">
        <w:rPr>
          <w:rFonts w:ascii="Sylfaen" w:hAnsi="Sylfaen"/>
        </w:rPr>
        <w:t xml:space="preserve">uman resources and </w:t>
      </w:r>
      <w:r w:rsidR="007B3CA6" w:rsidRPr="007B3CA6">
        <w:rPr>
          <w:rFonts w:ascii="Sylfaen" w:hAnsi="Sylfaen"/>
        </w:rPr>
        <w:t>services</w:t>
      </w:r>
      <w:r w:rsidR="007B3CA6">
        <w:rPr>
          <w:rFonts w:ascii="Sylfaen" w:hAnsi="Sylfaen"/>
        </w:rPr>
        <w:t>.</w:t>
      </w:r>
      <w:r w:rsidR="00F40AA3" w:rsidRPr="0073443B">
        <w:rPr>
          <w:rFonts w:ascii="Sylfaen" w:hAnsi="Sylfaen"/>
        </w:rPr>
        <w:t xml:space="preserve"> </w:t>
      </w:r>
    </w:p>
    <w:p w14:paraId="06D9436F" w14:textId="120CD5C4" w:rsidR="00F40AA3" w:rsidRPr="0073443B" w:rsidRDefault="00F40AA3" w:rsidP="0073443B">
      <w:pPr>
        <w:spacing w:after="0" w:line="360" w:lineRule="auto"/>
        <w:jc w:val="both"/>
        <w:rPr>
          <w:rFonts w:ascii="Sylfaen" w:hAnsi="Sylfaen"/>
        </w:rPr>
      </w:pPr>
      <w:r w:rsidRPr="0073443B">
        <w:rPr>
          <w:rFonts w:ascii="Sylfaen" w:hAnsi="Sylfaen"/>
        </w:rPr>
        <w:t xml:space="preserve">In order to develop the principles of hospital sector development, </w:t>
      </w:r>
      <w:r w:rsidR="00416BA3" w:rsidRPr="0073443B">
        <w:rPr>
          <w:rFonts w:ascii="Sylfaen" w:hAnsi="Sylfaen"/>
        </w:rPr>
        <w:t>firs</w:t>
      </w:r>
      <w:r w:rsidR="007B3CA6">
        <w:rPr>
          <w:rFonts w:ascii="Sylfaen" w:hAnsi="Sylfaen"/>
        </w:rPr>
        <w:t>t</w:t>
      </w:r>
      <w:r w:rsidR="00416BA3" w:rsidRPr="0073443B">
        <w:rPr>
          <w:rFonts w:ascii="Sylfaen" w:hAnsi="Sylfaen"/>
        </w:rPr>
        <w:t xml:space="preserve"> of all</w:t>
      </w:r>
      <w:r w:rsidR="007B3CA6">
        <w:rPr>
          <w:rFonts w:ascii="Sylfaen" w:hAnsi="Sylfaen"/>
        </w:rPr>
        <w:t>,</w:t>
      </w:r>
      <w:r w:rsidR="00416BA3" w:rsidRPr="0073443B">
        <w:rPr>
          <w:rFonts w:ascii="Sylfaen" w:hAnsi="Sylfaen"/>
        </w:rPr>
        <w:t xml:space="preserve"> </w:t>
      </w:r>
      <w:r w:rsidRPr="0073443B">
        <w:rPr>
          <w:rFonts w:ascii="Sylfaen" w:hAnsi="Sylfaen"/>
        </w:rPr>
        <w:t>it is important to assess the current situation in the country. Number of hospitals is growing annually in Georgia and nowadays 295 inpatient medical facilities are functioning.</w:t>
      </w:r>
      <w:r w:rsidR="007B3CA6">
        <w:rPr>
          <w:rFonts w:ascii="Sylfaen" w:hAnsi="Sylfaen"/>
        </w:rPr>
        <w:t xml:space="preserve"> </w:t>
      </w:r>
      <w:r w:rsidRPr="0073443B">
        <w:rPr>
          <w:rFonts w:ascii="Sylfaen" w:hAnsi="Sylfaen"/>
        </w:rPr>
        <w:t xml:space="preserve">Among them: </w:t>
      </w:r>
    </w:p>
    <w:p w14:paraId="57FCB710" w14:textId="49BABC30" w:rsidR="00F40AA3" w:rsidRPr="0073443B" w:rsidRDefault="008079A4" w:rsidP="0073443B">
      <w:pPr>
        <w:pStyle w:val="ListParagraph"/>
        <w:numPr>
          <w:ilvl w:val="0"/>
          <w:numId w:val="1"/>
        </w:numPr>
        <w:spacing w:after="0" w:line="360" w:lineRule="auto"/>
        <w:jc w:val="both"/>
        <w:rPr>
          <w:rFonts w:ascii="Sylfaen" w:hAnsi="Sylfaen"/>
        </w:rPr>
      </w:pPr>
      <w:r w:rsidRPr="0073443B">
        <w:rPr>
          <w:rFonts w:ascii="Sylfaen" w:hAnsi="Sylfaen"/>
        </w:rPr>
        <w:t xml:space="preserve">39 (13.2 %) </w:t>
      </w:r>
      <w:r w:rsidR="00EC5CC5" w:rsidRPr="0073443B">
        <w:rPr>
          <w:rFonts w:ascii="Sylfaen" w:hAnsi="Sylfaen"/>
        </w:rPr>
        <w:t>h</w:t>
      </w:r>
      <w:r w:rsidR="00F40AA3" w:rsidRPr="0073443B">
        <w:rPr>
          <w:rFonts w:ascii="Sylfaen" w:hAnsi="Sylfaen"/>
        </w:rPr>
        <w:t>ospitals represent state property</w:t>
      </w:r>
      <w:r w:rsidR="00416BA3" w:rsidRPr="0073443B">
        <w:rPr>
          <w:rFonts w:ascii="Sylfaen" w:hAnsi="Sylfaen"/>
        </w:rPr>
        <w:t>;</w:t>
      </w:r>
      <w:r w:rsidR="00F40AA3" w:rsidRPr="0073443B">
        <w:rPr>
          <w:rFonts w:ascii="Sylfaen" w:hAnsi="Sylfaen"/>
        </w:rPr>
        <w:t xml:space="preserve"> </w:t>
      </w:r>
    </w:p>
    <w:p w14:paraId="1507D46E" w14:textId="1BD263B8" w:rsidR="00F40AA3" w:rsidRPr="0073443B" w:rsidRDefault="008079A4" w:rsidP="0073443B">
      <w:pPr>
        <w:pStyle w:val="ListParagraph"/>
        <w:numPr>
          <w:ilvl w:val="0"/>
          <w:numId w:val="1"/>
        </w:numPr>
        <w:spacing w:after="0" w:line="360" w:lineRule="auto"/>
        <w:jc w:val="both"/>
        <w:rPr>
          <w:rFonts w:ascii="Sylfaen" w:hAnsi="Sylfaen"/>
        </w:rPr>
      </w:pPr>
      <w:r w:rsidRPr="0073443B">
        <w:rPr>
          <w:rFonts w:ascii="Sylfaen" w:hAnsi="Sylfaen"/>
        </w:rPr>
        <w:t>247</w:t>
      </w:r>
      <w:r w:rsidR="00F40AAF" w:rsidRPr="0073443B">
        <w:rPr>
          <w:rFonts w:ascii="Sylfaen" w:hAnsi="Sylfaen"/>
        </w:rPr>
        <w:t xml:space="preserve"> </w:t>
      </w:r>
      <w:r w:rsidRPr="0073443B">
        <w:rPr>
          <w:rFonts w:ascii="Sylfaen" w:hAnsi="Sylfaen"/>
        </w:rPr>
        <w:t xml:space="preserve">(83.7%) </w:t>
      </w:r>
      <w:r w:rsidR="00EC5CC5" w:rsidRPr="0073443B">
        <w:rPr>
          <w:rFonts w:ascii="Sylfaen" w:hAnsi="Sylfaen"/>
        </w:rPr>
        <w:t>h</w:t>
      </w:r>
      <w:r w:rsidR="00F40AA3" w:rsidRPr="0073443B">
        <w:rPr>
          <w:rFonts w:ascii="Sylfaen" w:hAnsi="Sylfaen"/>
        </w:rPr>
        <w:t>ospitals are private, for-profit</w:t>
      </w:r>
      <w:r w:rsidR="00416BA3" w:rsidRPr="0073443B">
        <w:rPr>
          <w:rFonts w:ascii="Sylfaen" w:hAnsi="Sylfaen"/>
        </w:rPr>
        <w:t>;</w:t>
      </w:r>
    </w:p>
    <w:p w14:paraId="686D3DD9" w14:textId="71483AFE" w:rsidR="00F40AAF" w:rsidRPr="0073443B" w:rsidRDefault="00F40AAF" w:rsidP="0073443B">
      <w:pPr>
        <w:pStyle w:val="ListParagraph"/>
        <w:numPr>
          <w:ilvl w:val="0"/>
          <w:numId w:val="1"/>
        </w:numPr>
        <w:spacing w:after="0" w:line="360" w:lineRule="auto"/>
        <w:jc w:val="both"/>
        <w:rPr>
          <w:rFonts w:ascii="Sylfaen" w:hAnsi="Sylfaen"/>
        </w:rPr>
      </w:pPr>
      <w:r w:rsidRPr="0073443B">
        <w:rPr>
          <w:rFonts w:ascii="Sylfaen" w:hAnsi="Sylfaen"/>
        </w:rPr>
        <w:t xml:space="preserve">4 </w:t>
      </w:r>
      <w:r w:rsidR="008079A4" w:rsidRPr="0073443B">
        <w:rPr>
          <w:rFonts w:ascii="Sylfaen" w:hAnsi="Sylfaen"/>
        </w:rPr>
        <w:t xml:space="preserve">(1.4%) </w:t>
      </w:r>
      <w:r w:rsidRPr="0073443B">
        <w:rPr>
          <w:rFonts w:ascii="Sylfaen" w:hAnsi="Sylfaen"/>
        </w:rPr>
        <w:t xml:space="preserve"> </w:t>
      </w:r>
      <w:r w:rsidR="00F40AA3" w:rsidRPr="0073443B">
        <w:rPr>
          <w:rFonts w:ascii="Sylfaen" w:hAnsi="Sylfaen"/>
        </w:rPr>
        <w:t xml:space="preserve">hospitals are established as </w:t>
      </w:r>
      <w:r w:rsidR="00EC5CC5" w:rsidRPr="0073443B">
        <w:rPr>
          <w:rFonts w:ascii="Sylfaen" w:hAnsi="Sylfaen"/>
        </w:rPr>
        <w:t xml:space="preserve">private, </w:t>
      </w:r>
      <w:r w:rsidR="00F40AA3" w:rsidRPr="0073443B">
        <w:rPr>
          <w:rFonts w:ascii="Sylfaen" w:hAnsi="Sylfaen"/>
        </w:rPr>
        <w:t>non-profit</w:t>
      </w:r>
      <w:r w:rsidR="00EC5CC5" w:rsidRPr="0073443B">
        <w:rPr>
          <w:rFonts w:ascii="Sylfaen" w:hAnsi="Sylfaen"/>
        </w:rPr>
        <w:t xml:space="preserve"> NGOs</w:t>
      </w:r>
      <w:r w:rsidR="00416BA3" w:rsidRPr="0073443B">
        <w:rPr>
          <w:rFonts w:ascii="Sylfaen" w:hAnsi="Sylfaen"/>
        </w:rPr>
        <w:t>;</w:t>
      </w:r>
      <w:r w:rsidR="008079A4" w:rsidRPr="0073443B">
        <w:rPr>
          <w:rFonts w:ascii="Sylfaen" w:hAnsi="Sylfaen"/>
        </w:rPr>
        <w:t xml:space="preserve"> </w:t>
      </w:r>
    </w:p>
    <w:p w14:paraId="41EAAF62" w14:textId="5A1744E4" w:rsidR="008079A4" w:rsidRPr="0073443B" w:rsidRDefault="008079A4" w:rsidP="0073443B">
      <w:pPr>
        <w:pStyle w:val="ListParagraph"/>
        <w:numPr>
          <w:ilvl w:val="0"/>
          <w:numId w:val="1"/>
        </w:numPr>
        <w:spacing w:after="0" w:line="360" w:lineRule="auto"/>
        <w:jc w:val="both"/>
        <w:rPr>
          <w:rFonts w:ascii="Sylfaen" w:hAnsi="Sylfaen"/>
        </w:rPr>
      </w:pPr>
      <w:r w:rsidRPr="0073443B">
        <w:rPr>
          <w:rFonts w:ascii="Sylfaen" w:hAnsi="Sylfaen"/>
        </w:rPr>
        <w:t xml:space="preserve">2 </w:t>
      </w:r>
      <w:r w:rsidR="00F40AAF" w:rsidRPr="0073443B">
        <w:rPr>
          <w:rFonts w:ascii="Sylfaen" w:hAnsi="Sylfaen"/>
        </w:rPr>
        <w:t xml:space="preserve">(0.7%) </w:t>
      </w:r>
      <w:r w:rsidR="00CE6CEB" w:rsidRPr="0073443B">
        <w:rPr>
          <w:rFonts w:ascii="Sylfaen" w:hAnsi="Sylfaen"/>
        </w:rPr>
        <w:t xml:space="preserve">hospitals </w:t>
      </w:r>
      <w:r w:rsidR="00416BA3" w:rsidRPr="0073443B">
        <w:rPr>
          <w:rFonts w:ascii="Sylfaen" w:hAnsi="Sylfaen"/>
        </w:rPr>
        <w:t xml:space="preserve">are functioning in </w:t>
      </w:r>
      <w:r w:rsidR="00CE6CEB" w:rsidRPr="0073443B">
        <w:rPr>
          <w:rFonts w:ascii="Sylfaen" w:hAnsi="Sylfaen"/>
        </w:rPr>
        <w:t>PPP</w:t>
      </w:r>
      <w:r w:rsidR="00EC5CC5" w:rsidRPr="0073443B">
        <w:rPr>
          <w:rFonts w:ascii="Sylfaen" w:hAnsi="Sylfaen"/>
        </w:rPr>
        <w:t xml:space="preserve"> format</w:t>
      </w:r>
      <w:r w:rsidR="001D0B6E" w:rsidRPr="0073443B">
        <w:rPr>
          <w:rFonts w:ascii="Sylfaen" w:hAnsi="Sylfaen"/>
        </w:rPr>
        <w:t>;</w:t>
      </w:r>
    </w:p>
    <w:p w14:paraId="63571E9D" w14:textId="77777777" w:rsidR="00F40AAF" w:rsidRPr="0073443B" w:rsidRDefault="00F40AAF" w:rsidP="0073443B">
      <w:pPr>
        <w:pStyle w:val="ListParagraph"/>
        <w:numPr>
          <w:ilvl w:val="0"/>
          <w:numId w:val="1"/>
        </w:numPr>
        <w:spacing w:after="0" w:line="360" w:lineRule="auto"/>
        <w:jc w:val="both"/>
        <w:rPr>
          <w:rFonts w:ascii="Sylfaen" w:hAnsi="Sylfaen"/>
        </w:rPr>
      </w:pPr>
      <w:r w:rsidRPr="0073443B">
        <w:rPr>
          <w:rFonts w:ascii="Sylfaen" w:hAnsi="Sylfaen"/>
        </w:rPr>
        <w:t xml:space="preserve">3 (1.0%) </w:t>
      </w:r>
      <w:r w:rsidR="00EC5CC5" w:rsidRPr="0073443B">
        <w:rPr>
          <w:rFonts w:ascii="Sylfaen" w:hAnsi="Sylfaen"/>
        </w:rPr>
        <w:t>hospitals belong to Georgian Orthodox Church.</w:t>
      </w:r>
    </w:p>
    <w:p w14:paraId="203E48F9" w14:textId="084F0362" w:rsidR="008079A4" w:rsidRDefault="008164BD" w:rsidP="0073443B">
      <w:pPr>
        <w:spacing w:after="0" w:line="360" w:lineRule="auto"/>
        <w:jc w:val="both"/>
        <w:rPr>
          <w:rFonts w:ascii="Sylfaen" w:hAnsi="Sylfaen"/>
        </w:rPr>
      </w:pPr>
      <w:r w:rsidRPr="007B3CA6">
        <w:rPr>
          <w:rFonts w:ascii="Sylfaen" w:hAnsi="Sylfaen"/>
        </w:rPr>
        <w:t>In terms of</w:t>
      </w:r>
      <w:r w:rsidR="00EC5CC5" w:rsidRPr="007B3CA6">
        <w:rPr>
          <w:rFonts w:ascii="Sylfaen" w:hAnsi="Sylfaen"/>
        </w:rPr>
        <w:t xml:space="preserve"> ownership </w:t>
      </w:r>
      <w:r w:rsidRPr="007B3CA6">
        <w:rPr>
          <w:rFonts w:ascii="Sylfaen" w:hAnsi="Sylfaen"/>
        </w:rPr>
        <w:t>structure</w:t>
      </w:r>
      <w:r w:rsidR="00EC5CC5" w:rsidRPr="007B3CA6">
        <w:rPr>
          <w:rFonts w:ascii="Sylfaen" w:hAnsi="Sylfaen"/>
        </w:rPr>
        <w:t xml:space="preserve">, this </w:t>
      </w:r>
      <w:r w:rsidRPr="007B3CA6">
        <w:rPr>
          <w:rFonts w:ascii="Sylfaen" w:hAnsi="Sylfaen"/>
        </w:rPr>
        <w:t>situation</w:t>
      </w:r>
      <w:r w:rsidR="00EC5CC5" w:rsidRPr="007B3CA6">
        <w:rPr>
          <w:rFonts w:ascii="Sylfaen" w:hAnsi="Sylfaen"/>
        </w:rPr>
        <w:t xml:space="preserve"> of the existing hospital network in the country diff</w:t>
      </w:r>
      <w:r w:rsidR="00CE6CEB" w:rsidRPr="007B3CA6">
        <w:rPr>
          <w:rFonts w:ascii="Sylfaen" w:hAnsi="Sylfaen"/>
        </w:rPr>
        <w:t xml:space="preserve">ers from the ones in </w:t>
      </w:r>
      <w:r w:rsidR="00EC5CC5" w:rsidRPr="007B3CA6">
        <w:rPr>
          <w:rFonts w:ascii="Sylfaen" w:hAnsi="Sylfaen"/>
        </w:rPr>
        <w:t>developed or developing countries. In the countries of the European region, the share of state-owned and private non-profit hospitals ranges</w:t>
      </w:r>
      <w:r w:rsidR="00416BA3" w:rsidRPr="007B3CA6">
        <w:rPr>
          <w:rFonts w:ascii="Sylfaen" w:hAnsi="Sylfaen"/>
        </w:rPr>
        <w:t xml:space="preserve"> from 60% to 75%</w:t>
      </w:r>
      <w:r w:rsidR="00EC5CC5" w:rsidRPr="007B3CA6">
        <w:rPr>
          <w:rFonts w:ascii="Sylfaen" w:hAnsi="Sylfaen"/>
        </w:rPr>
        <w:t>, while in Georgia it is about 15% (Fig. 1).</w:t>
      </w:r>
    </w:p>
    <w:p w14:paraId="229258B3" w14:textId="77777777" w:rsidR="0073443B" w:rsidRPr="0073443B" w:rsidRDefault="0073443B" w:rsidP="0073443B">
      <w:pPr>
        <w:spacing w:after="0" w:line="360" w:lineRule="auto"/>
        <w:jc w:val="both"/>
        <w:rPr>
          <w:rFonts w:ascii="Sylfaen" w:hAnsi="Sylfaen"/>
        </w:rPr>
      </w:pPr>
    </w:p>
    <w:p w14:paraId="71E127AF" w14:textId="77777777" w:rsidR="005577D5" w:rsidRDefault="00941FA8" w:rsidP="0073443B">
      <w:pPr>
        <w:spacing w:after="0" w:line="360" w:lineRule="auto"/>
        <w:jc w:val="both"/>
        <w:rPr>
          <w:rFonts w:ascii="Sylfaen" w:hAnsi="Sylfaen"/>
        </w:rPr>
      </w:pPr>
      <w:r w:rsidRPr="0073443B">
        <w:rPr>
          <w:rFonts w:ascii="Sylfaen" w:hAnsi="Sylfaen"/>
          <w:noProof/>
        </w:rPr>
        <w:drawing>
          <wp:inline distT="0" distB="0" distL="0" distR="0" wp14:anchorId="703AE37B" wp14:editId="1AB82532">
            <wp:extent cx="6858000" cy="27051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64BC19D" w14:textId="77777777" w:rsidR="0073443B" w:rsidRPr="0073443B" w:rsidRDefault="0073443B" w:rsidP="0073443B">
      <w:pPr>
        <w:spacing w:after="0" w:line="360" w:lineRule="auto"/>
        <w:jc w:val="both"/>
        <w:rPr>
          <w:rFonts w:ascii="Sylfaen" w:hAnsi="Sylfaen"/>
        </w:rPr>
      </w:pPr>
      <w:r w:rsidRPr="0073443B">
        <w:rPr>
          <w:rFonts w:ascii="Sylfaen" w:hAnsi="Sylfaen"/>
        </w:rPr>
        <w:t>Fig. 1: The share of hospitals according to ownership forms</w:t>
      </w:r>
    </w:p>
    <w:p w14:paraId="23567178" w14:textId="77777777" w:rsidR="0073443B" w:rsidRPr="0073443B" w:rsidRDefault="0073443B" w:rsidP="0073443B">
      <w:pPr>
        <w:spacing w:after="0" w:line="360" w:lineRule="auto"/>
        <w:jc w:val="both"/>
        <w:rPr>
          <w:rFonts w:ascii="Sylfaen" w:hAnsi="Sylfaen"/>
        </w:rPr>
      </w:pPr>
    </w:p>
    <w:p w14:paraId="65BC63A7" w14:textId="375B6165" w:rsidR="00416910" w:rsidRPr="00A70210" w:rsidRDefault="00EC5CC5" w:rsidP="0073443B">
      <w:pPr>
        <w:spacing w:after="0" w:line="360" w:lineRule="auto"/>
        <w:jc w:val="both"/>
        <w:rPr>
          <w:rFonts w:ascii="Sylfaen" w:hAnsi="Sylfaen"/>
        </w:rPr>
      </w:pPr>
      <w:r w:rsidRPr="00A70210">
        <w:rPr>
          <w:rFonts w:ascii="Sylfaen" w:hAnsi="Sylfaen"/>
        </w:rPr>
        <w:lastRenderedPageBreak/>
        <w:t>Due to the fact that 85% of the hospitals are private</w:t>
      </w:r>
      <w:r w:rsidR="00416BA3" w:rsidRPr="00A70210">
        <w:rPr>
          <w:rFonts w:ascii="Sylfaen" w:hAnsi="Sylfaen"/>
        </w:rPr>
        <w:t xml:space="preserve"> </w:t>
      </w:r>
      <w:r w:rsidRPr="00A70210">
        <w:rPr>
          <w:rFonts w:ascii="Sylfaen" w:hAnsi="Sylfaen"/>
        </w:rPr>
        <w:t>for-profit ones, the share of out-of</w:t>
      </w:r>
      <w:r w:rsidR="00CE6CEB" w:rsidRPr="00A70210">
        <w:rPr>
          <w:rFonts w:ascii="Sylfaen" w:hAnsi="Sylfaen"/>
        </w:rPr>
        <w:t>-</w:t>
      </w:r>
      <w:r w:rsidRPr="00A70210">
        <w:rPr>
          <w:rFonts w:ascii="Sylfaen" w:hAnsi="Sylfaen"/>
        </w:rPr>
        <w:t>pocket</w:t>
      </w:r>
      <w:r w:rsidR="00CE6CEB" w:rsidRPr="00A70210">
        <w:rPr>
          <w:rFonts w:ascii="Sylfaen" w:hAnsi="Sylfaen"/>
        </w:rPr>
        <w:t xml:space="preserve"> </w:t>
      </w:r>
      <w:r w:rsidRPr="00A70210">
        <w:rPr>
          <w:rFonts w:ascii="Sylfaen" w:hAnsi="Sylfaen"/>
        </w:rPr>
        <w:t>expenditu</w:t>
      </w:r>
      <w:r w:rsidR="007B3CA6" w:rsidRPr="00A70210">
        <w:rPr>
          <w:rFonts w:ascii="Sylfaen" w:hAnsi="Sylfaen"/>
        </w:rPr>
        <w:t>res in healthcare costs is high</w:t>
      </w:r>
      <w:r w:rsidRPr="00A70210">
        <w:rPr>
          <w:rFonts w:ascii="Sylfaen" w:hAnsi="Sylfaen"/>
        </w:rPr>
        <w:t xml:space="preserve"> and the increase of state expenditure </w:t>
      </w:r>
      <w:r w:rsidR="008164BD" w:rsidRPr="00A70210">
        <w:rPr>
          <w:rFonts w:ascii="Sylfaen" w:hAnsi="Sylfaen"/>
        </w:rPr>
        <w:t>exceeds</w:t>
      </w:r>
      <w:r w:rsidRPr="00A70210">
        <w:rPr>
          <w:rFonts w:ascii="Sylfaen" w:hAnsi="Sylfaen"/>
        </w:rPr>
        <w:t xml:space="preserve"> the growth of the country's GDP. Several directions of the operation</w:t>
      </w:r>
      <w:r w:rsidR="00416BA3" w:rsidRPr="00A70210">
        <w:rPr>
          <w:rFonts w:ascii="Sylfaen" w:hAnsi="Sylfaen"/>
        </w:rPr>
        <w:t>/development</w:t>
      </w:r>
      <w:r w:rsidRPr="00A70210">
        <w:rPr>
          <w:rFonts w:ascii="Sylfaen" w:hAnsi="Sylfaen"/>
        </w:rPr>
        <w:t xml:space="preserve"> of the hosp</w:t>
      </w:r>
      <w:r w:rsidR="00CE6CEB" w:rsidRPr="00A70210">
        <w:rPr>
          <w:rFonts w:ascii="Sylfaen" w:hAnsi="Sylfaen"/>
        </w:rPr>
        <w:t xml:space="preserve">ital sector may be considered: </w:t>
      </w:r>
      <w:r w:rsidR="008164BD" w:rsidRPr="00A70210">
        <w:rPr>
          <w:rFonts w:ascii="Sylfaen" w:hAnsi="Sylfaen"/>
        </w:rPr>
        <w:t>f</w:t>
      </w:r>
      <w:r w:rsidRPr="00A70210">
        <w:rPr>
          <w:rFonts w:ascii="Sylfaen" w:hAnsi="Sylfaen"/>
        </w:rPr>
        <w:t xml:space="preserve">urther </w:t>
      </w:r>
      <w:r w:rsidR="007B3CA6" w:rsidRPr="00A70210">
        <w:rPr>
          <w:rFonts w:ascii="Sylfaen" w:hAnsi="Sylfaen"/>
        </w:rPr>
        <w:t>orientation</w:t>
      </w:r>
      <w:r w:rsidR="00CE6CEB" w:rsidRPr="00A70210">
        <w:rPr>
          <w:rFonts w:ascii="Sylfaen" w:hAnsi="Sylfaen"/>
        </w:rPr>
        <w:t xml:space="preserve"> </w:t>
      </w:r>
      <w:r w:rsidR="007B3CA6" w:rsidRPr="00A70210">
        <w:rPr>
          <w:rFonts w:ascii="Sylfaen" w:hAnsi="Sylfaen"/>
        </w:rPr>
        <w:t>on</w:t>
      </w:r>
      <w:r w:rsidR="00CE6CEB" w:rsidRPr="00A70210">
        <w:rPr>
          <w:rFonts w:ascii="Sylfaen" w:hAnsi="Sylfaen"/>
        </w:rPr>
        <w:t xml:space="preserve"> </w:t>
      </w:r>
      <w:r w:rsidR="007B3CA6" w:rsidRPr="00A70210">
        <w:rPr>
          <w:rFonts w:ascii="Sylfaen" w:hAnsi="Sylfaen"/>
        </w:rPr>
        <w:t xml:space="preserve">private for-profit </w:t>
      </w:r>
      <w:r w:rsidR="00CE6CEB" w:rsidRPr="00A70210">
        <w:rPr>
          <w:rFonts w:ascii="Sylfaen" w:hAnsi="Sylfaen"/>
        </w:rPr>
        <w:t xml:space="preserve">healthcare sector, </w:t>
      </w:r>
      <w:r w:rsidR="00A70210" w:rsidRPr="00A70210">
        <w:rPr>
          <w:rFonts w:ascii="Sylfaen" w:hAnsi="Sylfaen"/>
        </w:rPr>
        <w:t xml:space="preserve">that finally </w:t>
      </w:r>
      <w:r w:rsidRPr="00A70210">
        <w:rPr>
          <w:rFonts w:ascii="Sylfaen" w:hAnsi="Sylfaen"/>
        </w:rPr>
        <w:t>seems to be an unstable model for health</w:t>
      </w:r>
      <w:r w:rsidR="00A70210" w:rsidRPr="00A70210">
        <w:rPr>
          <w:rFonts w:ascii="Sylfaen" w:hAnsi="Sylfaen"/>
        </w:rPr>
        <w:t xml:space="preserve">care </w:t>
      </w:r>
      <w:r w:rsidRPr="00A70210">
        <w:rPr>
          <w:rFonts w:ascii="Sylfaen" w:hAnsi="Sylfaen"/>
        </w:rPr>
        <w:t xml:space="preserve">management; </w:t>
      </w:r>
      <w:proofErr w:type="gramStart"/>
      <w:r w:rsidRPr="00A70210">
        <w:rPr>
          <w:rFonts w:ascii="Sylfaen" w:hAnsi="Sylfaen"/>
        </w:rPr>
        <w:t>Promote</w:t>
      </w:r>
      <w:proofErr w:type="gramEnd"/>
      <w:r w:rsidRPr="00A70210">
        <w:rPr>
          <w:rFonts w:ascii="Sylfaen" w:hAnsi="Sylfaen"/>
        </w:rPr>
        <w:t xml:space="preserve"> development of non-profit medical institutions within the public-private partnership (PPP); Or strengthening state-owned medical institutions along with de</w:t>
      </w:r>
      <w:r w:rsidR="00CE6CEB" w:rsidRPr="00A70210">
        <w:rPr>
          <w:rFonts w:ascii="Sylfaen" w:hAnsi="Sylfaen"/>
        </w:rPr>
        <w:t>velopment and implementation a Managed C</w:t>
      </w:r>
      <w:r w:rsidRPr="00A70210">
        <w:rPr>
          <w:rFonts w:ascii="Sylfaen" w:hAnsi="Sylfaen"/>
        </w:rPr>
        <w:t>are model.</w:t>
      </w:r>
    </w:p>
    <w:p w14:paraId="105E1301" w14:textId="77777777" w:rsidR="00416BA3" w:rsidRPr="00A70210" w:rsidRDefault="00CE6CEB" w:rsidP="0073443B">
      <w:pPr>
        <w:spacing w:after="0" w:line="360" w:lineRule="auto"/>
        <w:jc w:val="both"/>
        <w:rPr>
          <w:rFonts w:ascii="Sylfaen" w:hAnsi="Sylfaen"/>
        </w:rPr>
      </w:pPr>
      <w:r w:rsidRPr="00A70210">
        <w:rPr>
          <w:rFonts w:ascii="Sylfaen" w:hAnsi="Sylfaen"/>
        </w:rPr>
        <w:t>The Managed C</w:t>
      </w:r>
      <w:r w:rsidR="007D05CA" w:rsidRPr="00A70210">
        <w:rPr>
          <w:rFonts w:ascii="Sylfaen" w:hAnsi="Sylfaen"/>
        </w:rPr>
        <w:t>are model implies a reduction in the costs incurred by the improvement of service quality, which can be achieved by:</w:t>
      </w:r>
    </w:p>
    <w:p w14:paraId="6099318B" w14:textId="65D101F1" w:rsidR="00416BA3" w:rsidRPr="00A70210" w:rsidRDefault="007D05CA" w:rsidP="0073443B">
      <w:pPr>
        <w:pStyle w:val="ListParagraph"/>
        <w:numPr>
          <w:ilvl w:val="0"/>
          <w:numId w:val="18"/>
        </w:numPr>
        <w:spacing w:after="0" w:line="360" w:lineRule="auto"/>
        <w:jc w:val="both"/>
        <w:rPr>
          <w:rFonts w:ascii="Sylfaen" w:hAnsi="Sylfaen"/>
        </w:rPr>
      </w:pPr>
      <w:r w:rsidRPr="00A70210">
        <w:rPr>
          <w:rFonts w:ascii="Sylfaen" w:hAnsi="Sylfaen"/>
        </w:rPr>
        <w:t xml:space="preserve">Selection of a </w:t>
      </w:r>
      <w:r w:rsidR="00416BA3" w:rsidRPr="00A70210">
        <w:rPr>
          <w:rFonts w:ascii="Sylfaen" w:hAnsi="Sylfaen"/>
        </w:rPr>
        <w:t>network of medical institution/</w:t>
      </w:r>
      <w:r w:rsidRPr="00A70210">
        <w:rPr>
          <w:rFonts w:ascii="Sylfaen" w:hAnsi="Sylfaen"/>
        </w:rPr>
        <w:t>institutions that provide maximum quality and cost-eff</w:t>
      </w:r>
      <w:r w:rsidR="00A70210" w:rsidRPr="00A70210">
        <w:rPr>
          <w:rFonts w:ascii="Sylfaen" w:hAnsi="Sylfaen"/>
        </w:rPr>
        <w:t xml:space="preserve">ective </w:t>
      </w:r>
      <w:r w:rsidRPr="00A70210">
        <w:rPr>
          <w:rFonts w:ascii="Sylfaen" w:hAnsi="Sylfaen"/>
        </w:rPr>
        <w:t>services;</w:t>
      </w:r>
    </w:p>
    <w:p w14:paraId="185E6C1D" w14:textId="1E446686" w:rsidR="00416BA3" w:rsidRPr="00A70210" w:rsidRDefault="007D05CA" w:rsidP="0073443B">
      <w:pPr>
        <w:pStyle w:val="ListParagraph"/>
        <w:numPr>
          <w:ilvl w:val="0"/>
          <w:numId w:val="18"/>
        </w:numPr>
        <w:spacing w:after="0" w:line="360" w:lineRule="auto"/>
        <w:jc w:val="both"/>
        <w:rPr>
          <w:rFonts w:ascii="Sylfaen" w:hAnsi="Sylfaen"/>
        </w:rPr>
      </w:pPr>
      <w:r w:rsidRPr="00A70210">
        <w:rPr>
          <w:rFonts w:ascii="Sylfaen" w:hAnsi="Sylfaen"/>
        </w:rPr>
        <w:t xml:space="preserve">Establishment of transparent, high quality </w:t>
      </w:r>
      <w:r w:rsidR="00A70210" w:rsidRPr="00A70210">
        <w:rPr>
          <w:rFonts w:ascii="Sylfaen" w:hAnsi="Sylfaen"/>
        </w:rPr>
        <w:t xml:space="preserve">management </w:t>
      </w:r>
      <w:r w:rsidRPr="00A70210">
        <w:rPr>
          <w:rFonts w:ascii="Sylfaen" w:hAnsi="Sylfaen"/>
        </w:rPr>
        <w:t>standards;</w:t>
      </w:r>
    </w:p>
    <w:p w14:paraId="3CA207A1" w14:textId="79664D8D" w:rsidR="007D05CA" w:rsidRPr="00A70210" w:rsidRDefault="007D05CA" w:rsidP="0073443B">
      <w:pPr>
        <w:pStyle w:val="ListParagraph"/>
        <w:numPr>
          <w:ilvl w:val="0"/>
          <w:numId w:val="18"/>
        </w:numPr>
        <w:spacing w:after="0" w:line="360" w:lineRule="auto"/>
        <w:jc w:val="both"/>
        <w:rPr>
          <w:rFonts w:ascii="Sylfaen" w:hAnsi="Sylfaen"/>
        </w:rPr>
      </w:pPr>
      <w:r w:rsidRPr="00A70210">
        <w:rPr>
          <w:rFonts w:ascii="Sylfaen" w:hAnsi="Sylfaen"/>
        </w:rPr>
        <w:t>Conduct periodic financial and clinical audits.</w:t>
      </w:r>
    </w:p>
    <w:p w14:paraId="2F0B79A4" w14:textId="2C00D2A0" w:rsidR="007300A0" w:rsidRPr="00A70210" w:rsidRDefault="007300A0" w:rsidP="0073443B">
      <w:pPr>
        <w:spacing w:after="0" w:line="360" w:lineRule="auto"/>
        <w:jc w:val="both"/>
        <w:rPr>
          <w:rFonts w:ascii="Sylfaen" w:hAnsi="Sylfaen"/>
        </w:rPr>
      </w:pPr>
      <w:r w:rsidRPr="00A70210">
        <w:rPr>
          <w:rFonts w:ascii="Sylfaen" w:hAnsi="Sylfaen"/>
        </w:rPr>
        <w:t xml:space="preserve">The </w:t>
      </w:r>
      <w:r w:rsidR="00A70210" w:rsidRPr="00A70210">
        <w:rPr>
          <w:rFonts w:ascii="Sylfaen" w:hAnsi="Sylfaen"/>
        </w:rPr>
        <w:t>implementation</w:t>
      </w:r>
      <w:r w:rsidRPr="00A70210">
        <w:rPr>
          <w:rFonts w:ascii="Sylfaen" w:hAnsi="Sylfaen"/>
        </w:rPr>
        <w:t xml:space="preserve"> of this model will significantly decrease the growth of healthcare costs and reduce the share of out-of-pocket health-related payments.</w:t>
      </w:r>
    </w:p>
    <w:p w14:paraId="3D0A478D" w14:textId="36FCD7C8" w:rsidR="00416BA3" w:rsidRPr="00466C6C" w:rsidRDefault="00466C6C" w:rsidP="0073443B">
      <w:pPr>
        <w:spacing w:after="0" w:line="360" w:lineRule="auto"/>
        <w:jc w:val="both"/>
        <w:rPr>
          <w:rFonts w:ascii="Sylfaen" w:hAnsi="Sylfaen"/>
        </w:rPr>
      </w:pPr>
      <w:r w:rsidRPr="00466C6C">
        <w:rPr>
          <w:rFonts w:ascii="Sylfaen" w:hAnsi="Sylfaen"/>
        </w:rPr>
        <w:t>The selection of healthcare facilities must be done</w:t>
      </w:r>
      <w:r w:rsidR="00CE6CEB" w:rsidRPr="00466C6C">
        <w:rPr>
          <w:rFonts w:ascii="Sylfaen" w:hAnsi="Sylfaen"/>
        </w:rPr>
        <w:t xml:space="preserve"> </w:t>
      </w:r>
      <w:r w:rsidR="007300A0" w:rsidRPr="00466C6C">
        <w:rPr>
          <w:rFonts w:ascii="Sylfaen" w:hAnsi="Sylfaen"/>
        </w:rPr>
        <w:t>based on “selective contracts”. The basic criteria for the above-mentioned selection might be the following:</w:t>
      </w:r>
    </w:p>
    <w:p w14:paraId="7282CEAD" w14:textId="77777777" w:rsidR="00416BA3" w:rsidRPr="00466C6C" w:rsidRDefault="007300A0" w:rsidP="0073443B">
      <w:pPr>
        <w:pStyle w:val="ListParagraph"/>
        <w:numPr>
          <w:ilvl w:val="0"/>
          <w:numId w:val="19"/>
        </w:numPr>
        <w:spacing w:after="0" w:line="360" w:lineRule="auto"/>
        <w:jc w:val="both"/>
        <w:rPr>
          <w:rFonts w:ascii="Sylfaen" w:hAnsi="Sylfaen"/>
        </w:rPr>
      </w:pPr>
      <w:r w:rsidRPr="00466C6C">
        <w:rPr>
          <w:rFonts w:ascii="Sylfaen" w:hAnsi="Sylfaen"/>
        </w:rPr>
        <w:t>Relatively low price of services;</w:t>
      </w:r>
    </w:p>
    <w:p w14:paraId="0140208C" w14:textId="77777777" w:rsidR="00416BA3" w:rsidRPr="00466C6C" w:rsidRDefault="007300A0" w:rsidP="0073443B">
      <w:pPr>
        <w:pStyle w:val="ListParagraph"/>
        <w:numPr>
          <w:ilvl w:val="0"/>
          <w:numId w:val="19"/>
        </w:numPr>
        <w:spacing w:after="0" w:line="360" w:lineRule="auto"/>
        <w:jc w:val="both"/>
        <w:rPr>
          <w:rFonts w:ascii="Sylfaen" w:hAnsi="Sylfaen"/>
        </w:rPr>
      </w:pPr>
      <w:r w:rsidRPr="00466C6C">
        <w:rPr>
          <w:rFonts w:ascii="Sylfaen" w:hAnsi="Sylfaen"/>
        </w:rPr>
        <w:t>Low indirect costs;</w:t>
      </w:r>
    </w:p>
    <w:p w14:paraId="06E3B033" w14:textId="42502147" w:rsidR="00416BA3" w:rsidRPr="00466C6C" w:rsidRDefault="00466C6C" w:rsidP="00A70210">
      <w:pPr>
        <w:pStyle w:val="ListParagraph"/>
        <w:numPr>
          <w:ilvl w:val="0"/>
          <w:numId w:val="19"/>
        </w:numPr>
        <w:spacing w:after="0" w:line="360" w:lineRule="auto"/>
        <w:jc w:val="both"/>
        <w:rPr>
          <w:rFonts w:ascii="Sylfaen" w:hAnsi="Sylfaen"/>
        </w:rPr>
      </w:pPr>
      <w:r w:rsidRPr="00466C6C">
        <w:rPr>
          <w:rFonts w:ascii="Sylfaen" w:hAnsi="Sylfaen"/>
        </w:rPr>
        <w:t>Involvement</w:t>
      </w:r>
      <w:r w:rsidR="00DE7EAE" w:rsidRPr="00466C6C">
        <w:rPr>
          <w:rFonts w:ascii="Sylfaen" w:hAnsi="Sylfaen"/>
        </w:rPr>
        <w:t xml:space="preserve"> in</w:t>
      </w:r>
      <w:r w:rsidR="007300A0" w:rsidRPr="00466C6C">
        <w:rPr>
          <w:rFonts w:ascii="Sylfaen" w:hAnsi="Sylfaen"/>
        </w:rPr>
        <w:t xml:space="preserve"> e-Health system;</w:t>
      </w:r>
    </w:p>
    <w:p w14:paraId="48CE6018" w14:textId="77777777" w:rsidR="00416BA3" w:rsidRPr="00466C6C" w:rsidRDefault="007300A0" w:rsidP="0073443B">
      <w:pPr>
        <w:pStyle w:val="ListParagraph"/>
        <w:numPr>
          <w:ilvl w:val="0"/>
          <w:numId w:val="19"/>
        </w:numPr>
        <w:spacing w:after="0" w:line="360" w:lineRule="auto"/>
        <w:jc w:val="both"/>
        <w:rPr>
          <w:rFonts w:ascii="Sylfaen" w:hAnsi="Sylfaen"/>
        </w:rPr>
      </w:pPr>
      <w:r w:rsidRPr="00466C6C">
        <w:rPr>
          <w:rFonts w:ascii="Sylfaen" w:hAnsi="Sylfaen"/>
        </w:rPr>
        <w:t>Capability of rendering complex services;</w:t>
      </w:r>
    </w:p>
    <w:p w14:paraId="5446355A" w14:textId="30494C44" w:rsidR="007300A0" w:rsidRPr="00466C6C" w:rsidRDefault="007300A0" w:rsidP="0073443B">
      <w:pPr>
        <w:pStyle w:val="ListParagraph"/>
        <w:numPr>
          <w:ilvl w:val="0"/>
          <w:numId w:val="19"/>
        </w:numPr>
        <w:spacing w:after="0" w:line="360" w:lineRule="auto"/>
        <w:jc w:val="both"/>
        <w:rPr>
          <w:rFonts w:ascii="Sylfaen" w:hAnsi="Sylfaen"/>
        </w:rPr>
      </w:pPr>
      <w:r w:rsidRPr="00466C6C">
        <w:rPr>
          <w:rFonts w:ascii="Sylfaen" w:hAnsi="Sylfaen"/>
        </w:rPr>
        <w:t xml:space="preserve">High </w:t>
      </w:r>
      <w:r w:rsidR="00CE6CEB" w:rsidRPr="00466C6C">
        <w:rPr>
          <w:rFonts w:ascii="Sylfaen" w:hAnsi="Sylfaen"/>
        </w:rPr>
        <w:t>(90-100%) load/</w:t>
      </w:r>
      <w:r w:rsidRPr="00466C6C">
        <w:rPr>
          <w:rFonts w:ascii="Sylfaen" w:hAnsi="Sylfaen"/>
        </w:rPr>
        <w:t>utilization</w:t>
      </w:r>
    </w:p>
    <w:p w14:paraId="6A6075CA" w14:textId="7B73D599" w:rsidR="00DE7EAE" w:rsidRPr="00466C6C" w:rsidRDefault="00DE7EAE" w:rsidP="0073443B">
      <w:pPr>
        <w:spacing w:after="0" w:line="360" w:lineRule="auto"/>
        <w:jc w:val="both"/>
        <w:rPr>
          <w:rFonts w:ascii="Sylfaen" w:hAnsi="Sylfaen"/>
        </w:rPr>
      </w:pPr>
      <w:r w:rsidRPr="00466C6C">
        <w:rPr>
          <w:rFonts w:ascii="Sylfaen" w:hAnsi="Sylfaen"/>
        </w:rPr>
        <w:t xml:space="preserve">Meeting above-mentioned criteria is rather difficult for Georgia's hospital sector, </w:t>
      </w:r>
      <w:r w:rsidR="008164BD" w:rsidRPr="00466C6C">
        <w:rPr>
          <w:rFonts w:ascii="Sylfaen" w:hAnsi="Sylfaen"/>
        </w:rPr>
        <w:t>because</w:t>
      </w:r>
      <w:r w:rsidRPr="00466C6C">
        <w:rPr>
          <w:rFonts w:ascii="Sylfaen" w:hAnsi="Sylfaen"/>
        </w:rPr>
        <w:t xml:space="preserve"> over 85% of hospitals are private for-profit institutions</w:t>
      </w:r>
      <w:r w:rsidR="008164BD" w:rsidRPr="00466C6C">
        <w:rPr>
          <w:rFonts w:ascii="Sylfaen" w:hAnsi="Sylfaen"/>
        </w:rPr>
        <w:t>.</w:t>
      </w:r>
      <w:r w:rsidRPr="00466C6C">
        <w:rPr>
          <w:rFonts w:ascii="Sylfaen" w:hAnsi="Sylfaen"/>
        </w:rPr>
        <w:t xml:space="preserve"> </w:t>
      </w:r>
      <w:r w:rsidR="008164BD" w:rsidRPr="00466C6C">
        <w:rPr>
          <w:rFonts w:ascii="Sylfaen" w:hAnsi="Sylfaen"/>
        </w:rPr>
        <w:t>T</w:t>
      </w:r>
      <w:r w:rsidRPr="00466C6C">
        <w:rPr>
          <w:rFonts w:ascii="Sylfaen" w:hAnsi="Sylfaen"/>
        </w:rPr>
        <w:t>herefore</w:t>
      </w:r>
      <w:r w:rsidR="008164BD" w:rsidRPr="00466C6C">
        <w:rPr>
          <w:rFonts w:ascii="Sylfaen" w:hAnsi="Sylfaen"/>
        </w:rPr>
        <w:t>,</w:t>
      </w:r>
      <w:r w:rsidRPr="00466C6C">
        <w:rPr>
          <w:rFonts w:ascii="Sylfaen" w:hAnsi="Sylfaen"/>
        </w:rPr>
        <w:t xml:space="preserve"> vast resources for control, monitoring and regulation</w:t>
      </w:r>
      <w:r w:rsidR="008164BD" w:rsidRPr="00466C6C">
        <w:rPr>
          <w:rFonts w:ascii="Sylfaen" w:hAnsi="Sylfaen"/>
        </w:rPr>
        <w:t xml:space="preserve"> of these hospitals</w:t>
      </w:r>
      <w:r w:rsidRPr="00466C6C">
        <w:rPr>
          <w:rFonts w:ascii="Sylfaen" w:hAnsi="Sylfaen"/>
        </w:rPr>
        <w:t xml:space="preserve"> would be needed.</w:t>
      </w:r>
    </w:p>
    <w:p w14:paraId="1193B488" w14:textId="77777777" w:rsidR="00DE7EAE" w:rsidRPr="00466C6C" w:rsidRDefault="00DE7EAE" w:rsidP="0073443B">
      <w:pPr>
        <w:spacing w:after="0" w:line="360" w:lineRule="auto"/>
        <w:jc w:val="both"/>
        <w:rPr>
          <w:rFonts w:ascii="Sylfaen" w:hAnsi="Sylfaen"/>
        </w:rPr>
      </w:pPr>
      <w:r w:rsidRPr="00466C6C">
        <w:rPr>
          <w:rFonts w:ascii="Sylfaen" w:hAnsi="Sylfaen"/>
        </w:rPr>
        <w:t xml:space="preserve">As the operation of the medical institutions doesn’t represent main function of the state, a private partner is required to implement effective management in a short period of time (4-5 years) according to the conditions set by the Ministry, </w:t>
      </w:r>
      <w:r w:rsidR="00A14E78" w:rsidRPr="00466C6C">
        <w:rPr>
          <w:rFonts w:ascii="Sylfaen" w:hAnsi="Sylfaen"/>
        </w:rPr>
        <w:t xml:space="preserve">and </w:t>
      </w:r>
      <w:r w:rsidRPr="00466C6C">
        <w:rPr>
          <w:rFonts w:ascii="Sylfaen" w:hAnsi="Sylfaen"/>
        </w:rPr>
        <w:t>in accordance with preliminarily defined conditions (including the obl</w:t>
      </w:r>
      <w:r w:rsidR="00A14E78" w:rsidRPr="00466C6C">
        <w:rPr>
          <w:rFonts w:ascii="Sylfaen" w:hAnsi="Sylfaen"/>
        </w:rPr>
        <w:t>igation to prepare local healthcare personnel</w:t>
      </w:r>
      <w:r w:rsidRPr="00466C6C">
        <w:rPr>
          <w:rFonts w:ascii="Sylfaen" w:hAnsi="Sylfaen"/>
        </w:rPr>
        <w:t>).</w:t>
      </w:r>
    </w:p>
    <w:p w14:paraId="6A817954" w14:textId="67C9FF3F" w:rsidR="00DE7EAE" w:rsidRPr="00466C6C" w:rsidRDefault="00A14E78" w:rsidP="0073443B">
      <w:pPr>
        <w:spacing w:after="0" w:line="360" w:lineRule="auto"/>
        <w:jc w:val="both"/>
        <w:rPr>
          <w:rFonts w:ascii="Sylfaen" w:hAnsi="Sylfaen"/>
        </w:rPr>
      </w:pPr>
      <w:r w:rsidRPr="00466C6C">
        <w:rPr>
          <w:rFonts w:ascii="Sylfaen" w:hAnsi="Sylfaen"/>
        </w:rPr>
        <w:t>In this case, the health market segment will not be expanded at the expense of state share, but it will also create the quality/price standard, which will become an obligatory threshold for other private clinics as well (representing 2/3 of the Georgia’s healthcare institutions) to gain the right for participation in the state-financed health care programs.</w:t>
      </w:r>
    </w:p>
    <w:p w14:paraId="212FA686" w14:textId="77777777" w:rsidR="008B1E79" w:rsidRPr="0073443B" w:rsidRDefault="008B1E79" w:rsidP="0073443B">
      <w:pPr>
        <w:spacing w:after="0" w:line="360" w:lineRule="auto"/>
        <w:jc w:val="both"/>
        <w:rPr>
          <w:rFonts w:ascii="Sylfaen" w:hAnsi="Sylfaen"/>
        </w:rPr>
      </w:pPr>
      <w:r w:rsidRPr="00466C6C">
        <w:rPr>
          <w:rFonts w:ascii="Sylfaen" w:hAnsi="Sylfaen"/>
        </w:rPr>
        <w:lastRenderedPageBreak/>
        <w:t>The existing best practice in most European countries emphasizes the state-governed University clinics to develop the above-mentioned bench-mark facilities.</w:t>
      </w:r>
    </w:p>
    <w:p w14:paraId="3C141E8C" w14:textId="77777777" w:rsidR="008B1E79" w:rsidRPr="0073443B" w:rsidRDefault="008B1E79" w:rsidP="0073443B">
      <w:pPr>
        <w:spacing w:after="0" w:line="360" w:lineRule="auto"/>
        <w:jc w:val="both"/>
        <w:rPr>
          <w:rFonts w:ascii="Sylfaen" w:hAnsi="Sylfaen"/>
        </w:rPr>
      </w:pPr>
      <w:r w:rsidRPr="0073443B">
        <w:rPr>
          <w:rFonts w:ascii="Sylfaen" w:hAnsi="Sylfaen"/>
        </w:rPr>
        <w:t>It is important that under the Hospital Services PPP model, private partner must be selected with the following functions and terms:</w:t>
      </w:r>
    </w:p>
    <w:p w14:paraId="6AE4BFB7" w14:textId="77777777" w:rsidR="008B1E79" w:rsidRPr="0073443B" w:rsidRDefault="008B1E79" w:rsidP="0073443B">
      <w:pPr>
        <w:spacing w:after="0" w:line="360" w:lineRule="auto"/>
        <w:jc w:val="both"/>
        <w:rPr>
          <w:rFonts w:ascii="Sylfaen" w:hAnsi="Sylfaen"/>
        </w:rPr>
      </w:pPr>
      <w:r w:rsidRPr="0073443B">
        <w:rPr>
          <w:rFonts w:ascii="Sylfaen" w:hAnsi="Sylfaen"/>
        </w:rPr>
        <w:t>Private partner will carry out the following tasks:</w:t>
      </w:r>
    </w:p>
    <w:p w14:paraId="649BCE08" w14:textId="77777777" w:rsidR="008B1E79" w:rsidRPr="0073443B" w:rsidRDefault="008B1E79" w:rsidP="0073443B">
      <w:pPr>
        <w:pStyle w:val="ListParagraph"/>
        <w:numPr>
          <w:ilvl w:val="0"/>
          <w:numId w:val="16"/>
        </w:numPr>
        <w:spacing w:after="0" w:line="360" w:lineRule="auto"/>
        <w:jc w:val="both"/>
        <w:rPr>
          <w:rFonts w:ascii="Sylfaen" w:hAnsi="Sylfaen"/>
        </w:rPr>
      </w:pPr>
      <w:r w:rsidRPr="0073443B">
        <w:rPr>
          <w:rFonts w:ascii="Sylfaen" w:hAnsi="Sylfaen"/>
        </w:rPr>
        <w:t>Manage the clinic(s) based on its’ agreement with the Ministry;</w:t>
      </w:r>
    </w:p>
    <w:p w14:paraId="483C012A" w14:textId="77777777" w:rsidR="008B1E79" w:rsidRPr="0073443B" w:rsidRDefault="008B1E79" w:rsidP="0073443B">
      <w:pPr>
        <w:pStyle w:val="ListParagraph"/>
        <w:numPr>
          <w:ilvl w:val="0"/>
          <w:numId w:val="16"/>
        </w:numPr>
        <w:spacing w:after="0" w:line="360" w:lineRule="auto"/>
        <w:jc w:val="both"/>
        <w:rPr>
          <w:rFonts w:ascii="Sylfaen" w:hAnsi="Sylfaen"/>
        </w:rPr>
      </w:pPr>
      <w:r w:rsidRPr="0073443B">
        <w:rPr>
          <w:rFonts w:ascii="Sylfaen" w:hAnsi="Sylfaen"/>
        </w:rPr>
        <w:t>Provide clinical and non-clinical services;</w:t>
      </w:r>
    </w:p>
    <w:p w14:paraId="4105968D" w14:textId="77777777" w:rsidR="008B1E79" w:rsidRPr="0073443B" w:rsidRDefault="008B1E79" w:rsidP="0073443B">
      <w:pPr>
        <w:pStyle w:val="ListParagraph"/>
        <w:numPr>
          <w:ilvl w:val="0"/>
          <w:numId w:val="16"/>
        </w:numPr>
        <w:spacing w:after="0" w:line="360" w:lineRule="auto"/>
        <w:jc w:val="both"/>
        <w:rPr>
          <w:rFonts w:ascii="Sylfaen" w:hAnsi="Sylfaen"/>
        </w:rPr>
      </w:pPr>
      <w:r w:rsidRPr="0073443B">
        <w:rPr>
          <w:rFonts w:ascii="Sylfaen" w:hAnsi="Sylfaen"/>
        </w:rPr>
        <w:t>Train local management personnel;</w:t>
      </w:r>
    </w:p>
    <w:p w14:paraId="0E6D8774" w14:textId="77777777" w:rsidR="008B1E79" w:rsidRPr="0073443B" w:rsidRDefault="008B1E79" w:rsidP="0073443B">
      <w:pPr>
        <w:pStyle w:val="ListParagraph"/>
        <w:numPr>
          <w:ilvl w:val="0"/>
          <w:numId w:val="16"/>
        </w:numPr>
        <w:spacing w:after="0" w:line="360" w:lineRule="auto"/>
        <w:jc w:val="both"/>
        <w:rPr>
          <w:rFonts w:ascii="Sylfaen" w:hAnsi="Sylfaen"/>
        </w:rPr>
      </w:pPr>
      <w:r w:rsidRPr="0073443B">
        <w:rPr>
          <w:rFonts w:ascii="Sylfaen" w:hAnsi="Sylfaen"/>
        </w:rPr>
        <w:t>After 4-5 years of becoming operational, the network must obtain JCI (Joint Commission International) international accreditation;</w:t>
      </w:r>
    </w:p>
    <w:p w14:paraId="1AF213A8" w14:textId="77777777" w:rsidR="008B1E79" w:rsidRPr="0073443B" w:rsidRDefault="008B1E79" w:rsidP="0073443B">
      <w:pPr>
        <w:pStyle w:val="ListParagraph"/>
        <w:numPr>
          <w:ilvl w:val="0"/>
          <w:numId w:val="16"/>
        </w:numPr>
        <w:spacing w:after="0" w:line="360" w:lineRule="auto"/>
        <w:jc w:val="both"/>
        <w:rPr>
          <w:rFonts w:ascii="Sylfaen" w:hAnsi="Sylfaen"/>
        </w:rPr>
      </w:pPr>
      <w:r w:rsidRPr="0073443B">
        <w:rPr>
          <w:rFonts w:ascii="Sylfaen" w:hAnsi="Sylfaen"/>
        </w:rPr>
        <w:t>After the expiration of the contract period and upon completion of the contractual obligations, management function will become the responsibility of managers nominated by the principal and trained by the private partner.</w:t>
      </w:r>
    </w:p>
    <w:p w14:paraId="53E8D571" w14:textId="77777777" w:rsidR="008B1E79" w:rsidRPr="0073443B" w:rsidRDefault="008B1E79" w:rsidP="0073443B">
      <w:pPr>
        <w:spacing w:after="0" w:line="360" w:lineRule="auto"/>
        <w:jc w:val="both"/>
        <w:rPr>
          <w:rFonts w:ascii="Sylfaen" w:hAnsi="Sylfaen"/>
        </w:rPr>
      </w:pPr>
      <w:r w:rsidRPr="0073443B">
        <w:rPr>
          <w:rFonts w:ascii="Sylfaen" w:hAnsi="Sylfaen"/>
        </w:rPr>
        <w:t xml:space="preserve"> State partner will carry out the following tasks:</w:t>
      </w:r>
    </w:p>
    <w:p w14:paraId="26513FD8" w14:textId="77777777" w:rsidR="008B1E79" w:rsidRPr="0073443B" w:rsidRDefault="008B1E79" w:rsidP="0073443B">
      <w:pPr>
        <w:pStyle w:val="ListParagraph"/>
        <w:numPr>
          <w:ilvl w:val="0"/>
          <w:numId w:val="17"/>
        </w:numPr>
        <w:spacing w:after="0" w:line="360" w:lineRule="auto"/>
        <w:jc w:val="both"/>
        <w:rPr>
          <w:rFonts w:ascii="Sylfaen" w:hAnsi="Sylfaen"/>
        </w:rPr>
      </w:pPr>
      <w:r w:rsidRPr="0073443B">
        <w:rPr>
          <w:rFonts w:ascii="Sylfaen" w:hAnsi="Sylfaen"/>
        </w:rPr>
        <w:t>Enter into the management agreement with the private partner;</w:t>
      </w:r>
    </w:p>
    <w:p w14:paraId="160B1B9C" w14:textId="77777777" w:rsidR="008B1E79" w:rsidRPr="0073443B" w:rsidRDefault="008B1E79" w:rsidP="0073443B">
      <w:pPr>
        <w:pStyle w:val="ListParagraph"/>
        <w:numPr>
          <w:ilvl w:val="0"/>
          <w:numId w:val="17"/>
        </w:numPr>
        <w:spacing w:after="0" w:line="360" w:lineRule="auto"/>
        <w:jc w:val="both"/>
        <w:rPr>
          <w:rFonts w:ascii="Sylfaen" w:hAnsi="Sylfaen"/>
        </w:rPr>
      </w:pPr>
      <w:r w:rsidRPr="0073443B">
        <w:rPr>
          <w:rFonts w:ascii="Sylfaen" w:hAnsi="Sylfaen"/>
        </w:rPr>
        <w:t>Pay management fee to the private partner and monitor the fulfillment of obligations in the above-mentioned contract;</w:t>
      </w:r>
    </w:p>
    <w:p w14:paraId="432EF6DB" w14:textId="48A90C30" w:rsidR="008B1E79" w:rsidRPr="0073443B" w:rsidRDefault="008B1E79" w:rsidP="0073443B">
      <w:pPr>
        <w:pStyle w:val="ListParagraph"/>
        <w:numPr>
          <w:ilvl w:val="0"/>
          <w:numId w:val="17"/>
        </w:numPr>
        <w:spacing w:after="0" w:line="360" w:lineRule="auto"/>
        <w:jc w:val="both"/>
        <w:rPr>
          <w:rFonts w:ascii="Sylfaen" w:hAnsi="Sylfaen"/>
        </w:rPr>
      </w:pPr>
      <w:r w:rsidRPr="0073443B">
        <w:rPr>
          <w:rFonts w:ascii="Sylfaen" w:hAnsi="Sylfaen"/>
        </w:rPr>
        <w:t xml:space="preserve">Does not take responsibility for the clinic’s profitability, for guaranteed flow of patients, or implementing special/exclusive reimbursement scheme for the clinic (in this case, </w:t>
      </w:r>
      <w:r w:rsidR="00CE6CEB" w:rsidRPr="0073443B">
        <w:rPr>
          <w:rFonts w:ascii="Sylfaen" w:hAnsi="Sylfaen"/>
        </w:rPr>
        <w:t>“</w:t>
      </w:r>
      <w:r w:rsidRPr="0073443B">
        <w:rPr>
          <w:rFonts w:ascii="Sylfaen" w:hAnsi="Sylfaen"/>
        </w:rPr>
        <w:t>money follows patient</w:t>
      </w:r>
      <w:r w:rsidR="00CE6CEB" w:rsidRPr="0073443B">
        <w:rPr>
          <w:rFonts w:ascii="Sylfaen" w:hAnsi="Sylfaen"/>
        </w:rPr>
        <w:t>”</w:t>
      </w:r>
      <w:r w:rsidRPr="0073443B">
        <w:rPr>
          <w:rFonts w:ascii="Sylfaen" w:hAnsi="Sylfaen"/>
        </w:rPr>
        <w:t xml:space="preserve"> principle is enforced). </w:t>
      </w:r>
    </w:p>
    <w:p w14:paraId="53EA4178" w14:textId="02F643AC" w:rsidR="0073443B" w:rsidRPr="0073443B" w:rsidRDefault="008B1E79" w:rsidP="0073443B">
      <w:pPr>
        <w:spacing w:after="0" w:line="360" w:lineRule="auto"/>
        <w:jc w:val="both"/>
        <w:rPr>
          <w:rFonts w:ascii="Sylfaen" w:hAnsi="Sylfaen"/>
        </w:rPr>
      </w:pPr>
      <w:r w:rsidRPr="00466C6C">
        <w:rPr>
          <w:rFonts w:ascii="Sylfaen" w:hAnsi="Sylfaen"/>
        </w:rPr>
        <w:t>Regarding P</w:t>
      </w:r>
      <w:r w:rsidR="00466C6C" w:rsidRPr="00466C6C">
        <w:rPr>
          <w:rFonts w:ascii="Sylfaen" w:hAnsi="Sylfaen"/>
        </w:rPr>
        <w:t>F</w:t>
      </w:r>
      <w:r w:rsidR="0073443B" w:rsidRPr="00466C6C">
        <w:rPr>
          <w:rFonts w:ascii="Sylfaen" w:hAnsi="Sylfaen"/>
        </w:rPr>
        <w:t>/</w:t>
      </w:r>
      <w:r w:rsidR="00466C6C" w:rsidRPr="00466C6C">
        <w:rPr>
          <w:rFonts w:ascii="Sylfaen" w:hAnsi="Sylfaen"/>
        </w:rPr>
        <w:t>CDC’s</w:t>
      </w:r>
      <w:r w:rsidRPr="00466C6C">
        <w:rPr>
          <w:rFonts w:ascii="Sylfaen" w:hAnsi="Sylfaen"/>
        </w:rPr>
        <w:t xml:space="preserve"> </w:t>
      </w:r>
      <w:r w:rsidR="00466C6C" w:rsidRPr="00466C6C">
        <w:rPr>
          <w:rFonts w:ascii="Sylfaen" w:hAnsi="Sylfaen"/>
        </w:rPr>
        <w:t xml:space="preserve">clinics development - </w:t>
      </w:r>
      <w:r w:rsidRPr="00466C6C">
        <w:rPr>
          <w:rFonts w:ascii="Sylfaen" w:hAnsi="Sylfaen"/>
        </w:rPr>
        <w:t xml:space="preserve">The state has handed over first to PF (in Oct, 2015) and then – to </w:t>
      </w:r>
      <w:r w:rsidR="00CE6CEB" w:rsidRPr="00466C6C">
        <w:rPr>
          <w:rFonts w:ascii="Sylfaen" w:hAnsi="Sylfaen"/>
        </w:rPr>
        <w:t xml:space="preserve">its subsidiary - </w:t>
      </w:r>
      <w:r w:rsidRPr="00466C6C">
        <w:rPr>
          <w:rFonts w:ascii="Sylfaen" w:hAnsi="Sylfaen"/>
        </w:rPr>
        <w:t>CDC (in March 2017) the following hospitals:</w:t>
      </w:r>
    </w:p>
    <w:p w14:paraId="100A51D2" w14:textId="77777777" w:rsidR="0073443B" w:rsidRPr="0073443B" w:rsidRDefault="008B1E79" w:rsidP="0073443B">
      <w:pPr>
        <w:pStyle w:val="ListParagraph"/>
        <w:numPr>
          <w:ilvl w:val="0"/>
          <w:numId w:val="20"/>
        </w:numPr>
        <w:spacing w:after="0" w:line="360" w:lineRule="auto"/>
        <w:jc w:val="both"/>
        <w:rPr>
          <w:rFonts w:ascii="Sylfaen" w:hAnsi="Sylfaen"/>
        </w:rPr>
      </w:pPr>
      <w:r w:rsidRPr="0073443B">
        <w:rPr>
          <w:rFonts w:ascii="Sylfaen" w:hAnsi="Sylfaen"/>
        </w:rPr>
        <w:t xml:space="preserve">Academician N. </w:t>
      </w:r>
      <w:proofErr w:type="spellStart"/>
      <w:r w:rsidRPr="0073443B">
        <w:rPr>
          <w:rFonts w:ascii="Sylfaen" w:hAnsi="Sylfaen"/>
        </w:rPr>
        <w:t>Kipshidze</w:t>
      </w:r>
      <w:proofErr w:type="spellEnd"/>
      <w:r w:rsidRPr="0073443B">
        <w:rPr>
          <w:rFonts w:ascii="Sylfaen" w:hAnsi="Sylfaen"/>
        </w:rPr>
        <w:t xml:space="preserve"> Central University Clinic LLC (formerly – </w:t>
      </w:r>
      <w:r w:rsidR="00CE6CEB" w:rsidRPr="0073443B">
        <w:rPr>
          <w:rFonts w:ascii="Sylfaen" w:hAnsi="Sylfaen"/>
        </w:rPr>
        <w:t>“</w:t>
      </w:r>
      <w:r w:rsidRPr="0073443B">
        <w:rPr>
          <w:rFonts w:ascii="Sylfaen" w:hAnsi="Sylfaen"/>
        </w:rPr>
        <w:t>Republican Hospital</w:t>
      </w:r>
      <w:r w:rsidR="00CE6CEB" w:rsidRPr="0073443B">
        <w:rPr>
          <w:rFonts w:ascii="Sylfaen" w:hAnsi="Sylfaen"/>
        </w:rPr>
        <w:t>”</w:t>
      </w:r>
      <w:r w:rsidRPr="0073443B">
        <w:rPr>
          <w:rFonts w:ascii="Sylfaen" w:hAnsi="Sylfaen"/>
        </w:rPr>
        <w:t>)</w:t>
      </w:r>
      <w:r w:rsidR="00CE6CEB" w:rsidRPr="0073443B">
        <w:rPr>
          <w:rFonts w:ascii="Sylfaen" w:hAnsi="Sylfaen"/>
        </w:rPr>
        <w:t>,</w:t>
      </w:r>
    </w:p>
    <w:p w14:paraId="04381079" w14:textId="77777777" w:rsidR="0073443B" w:rsidRPr="0073443B" w:rsidRDefault="008B1E79" w:rsidP="0073443B">
      <w:pPr>
        <w:pStyle w:val="ListParagraph"/>
        <w:numPr>
          <w:ilvl w:val="0"/>
          <w:numId w:val="20"/>
        </w:numPr>
        <w:spacing w:after="0" w:line="360" w:lineRule="auto"/>
        <w:jc w:val="both"/>
        <w:rPr>
          <w:rFonts w:ascii="Sylfaen" w:hAnsi="Sylfaen"/>
        </w:rPr>
      </w:pPr>
      <w:r w:rsidRPr="0073443B">
        <w:rPr>
          <w:rFonts w:ascii="Sylfaen" w:hAnsi="Sylfaen"/>
        </w:rPr>
        <w:t>Tbilisi Children’s Infectious</w:t>
      </w:r>
      <w:r w:rsidR="00CE6CEB" w:rsidRPr="0073443B">
        <w:rPr>
          <w:rFonts w:ascii="Sylfaen" w:hAnsi="Sylfaen"/>
        </w:rPr>
        <w:t xml:space="preserve"> Diseases Clinical Hospital LLC,</w:t>
      </w:r>
    </w:p>
    <w:p w14:paraId="2DFD4CC5" w14:textId="75DC9625" w:rsidR="008B1E79" w:rsidRPr="0073443B" w:rsidRDefault="008B1E79" w:rsidP="0073443B">
      <w:pPr>
        <w:pStyle w:val="ListParagraph"/>
        <w:numPr>
          <w:ilvl w:val="0"/>
          <w:numId w:val="20"/>
        </w:numPr>
        <w:spacing w:after="0" w:line="360" w:lineRule="auto"/>
        <w:jc w:val="both"/>
        <w:rPr>
          <w:rFonts w:ascii="Sylfaen" w:hAnsi="Sylfaen"/>
        </w:rPr>
      </w:pPr>
      <w:r w:rsidRPr="0073443B">
        <w:rPr>
          <w:rFonts w:ascii="Sylfaen" w:hAnsi="Sylfaen"/>
        </w:rPr>
        <w:t>JSC Universal Medical Center (formerly – “Oncology National Center”).</w:t>
      </w:r>
    </w:p>
    <w:p w14:paraId="6976E393" w14:textId="6274109D" w:rsidR="008B1E79" w:rsidRPr="0073443B" w:rsidRDefault="008B1E79" w:rsidP="0073443B">
      <w:pPr>
        <w:spacing w:after="0" w:line="360" w:lineRule="auto"/>
        <w:jc w:val="both"/>
        <w:rPr>
          <w:rFonts w:ascii="Sylfaen" w:hAnsi="Sylfaen"/>
        </w:rPr>
      </w:pPr>
      <w:r w:rsidRPr="0073443B">
        <w:rPr>
          <w:rFonts w:ascii="Sylfaen" w:hAnsi="Sylfaen"/>
        </w:rPr>
        <w:t>Republican Hospital (RH) is functioning mainly in the “Emergency” building (≈14,000 sq. m), small part of old 12-storey building</w:t>
      </w:r>
      <w:r w:rsidR="00CE6CEB" w:rsidRPr="0073443B">
        <w:rPr>
          <w:rFonts w:ascii="Sylfaen" w:hAnsi="Sylfaen"/>
        </w:rPr>
        <w:t>,</w:t>
      </w:r>
      <w:r w:rsidRPr="0073443B">
        <w:rPr>
          <w:rFonts w:ascii="Sylfaen" w:hAnsi="Sylfaen"/>
        </w:rPr>
        <w:t xml:space="preserve"> and Pathology building nearby. The hospital currently operates 107 beds, with extensive </w:t>
      </w:r>
      <w:r w:rsidR="00CE6CEB" w:rsidRPr="0073443B">
        <w:rPr>
          <w:rFonts w:ascii="Sylfaen" w:hAnsi="Sylfaen"/>
        </w:rPr>
        <w:t xml:space="preserve">Emergency, </w:t>
      </w:r>
      <w:r w:rsidRPr="0073443B">
        <w:rPr>
          <w:rFonts w:ascii="Sylfaen" w:hAnsi="Sylfaen"/>
        </w:rPr>
        <w:t xml:space="preserve">outpatient diagnostic center and several important inpatient care units, including </w:t>
      </w:r>
      <w:proofErr w:type="spellStart"/>
      <w:r w:rsidRPr="0073443B">
        <w:rPr>
          <w:rFonts w:ascii="Sylfaen" w:hAnsi="Sylfaen"/>
        </w:rPr>
        <w:t>multiprofile</w:t>
      </w:r>
      <w:proofErr w:type="spellEnd"/>
      <w:r w:rsidRPr="0073443B">
        <w:rPr>
          <w:rFonts w:ascii="Sylfaen" w:hAnsi="Sylfaen"/>
        </w:rPr>
        <w:t xml:space="preserve"> department on 44 beds (numerous therapeutic and surgical services, as well as gynecology) and some other departments –Cardiology (with Invasive Cardiology and </w:t>
      </w:r>
      <w:proofErr w:type="spellStart"/>
      <w:r w:rsidRPr="0073443B">
        <w:rPr>
          <w:rFonts w:ascii="Sylfaen" w:hAnsi="Sylfaen"/>
        </w:rPr>
        <w:t>Arrhythmology</w:t>
      </w:r>
      <w:proofErr w:type="spellEnd"/>
      <w:r w:rsidRPr="0073443B">
        <w:rPr>
          <w:rFonts w:ascii="Sylfaen" w:hAnsi="Sylfaen"/>
        </w:rPr>
        <w:t xml:space="preserve">), Stroke Management Center, Ophthalmology, and Nephrology/Hemodialysis for chronic renal failure patients, as well as Pathology department. However, RH does not fully meet modern standards. </w:t>
      </w:r>
    </w:p>
    <w:p w14:paraId="11057F95" w14:textId="62B167DE" w:rsidR="008B1E79" w:rsidRPr="0073443B" w:rsidRDefault="008B1E79" w:rsidP="0073443B">
      <w:pPr>
        <w:spacing w:after="0" w:line="360" w:lineRule="auto"/>
        <w:jc w:val="both"/>
        <w:rPr>
          <w:rFonts w:ascii="Sylfaen" w:hAnsi="Sylfaen"/>
          <w:lang w:val="ka-GE"/>
        </w:rPr>
      </w:pPr>
      <w:r w:rsidRPr="0073443B">
        <w:rPr>
          <w:rFonts w:ascii="Sylfaen" w:hAnsi="Sylfaen"/>
        </w:rPr>
        <w:lastRenderedPageBreak/>
        <w:t xml:space="preserve">Universal Medical Center (formerly - Oncology National Center (ONC) - is functioning only in limited part of the building (about 30% of the total space), which has 119 beds and provides </w:t>
      </w:r>
      <w:proofErr w:type="spellStart"/>
      <w:r w:rsidRPr="0073443B">
        <w:rPr>
          <w:rFonts w:ascii="Sylfaen" w:hAnsi="Sylfaen"/>
        </w:rPr>
        <w:t>multiprofile</w:t>
      </w:r>
      <w:proofErr w:type="spellEnd"/>
      <w:r w:rsidRPr="0073443B">
        <w:rPr>
          <w:rFonts w:ascii="Sylfaen" w:hAnsi="Sylfaen"/>
        </w:rPr>
        <w:t xml:space="preserve"> oncological diagnostics and treatment (including CT scan, surgery and chemotherapy). ONC also provides outpatient surgeries and daycare </w:t>
      </w:r>
      <w:proofErr w:type="gramStart"/>
      <w:r w:rsidRPr="0073443B">
        <w:rPr>
          <w:rFonts w:ascii="Sylfaen" w:hAnsi="Sylfaen"/>
        </w:rPr>
        <w:t xml:space="preserve">services </w:t>
      </w:r>
      <w:r w:rsidR="00CE6CEB" w:rsidRPr="0073443B">
        <w:rPr>
          <w:rFonts w:ascii="Sylfaen" w:hAnsi="Sylfaen"/>
          <w:lang w:val="ka-GE"/>
        </w:rPr>
        <w:t>.</w:t>
      </w:r>
      <w:proofErr w:type="gramEnd"/>
    </w:p>
    <w:p w14:paraId="1AFC304D" w14:textId="6D0CA356" w:rsidR="008B1E79" w:rsidRPr="0073443B" w:rsidRDefault="008B1E79" w:rsidP="0073443B">
      <w:pPr>
        <w:spacing w:after="0" w:line="360" w:lineRule="auto"/>
        <w:jc w:val="both"/>
        <w:rPr>
          <w:rFonts w:ascii="Sylfaen" w:hAnsi="Sylfaen"/>
        </w:rPr>
      </w:pPr>
      <w:r w:rsidRPr="0073443B">
        <w:rPr>
          <w:rFonts w:ascii="Sylfaen" w:hAnsi="Sylfaen"/>
        </w:rPr>
        <w:t>Tbili</w:t>
      </w:r>
      <w:r w:rsidR="00F85DB6" w:rsidRPr="0073443B">
        <w:rPr>
          <w:rFonts w:ascii="Sylfaen" w:hAnsi="Sylfaen"/>
        </w:rPr>
        <w:t>s</w:t>
      </w:r>
      <w:r w:rsidRPr="0073443B">
        <w:rPr>
          <w:rFonts w:ascii="Sylfaen" w:hAnsi="Sylfaen"/>
        </w:rPr>
        <w:t>i Children’s Infectious Diseases Hospital (TCIDH) - provides diagnostic and inpatient services to treat vast spectrum of children’s infectious diseases, with 89 beds. Some of the buildings of TCIDH (nearly 80% of the space) are in obsolete condition. The hospital requires major reconstruction.</w:t>
      </w:r>
    </w:p>
    <w:p w14:paraId="57D5C427" w14:textId="5C6164FF" w:rsidR="008B1E79" w:rsidRPr="0073443B" w:rsidRDefault="008B1E79" w:rsidP="0073443B">
      <w:pPr>
        <w:spacing w:after="0" w:line="360" w:lineRule="auto"/>
        <w:jc w:val="both"/>
        <w:rPr>
          <w:rFonts w:ascii="Sylfaen" w:hAnsi="Sylfaen"/>
        </w:rPr>
      </w:pPr>
      <w:r w:rsidRPr="0073443B">
        <w:rPr>
          <w:rFonts w:ascii="Sylfaen" w:hAnsi="Sylfaen"/>
        </w:rPr>
        <w:t xml:space="preserve">In order to improve the provision of medical services and to increase the profitability of the clinics, 250 bed University hospital must be developed on the territory of N. </w:t>
      </w:r>
      <w:proofErr w:type="spellStart"/>
      <w:r w:rsidRPr="0073443B">
        <w:rPr>
          <w:rFonts w:ascii="Sylfaen" w:hAnsi="Sylfaen"/>
        </w:rPr>
        <w:t>Kipshidze</w:t>
      </w:r>
      <w:proofErr w:type="spellEnd"/>
      <w:r w:rsidRPr="0073443B">
        <w:rPr>
          <w:rFonts w:ascii="Sylfaen" w:hAnsi="Sylfaen"/>
        </w:rPr>
        <w:t xml:space="preserve"> Central University Clinic LLC (the Republican Hospital). The above-mentioned is due to the fact that, historically, public</w:t>
      </w:r>
      <w:r w:rsidR="00CE6CEB" w:rsidRPr="0073443B">
        <w:rPr>
          <w:rFonts w:ascii="Sylfaen" w:hAnsi="Sylfaen"/>
          <w:lang w:val="ka-GE"/>
        </w:rPr>
        <w:t xml:space="preserve"> </w:t>
      </w:r>
      <w:r w:rsidR="00CE6CEB" w:rsidRPr="0073443B">
        <w:rPr>
          <w:rFonts w:ascii="Sylfaen" w:hAnsi="Sylfaen"/>
        </w:rPr>
        <w:t>opinion and</w:t>
      </w:r>
      <w:r w:rsidRPr="0073443B">
        <w:rPr>
          <w:rFonts w:ascii="Sylfaen" w:hAnsi="Sylfaen"/>
        </w:rPr>
        <w:t xml:space="preserve"> brand recognition of the Republican Hospital is high and it is located in the central part of Tbilisi, which will ensure the flow of patients due to convenient transportation.</w:t>
      </w:r>
    </w:p>
    <w:p w14:paraId="3ED2DF44" w14:textId="5A832448" w:rsidR="008B1E79" w:rsidRPr="0073443B" w:rsidRDefault="008B1E79" w:rsidP="0073443B">
      <w:pPr>
        <w:spacing w:after="0" w:line="360" w:lineRule="auto"/>
        <w:jc w:val="both"/>
        <w:rPr>
          <w:rFonts w:ascii="Sylfaen" w:hAnsi="Sylfaen"/>
        </w:rPr>
      </w:pPr>
      <w:r w:rsidRPr="0073443B">
        <w:rPr>
          <w:rFonts w:ascii="Sylfaen" w:hAnsi="Sylfaen"/>
        </w:rPr>
        <w:t xml:space="preserve">The clinic must possess vigorous outpatient unit, which will include primary care </w:t>
      </w:r>
      <w:proofErr w:type="gramStart"/>
      <w:r w:rsidRPr="0073443B">
        <w:rPr>
          <w:rFonts w:ascii="Sylfaen" w:hAnsi="Sylfaen"/>
        </w:rPr>
        <w:t>and  integrated</w:t>
      </w:r>
      <w:proofErr w:type="gramEnd"/>
      <w:r w:rsidRPr="0073443B">
        <w:rPr>
          <w:rFonts w:ascii="Sylfaen" w:hAnsi="Sylfaen"/>
        </w:rPr>
        <w:t xml:space="preserve"> </w:t>
      </w:r>
      <w:r w:rsidR="00F85DB6" w:rsidRPr="0073443B">
        <w:rPr>
          <w:rFonts w:ascii="Sylfaen" w:hAnsi="Sylfaen"/>
        </w:rPr>
        <w:t xml:space="preserve">secondary-level </w:t>
      </w:r>
      <w:r w:rsidRPr="0073443B">
        <w:rPr>
          <w:rFonts w:ascii="Sylfaen" w:hAnsi="Sylfaen"/>
        </w:rPr>
        <w:t xml:space="preserve">services (at least total of 30 family doctors and </w:t>
      </w:r>
      <w:r w:rsidR="00F85DB6" w:rsidRPr="0073443B">
        <w:rPr>
          <w:rFonts w:ascii="Sylfaen" w:hAnsi="Sylfaen"/>
        </w:rPr>
        <w:t xml:space="preserve">general </w:t>
      </w:r>
      <w:proofErr w:type="spellStart"/>
      <w:r w:rsidR="00F85DB6" w:rsidRPr="0073443B">
        <w:rPr>
          <w:rFonts w:ascii="Sylfaen" w:hAnsi="Sylfaen"/>
        </w:rPr>
        <w:t>pactitioners</w:t>
      </w:r>
      <w:proofErr w:type="spellEnd"/>
      <w:r w:rsidRPr="0073443B">
        <w:rPr>
          <w:rFonts w:ascii="Sylfaen" w:hAnsi="Sylfaen"/>
        </w:rPr>
        <w:t>) supported by pertinent diagnostic and laboratory services.</w:t>
      </w:r>
    </w:p>
    <w:p w14:paraId="3ACBF80A" w14:textId="7413C7A7" w:rsidR="008B1E79" w:rsidRPr="0073443B" w:rsidRDefault="008B1E79" w:rsidP="0073443B">
      <w:pPr>
        <w:spacing w:after="0" w:line="360" w:lineRule="auto"/>
        <w:jc w:val="both"/>
        <w:rPr>
          <w:rFonts w:ascii="Sylfaen" w:hAnsi="Sylfaen"/>
        </w:rPr>
      </w:pPr>
      <w:r w:rsidRPr="0073443B">
        <w:rPr>
          <w:rFonts w:ascii="Sylfaen" w:hAnsi="Sylfaen"/>
        </w:rPr>
        <w:t xml:space="preserve">At least 25% of in-patient beds must fall under the critical care category, which includes intensive care, intensive therapy, post-surgery/post-anesthesia and emergency beds. The rest of the beds must be divided between general surgical and general ward </w:t>
      </w:r>
      <w:r w:rsidR="00F85DB6" w:rsidRPr="0073443B">
        <w:rPr>
          <w:rFonts w:ascii="Sylfaen" w:hAnsi="Sylfaen"/>
        </w:rPr>
        <w:t>blocks</w:t>
      </w:r>
      <w:r w:rsidRPr="0073443B">
        <w:rPr>
          <w:rFonts w:ascii="Sylfaen" w:hAnsi="Sylfaen"/>
        </w:rPr>
        <w:t xml:space="preserve">, with the intention to further sub-divide beds </w:t>
      </w:r>
      <w:r w:rsidR="00F85DB6" w:rsidRPr="0073443B">
        <w:rPr>
          <w:rFonts w:ascii="Sylfaen" w:hAnsi="Sylfaen"/>
        </w:rPr>
        <w:t xml:space="preserve">- </w:t>
      </w:r>
      <w:r w:rsidRPr="0073443B">
        <w:rPr>
          <w:rFonts w:ascii="Sylfaen" w:hAnsi="Sylfaen"/>
        </w:rPr>
        <w:t>based on concrete medical developments (planning beds must take into account general hospital technologies). The clinic must possess 8 surgical blocks (including emergency). In addition, 15 multifunction in-patient day</w:t>
      </w:r>
      <w:r w:rsidR="00F85DB6" w:rsidRPr="0073443B">
        <w:rPr>
          <w:rFonts w:ascii="Sylfaen" w:hAnsi="Sylfaen"/>
        </w:rPr>
        <w:t>care</w:t>
      </w:r>
      <w:r w:rsidRPr="0073443B">
        <w:rPr>
          <w:rFonts w:ascii="Sylfaen" w:hAnsi="Sylfaen"/>
        </w:rPr>
        <w:t xml:space="preserve"> beds must be implemented.</w:t>
      </w:r>
    </w:p>
    <w:p w14:paraId="3DF76449" w14:textId="77777777" w:rsidR="008B1E79" w:rsidRPr="0073443B" w:rsidRDefault="008B1E79" w:rsidP="0073443B">
      <w:pPr>
        <w:spacing w:after="0" w:line="360" w:lineRule="auto"/>
        <w:jc w:val="both"/>
        <w:rPr>
          <w:rFonts w:ascii="Sylfaen" w:hAnsi="Sylfaen"/>
        </w:rPr>
      </w:pPr>
      <w:r w:rsidRPr="0073443B">
        <w:rPr>
          <w:rFonts w:ascii="Sylfaen" w:hAnsi="Sylfaen"/>
        </w:rPr>
        <w:t xml:space="preserve">It is important to maintain the current profile (emergency, intensive care, etc.), but it is better to reduce the current operational beds to 50. </w:t>
      </w:r>
    </w:p>
    <w:p w14:paraId="56CF1764" w14:textId="77777777" w:rsidR="008B1E79" w:rsidRPr="0073443B" w:rsidRDefault="008B1E79" w:rsidP="0073443B">
      <w:pPr>
        <w:spacing w:after="0" w:line="360" w:lineRule="auto"/>
        <w:jc w:val="both"/>
        <w:rPr>
          <w:rFonts w:ascii="Sylfaen" w:hAnsi="Sylfaen"/>
        </w:rPr>
      </w:pPr>
      <w:r w:rsidRPr="0073443B">
        <w:rPr>
          <w:rFonts w:ascii="Sylfaen" w:hAnsi="Sylfaen"/>
        </w:rPr>
        <w:t>Several working projects are being considered for the building design. It is most cost-effective to develop infrastructure on the existing building carcass (engineering expertise is on-going, which will provide results in one month).</w:t>
      </w:r>
    </w:p>
    <w:p w14:paraId="61C12D1F" w14:textId="77777777" w:rsidR="008B1E79" w:rsidRPr="0073443B" w:rsidRDefault="008B1E79" w:rsidP="0073443B">
      <w:pPr>
        <w:spacing w:after="0" w:line="360" w:lineRule="auto"/>
        <w:jc w:val="both"/>
        <w:rPr>
          <w:rFonts w:ascii="Sylfaen" w:hAnsi="Sylfaen"/>
        </w:rPr>
      </w:pPr>
      <w:r w:rsidRPr="0073443B">
        <w:rPr>
          <w:rFonts w:ascii="Sylfaen" w:hAnsi="Sylfaen"/>
        </w:rPr>
        <w:t>After planning the hospital section, the rest of the area (of approximately 20 thousand sq. meters) could be developed as Tbilisi State Medical University departments, which will complete the clinics as a University hospital. Furthermore, the remaining area can be utilized as office/commercial space, which will be the source of additional revenue for the clinic.</w:t>
      </w:r>
    </w:p>
    <w:p w14:paraId="4AECD747" w14:textId="77777777" w:rsidR="008B1E79" w:rsidRPr="0073443B" w:rsidRDefault="008B1E79" w:rsidP="0073443B">
      <w:pPr>
        <w:spacing w:after="0" w:line="360" w:lineRule="auto"/>
        <w:jc w:val="both"/>
        <w:rPr>
          <w:rFonts w:ascii="Sylfaen" w:hAnsi="Sylfaen"/>
        </w:rPr>
      </w:pPr>
      <w:r w:rsidRPr="0073443B">
        <w:rPr>
          <w:rFonts w:ascii="Sylfaen" w:hAnsi="Sylfaen"/>
        </w:rPr>
        <w:t xml:space="preserve">Due to the lack of space, full spectrum of oncology services cannot be implemented on the territory of the Republican hospital and additional decisions must be made regarding this issue. </w:t>
      </w:r>
    </w:p>
    <w:p w14:paraId="7B0B9089" w14:textId="35DF4848" w:rsidR="008B1E79" w:rsidRPr="0073443B" w:rsidRDefault="008B1E79" w:rsidP="0073443B">
      <w:pPr>
        <w:spacing w:after="0" w:line="360" w:lineRule="auto"/>
        <w:jc w:val="both"/>
        <w:rPr>
          <w:rFonts w:ascii="Sylfaen" w:hAnsi="Sylfaen"/>
        </w:rPr>
      </w:pPr>
      <w:r w:rsidRPr="0073443B">
        <w:rPr>
          <w:rFonts w:ascii="Sylfaen" w:hAnsi="Sylfaen"/>
        </w:rPr>
        <w:lastRenderedPageBreak/>
        <w:t xml:space="preserve">The recreational area located on the territory of N. </w:t>
      </w:r>
      <w:proofErr w:type="spellStart"/>
      <w:r w:rsidRPr="0073443B">
        <w:rPr>
          <w:rFonts w:ascii="Sylfaen" w:hAnsi="Sylfaen"/>
        </w:rPr>
        <w:t>Kipshidze</w:t>
      </w:r>
      <w:proofErr w:type="spellEnd"/>
      <w:r w:rsidRPr="0073443B">
        <w:rPr>
          <w:rFonts w:ascii="Sylfaen" w:hAnsi="Sylfaen"/>
        </w:rPr>
        <w:t xml:space="preserve"> Central University Clinic LLC c</w:t>
      </w:r>
      <w:r w:rsidR="003C174C" w:rsidRPr="0073443B">
        <w:rPr>
          <w:rFonts w:ascii="Sylfaen" w:hAnsi="Sylfaen"/>
        </w:rPr>
        <w:t>ould</w:t>
      </w:r>
      <w:r w:rsidRPr="0073443B">
        <w:rPr>
          <w:rFonts w:ascii="Sylfaen" w:hAnsi="Sylfaen"/>
        </w:rPr>
        <w:t xml:space="preserve"> be given to Tbilisi municipal government to further develop the area, including the development of parks, resting areas, etc.</w:t>
      </w:r>
    </w:p>
    <w:p w14:paraId="05B4DE7F" w14:textId="10130058" w:rsidR="008B1E79" w:rsidRPr="0073443B" w:rsidRDefault="008B1E79" w:rsidP="0073443B">
      <w:pPr>
        <w:spacing w:after="0" w:line="360" w:lineRule="auto"/>
        <w:jc w:val="both"/>
        <w:rPr>
          <w:rFonts w:ascii="Sylfaen" w:hAnsi="Sylfaen"/>
        </w:rPr>
      </w:pPr>
      <w:r w:rsidRPr="0073443B">
        <w:rPr>
          <w:rFonts w:ascii="Sylfaen" w:hAnsi="Sylfaen"/>
        </w:rPr>
        <w:t>Regarding JSC Universal Medical Center</w:t>
      </w:r>
      <w:r w:rsidR="003C174C" w:rsidRPr="0073443B">
        <w:rPr>
          <w:rFonts w:ascii="Sylfaen" w:hAnsi="Sylfaen"/>
        </w:rPr>
        <w:t xml:space="preserve"> (formerly “National Oncology Center”)</w:t>
      </w:r>
      <w:r w:rsidRPr="0073443B">
        <w:rPr>
          <w:rFonts w:ascii="Sylfaen" w:hAnsi="Sylfaen"/>
        </w:rPr>
        <w:t>, it is worth to mention that oncological services are very fragmented in the country and certain works and research activities are being carried out in this regard. Additionally, the vision for Oncology center development concept will be provided soon.</w:t>
      </w:r>
    </w:p>
    <w:p w14:paraId="04188700" w14:textId="77777777" w:rsidR="00DE7EAE" w:rsidRPr="0073443B" w:rsidRDefault="00DE7EAE" w:rsidP="0073443B">
      <w:pPr>
        <w:spacing w:after="0" w:line="360" w:lineRule="auto"/>
        <w:jc w:val="both"/>
        <w:rPr>
          <w:rFonts w:ascii="Sylfaen" w:hAnsi="Sylfaen"/>
        </w:rPr>
      </w:pPr>
    </w:p>
    <w:p w14:paraId="0C95F73F" w14:textId="77777777" w:rsidR="00CD003F" w:rsidRPr="0073443B" w:rsidRDefault="00CD003F" w:rsidP="0073443B">
      <w:pPr>
        <w:spacing w:after="0" w:line="360" w:lineRule="auto"/>
        <w:jc w:val="both"/>
        <w:rPr>
          <w:rFonts w:ascii="Sylfaen" w:hAnsi="Sylfaen"/>
        </w:rPr>
      </w:pPr>
    </w:p>
    <w:sectPr w:rsidR="00CD003F" w:rsidRPr="0073443B" w:rsidSect="0073443B">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7EBCBF" w14:textId="77777777" w:rsidR="00C07067" w:rsidRDefault="00C07067" w:rsidP="00F71039">
      <w:pPr>
        <w:spacing w:after="0" w:line="240" w:lineRule="auto"/>
      </w:pPr>
      <w:r>
        <w:separator/>
      </w:r>
    </w:p>
  </w:endnote>
  <w:endnote w:type="continuationSeparator" w:id="0">
    <w:p w14:paraId="3C1F0016" w14:textId="77777777" w:rsidR="00C07067" w:rsidRDefault="00C07067" w:rsidP="00F710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25259814"/>
      <w:docPartObj>
        <w:docPartGallery w:val="Page Numbers (Bottom of Page)"/>
        <w:docPartUnique/>
      </w:docPartObj>
    </w:sdtPr>
    <w:sdtEndPr>
      <w:rPr>
        <w:rStyle w:val="PageNumber"/>
      </w:rPr>
    </w:sdtEndPr>
    <w:sdtContent>
      <w:p w14:paraId="7DDCB1FF" w14:textId="77777777" w:rsidR="007300A0" w:rsidRDefault="00EC077D" w:rsidP="007300A0">
        <w:pPr>
          <w:pStyle w:val="Footer"/>
          <w:framePr w:wrap="none" w:vAnchor="text" w:hAnchor="margin" w:xAlign="center" w:y="1"/>
          <w:rPr>
            <w:rStyle w:val="PageNumber"/>
          </w:rPr>
        </w:pPr>
        <w:r>
          <w:rPr>
            <w:rStyle w:val="PageNumber"/>
          </w:rPr>
          <w:fldChar w:fldCharType="begin"/>
        </w:r>
        <w:r w:rsidR="007300A0">
          <w:rPr>
            <w:rStyle w:val="PageNumber"/>
          </w:rPr>
          <w:instrText xml:space="preserve"> PAGE </w:instrText>
        </w:r>
        <w:r>
          <w:rPr>
            <w:rStyle w:val="PageNumber"/>
          </w:rPr>
          <w:fldChar w:fldCharType="end"/>
        </w:r>
      </w:p>
    </w:sdtContent>
  </w:sdt>
  <w:p w14:paraId="16A59107" w14:textId="77777777" w:rsidR="007300A0" w:rsidRDefault="007300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40162046"/>
      <w:docPartObj>
        <w:docPartGallery w:val="Page Numbers (Bottom of Page)"/>
        <w:docPartUnique/>
      </w:docPartObj>
    </w:sdtPr>
    <w:sdtEndPr>
      <w:rPr>
        <w:rStyle w:val="PageNumber"/>
      </w:rPr>
    </w:sdtEndPr>
    <w:sdtContent>
      <w:p w14:paraId="30F37850" w14:textId="77777777" w:rsidR="007300A0" w:rsidRDefault="00EC077D" w:rsidP="007300A0">
        <w:pPr>
          <w:pStyle w:val="Footer"/>
          <w:framePr w:wrap="none" w:vAnchor="text" w:hAnchor="margin" w:xAlign="center" w:y="1"/>
          <w:rPr>
            <w:rStyle w:val="PageNumber"/>
          </w:rPr>
        </w:pPr>
        <w:r>
          <w:rPr>
            <w:rStyle w:val="PageNumber"/>
          </w:rPr>
          <w:fldChar w:fldCharType="begin"/>
        </w:r>
        <w:r w:rsidR="007300A0">
          <w:rPr>
            <w:rStyle w:val="PageNumber"/>
          </w:rPr>
          <w:instrText xml:space="preserve"> PAGE </w:instrText>
        </w:r>
        <w:r>
          <w:rPr>
            <w:rStyle w:val="PageNumber"/>
          </w:rPr>
          <w:fldChar w:fldCharType="separate"/>
        </w:r>
        <w:r w:rsidR="00031F9F">
          <w:rPr>
            <w:rStyle w:val="PageNumber"/>
            <w:noProof/>
          </w:rPr>
          <w:t>5</w:t>
        </w:r>
        <w:r>
          <w:rPr>
            <w:rStyle w:val="PageNumber"/>
          </w:rPr>
          <w:fldChar w:fldCharType="end"/>
        </w:r>
      </w:p>
    </w:sdtContent>
  </w:sdt>
  <w:p w14:paraId="075B5461" w14:textId="77777777" w:rsidR="007300A0" w:rsidRDefault="007300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518A4" w14:textId="77777777" w:rsidR="00C07067" w:rsidRDefault="00C07067" w:rsidP="00F71039">
      <w:pPr>
        <w:spacing w:after="0" w:line="240" w:lineRule="auto"/>
      </w:pPr>
      <w:r>
        <w:separator/>
      </w:r>
    </w:p>
  </w:footnote>
  <w:footnote w:type="continuationSeparator" w:id="0">
    <w:p w14:paraId="7C374BBA" w14:textId="77777777" w:rsidR="00C07067" w:rsidRDefault="00C07067" w:rsidP="00F710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F15F0"/>
    <w:multiLevelType w:val="hybridMultilevel"/>
    <w:tmpl w:val="75DAC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7344A7"/>
    <w:multiLevelType w:val="hybridMultilevel"/>
    <w:tmpl w:val="F4EA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4090D"/>
    <w:multiLevelType w:val="hybridMultilevel"/>
    <w:tmpl w:val="D4D48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ED7461"/>
    <w:multiLevelType w:val="hybridMultilevel"/>
    <w:tmpl w:val="05B6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940506"/>
    <w:multiLevelType w:val="hybridMultilevel"/>
    <w:tmpl w:val="A8E6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1A3FF9"/>
    <w:multiLevelType w:val="hybridMultilevel"/>
    <w:tmpl w:val="D5E41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1335D"/>
    <w:multiLevelType w:val="hybridMultilevel"/>
    <w:tmpl w:val="7EB0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5972A6"/>
    <w:multiLevelType w:val="hybridMultilevel"/>
    <w:tmpl w:val="79B8F6D2"/>
    <w:lvl w:ilvl="0" w:tplc="569E6726">
      <w:numFmt w:val="bullet"/>
      <w:lvlText w:val=""/>
      <w:lvlJc w:val="left"/>
      <w:pPr>
        <w:ind w:left="720" w:hanging="360"/>
      </w:pPr>
      <w:rPr>
        <w:rFonts w:ascii="Symbol" w:eastAsiaTheme="minorHAnsi" w:hAnsi="Symbol" w:cstheme="minorBidi"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240BA1"/>
    <w:multiLevelType w:val="hybridMultilevel"/>
    <w:tmpl w:val="B002CF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DE5F41"/>
    <w:multiLevelType w:val="hybridMultilevel"/>
    <w:tmpl w:val="3348A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A787EE9"/>
    <w:multiLevelType w:val="hybridMultilevel"/>
    <w:tmpl w:val="E4CE4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4E61DD"/>
    <w:multiLevelType w:val="hybridMultilevel"/>
    <w:tmpl w:val="780A7C4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0158C0"/>
    <w:multiLevelType w:val="hybridMultilevel"/>
    <w:tmpl w:val="2992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7417B90"/>
    <w:multiLevelType w:val="hybridMultilevel"/>
    <w:tmpl w:val="36301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C71008"/>
    <w:multiLevelType w:val="hybridMultilevel"/>
    <w:tmpl w:val="6C9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8641FAE"/>
    <w:multiLevelType w:val="hybridMultilevel"/>
    <w:tmpl w:val="07B86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261506"/>
    <w:multiLevelType w:val="hybridMultilevel"/>
    <w:tmpl w:val="82A8C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98001CD"/>
    <w:multiLevelType w:val="hybridMultilevel"/>
    <w:tmpl w:val="8E62BD8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nsid w:val="7C9545DA"/>
    <w:multiLevelType w:val="hybridMultilevel"/>
    <w:tmpl w:val="0DC242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27838"/>
    <w:multiLevelType w:val="hybridMultilevel"/>
    <w:tmpl w:val="975E6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2"/>
  </w:num>
  <w:num w:numId="3">
    <w:abstractNumId w:val="14"/>
  </w:num>
  <w:num w:numId="4">
    <w:abstractNumId w:val="19"/>
  </w:num>
  <w:num w:numId="5">
    <w:abstractNumId w:val="1"/>
  </w:num>
  <w:num w:numId="6">
    <w:abstractNumId w:val="13"/>
  </w:num>
  <w:num w:numId="7">
    <w:abstractNumId w:val="6"/>
  </w:num>
  <w:num w:numId="8">
    <w:abstractNumId w:val="18"/>
  </w:num>
  <w:num w:numId="9">
    <w:abstractNumId w:val="17"/>
  </w:num>
  <w:num w:numId="10">
    <w:abstractNumId w:val="9"/>
  </w:num>
  <w:num w:numId="11">
    <w:abstractNumId w:val="8"/>
  </w:num>
  <w:num w:numId="12">
    <w:abstractNumId w:val="11"/>
  </w:num>
  <w:num w:numId="13">
    <w:abstractNumId w:val="5"/>
  </w:num>
  <w:num w:numId="14">
    <w:abstractNumId w:val="2"/>
  </w:num>
  <w:num w:numId="15">
    <w:abstractNumId w:val="7"/>
  </w:num>
  <w:num w:numId="16">
    <w:abstractNumId w:val="3"/>
  </w:num>
  <w:num w:numId="17">
    <w:abstractNumId w:val="16"/>
  </w:num>
  <w:num w:numId="18">
    <w:abstractNumId w:val="4"/>
  </w:num>
  <w:num w:numId="19">
    <w:abstractNumId w:val="0"/>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9A4"/>
    <w:rsid w:val="000032EE"/>
    <w:rsid w:val="0002345E"/>
    <w:rsid w:val="00024C43"/>
    <w:rsid w:val="00031F9F"/>
    <w:rsid w:val="00041CC9"/>
    <w:rsid w:val="000772DE"/>
    <w:rsid w:val="000B50F6"/>
    <w:rsid w:val="000C17A8"/>
    <w:rsid w:val="000C2F69"/>
    <w:rsid w:val="000C5FDC"/>
    <w:rsid w:val="000F4A72"/>
    <w:rsid w:val="00104D53"/>
    <w:rsid w:val="00122DA4"/>
    <w:rsid w:val="00142FB1"/>
    <w:rsid w:val="00187E48"/>
    <w:rsid w:val="00196959"/>
    <w:rsid w:val="001A13E6"/>
    <w:rsid w:val="001C6CB4"/>
    <w:rsid w:val="001D0B6E"/>
    <w:rsid w:val="001E52F5"/>
    <w:rsid w:val="002005DB"/>
    <w:rsid w:val="00207A31"/>
    <w:rsid w:val="00230D03"/>
    <w:rsid w:val="002569E7"/>
    <w:rsid w:val="00267084"/>
    <w:rsid w:val="002C7C16"/>
    <w:rsid w:val="002E1445"/>
    <w:rsid w:val="003106F9"/>
    <w:rsid w:val="00314D74"/>
    <w:rsid w:val="003206B0"/>
    <w:rsid w:val="00331273"/>
    <w:rsid w:val="00343CEB"/>
    <w:rsid w:val="00351AB6"/>
    <w:rsid w:val="003601E1"/>
    <w:rsid w:val="00365ADC"/>
    <w:rsid w:val="00375CB1"/>
    <w:rsid w:val="003A0550"/>
    <w:rsid w:val="003C174C"/>
    <w:rsid w:val="003C6D2E"/>
    <w:rsid w:val="003E5C6C"/>
    <w:rsid w:val="00404C21"/>
    <w:rsid w:val="00410CAD"/>
    <w:rsid w:val="00411257"/>
    <w:rsid w:val="00416910"/>
    <w:rsid w:val="00416BA3"/>
    <w:rsid w:val="00466C6C"/>
    <w:rsid w:val="004A1364"/>
    <w:rsid w:val="004B0AD7"/>
    <w:rsid w:val="004C51D3"/>
    <w:rsid w:val="004D1AA9"/>
    <w:rsid w:val="004E1BE5"/>
    <w:rsid w:val="004E7E13"/>
    <w:rsid w:val="00511C3F"/>
    <w:rsid w:val="00514B14"/>
    <w:rsid w:val="005446D2"/>
    <w:rsid w:val="005577D5"/>
    <w:rsid w:val="00572600"/>
    <w:rsid w:val="005833AF"/>
    <w:rsid w:val="005863C9"/>
    <w:rsid w:val="005E7F8F"/>
    <w:rsid w:val="005F0417"/>
    <w:rsid w:val="00633D96"/>
    <w:rsid w:val="00641D58"/>
    <w:rsid w:val="00644011"/>
    <w:rsid w:val="00647915"/>
    <w:rsid w:val="00686556"/>
    <w:rsid w:val="00691BFA"/>
    <w:rsid w:val="006946F5"/>
    <w:rsid w:val="006A4C5E"/>
    <w:rsid w:val="00724249"/>
    <w:rsid w:val="007300A0"/>
    <w:rsid w:val="0073443B"/>
    <w:rsid w:val="007637B1"/>
    <w:rsid w:val="00771D90"/>
    <w:rsid w:val="0079146D"/>
    <w:rsid w:val="007A5930"/>
    <w:rsid w:val="007A7214"/>
    <w:rsid w:val="007B19B4"/>
    <w:rsid w:val="007B21C0"/>
    <w:rsid w:val="007B3CA6"/>
    <w:rsid w:val="007B43A5"/>
    <w:rsid w:val="007C0740"/>
    <w:rsid w:val="007C7DD4"/>
    <w:rsid w:val="007D05CA"/>
    <w:rsid w:val="007F6AB2"/>
    <w:rsid w:val="00807647"/>
    <w:rsid w:val="008079A4"/>
    <w:rsid w:val="00811AC1"/>
    <w:rsid w:val="00813D10"/>
    <w:rsid w:val="008164BD"/>
    <w:rsid w:val="00850117"/>
    <w:rsid w:val="00863964"/>
    <w:rsid w:val="0086785E"/>
    <w:rsid w:val="008747B7"/>
    <w:rsid w:val="008837F8"/>
    <w:rsid w:val="008A78E5"/>
    <w:rsid w:val="008B1E79"/>
    <w:rsid w:val="008E7B0E"/>
    <w:rsid w:val="009007CE"/>
    <w:rsid w:val="00935396"/>
    <w:rsid w:val="00941FA8"/>
    <w:rsid w:val="00984F0E"/>
    <w:rsid w:val="00996EEE"/>
    <w:rsid w:val="009B423F"/>
    <w:rsid w:val="009C22A0"/>
    <w:rsid w:val="00A0588F"/>
    <w:rsid w:val="00A14E78"/>
    <w:rsid w:val="00A23B4E"/>
    <w:rsid w:val="00A36A15"/>
    <w:rsid w:val="00A5096D"/>
    <w:rsid w:val="00A51F90"/>
    <w:rsid w:val="00A62AE2"/>
    <w:rsid w:val="00A70210"/>
    <w:rsid w:val="00A7603E"/>
    <w:rsid w:val="00A76C09"/>
    <w:rsid w:val="00A811FA"/>
    <w:rsid w:val="00AB12AD"/>
    <w:rsid w:val="00AC322A"/>
    <w:rsid w:val="00AD09B8"/>
    <w:rsid w:val="00AE475F"/>
    <w:rsid w:val="00AF11D8"/>
    <w:rsid w:val="00B32B49"/>
    <w:rsid w:val="00B54AFA"/>
    <w:rsid w:val="00B75513"/>
    <w:rsid w:val="00B94D04"/>
    <w:rsid w:val="00BB51F7"/>
    <w:rsid w:val="00BC3E3A"/>
    <w:rsid w:val="00BD3C5B"/>
    <w:rsid w:val="00BD3F35"/>
    <w:rsid w:val="00BF63CB"/>
    <w:rsid w:val="00C07067"/>
    <w:rsid w:val="00C46832"/>
    <w:rsid w:val="00C74A9B"/>
    <w:rsid w:val="00CD003F"/>
    <w:rsid w:val="00CD2BAB"/>
    <w:rsid w:val="00CE6CEB"/>
    <w:rsid w:val="00D41BF9"/>
    <w:rsid w:val="00D521B3"/>
    <w:rsid w:val="00D56BE1"/>
    <w:rsid w:val="00D678A3"/>
    <w:rsid w:val="00DA6847"/>
    <w:rsid w:val="00DB2157"/>
    <w:rsid w:val="00DC7614"/>
    <w:rsid w:val="00DE1A88"/>
    <w:rsid w:val="00DE4B9A"/>
    <w:rsid w:val="00DE7EAE"/>
    <w:rsid w:val="00DF08F8"/>
    <w:rsid w:val="00E12541"/>
    <w:rsid w:val="00E36B50"/>
    <w:rsid w:val="00E81377"/>
    <w:rsid w:val="00E96C1E"/>
    <w:rsid w:val="00EA016E"/>
    <w:rsid w:val="00EC077D"/>
    <w:rsid w:val="00EC5CC5"/>
    <w:rsid w:val="00F02A84"/>
    <w:rsid w:val="00F134C6"/>
    <w:rsid w:val="00F21910"/>
    <w:rsid w:val="00F249E3"/>
    <w:rsid w:val="00F40AA3"/>
    <w:rsid w:val="00F40AAF"/>
    <w:rsid w:val="00F42534"/>
    <w:rsid w:val="00F53A2B"/>
    <w:rsid w:val="00F71039"/>
    <w:rsid w:val="00F740BA"/>
    <w:rsid w:val="00F85DB6"/>
    <w:rsid w:val="00FA0544"/>
    <w:rsid w:val="00FB4A44"/>
    <w:rsid w:val="00FB620E"/>
    <w:rsid w:val="00FC3024"/>
    <w:rsid w:val="00FD0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F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ed List Paragraph"/>
    <w:basedOn w:val="Normal"/>
    <w:link w:val="ListParagraphChar"/>
    <w:uiPriority w:val="34"/>
    <w:qFormat/>
    <w:rsid w:val="008079A4"/>
    <w:pPr>
      <w:ind w:left="720"/>
      <w:contextualSpacing/>
    </w:pPr>
  </w:style>
  <w:style w:type="table" w:styleId="TableGrid">
    <w:name w:val="Table Grid"/>
    <w:basedOn w:val="TableNormal"/>
    <w:uiPriority w:val="39"/>
    <w:rsid w:val="0072424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D5"/>
    <w:rPr>
      <w:rFonts w:ascii="Tahoma" w:hAnsi="Tahoma" w:cs="Tahoma"/>
      <w:sz w:val="16"/>
      <w:szCs w:val="16"/>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CD2BAB"/>
  </w:style>
  <w:style w:type="character" w:styleId="CommentReference">
    <w:name w:val="annotation reference"/>
    <w:basedOn w:val="DefaultParagraphFont"/>
    <w:uiPriority w:val="99"/>
    <w:semiHidden/>
    <w:unhideWhenUsed/>
    <w:rsid w:val="00A62AE2"/>
    <w:rPr>
      <w:sz w:val="18"/>
      <w:szCs w:val="18"/>
    </w:rPr>
  </w:style>
  <w:style w:type="paragraph" w:styleId="CommentText">
    <w:name w:val="annotation text"/>
    <w:basedOn w:val="Normal"/>
    <w:link w:val="CommentTextChar"/>
    <w:uiPriority w:val="99"/>
    <w:semiHidden/>
    <w:unhideWhenUsed/>
    <w:rsid w:val="00A62AE2"/>
    <w:pPr>
      <w:spacing w:line="240" w:lineRule="auto"/>
    </w:pPr>
    <w:rPr>
      <w:sz w:val="24"/>
      <w:szCs w:val="24"/>
    </w:rPr>
  </w:style>
  <w:style w:type="character" w:customStyle="1" w:styleId="CommentTextChar">
    <w:name w:val="Comment Text Char"/>
    <w:basedOn w:val="DefaultParagraphFont"/>
    <w:link w:val="CommentText"/>
    <w:uiPriority w:val="99"/>
    <w:semiHidden/>
    <w:rsid w:val="00A62AE2"/>
    <w:rPr>
      <w:sz w:val="24"/>
      <w:szCs w:val="24"/>
    </w:rPr>
  </w:style>
  <w:style w:type="paragraph" w:styleId="CommentSubject">
    <w:name w:val="annotation subject"/>
    <w:basedOn w:val="CommentText"/>
    <w:next w:val="CommentText"/>
    <w:link w:val="CommentSubjectChar"/>
    <w:uiPriority w:val="99"/>
    <w:semiHidden/>
    <w:unhideWhenUsed/>
    <w:rsid w:val="00A62AE2"/>
    <w:rPr>
      <w:b/>
      <w:bCs/>
      <w:sz w:val="20"/>
      <w:szCs w:val="20"/>
    </w:rPr>
  </w:style>
  <w:style w:type="character" w:customStyle="1" w:styleId="CommentSubjectChar">
    <w:name w:val="Comment Subject Char"/>
    <w:basedOn w:val="CommentTextChar"/>
    <w:link w:val="CommentSubject"/>
    <w:uiPriority w:val="99"/>
    <w:semiHidden/>
    <w:rsid w:val="00A62AE2"/>
    <w:rPr>
      <w:b/>
      <w:bCs/>
      <w:sz w:val="20"/>
      <w:szCs w:val="20"/>
    </w:rPr>
  </w:style>
  <w:style w:type="paragraph" w:styleId="Footer">
    <w:name w:val="footer"/>
    <w:basedOn w:val="Normal"/>
    <w:link w:val="FooterChar"/>
    <w:uiPriority w:val="99"/>
    <w:unhideWhenUsed/>
    <w:rsid w:val="00F71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39"/>
  </w:style>
  <w:style w:type="character" w:styleId="PageNumber">
    <w:name w:val="page number"/>
    <w:basedOn w:val="DefaultParagraphFont"/>
    <w:uiPriority w:val="99"/>
    <w:semiHidden/>
    <w:unhideWhenUsed/>
    <w:rsid w:val="00F71039"/>
  </w:style>
  <w:style w:type="character" w:styleId="Strong">
    <w:name w:val="Strong"/>
    <w:basedOn w:val="DefaultParagraphFont"/>
    <w:uiPriority w:val="22"/>
    <w:qFormat/>
    <w:rsid w:val="00CD003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2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Recommendation,List Paragraph11,Bulleted List Paragraph"/>
    <w:basedOn w:val="Normal"/>
    <w:link w:val="ListParagraphChar"/>
    <w:uiPriority w:val="34"/>
    <w:qFormat/>
    <w:rsid w:val="008079A4"/>
    <w:pPr>
      <w:ind w:left="720"/>
      <w:contextualSpacing/>
    </w:pPr>
  </w:style>
  <w:style w:type="table" w:styleId="TableGrid">
    <w:name w:val="Table Grid"/>
    <w:basedOn w:val="TableNormal"/>
    <w:uiPriority w:val="39"/>
    <w:rsid w:val="00724249"/>
    <w:pPr>
      <w:spacing w:after="0" w:line="240" w:lineRule="auto"/>
    </w:pPr>
    <w:rPr>
      <w:rFonts w:eastAsiaTheme="minorEastAs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577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7D5"/>
    <w:rPr>
      <w:rFonts w:ascii="Tahoma" w:hAnsi="Tahoma" w:cs="Tahoma"/>
      <w:sz w:val="16"/>
      <w:szCs w:val="16"/>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CD2BAB"/>
  </w:style>
  <w:style w:type="character" w:styleId="CommentReference">
    <w:name w:val="annotation reference"/>
    <w:basedOn w:val="DefaultParagraphFont"/>
    <w:uiPriority w:val="99"/>
    <w:semiHidden/>
    <w:unhideWhenUsed/>
    <w:rsid w:val="00A62AE2"/>
    <w:rPr>
      <w:sz w:val="18"/>
      <w:szCs w:val="18"/>
    </w:rPr>
  </w:style>
  <w:style w:type="paragraph" w:styleId="CommentText">
    <w:name w:val="annotation text"/>
    <w:basedOn w:val="Normal"/>
    <w:link w:val="CommentTextChar"/>
    <w:uiPriority w:val="99"/>
    <w:semiHidden/>
    <w:unhideWhenUsed/>
    <w:rsid w:val="00A62AE2"/>
    <w:pPr>
      <w:spacing w:line="240" w:lineRule="auto"/>
    </w:pPr>
    <w:rPr>
      <w:sz w:val="24"/>
      <w:szCs w:val="24"/>
    </w:rPr>
  </w:style>
  <w:style w:type="character" w:customStyle="1" w:styleId="CommentTextChar">
    <w:name w:val="Comment Text Char"/>
    <w:basedOn w:val="DefaultParagraphFont"/>
    <w:link w:val="CommentText"/>
    <w:uiPriority w:val="99"/>
    <w:semiHidden/>
    <w:rsid w:val="00A62AE2"/>
    <w:rPr>
      <w:sz w:val="24"/>
      <w:szCs w:val="24"/>
    </w:rPr>
  </w:style>
  <w:style w:type="paragraph" w:styleId="CommentSubject">
    <w:name w:val="annotation subject"/>
    <w:basedOn w:val="CommentText"/>
    <w:next w:val="CommentText"/>
    <w:link w:val="CommentSubjectChar"/>
    <w:uiPriority w:val="99"/>
    <w:semiHidden/>
    <w:unhideWhenUsed/>
    <w:rsid w:val="00A62AE2"/>
    <w:rPr>
      <w:b/>
      <w:bCs/>
      <w:sz w:val="20"/>
      <w:szCs w:val="20"/>
    </w:rPr>
  </w:style>
  <w:style w:type="character" w:customStyle="1" w:styleId="CommentSubjectChar">
    <w:name w:val="Comment Subject Char"/>
    <w:basedOn w:val="CommentTextChar"/>
    <w:link w:val="CommentSubject"/>
    <w:uiPriority w:val="99"/>
    <w:semiHidden/>
    <w:rsid w:val="00A62AE2"/>
    <w:rPr>
      <w:b/>
      <w:bCs/>
      <w:sz w:val="20"/>
      <w:szCs w:val="20"/>
    </w:rPr>
  </w:style>
  <w:style w:type="paragraph" w:styleId="Footer">
    <w:name w:val="footer"/>
    <w:basedOn w:val="Normal"/>
    <w:link w:val="FooterChar"/>
    <w:uiPriority w:val="99"/>
    <w:unhideWhenUsed/>
    <w:rsid w:val="00F710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039"/>
  </w:style>
  <w:style w:type="character" w:styleId="PageNumber">
    <w:name w:val="page number"/>
    <w:basedOn w:val="DefaultParagraphFont"/>
    <w:uiPriority w:val="99"/>
    <w:semiHidden/>
    <w:unhideWhenUsed/>
    <w:rsid w:val="00F71039"/>
  </w:style>
  <w:style w:type="character" w:styleId="Strong">
    <w:name w:val="Strong"/>
    <w:basedOn w:val="DefaultParagraphFont"/>
    <w:uiPriority w:val="22"/>
    <w:qFormat/>
    <w:rsid w:val="00CD00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4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8.827737678623522E-2"/>
          <c:y val="0.19410843863613614"/>
          <c:w val="0.88031167979002567"/>
          <c:h val="0.52216952006247697"/>
        </c:manualLayout>
      </c:layout>
      <c:barChart>
        <c:barDir val="col"/>
        <c:grouping val="percentStacked"/>
        <c:varyColors val="0"/>
        <c:ser>
          <c:idx val="0"/>
          <c:order val="0"/>
          <c:tx>
            <c:strRef>
              <c:f>Sheet1!$B$1</c:f>
              <c:strCache>
                <c:ptCount val="1"/>
                <c:pt idx="0">
                  <c:v>State property (%)</c:v>
                </c:pt>
              </c:strCache>
            </c:strRef>
          </c:tx>
          <c:invertIfNegative val="0"/>
          <c:cat>
            <c:strRef>
              <c:f>Sheet1!$A$2:$A$12</c:f>
              <c:strCache>
                <c:ptCount val="11"/>
                <c:pt idx="0">
                  <c:v>Netherlands</c:v>
                </c:pt>
                <c:pt idx="1">
                  <c:v>Georgia</c:v>
                </c:pt>
                <c:pt idx="2">
                  <c:v>Germany</c:v>
                </c:pt>
                <c:pt idx="3">
                  <c:v>France</c:v>
                </c:pt>
                <c:pt idx="4">
                  <c:v>Israel</c:v>
                </c:pt>
                <c:pt idx="5">
                  <c:v>Spain</c:v>
                </c:pt>
                <c:pt idx="6">
                  <c:v>Austria</c:v>
                </c:pt>
                <c:pt idx="7">
                  <c:v>Czech Rep.</c:v>
                </c:pt>
                <c:pt idx="8">
                  <c:v>Turkey</c:v>
                </c:pt>
                <c:pt idx="9">
                  <c:v>Estonia</c:v>
                </c:pt>
                <c:pt idx="10">
                  <c:v>Finland</c:v>
                </c:pt>
              </c:strCache>
            </c:strRef>
          </c:cat>
          <c:val>
            <c:numRef>
              <c:f>Sheet1!$B$2:$B$12</c:f>
              <c:numCache>
                <c:formatCode>General</c:formatCode>
                <c:ptCount val="11"/>
                <c:pt idx="0">
                  <c:v>0</c:v>
                </c:pt>
                <c:pt idx="1">
                  <c:v>13</c:v>
                </c:pt>
                <c:pt idx="2">
                  <c:v>25.9</c:v>
                </c:pt>
                <c:pt idx="3">
                  <c:v>43.6</c:v>
                </c:pt>
                <c:pt idx="4">
                  <c:v>44.2</c:v>
                </c:pt>
                <c:pt idx="5">
                  <c:v>45.4</c:v>
                </c:pt>
                <c:pt idx="6">
                  <c:v>55.4</c:v>
                </c:pt>
                <c:pt idx="7">
                  <c:v>59.3</c:v>
                </c:pt>
                <c:pt idx="8">
                  <c:v>63.3</c:v>
                </c:pt>
                <c:pt idx="9">
                  <c:v>64.5</c:v>
                </c:pt>
                <c:pt idx="10">
                  <c:v>71.8</c:v>
                </c:pt>
              </c:numCache>
            </c:numRef>
          </c:val>
          <c:extLst xmlns:c16r2="http://schemas.microsoft.com/office/drawing/2015/06/chart">
            <c:ext xmlns:c16="http://schemas.microsoft.com/office/drawing/2014/chart" uri="{C3380CC4-5D6E-409C-BE32-E72D297353CC}">
              <c16:uniqueId val="{00000000-90F3-DB4F-8BA3-CE4AA7037106}"/>
            </c:ext>
          </c:extLst>
        </c:ser>
        <c:ser>
          <c:idx val="1"/>
          <c:order val="1"/>
          <c:tx>
            <c:strRef>
              <c:f>Sheet1!$C$1</c:f>
              <c:strCache>
                <c:ptCount val="1"/>
                <c:pt idx="0">
                  <c:v>Private, non-profit (%)</c:v>
                </c:pt>
              </c:strCache>
            </c:strRef>
          </c:tx>
          <c:invertIfNegative val="0"/>
          <c:cat>
            <c:strRef>
              <c:f>Sheet1!$A$2:$A$12</c:f>
              <c:strCache>
                <c:ptCount val="11"/>
                <c:pt idx="0">
                  <c:v>Netherlands</c:v>
                </c:pt>
                <c:pt idx="1">
                  <c:v>Georgia</c:v>
                </c:pt>
                <c:pt idx="2">
                  <c:v>Germany</c:v>
                </c:pt>
                <c:pt idx="3">
                  <c:v>France</c:v>
                </c:pt>
                <c:pt idx="4">
                  <c:v>Israel</c:v>
                </c:pt>
                <c:pt idx="5">
                  <c:v>Spain</c:v>
                </c:pt>
                <c:pt idx="6">
                  <c:v>Austria</c:v>
                </c:pt>
                <c:pt idx="7">
                  <c:v>Czech Rep.</c:v>
                </c:pt>
                <c:pt idx="8">
                  <c:v>Turkey</c:v>
                </c:pt>
                <c:pt idx="9">
                  <c:v>Estonia</c:v>
                </c:pt>
                <c:pt idx="10">
                  <c:v>Finland</c:v>
                </c:pt>
              </c:strCache>
            </c:strRef>
          </c:cat>
          <c:val>
            <c:numRef>
              <c:f>Sheet1!$C$2:$C$12</c:f>
              <c:numCache>
                <c:formatCode>General</c:formatCode>
                <c:ptCount val="11"/>
                <c:pt idx="0">
                  <c:v>67.3</c:v>
                </c:pt>
                <c:pt idx="1">
                  <c:v>2</c:v>
                </c:pt>
                <c:pt idx="2">
                  <c:v>32.1</c:v>
                </c:pt>
                <c:pt idx="3">
                  <c:v>24.4</c:v>
                </c:pt>
                <c:pt idx="4">
                  <c:v>26.7</c:v>
                </c:pt>
                <c:pt idx="5">
                  <c:v>15.2</c:v>
                </c:pt>
                <c:pt idx="6">
                  <c:v>15.5</c:v>
                </c:pt>
                <c:pt idx="7">
                  <c:v>1.2</c:v>
                </c:pt>
                <c:pt idx="8">
                  <c:v>0</c:v>
                </c:pt>
                <c:pt idx="9">
                  <c:v>9.7000000000000011</c:v>
                </c:pt>
                <c:pt idx="10">
                  <c:v>0</c:v>
                </c:pt>
              </c:numCache>
            </c:numRef>
          </c:val>
          <c:extLst xmlns:c16r2="http://schemas.microsoft.com/office/drawing/2015/06/chart">
            <c:ext xmlns:c16="http://schemas.microsoft.com/office/drawing/2014/chart" uri="{C3380CC4-5D6E-409C-BE32-E72D297353CC}">
              <c16:uniqueId val="{00000001-90F3-DB4F-8BA3-CE4AA7037106}"/>
            </c:ext>
          </c:extLst>
        </c:ser>
        <c:ser>
          <c:idx val="2"/>
          <c:order val="2"/>
          <c:tx>
            <c:strRef>
              <c:f>Sheet1!$D$1</c:f>
              <c:strCache>
                <c:ptCount val="1"/>
                <c:pt idx="0">
                  <c:v>Private, for-profit (%)</c:v>
                </c:pt>
              </c:strCache>
            </c:strRef>
          </c:tx>
          <c:invertIfNegative val="0"/>
          <c:cat>
            <c:strRef>
              <c:f>Sheet1!$A$2:$A$12</c:f>
              <c:strCache>
                <c:ptCount val="11"/>
                <c:pt idx="0">
                  <c:v>Netherlands</c:v>
                </c:pt>
                <c:pt idx="1">
                  <c:v>Georgia</c:v>
                </c:pt>
                <c:pt idx="2">
                  <c:v>Germany</c:v>
                </c:pt>
                <c:pt idx="3">
                  <c:v>France</c:v>
                </c:pt>
                <c:pt idx="4">
                  <c:v>Israel</c:v>
                </c:pt>
                <c:pt idx="5">
                  <c:v>Spain</c:v>
                </c:pt>
                <c:pt idx="6">
                  <c:v>Austria</c:v>
                </c:pt>
                <c:pt idx="7">
                  <c:v>Czech Rep.</c:v>
                </c:pt>
                <c:pt idx="8">
                  <c:v>Turkey</c:v>
                </c:pt>
                <c:pt idx="9">
                  <c:v>Estonia</c:v>
                </c:pt>
                <c:pt idx="10">
                  <c:v>Finland</c:v>
                </c:pt>
              </c:strCache>
            </c:strRef>
          </c:cat>
          <c:val>
            <c:numRef>
              <c:f>Sheet1!$D$2:$D$12</c:f>
              <c:numCache>
                <c:formatCode>General</c:formatCode>
                <c:ptCount val="11"/>
                <c:pt idx="0">
                  <c:v>32.700000000000003</c:v>
                </c:pt>
                <c:pt idx="1">
                  <c:v>84</c:v>
                </c:pt>
                <c:pt idx="2">
                  <c:v>41.9</c:v>
                </c:pt>
                <c:pt idx="3">
                  <c:v>32</c:v>
                </c:pt>
                <c:pt idx="4">
                  <c:v>29.1</c:v>
                </c:pt>
                <c:pt idx="5">
                  <c:v>39.4</c:v>
                </c:pt>
                <c:pt idx="6">
                  <c:v>29.1</c:v>
                </c:pt>
                <c:pt idx="7">
                  <c:v>39.5</c:v>
                </c:pt>
                <c:pt idx="8">
                  <c:v>36.700000000000003</c:v>
                </c:pt>
                <c:pt idx="9">
                  <c:v>25.8</c:v>
                </c:pt>
                <c:pt idx="10">
                  <c:v>28.2</c:v>
                </c:pt>
              </c:numCache>
            </c:numRef>
          </c:val>
          <c:extLst xmlns:c16r2="http://schemas.microsoft.com/office/drawing/2015/06/chart">
            <c:ext xmlns:c16="http://schemas.microsoft.com/office/drawing/2014/chart" uri="{C3380CC4-5D6E-409C-BE32-E72D297353CC}">
              <c16:uniqueId val="{00000002-90F3-DB4F-8BA3-CE4AA7037106}"/>
            </c:ext>
          </c:extLst>
        </c:ser>
        <c:dLbls>
          <c:showLegendKey val="0"/>
          <c:showVal val="0"/>
          <c:showCatName val="0"/>
          <c:showSerName val="0"/>
          <c:showPercent val="0"/>
          <c:showBubbleSize val="0"/>
        </c:dLbls>
        <c:gapWidth val="81"/>
        <c:overlap val="100"/>
        <c:axId val="81027456"/>
        <c:axId val="81028992"/>
      </c:barChart>
      <c:catAx>
        <c:axId val="81027456"/>
        <c:scaling>
          <c:orientation val="minMax"/>
        </c:scaling>
        <c:delete val="0"/>
        <c:axPos val="b"/>
        <c:numFmt formatCode="General" sourceLinked="0"/>
        <c:majorTickMark val="out"/>
        <c:minorTickMark val="none"/>
        <c:tickLblPos val="nextTo"/>
        <c:crossAx val="81028992"/>
        <c:crosses val="autoZero"/>
        <c:auto val="1"/>
        <c:lblAlgn val="ctr"/>
        <c:lblOffset val="100"/>
        <c:noMultiLvlLbl val="0"/>
      </c:catAx>
      <c:valAx>
        <c:axId val="81028992"/>
        <c:scaling>
          <c:orientation val="minMax"/>
        </c:scaling>
        <c:delete val="0"/>
        <c:axPos val="l"/>
        <c:numFmt formatCode="0%" sourceLinked="1"/>
        <c:majorTickMark val="out"/>
        <c:minorTickMark val="none"/>
        <c:tickLblPos val="nextTo"/>
        <c:crossAx val="81027456"/>
        <c:crosses val="autoZero"/>
        <c:crossBetween val="between"/>
      </c:valAx>
    </c:plotArea>
    <c:legend>
      <c:legendPos val="r"/>
      <c:layout>
        <c:manualLayout>
          <c:xMode val="edge"/>
          <c:yMode val="edge"/>
          <c:x val="1.2570538057742801E-2"/>
          <c:y val="2.9811898512686029E-3"/>
          <c:w val="0.94576279527559104"/>
          <c:h val="8.9622498727578312E-2"/>
        </c:manualLayout>
      </c:layout>
      <c:overlay val="0"/>
      <c:txPr>
        <a:bodyPr/>
        <a:lstStyle/>
        <a:p>
          <a:pPr>
            <a:defRPr sz="1050"/>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1453</Words>
  <Characters>8286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User</cp:lastModifiedBy>
  <cp:revision>5</cp:revision>
  <cp:lastPrinted>2018-04-03T10:12:00Z</cp:lastPrinted>
  <dcterms:created xsi:type="dcterms:W3CDTF">2018-04-03T11:04:00Z</dcterms:created>
  <dcterms:modified xsi:type="dcterms:W3CDTF">2018-04-03T11:54:00Z</dcterms:modified>
</cp:coreProperties>
</file>