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color w:val="000000"/>
          <w:sz w:val="24"/>
        </w:rPr>
      </w:pPr>
      <w:r>
        <w:rPr>
          <w:rFonts w:ascii="Sylfaen" w:eastAsia="Sylfaen" w:hAnsi="Sylfaen"/>
          <w:color w:val="000000"/>
          <w:sz w:val="24"/>
        </w:rPr>
        <w:t>რატიფიცირებულია საქართველს პარლამენტის</w:t>
      </w:r>
    </w:p>
    <w:p w:rsidR="00354415" w:rsidRDefault="00354415">
      <w:pPr>
        <w:pStyle w:val="Normal0"/>
        <w:rPr>
          <w:rFonts w:ascii="Sylfaen" w:eastAsia="Sylfaen" w:hAnsi="Sylfaen"/>
          <w:color w:val="000000"/>
        </w:rPr>
      </w:pPr>
      <w:r>
        <w:rPr>
          <w:rFonts w:ascii="Sylfaen" w:eastAsia="Sylfaen" w:hAnsi="Sylfaen"/>
          <w:color w:val="000000"/>
        </w:rPr>
        <w:t>2015 წლის 4 მარტის N 3139-IIს დადგენილებით</w:t>
      </w:r>
    </w:p>
    <w:p w:rsidR="00354415" w:rsidRDefault="00354415">
      <w:pPr>
        <w:pStyle w:val="Normal0"/>
        <w:rPr>
          <w:rFonts w:ascii="Sylfaen" w:eastAsia="Sylfaen" w:hAnsi="Sylfaen"/>
          <w:color w:val="000000"/>
        </w:rPr>
      </w:pPr>
    </w:p>
    <w:p w:rsidR="00354415" w:rsidRDefault="00354415">
      <w:pPr>
        <w:pStyle w:val="Normal0"/>
        <w:jc w:val="center"/>
        <w:rPr>
          <w:rFonts w:ascii="Sylfaen" w:eastAsia="Sylfaen" w:hAnsi="Sylfaen"/>
          <w:b/>
          <w:sz w:val="28"/>
        </w:rPr>
      </w:pPr>
      <w:r>
        <w:rPr>
          <w:rFonts w:ascii="Sylfaen" w:eastAsia="Sylfaen" w:hAnsi="Sylfaen"/>
          <w:b/>
          <w:sz w:val="28"/>
        </w:rPr>
        <w:t xml:space="preserve">ადამიანის უფლებათა და ძირითად თავისუფლებათა დაცვის კონვენციის მე-16 ოქმი  </w:t>
      </w:r>
    </w:p>
    <w:p w:rsidR="00354415" w:rsidRDefault="00354415">
      <w:pPr>
        <w:pStyle w:val="Normal0"/>
        <w:jc w:val="center"/>
        <w:rPr>
          <w:rFonts w:ascii="Sylfaen" w:eastAsia="Sylfaen" w:hAnsi="Sylfaen"/>
          <w:b/>
          <w:sz w:val="28"/>
        </w:rPr>
      </w:pP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ПРОТОКОЛ № 16 К КОНВЕНЦИИ О ЗАЩИТЕ ПРАВ ЧЕЛОВЕКА И ОСНОВНЫХ СВОБОД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Преамбула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 xml:space="preserve">Государства — члены Совета Европы и другие Высокие Договаривающиеся Стороны </w:t>
      </w:r>
      <w:hyperlink r:id="rId4" w:history="1">
        <w:r>
          <w:rPr>
            <w:rFonts w:ascii="Sylfaen" w:eastAsia="Sylfaen" w:hAnsi="Sylfaen"/>
            <w:color w:val="000000"/>
            <w:sz w:val="24"/>
            <w:shd w:val="clear" w:color="auto" w:fill="FFFFFF"/>
          </w:rPr>
          <w:t>Конвенции о защите прав человека и основных свобод</w:t>
        </w:r>
      </w:hyperlink>
      <w:r>
        <w:rPr>
          <w:rFonts w:ascii="Sylfaen" w:eastAsia="Sylfaen" w:hAnsi="Sylfaen"/>
          <w:color w:val="000000"/>
          <w:sz w:val="24"/>
          <w:shd w:val="clear" w:color="auto" w:fill="FFFFFF"/>
        </w:rPr>
        <w:t>, подписанной в Риме 4 ноября 1950 года (далее именуемой «Конвенция»), подписавшие настоящий Протокол,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 xml:space="preserve">принимая во внимание положения Конвенции и, в частности, </w:t>
      </w:r>
      <w:hyperlink r:id="rId5" w:anchor="19" w:history="1">
        <w:r>
          <w:rPr>
            <w:rFonts w:ascii="Sylfaen" w:eastAsia="Sylfaen" w:hAnsi="Sylfaen"/>
            <w:color w:val="000000"/>
            <w:sz w:val="24"/>
            <w:shd w:val="clear" w:color="auto" w:fill="FFFFFF"/>
          </w:rPr>
          <w:t>статьи 19</w:t>
        </w:r>
      </w:hyperlink>
      <w:r>
        <w:rPr>
          <w:rFonts w:ascii="Sylfaen" w:eastAsia="Sylfaen" w:hAnsi="Sylfaen"/>
          <w:color w:val="000000"/>
          <w:sz w:val="24"/>
          <w:shd w:val="clear" w:color="auto" w:fill="FFFFFF"/>
        </w:rPr>
        <w:t>, учреждающей Европейский Суд по правам человека (далее именуемый «Суд»);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учитывая, что расширение полномочий Суда по вынесению консультативных заключений будет способствовать дальнейшему укреплению взаимодействия между Судом и национальными властями и тем самым усиливать имплеменацию Конвенции в соответствии с принципом субсидиарности;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принимая во внимание Заключение № 285 (2013) Парламентской ассамблеи Совета Европы, принятое 28 июня 2013 года;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согласились о нижеследующем: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1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1. Высшие суды и трибуналы Высокой Договаривающейся Стороны, определяемые в соответствии со статьей 10, могут запрашивать у Суда консультативные заключения по вопросам о принципах, касающихся интерпретации или применения прав и свобод, гарантированных Конвенцией и Протоколами к ней.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2. Запрашивающий суд или трибунал может просить вынести консультативное заключение только в контексте рассматриваемого им дела.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3. Запрашивающий суд или трибунал должен мотивировать свой запрос и представить относимые юридические и фактические обстоятельства рассматриваемого им дела.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2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1. Коллегия в составе пяти членов Большой Палаты принимает решение о том, удовлетворять ли запрос о даче консультативного заключения, с учетом положений статьи 1. Коллегия должна мотивировать решение об отказе в удовлетворении запроса.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2. Если коллегия удовлетворяет запрос, Большая Палата должна вынести консультативное заключение.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lastRenderedPageBreak/>
        <w:t xml:space="preserve">3. Коллегия и Большая Палата, о которых идет речь в предшествующих пунктах, должны включать </w:t>
      </w:r>
      <w:r>
        <w:rPr>
          <w:rFonts w:ascii="Sylfaen" w:eastAsia="Sylfaen" w:hAnsi="Sylfaen"/>
          <w:i/>
          <w:color w:val="000000"/>
          <w:sz w:val="24"/>
          <w:shd w:val="clear" w:color="auto" w:fill="FFFFFF"/>
        </w:rPr>
        <w:t>ex officio</w:t>
      </w:r>
      <w:r>
        <w:rPr>
          <w:rFonts w:ascii="Sylfaen" w:eastAsia="Sylfaen" w:hAnsi="Sylfaen"/>
          <w:color w:val="000000"/>
          <w:sz w:val="24"/>
          <w:shd w:val="clear" w:color="auto" w:fill="FFFFFF"/>
        </w:rPr>
        <w:t> Судью, избранного от Высокой Договаривающейся Стороны, которой принадлежит запрашивающий суд или трибунал. В случае отсутствия такого Судьи или если он не может участвовать в заседании, в качестве Судьи заседает лицо, назначенное Председателем Суда из списка, заблаговременно представленного этой Стороной.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3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Комиссар Совета Европы по правам человека и Высокая Договаривающая Сторона, которой принадлежит запрашивающий суд или трибунал, вправе представлять письменные замечания и принимать участие в слушаниях. В интересах надлежащего отправления правосудия Председатель Суда может пригласить любую другую Высокую Договаривающуюся Сторону или лицо также представить письменные замечания и принять участие в слушаниях.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4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1. Консультативные заключения Суда должны быть мотивированными.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2. Если консультативное заключение в целом или частично не выражает единогласного мнения Судей, то любой Судья вправе представить свое особое мнение.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3. Консультативное заключение Суда направляется запрашивающему суду или трибуналу и Высокой Договаривающейся стороне, которой принадлежит этот суд или трибунал.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4. Консультативные заключения подлежат публикации.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5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Консультативные заключения не имеют обязательной силы.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6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Высокие Договаривающиеся Стороны рассматривают статьи с 1 по 5 настоящего Протокола как дополнительные статьи к Конвенции, и все положения Конвенции применяются соответственно.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7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1. Настоящий Протокол открыт для подписания Высокими Договаривающимися Сторонами Конвенции, которые могут выразить свое согласие быть связанными Протоколом путем: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а. подписания без оговорки о ратификации, принятии или одобрении; или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b. подписания под условием обязательной последующей ратификации, принятия или одобрения, за которым следует ратификация, принятие или одобрение.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2. Ратификационные грамоты и документы о принятии или одобрении должны быть сданы на хранение Генеральному секретарю Совета Европы.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lastRenderedPageBreak/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8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1. Настоящий Протокол вступает в силу в первый день месяца, следующего по истечении трехмесячного срока, считая с даты, на которую десять Высоких Договаривающихся Сторон Конвенции выразили свое согласие быть связанными Протоколом в соответствии с положениями статьи 7.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2. В отношении любой Высокой Договаривающейся Стороны, которая впоследствии выразит свое согласие на обязательность для нее Протокола, он вступает в силу в первый день месяца, следующего по истечении трехмесячного срока, считая с даты выражения ей своего согласия быть связанной Протоколом в соответствии с положениями статьи 7.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9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 xml:space="preserve">Применительно к положениям настоящего Протокола не допускаются оговорки, о которых идет речь в </w:t>
      </w:r>
      <w:hyperlink r:id="rId6" w:anchor="57" w:history="1">
        <w:r>
          <w:rPr>
            <w:rFonts w:ascii="Sylfaen" w:eastAsia="Sylfaen" w:hAnsi="Sylfaen"/>
            <w:color w:val="000000"/>
            <w:sz w:val="24"/>
            <w:shd w:val="clear" w:color="auto" w:fill="FFFFFF"/>
          </w:rPr>
          <w:t>статье 57 Конвенции</w:t>
        </w:r>
      </w:hyperlink>
      <w:r>
        <w:rPr>
          <w:rFonts w:ascii="Sylfaen" w:eastAsia="Sylfaen" w:hAnsi="Sylfaen"/>
          <w:color w:val="000000"/>
          <w:sz w:val="24"/>
          <w:shd w:val="clear" w:color="auto" w:fill="FFFFFF"/>
        </w:rPr>
        <w:t>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10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Каждая Высокая Договаривающаяся Сторона Конвенции при подписании или сдаче ей на хранение своей ратификационной грамоты или документа о принятии или утверждении должна указать посредством декларации, адресованной Генеральному Секретарю Совета Европы, суды или трибуналы, которые она определяет для целей пункта 1 статьи 1 настоящего Протокола. Указанная декларация может быть изменена впоследствии в любое время таким же образом.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 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b/>
          <w:color w:val="000000"/>
          <w:sz w:val="24"/>
          <w:shd w:val="clear" w:color="auto" w:fill="FFFFFF"/>
        </w:rPr>
        <w:t>Статья 11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Генеральный секретарь Совета Европы уведомляет государства – члены Совета Европы и другие Высокие Договаривающиеся Стороны Конвенции о: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a. любом подписании;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b. сдаче на хранение любой ратификационной грамоты или документа о принятии или одобрении;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c. любой дате вступления в силу настоящего Протокола в соответствии с положениями статьи 8;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d. любой декларации, поданной в соответствии с положениями статьи 10; и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e. любом ином акте, уведомлении или сообщении, относящемся к настоящему Протоколу.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  <w:r>
        <w:rPr>
          <w:rFonts w:ascii="Sylfaen" w:eastAsia="Sylfaen" w:hAnsi="Sylfaen"/>
          <w:color w:val="000000"/>
          <w:sz w:val="24"/>
          <w:shd w:val="clear" w:color="auto" w:fill="FFFFFF"/>
        </w:rPr>
        <w:t>В удостоверение чего нижеподписавшиеся, должным образом на то уполномоченные, подписали настоящий Протокол.</w:t>
      </w:r>
    </w:p>
    <w:p w:rsidR="00354415" w:rsidRDefault="00354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000000"/>
          <w:sz w:val="24"/>
          <w:shd w:val="clear" w:color="auto" w:fill="FFFFFF"/>
        </w:rPr>
      </w:pPr>
    </w:p>
    <w:p w:rsidR="00354415" w:rsidRDefault="00354415">
      <w:pPr>
        <w:pStyle w:val="Normal0"/>
        <w:jc w:val="both"/>
        <w:rPr>
          <w:rFonts w:ascii="Sylfaen" w:eastAsia="Sylfaen" w:hAnsi="Sylfaen"/>
          <w:color w:val="000000"/>
          <w:shd w:val="clear" w:color="auto" w:fill="FFFFFF"/>
        </w:rPr>
      </w:pPr>
      <w:r>
        <w:rPr>
          <w:rFonts w:ascii="Sylfaen" w:eastAsia="Sylfaen" w:hAnsi="Sylfaen"/>
          <w:color w:val="000000"/>
          <w:shd w:val="clear" w:color="auto" w:fill="FFFFFF"/>
        </w:rPr>
        <w:t xml:space="preserve">Совершено в [Страсбурге 02 октября 2013 года] на английском и французском языках, причем оба текста имеют одинаковую силу, в единственном экземпляре, который хранится в архиве Совета Европы. Генеральный секретарь Совета Европы направляет </w:t>
      </w:r>
      <w:r>
        <w:rPr>
          <w:rFonts w:ascii="Sylfaen" w:eastAsia="Sylfaen" w:hAnsi="Sylfaen"/>
          <w:color w:val="000000"/>
          <w:shd w:val="clear" w:color="auto" w:fill="FFFFFF"/>
        </w:rPr>
        <w:lastRenderedPageBreak/>
        <w:t>заверенную копию каждому государству — члену Совета Европы и другим Высоким Договаривающимся Сторонам Конвенции. </w:t>
      </w:r>
    </w:p>
    <w:p w:rsidR="00354415" w:rsidRDefault="00354415">
      <w:pPr>
        <w:pStyle w:val="Normal0"/>
        <w:jc w:val="both"/>
        <w:rPr>
          <w:rFonts w:ascii="Sylfaen" w:eastAsia="Sylfaen" w:hAnsi="Sylfaen"/>
          <w:color w:val="000000"/>
          <w:shd w:val="clear" w:color="auto" w:fill="FFFFFF"/>
        </w:rPr>
      </w:pPr>
    </w:p>
    <w:sectPr w:rsidR="003544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954E70"/>
    <w:rsid w:val="002B5D1C"/>
    <w:rsid w:val="00354415"/>
    <w:rsid w:val="0095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opeancourt.ru/konvenciya-o-zashhite-prav-cheloveka-i-drugie-oficialnye-dokumenty/konvenciya-o-zashhite-prav-cheloveka-i-osnovnyx-svobod/" TargetMode="External"/><Relationship Id="rId5" Type="http://schemas.openxmlformats.org/officeDocument/2006/relationships/hyperlink" Target="http://europeancourt.ru/konvenciya-o-zashhite-prav-cheloveka-i-drugie-oficialnye-dokumenty/konvenciya-o-zashhite-prav-cheloveka-i-osnovnyx-svobod/" TargetMode="External"/><Relationship Id="rId4" Type="http://schemas.openxmlformats.org/officeDocument/2006/relationships/hyperlink" Target="http://europeancourt.ru/konvenciya-o-zashhite-prav-cheloveka-i-drugie-oficialnye-dokumenty/konvenciya-o-zashhite-prav-cheloveka-i-osnovnyx-svob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Base>D:\DATO\1\new\</HyperlinkBase>
  <HLinks>
    <vt:vector size="18" baseType="variant">
      <vt:variant>
        <vt:i4>5111881</vt:i4>
      </vt:variant>
      <vt:variant>
        <vt:i4>6</vt:i4>
      </vt:variant>
      <vt:variant>
        <vt:i4>0</vt:i4>
      </vt:variant>
      <vt:variant>
        <vt:i4>5</vt:i4>
      </vt:variant>
      <vt:variant>
        <vt:lpwstr>http://europeancourt.ru/konvenciya-o-zashhite-prav-cheloveka-i-drugie-oficialnye-dokumenty/konvenciya-o-zashhite-prav-cheloveka-i-osnovnyx-svobod/</vt:lpwstr>
      </vt:variant>
      <vt:variant>
        <vt:lpwstr>57</vt:lpwstr>
      </vt:variant>
      <vt:variant>
        <vt:i4>4194381</vt:i4>
      </vt:variant>
      <vt:variant>
        <vt:i4>3</vt:i4>
      </vt:variant>
      <vt:variant>
        <vt:i4>0</vt:i4>
      </vt:variant>
      <vt:variant>
        <vt:i4>5</vt:i4>
      </vt:variant>
      <vt:variant>
        <vt:lpwstr>http://europeancourt.ru/konvenciya-o-zashhite-prav-cheloveka-i-drugie-oficialnye-dokumenty/konvenciya-o-zashhite-prav-cheloveka-i-osnovnyx-svobod/</vt:lpwstr>
      </vt:variant>
      <vt:variant>
        <vt:lpwstr>19</vt:lpwstr>
      </vt:variant>
      <vt:variant>
        <vt:i4>7929980</vt:i4>
      </vt:variant>
      <vt:variant>
        <vt:i4>0</vt:i4>
      </vt:variant>
      <vt:variant>
        <vt:i4>0</vt:i4>
      </vt:variant>
      <vt:variant>
        <vt:i4>5</vt:i4>
      </vt:variant>
      <vt:variant>
        <vt:lpwstr>http://europeancourt.ru/konvenciya-o-zashhite-prav-cheloveka-i-drugie-oficialnye-dokumenty/konvenciya-o-zashhite-prav-cheloveka-i-osnovnyx-svobod/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Japaridze</dc:creator>
  <cp:keywords/>
  <cp:lastModifiedBy>Nana Kavtaradze</cp:lastModifiedBy>
  <cp:revision>2</cp:revision>
  <dcterms:created xsi:type="dcterms:W3CDTF">2015-05-06T16:49:00Z</dcterms:created>
  <dcterms:modified xsi:type="dcterms:W3CDTF">2015-05-06T16:49:00Z</dcterms:modified>
</cp:coreProperties>
</file>