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91"/>
        <w:gridCol w:w="7397"/>
        <w:gridCol w:w="2667"/>
      </w:tblGrid>
      <w:tr w:rsidR="00DE6CA7" w:rsidTr="00166F52">
        <w:trPr>
          <w:trHeight w:val="1275"/>
        </w:trPr>
        <w:tc>
          <w:tcPr>
            <w:tcW w:w="1791" w:type="dxa"/>
            <w:tcBorders>
              <w:top w:val="nil"/>
              <w:left w:val="nil"/>
              <w:bottom w:val="nil"/>
              <w:right w:val="nil"/>
            </w:tcBorders>
            <w:shd w:val="clear" w:color="auto" w:fill="auto"/>
            <w:tcMar>
              <w:top w:w="80" w:type="dxa"/>
              <w:left w:w="80" w:type="dxa"/>
              <w:bottom w:w="80" w:type="dxa"/>
              <w:right w:w="80" w:type="dxa"/>
            </w:tcMar>
            <w:vAlign w:val="center"/>
          </w:tcPr>
          <w:p w:rsidR="00DE6CA7" w:rsidRDefault="00D3630A">
            <w:pPr>
              <w:pStyle w:val="a1"/>
              <w:tabs>
                <w:tab w:val="left" w:pos="8520"/>
              </w:tabs>
              <w:jc w:val="both"/>
              <w:rPr>
                <w:rFonts w:hint="eastAsia"/>
              </w:rPr>
            </w:pPr>
            <w:r>
              <w:rPr>
                <w:rFonts w:ascii="Times New Roman" w:hAnsi="Times New Roman"/>
                <w:b/>
                <w:bCs/>
                <w:noProof/>
                <w:color w:val="009644"/>
                <w:sz w:val="26"/>
                <w:szCs w:val="26"/>
                <w:u w:color="009644"/>
              </w:rPr>
              <w:drawing>
                <wp:inline distT="0" distB="0" distL="0" distR="0" wp14:anchorId="3F37B780" wp14:editId="578774CD">
                  <wp:extent cx="590550" cy="695325"/>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8">
                            <a:extLst/>
                          </a:blip>
                          <a:stretch>
                            <a:fillRect/>
                          </a:stretch>
                        </pic:blipFill>
                        <pic:spPr>
                          <a:xfrm>
                            <a:off x="0" y="0"/>
                            <a:ext cx="590550" cy="695325"/>
                          </a:xfrm>
                          <a:prstGeom prst="rect">
                            <a:avLst/>
                          </a:prstGeom>
                          <a:ln w="12700" cap="flat">
                            <a:noFill/>
                            <a:miter lim="400000"/>
                          </a:ln>
                          <a:effectLst/>
                        </pic:spPr>
                      </pic:pic>
                    </a:graphicData>
                  </a:graphic>
                </wp:inline>
              </w:drawing>
            </w:r>
          </w:p>
        </w:tc>
        <w:tc>
          <w:tcPr>
            <w:tcW w:w="739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852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Товарищество с ограниченной ответственностью</w:t>
            </w:r>
          </w:p>
          <w:p w:rsidR="00DE6CA7" w:rsidRPr="0022243F" w:rsidRDefault="00D3630A">
            <w:pPr>
              <w:pStyle w:val="a1"/>
              <w:tabs>
                <w:tab w:val="left" w:pos="8114"/>
                <w:tab w:val="right" w:pos="900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«А1»</w:t>
            </w:r>
          </w:p>
          <w:p w:rsidR="00DE6CA7" w:rsidRDefault="00D3630A">
            <w:pPr>
              <w:pStyle w:val="a1"/>
              <w:tabs>
                <w:tab w:val="left" w:pos="5580"/>
                <w:tab w:val="right" w:pos="9000"/>
              </w:tabs>
              <w:spacing w:before="60" w:after="60"/>
              <w:jc w:val="both"/>
              <w:rPr>
                <w:rFonts w:hint="eastAsia"/>
              </w:rPr>
            </w:pPr>
            <w:r>
              <w:rPr>
                <w:rFonts w:ascii="Times New Roman" w:hAnsi="Times New Roman"/>
                <w:b/>
                <w:bCs/>
                <w:color w:val="009644"/>
                <w:sz w:val="26"/>
                <w:szCs w:val="26"/>
                <w:u w:color="009644"/>
                <w:lang w:val="ru-RU"/>
              </w:rPr>
              <w:t>Жауапкершiлiгi шектеулi серiктестiк</w:t>
            </w:r>
          </w:p>
        </w:tc>
        <w:tc>
          <w:tcPr>
            <w:tcW w:w="266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Республика Казахстан, 050051</w:t>
            </w:r>
          </w:p>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г.Алматы, пр.Достык, д.91/2, БЦ «</w:t>
            </w:r>
            <w:r>
              <w:rPr>
                <w:rFonts w:ascii="Times New Roman" w:hAnsi="Times New Roman"/>
                <w:sz w:val="16"/>
                <w:szCs w:val="16"/>
                <w:u w:color="000000"/>
              </w:rPr>
              <w:t>ARDIN</w:t>
            </w:r>
            <w:r>
              <w:rPr>
                <w:rFonts w:ascii="Times New Roman" w:hAnsi="Times New Roman"/>
                <w:sz w:val="16"/>
                <w:szCs w:val="16"/>
                <w:u w:color="000000"/>
                <w:lang w:val="ru-RU"/>
              </w:rPr>
              <w:t>», офис 806.</w:t>
            </w:r>
          </w:p>
          <w:p w:rsidR="00DE6CA7" w:rsidRDefault="00D3630A">
            <w:pPr>
              <w:pStyle w:val="a1"/>
              <w:tabs>
                <w:tab w:val="left" w:pos="708"/>
                <w:tab w:val="left" w:pos="1416"/>
                <w:tab w:val="left" w:pos="2124"/>
              </w:tabs>
              <w:jc w:val="both"/>
              <w:rPr>
                <w:rFonts w:ascii="Times New Roman" w:eastAsia="Times New Roman" w:hAnsi="Times New Roman" w:cs="Times New Roman"/>
                <w:sz w:val="16"/>
                <w:szCs w:val="16"/>
                <w:u w:color="000000"/>
              </w:rPr>
            </w:pPr>
            <w:r>
              <w:rPr>
                <w:rFonts w:ascii="Times New Roman" w:hAnsi="Times New Roman"/>
                <w:sz w:val="16"/>
                <w:szCs w:val="16"/>
                <w:u w:color="000000"/>
                <w:lang w:val="ru-RU"/>
              </w:rPr>
              <w:t>БИН: 111140018873</w:t>
            </w:r>
          </w:p>
          <w:p w:rsidR="00DE6CA7" w:rsidRDefault="00D3630A">
            <w:pPr>
              <w:pStyle w:val="a1"/>
              <w:tabs>
                <w:tab w:val="left" w:pos="708"/>
                <w:tab w:val="left" w:pos="1416"/>
                <w:tab w:val="left" w:pos="2124"/>
              </w:tabs>
              <w:jc w:val="both"/>
              <w:rPr>
                <w:rFonts w:hint="eastAsia"/>
              </w:rPr>
            </w:pPr>
            <w:proofErr w:type="spellStart"/>
            <w:r>
              <w:rPr>
                <w:rFonts w:ascii="Times New Roman" w:hAnsi="Times New Roman"/>
                <w:sz w:val="16"/>
                <w:szCs w:val="16"/>
                <w:u w:color="000000"/>
              </w:rPr>
              <w:t>Тел</w:t>
            </w:r>
            <w:proofErr w:type="spellEnd"/>
            <w:r>
              <w:rPr>
                <w:rFonts w:ascii="Times New Roman" w:hAnsi="Times New Roman"/>
                <w:sz w:val="16"/>
                <w:szCs w:val="16"/>
                <w:u w:color="000000"/>
                <w:lang w:val="ru-RU"/>
              </w:rPr>
              <w:t xml:space="preserve">: 8 727 346 62 81 </w:t>
            </w:r>
          </w:p>
        </w:tc>
      </w:tr>
    </w:tbl>
    <w:p w:rsidR="00DE6CA7" w:rsidRDefault="00DE6CA7">
      <w:pPr>
        <w:pStyle w:val="a0"/>
        <w:rPr>
          <w:rFonts w:hint="eastAsia"/>
        </w:rPr>
      </w:pPr>
    </w:p>
    <w:p w:rsidR="00DE6CA7" w:rsidRDefault="00D3630A">
      <w:pPr>
        <w:pStyle w:val="a0"/>
        <w:jc w:val="center"/>
        <w:rPr>
          <w:rFonts w:hint="eastAsia"/>
        </w:rPr>
      </w:pPr>
      <w:r>
        <w:t>Request for reservation</w:t>
      </w:r>
    </w:p>
    <w:p w:rsidR="00DE6CA7" w:rsidRDefault="00DE6CA7">
      <w:pPr>
        <w:pStyle w:val="a0"/>
        <w:jc w:val="center"/>
        <w:rPr>
          <w:rFonts w:hint="eastAsia"/>
        </w:rPr>
      </w:pPr>
    </w:p>
    <w:p w:rsidR="00DE6CA7" w:rsidRDefault="00D3630A">
      <w:pPr>
        <w:pStyle w:val="a0"/>
        <w:jc w:val="center"/>
        <w:rPr>
          <w:rFonts w:hint="eastAsia"/>
        </w:rPr>
      </w:pPr>
      <w:r>
        <w:t xml:space="preserve">Please fill in all the fields and send us to the e-mail: </w:t>
      </w:r>
      <w:hyperlink r:id="rId9" w:history="1">
        <w:r>
          <w:rPr>
            <w:rStyle w:val="Hyperlink0"/>
          </w:rPr>
          <w:t>bookinga1@mail.ru</w:t>
        </w:r>
      </w:hyperlink>
    </w:p>
    <w:p w:rsidR="00DE6CA7" w:rsidRDefault="00DE6CA7">
      <w:pPr>
        <w:pStyle w:val="a0"/>
        <w:jc w:val="center"/>
        <w:rPr>
          <w:rFonts w:hint="eastAsia"/>
        </w:rPr>
      </w:pPr>
    </w:p>
    <w:tbl>
      <w:tblPr>
        <w:tblW w:w="11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00"/>
        <w:gridCol w:w="7654"/>
      </w:tblGrid>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Name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D4637">
            <w:r>
              <w:t>Zaza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Surname</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D4637">
            <w:r>
              <w:t>Bokhua</w:t>
            </w:r>
          </w:p>
        </w:tc>
      </w:tr>
      <w:tr w:rsidR="0022243F"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Pr="00264313" w:rsidRDefault="0022243F">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Date of Birth</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Default="007409B1">
            <w:r>
              <w:t>07.08.1964</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lang w:val="ru-RU"/>
              </w:rPr>
              <w:t>E-mail</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zbokhua@moh.gov.ge</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Contact ( Telephone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+995 599490942</w:t>
            </w:r>
          </w:p>
        </w:tc>
      </w:tr>
      <w:tr w:rsidR="00166F52"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Pr="00264313" w:rsidRDefault="00166F52">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Country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Default="007409B1">
            <w:r>
              <w:t>Georgia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Passport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10DP02896</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Arrival Date /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OCTOBER 23,2018/TBS-TSE KC 120/ 00:15+1</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Departure Date/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OCTOBER 26,2018/TSE-TBS KC119/ 20:35</w:t>
            </w:r>
          </w:p>
        </w:tc>
      </w:tr>
      <w:tr w:rsidR="00DE6CA7" w:rsidTr="00264313">
        <w:trPr>
          <w:trHeight w:val="333"/>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Pr="00264313" w:rsidRDefault="00264313" w:rsidP="00264313">
            <w:pPr>
              <w:pStyle w:val="a1"/>
              <w:tabs>
                <w:tab w:val="left" w:pos="360"/>
                <w:tab w:val="left" w:pos="708"/>
                <w:tab w:val="left" w:pos="1416"/>
                <w:tab w:val="left" w:pos="2124"/>
                <w:tab w:val="left" w:pos="2832"/>
                <w:tab w:val="left" w:pos="3540"/>
                <w:tab w:val="left" w:pos="4248"/>
              </w:tabs>
              <w:spacing w:after="200" w:line="276" w:lineRule="auto"/>
              <w:ind w:left="360" w:hanging="180"/>
              <w:jc w:val="center"/>
              <w:rPr>
                <w:rFonts w:hint="eastAsia"/>
                <w:b/>
                <w:sz w:val="24"/>
                <w:szCs w:val="24"/>
              </w:rPr>
            </w:pPr>
            <w:r w:rsidRPr="00264313">
              <w:rPr>
                <w:rFonts w:ascii="Times New Roman" w:hAnsi="Times New Roman"/>
                <w:b/>
                <w:sz w:val="24"/>
                <w:szCs w:val="24"/>
                <w:u w:color="000000"/>
              </w:rPr>
              <w:t>Airport Transport Needed</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Default="00D3630A">
            <w:pPr>
              <w:tabs>
                <w:tab w:val="left" w:pos="360"/>
                <w:tab w:val="left" w:pos="708"/>
                <w:tab w:val="left" w:pos="1416"/>
                <w:tab w:val="left" w:pos="2124"/>
                <w:tab w:val="left" w:pos="2832"/>
                <w:tab w:val="left" w:pos="3540"/>
                <w:tab w:val="left" w:pos="4248"/>
              </w:tabs>
              <w:spacing w:after="200" w:line="276" w:lineRule="auto"/>
              <w:ind w:left="360" w:hanging="180"/>
            </w:pPr>
            <w:r>
              <w:rPr>
                <w:rFonts w:cs="Arial Unicode MS"/>
                <w:color w:val="000000"/>
                <w:sz w:val="22"/>
                <w:szCs w:val="22"/>
                <w:u w:color="000000"/>
              </w:rPr>
              <w:t>yes______________   no___</w:t>
            </w:r>
            <w:r w:rsidR="007409B1">
              <w:rPr>
                <w:rFonts w:cs="Arial Unicode MS"/>
                <w:color w:val="000000"/>
                <w:sz w:val="22"/>
                <w:szCs w:val="22"/>
                <w:u w:color="000000"/>
              </w:rPr>
              <w:sym w:font="Wingdings" w:char="F0FC"/>
            </w:r>
            <w:r>
              <w:rPr>
                <w:rFonts w:cs="Arial Unicode MS"/>
                <w:color w:val="000000"/>
                <w:sz w:val="22"/>
                <w:szCs w:val="22"/>
                <w:u w:color="000000"/>
              </w:rPr>
              <w:t>__________</w:t>
            </w:r>
          </w:p>
        </w:tc>
      </w:tr>
    </w:tbl>
    <w:p w:rsidR="00DE6CA7" w:rsidRDefault="00DE6CA7">
      <w:pPr>
        <w:pStyle w:val="a0"/>
        <w:jc w:val="both"/>
        <w:rPr>
          <w:rFonts w:hint="eastAsia"/>
        </w:rPr>
      </w:pPr>
    </w:p>
    <w:p w:rsidR="00DE6CA7" w:rsidRDefault="00D3630A">
      <w:pPr>
        <w:pStyle w:val="a0"/>
        <w:numPr>
          <w:ilvl w:val="0"/>
          <w:numId w:val="2"/>
        </w:numPr>
        <w:jc w:val="center"/>
        <w:rPr>
          <w:rFonts w:hint="eastAsia"/>
          <w:b/>
          <w:bCs/>
          <w:color w:val="ED220B"/>
        </w:rPr>
      </w:pPr>
      <w:r>
        <w:rPr>
          <w:b/>
          <w:bCs/>
          <w:color w:val="ED220B"/>
        </w:rPr>
        <w:t>Please, take into account that the cost of rooms in the context of hotels is indicated in the appendix to this application</w:t>
      </w:r>
    </w:p>
    <w:p w:rsidR="00DE6CA7" w:rsidRDefault="00DE6CA7">
      <w:pPr>
        <w:pStyle w:val="a0"/>
        <w:jc w:val="center"/>
        <w:rPr>
          <w:rFonts w:hint="eastAsia"/>
          <w:b/>
          <w:bCs/>
          <w:color w:val="ED220B"/>
        </w:rPr>
      </w:pPr>
    </w:p>
    <w:tbl>
      <w:tblPr>
        <w:tblW w:w="12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33"/>
        <w:gridCol w:w="5596"/>
      </w:tblGrid>
      <w:tr w:rsidR="00DE6CA7" w:rsidTr="00166F52">
        <w:trPr>
          <w:trHeight w:val="3124"/>
        </w:trPr>
        <w:tc>
          <w:tcPr>
            <w:tcW w:w="6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u w:val="single" w:color="000000"/>
              </w:rPr>
            </w:pPr>
            <w:r w:rsidRPr="0022243F">
              <w:rPr>
                <w:b/>
                <w:bCs/>
                <w:u w:val="single" w:color="000000"/>
              </w:rPr>
              <w:lastRenderedPageBreak/>
              <w:t>TERMS OF PAYMENT</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u w:val="single" w:color="000000"/>
              </w:rPr>
              <w:t xml:space="preserve">  </w:t>
            </w:r>
            <w:r w:rsidRPr="0022243F">
              <w:rPr>
                <w:b/>
                <w:bCs/>
              </w:rPr>
              <w:t>* Payment is carried out only by credit card (AX MC VI)</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CANCELLATION CONDITIONS</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Please, take into account that the following penalties can be applied:</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xml:space="preserve">* If you </w:t>
            </w:r>
            <w:r w:rsidR="0022243F">
              <w:rPr>
                <w:b/>
                <w:bCs/>
              </w:rPr>
              <w:t>cancel your reservation 5 days</w:t>
            </w:r>
            <w:r w:rsidRPr="0022243F">
              <w:rPr>
                <w:b/>
                <w:bCs/>
              </w:rPr>
              <w:t xml:space="preserve"> before the day of arrival, </w:t>
            </w:r>
            <w:r w:rsidRPr="00264313">
              <w:rPr>
                <w:b/>
                <w:bCs/>
              </w:rPr>
              <w:t>it will be free</w:t>
            </w:r>
          </w:p>
          <w:p w:rsidR="00DE6CA7"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rPr>
            </w:pPr>
            <w:r w:rsidRPr="0022243F">
              <w:rPr>
                <w:b/>
                <w:bCs/>
              </w:rPr>
              <w:t xml:space="preserve">     * In case of late cancellation of the reservation or upon arrival of the guest, </w:t>
            </w:r>
            <w:r w:rsidRPr="00264313">
              <w:rPr>
                <w:b/>
                <w:bCs/>
              </w:rPr>
              <w:t xml:space="preserve">you will be charged </w:t>
            </w:r>
            <w:r w:rsidRPr="0022243F">
              <w:rPr>
                <w:b/>
                <w:bCs/>
              </w:rPr>
              <w:t>in the amount of 100% of the first night's stay minus VAT</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s>
              <w:jc w:val="center"/>
              <w:rPr>
                <w:rFonts w:hint="eastAsia"/>
                <w:b/>
                <w:bCs/>
                <w:u w:val="single" w:color="000000"/>
              </w:rPr>
            </w:pPr>
            <w:r w:rsidRPr="0022243F">
              <w:rPr>
                <w:b/>
                <w:bCs/>
                <w:u w:val="single" w:color="000000"/>
              </w:rPr>
              <w:t>ADDITIONAL INFORMATION</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Check-in time is at 14:00 (2 pm)</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 out time at 12:00 (12 noon)</w:t>
            </w:r>
          </w:p>
          <w:p w:rsidR="00DE6CA7" w:rsidRDefault="00D3630A">
            <w:pPr>
              <w:pStyle w:val="a1"/>
              <w:tabs>
                <w:tab w:val="left" w:pos="708"/>
                <w:tab w:val="left" w:pos="1416"/>
                <w:tab w:val="left" w:pos="2124"/>
                <w:tab w:val="left" w:pos="2832"/>
              </w:tabs>
              <w:jc w:val="center"/>
              <w:rPr>
                <w:rFonts w:hint="eastAsia"/>
              </w:rPr>
            </w:pPr>
            <w:r w:rsidRPr="00166F52">
              <w:rPr>
                <w:b/>
                <w:bCs/>
              </w:rPr>
              <w:t>If you need the early check-in</w:t>
            </w:r>
            <w:r w:rsidRPr="0022243F">
              <w:rPr>
                <w:b/>
                <w:bCs/>
              </w:rPr>
              <w:t xml:space="preserve">, the </w:t>
            </w:r>
            <w:r w:rsidRPr="00166F52">
              <w:rPr>
                <w:b/>
                <w:bCs/>
              </w:rPr>
              <w:t>room</w:t>
            </w:r>
            <w:r w:rsidRPr="0022243F">
              <w:rPr>
                <w:b/>
                <w:bCs/>
              </w:rPr>
              <w:t xml:space="preserve"> must be booked from the previous day, and these days are paid in the amount of the full cost of the room</w:t>
            </w:r>
          </w:p>
        </w:tc>
      </w:tr>
    </w:tbl>
    <w:p w:rsidR="00DE6CA7" w:rsidRDefault="00D3630A">
      <w:pPr>
        <w:pStyle w:val="a0"/>
        <w:jc w:val="center"/>
        <w:rPr>
          <w:rFonts w:hint="eastAsia"/>
          <w:b/>
          <w:bCs/>
          <w:color w:val="ED220B"/>
        </w:rPr>
      </w:pPr>
      <w:r>
        <w:rPr>
          <w:b/>
          <w:bCs/>
          <w:color w:val="ED220B"/>
        </w:rPr>
        <w:t xml:space="preserve">Please provide credit card details for the registration. Be aware that by providing credit card information, you agree to the cancellation conditions of the Hotel, and the amount of penalties will be charged on the credit card </w:t>
      </w:r>
    </w:p>
    <w:tbl>
      <w:tblPr>
        <w:tblW w:w="96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8"/>
        <w:gridCol w:w="4820"/>
      </w:tblGrid>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sidRPr="0022243F">
              <w:rPr>
                <w:rFonts w:ascii="Calibri" w:eastAsia="Calibri" w:hAnsi="Calibri" w:cs="Calibri"/>
                <w:sz w:val="28"/>
                <w:szCs w:val="28"/>
                <w:u w:color="000000"/>
              </w:rPr>
              <w:t>Credit Card (AX, VA, MC)</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VISA</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Credit card number: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4315 71 40 0761 7978</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000000"/>
                <w:lang w:val="ru-RU"/>
              </w:rPr>
              <w:t>Card expiry date: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03/21</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Name and signature of the owner: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ZAZA BOKHUA</w:t>
            </w:r>
          </w:p>
        </w:tc>
      </w:tr>
    </w:tbl>
    <w:p w:rsidR="00DE6CA7" w:rsidRDefault="00D3630A">
      <w:pPr>
        <w:pStyle w:val="a0"/>
        <w:jc w:val="center"/>
        <w:rPr>
          <w:rFonts w:hint="eastAsia"/>
          <w:b/>
          <w:bCs/>
          <w:color w:val="ED220B"/>
        </w:rPr>
      </w:pPr>
      <w:r>
        <w:rPr>
          <w:b/>
          <w:bCs/>
          <w:color w:val="ED220B"/>
        </w:rPr>
        <w:t xml:space="preserve">Please note that the above conditions are set by the hotel </w:t>
      </w:r>
      <w:proofErr w:type="gramStart"/>
      <w:r>
        <w:rPr>
          <w:b/>
          <w:bCs/>
          <w:color w:val="ED220B"/>
        </w:rPr>
        <w:t>administration !!!</w:t>
      </w:r>
      <w:proofErr w:type="gramEnd"/>
    </w:p>
    <w:p w:rsidR="00DE6CA7" w:rsidRDefault="00DE6CA7">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Annex to the reservation request</w:t>
      </w:r>
    </w:p>
    <w:p w:rsidR="00DE6CA7" w:rsidRDefault="00DE6CA7">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Special prices and conditions are set for conference participants only</w:t>
      </w:r>
    </w:p>
    <w:tbl>
      <w:tblPr>
        <w:tblW w:w="13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66"/>
        <w:gridCol w:w="3118"/>
        <w:gridCol w:w="2835"/>
        <w:gridCol w:w="1701"/>
        <w:gridCol w:w="2835"/>
      </w:tblGrid>
      <w:tr w:rsidR="00DE6CA7" w:rsidTr="00166F52">
        <w:trPr>
          <w:trHeight w:val="1802"/>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s>
              <w:jc w:val="center"/>
              <w:rPr>
                <w:rFonts w:hint="eastAsia"/>
              </w:rPr>
            </w:pPr>
            <w:r>
              <w:rPr>
                <w:rFonts w:ascii="Calibri" w:eastAsia="Calibri" w:hAnsi="Calibri" w:cs="Calibri"/>
                <w:sz w:val="28"/>
                <w:szCs w:val="28"/>
                <w:u w:color="000000"/>
              </w:rPr>
              <w:lastRenderedPageBreak/>
              <w:t>Name of the hotel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C02AE5">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w:t>
            </w:r>
            <w:r w:rsidR="00D3630A">
              <w:rPr>
                <w:rFonts w:ascii="Calibri" w:eastAsia="Calibri" w:hAnsi="Calibri" w:cs="Calibri"/>
                <w:b/>
                <w:bCs/>
                <w:color w:val="000000"/>
                <w:sz w:val="28"/>
                <w:szCs w:val="28"/>
                <w:u w:color="000000"/>
              </w:rPr>
              <w:t xml:space="preserve">ategory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Number of reserved rooms except lux rooms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Special price (KZT)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C02AE5" w:rsidRDefault="00C02AE5" w:rsidP="00C02AE5">
            <w:pPr>
              <w:tabs>
                <w:tab w:val="left" w:pos="1230"/>
              </w:tabs>
              <w:spacing w:after="200" w:line="276" w:lineRule="auto"/>
              <w:jc w:val="both"/>
            </w:pPr>
            <w:r>
              <w:rPr>
                <w:rFonts w:ascii="Calibri" w:eastAsia="Calibri" w:hAnsi="Calibri" w:cs="Calibri"/>
                <w:b/>
                <w:bCs/>
                <w:color w:val="000000"/>
                <w:sz w:val="28"/>
                <w:szCs w:val="28"/>
                <w:u w:color="000000"/>
                <w:lang w:val="en-GB"/>
              </w:rPr>
              <w:t>Please specify your  selected hotel and room category in this column</w:t>
            </w:r>
          </w:p>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St.Regis</w:t>
            </w:r>
            <w:proofErr w:type="spellEnd"/>
            <w:r>
              <w:rPr>
                <w:rFonts w:ascii="Calibri" w:eastAsia="Calibri" w:hAnsi="Calibri" w:cs="Calibri"/>
                <w:b/>
                <w:bCs/>
                <w:color w:val="000000"/>
                <w:u w:val="single" w:color="000000"/>
              </w:rPr>
              <w:t xml:space="preserve"> Astana</w:t>
            </w:r>
          </w:p>
          <w:p w:rsidR="00DE6CA7" w:rsidRDefault="00D3630A">
            <w:pPr>
              <w:pStyle w:val="a1"/>
              <w:tabs>
                <w:tab w:val="left" w:pos="708"/>
                <w:tab w:val="left" w:pos="1416"/>
                <w:tab w:val="left" w:pos="2124"/>
              </w:tabs>
              <w:jc w:val="center"/>
              <w:rPr>
                <w:rFonts w:hint="eastAsia"/>
              </w:rPr>
            </w:pPr>
            <w:r>
              <w:rPr>
                <w:rFonts w:eastAsia="Calibri" w:cs="Calibri"/>
                <w:b/>
                <w:bCs/>
                <w:sz w:val="24"/>
                <w:szCs w:val="24"/>
                <w:u w:color="000000"/>
              </w:rPr>
              <w:t>www.stregisastana.ru</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(66-68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56 000/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64 400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1"/>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Grand deluxe room (68-71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rsidP="00C02AE5">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72</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800/</w:t>
            </w:r>
          </w:p>
          <w:p w:rsidR="00DE6CA7" w:rsidRDefault="00D3630A" w:rsidP="00C02AE5">
            <w:pPr>
              <w:tabs>
                <w:tab w:val="left" w:pos="1230"/>
                <w:tab w:val="left" w:pos="1416"/>
              </w:tabs>
              <w:spacing w:after="200" w:line="276" w:lineRule="auto"/>
              <w:jc w:val="both"/>
            </w:pPr>
            <w:r>
              <w:rPr>
                <w:rFonts w:ascii="Calibri" w:eastAsia="Calibri" w:hAnsi="Calibri" w:cs="Calibri"/>
                <w:b/>
                <w:bCs/>
                <w:color w:val="000000"/>
                <w:sz w:val="28"/>
                <w:szCs w:val="28"/>
                <w:u w:color="000000"/>
              </w:rPr>
              <w:t>81</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Ambassador suite (124m2)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r>
              <w:rPr>
                <w:rFonts w:ascii="Calibri" w:eastAsia="Calibri" w:hAnsi="Calibri" w:cs="Calibri"/>
                <w:b/>
                <w:bCs/>
                <w:color w:val="000000"/>
                <w:sz w:val="28"/>
                <w:szCs w:val="28"/>
                <w:u w:color="000000"/>
                <w:lang w:val="ru-RU"/>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112 000/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120 400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634"/>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St </w:t>
            </w:r>
            <w:proofErr w:type="spellStart"/>
            <w:r>
              <w:rPr>
                <w:rFonts w:ascii="Calibri" w:eastAsia="Calibri" w:hAnsi="Calibri" w:cs="Calibri"/>
                <w:b/>
                <w:bCs/>
                <w:color w:val="000000"/>
                <w:sz w:val="28"/>
                <w:szCs w:val="28"/>
                <w:u w:color="000000"/>
              </w:rPr>
              <w:t>regis</w:t>
            </w:r>
            <w:proofErr w:type="spellEnd"/>
            <w:r>
              <w:rPr>
                <w:rFonts w:ascii="Calibri" w:eastAsia="Calibri" w:hAnsi="Calibri" w:cs="Calibri"/>
                <w:b/>
                <w:bCs/>
                <w:color w:val="000000"/>
                <w:sz w:val="28"/>
                <w:szCs w:val="28"/>
                <w:u w:color="000000"/>
              </w:rPr>
              <w:t xml:space="preserve"> suite (146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280 000/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288 400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4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(510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4 800 000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The Ritz Carlton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www.ritzcarlton.com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Club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(75 m)</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suite (100-115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pPr>
              <w:tabs>
                <w:tab w:val="left" w:pos="1230"/>
                <w:tab w:val="left" w:pos="1416"/>
              </w:tabs>
              <w:spacing w:after="200" w:line="276"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190 000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94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Carlton suite (145-155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900 000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The Ritz-Carlton suite (270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2 500 000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 xml:space="preserve">Hilton Garden Inn </w:t>
            </w:r>
            <w:r>
              <w:rPr>
                <w:rFonts w:ascii="Calibri" w:eastAsia="Calibri" w:hAnsi="Calibri" w:cs="Calibri"/>
                <w:b/>
                <w:bCs/>
                <w:color w:val="000000"/>
                <w:u w:val="single" w:color="000000"/>
              </w:rPr>
              <w:lastRenderedPageBreak/>
              <w:t>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www.astana.hgi.com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 xml:space="preserve">Standard single room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29 150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double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32 930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7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Junior suite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38 600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63"/>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79 150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RixosAstana</w:t>
            </w:r>
            <w:proofErr w:type="spellEnd"/>
          </w:p>
          <w:p w:rsidR="00DE6CA7" w:rsidRDefault="003E37ED">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hyperlink r:id="rId10" w:history="1">
              <w:r w:rsidR="00D3630A">
                <w:rPr>
                  <w:rStyle w:val="Hyperlink1"/>
                  <w:rFonts w:ascii="Calibri" w:eastAsia="Calibri" w:hAnsi="Calibri" w:cs="Calibri"/>
                  <w:b/>
                  <w:bCs/>
                </w:rPr>
                <w:t>www.rixos.com</w:t>
              </w:r>
            </w:hyperlink>
            <w:r w:rsidR="00D3630A">
              <w:rPr>
                <w:rFonts w:ascii="Calibri" w:eastAsia="Calibri" w:hAnsi="Calibri" w:cs="Calibri"/>
                <w:b/>
                <w:bCs/>
                <w:color w:val="000000"/>
                <w:u w:color="000000"/>
              </w:rPr>
              <w:t>astana</w:t>
            </w:r>
            <w:r w:rsidR="00D3630A">
              <w:rPr>
                <w:rFonts w:ascii="Calibri" w:eastAsia="Calibri" w:hAnsi="Calibri" w:cs="Calibri"/>
                <w:b/>
                <w:bCs/>
                <w:color w:val="000000"/>
                <w:sz w:val="28"/>
                <w:szCs w:val="28"/>
                <w:u w:color="000000"/>
              </w:rPr>
              <w:t xml:space="preserve">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Rixos100</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38 000/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46 000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suite (64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(105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0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Royal Suite (198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266"/>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bookmarkStart w:id="0" w:name="_GoBack"/>
            <w:bookmarkEnd w:id="0"/>
            <w:r>
              <w:rPr>
                <w:rFonts w:ascii="Calibri" w:eastAsia="Calibri" w:hAnsi="Calibri" w:cs="Calibri"/>
                <w:b/>
                <w:bCs/>
                <w:color w:val="000000"/>
                <w:u w:val="single" w:color="000000"/>
              </w:rPr>
              <w:lastRenderedPageBreak/>
              <w:t>Radisson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sym w:font="Wingdings" w:char="F0FC"/>
            </w:r>
          </w:p>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class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65 000/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75 000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0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(50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120 000/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130 000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room (109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Park Inn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27 000/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32 000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Marriott Astana</w:t>
            </w:r>
          </w:p>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212529"/>
                <w:u w:color="212529"/>
                <w:shd w:val="clear" w:color="auto" w:fill="FFFFFF"/>
              </w:rPr>
              <w:t>www.astanamarriott.com</w:t>
            </w:r>
          </w:p>
          <w:p w:rsidR="00DE6CA7" w:rsidRDefault="00DE6CA7">
            <w:pPr>
              <w:tabs>
                <w:tab w:val="left" w:pos="708"/>
                <w:tab w:val="left" w:pos="1416"/>
                <w:tab w:val="left" w:pos="2124"/>
              </w:tabs>
              <w:spacing w:after="200" w:line="276" w:lineRule="auto"/>
              <w:jc w:val="center"/>
              <w:rPr>
                <w:rFonts w:ascii="Calibri" w:eastAsia="Calibri" w:hAnsi="Calibri" w:cs="Calibri"/>
                <w:b/>
                <w:bCs/>
                <w:color w:val="000000"/>
                <w:u w:val="single" w:color="000000"/>
                <w:lang w:val="ru-RU"/>
              </w:rPr>
            </w:pPr>
          </w:p>
          <w:p w:rsidR="00DE6CA7" w:rsidRDefault="00DE6CA7">
            <w:pPr>
              <w:tabs>
                <w:tab w:val="left" w:pos="708"/>
                <w:tab w:val="left" w:pos="1416"/>
                <w:tab w:val="left" w:pos="2124"/>
              </w:tabs>
              <w:spacing w:after="200" w:line="276" w:lineRule="auto"/>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Standard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40 320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Superior (46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53 760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61 600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Suite (61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Beijing Palace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212529"/>
                <w:u w:color="212529"/>
                <w:shd w:val="clear" w:color="auto" w:fill="FFFFFF"/>
                <w:lang w:val="pt-PT"/>
              </w:rPr>
              <w:t>www.soluxe.astana@soluxeint.com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king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Twin (53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5242"/>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Deluxe standard king   </w:t>
            </w:r>
          </w:p>
          <w:p w:rsidR="00DE6CA7" w:rsidRPr="0022243F"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Junior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Business suite (70 m2)</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Deluxe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Executive suite (141 m2)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52 800</w:t>
            </w: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82 500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92 400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151 800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r>
              <w:rPr>
                <w:rFonts w:ascii="Calibri" w:eastAsia="Calibri" w:hAnsi="Calibri" w:cs="Calibri"/>
                <w:b/>
                <w:bCs/>
                <w:color w:val="000000"/>
                <w:sz w:val="28"/>
                <w:szCs w:val="28"/>
                <w:u w:color="000000"/>
              </w:rPr>
              <w:t>281 792</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459"/>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 (900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Zhumbaktas</w:t>
            </w:r>
            <w:proofErr w:type="spellEnd"/>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www.hotel@jumbaktas.kz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Single standard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42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24 300/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room (45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6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 (65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45 900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3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Family room (90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64 800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 room (300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Ibis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www.ibis.com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12 500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auto"/>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27 500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bl>
    <w:p w:rsidR="00DE6CA7" w:rsidRDefault="00D3630A">
      <w:pPr>
        <w:pStyle w:val="a0"/>
        <w:jc w:val="both"/>
        <w:rPr>
          <w:rFonts w:hint="eastAsia"/>
          <w:b/>
          <w:bCs/>
          <w:color w:val="ED220B"/>
        </w:rPr>
      </w:pPr>
      <w:r>
        <w:rPr>
          <w:b/>
          <w:bCs/>
          <w:color w:val="ED220B"/>
        </w:rPr>
        <w:t>The cost of accommodation includes: breakfast buffet, visit to SPA Wellness &amp; SPA center, wireless / wired Internet access and telephone conversations in any direction</w:t>
      </w:r>
    </w:p>
    <w:p w:rsidR="00DE6CA7" w:rsidRDefault="00DE6CA7">
      <w:pPr>
        <w:pStyle w:val="a0"/>
        <w:jc w:val="both"/>
        <w:rPr>
          <w:rFonts w:hint="eastAsia"/>
          <w:b/>
          <w:bCs/>
          <w:color w:val="ED220B"/>
        </w:rPr>
      </w:pP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lastRenderedPageBreak/>
        <w:t>Check-in time is 14:00 (Astana time). When you check in from 08:00 to 12:00 - you will be charged for half of the day, the room is provided if there are un-reserved and ready-to-sell rooms. The hotel has the right to refuse the Company in the early arrival of the Guest if there are no available rooms in the Hotel. If you check in before 08:00, you will be charged 100% of the previous night.</w:t>
      </w: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t>Estimated time of the guest's departure is 12:00 pm (Astana time). If it is possible to provide late check-out for the Guest, payment for accommodation is charged in the following order:</w:t>
      </w:r>
      <w:r w:rsidR="00166F52">
        <w:rPr>
          <w:rFonts w:ascii="Times New Roman" w:hAnsi="Times New Roman"/>
          <w:sz w:val="28"/>
          <w:szCs w:val="28"/>
        </w:rPr>
        <w:t xml:space="preserve"> </w:t>
      </w:r>
      <w:r>
        <w:rPr>
          <w:rFonts w:ascii="Times New Roman" w:hAnsi="Times New Roman"/>
          <w:sz w:val="28"/>
          <w:szCs w:val="28"/>
        </w:rPr>
        <w:t>from 12:00 to 18:00 - 50% of the room rate for the current day;</w:t>
      </w:r>
    </w:p>
    <w:p w:rsidR="00DE6CA7" w:rsidRDefault="00D3630A">
      <w:pPr>
        <w:pStyle w:val="a0"/>
        <w:jc w:val="both"/>
        <w:rPr>
          <w:rFonts w:hint="eastAsia"/>
        </w:rPr>
      </w:pPr>
      <w:r>
        <w:rPr>
          <w:rFonts w:ascii="Times New Roman" w:hAnsi="Times New Roman"/>
          <w:sz w:val="28"/>
          <w:szCs w:val="28"/>
        </w:rPr>
        <w:t>after 18:00 - payment for a full day.</w:t>
      </w:r>
    </w:p>
    <w:sectPr w:rsidR="00DE6CA7" w:rsidSect="00FB04F1">
      <w:headerReference w:type="default" r:id="rId11"/>
      <w:footerReference w:type="default" r:id="rId12"/>
      <w:pgSz w:w="16838" w:h="11906"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7ED" w:rsidRDefault="003E37ED">
      <w:r>
        <w:separator/>
      </w:r>
    </w:p>
  </w:endnote>
  <w:endnote w:type="continuationSeparator" w:id="0">
    <w:p w:rsidR="003E37ED" w:rsidRDefault="003E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7ED" w:rsidRDefault="003E37ED">
      <w:r>
        <w:separator/>
      </w:r>
    </w:p>
  </w:footnote>
  <w:footnote w:type="continuationSeparator" w:id="0">
    <w:p w:rsidR="003E37ED" w:rsidRDefault="003E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130F"/>
    <w:multiLevelType w:val="hybridMultilevel"/>
    <w:tmpl w:val="FDBA7100"/>
    <w:numStyleLink w:val="a"/>
  </w:abstractNum>
  <w:abstractNum w:abstractNumId="1">
    <w:nsid w:val="5D9B532F"/>
    <w:multiLevelType w:val="hybridMultilevel"/>
    <w:tmpl w:val="FDBA7100"/>
    <w:styleLink w:val="a"/>
    <w:lvl w:ilvl="0" w:tplc="A82C52AC">
      <w:start w:val="1"/>
      <w:numFmt w:val="bullet"/>
      <w:lvlText w:val="*"/>
      <w:lvlJc w:val="left"/>
      <w:pPr>
        <w:ind w:left="1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886BE">
      <w:start w:val="1"/>
      <w:numFmt w:val="bullet"/>
      <w:lvlText w:val="*"/>
      <w:lvlJc w:val="left"/>
      <w:pPr>
        <w:ind w:left="3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7028EA">
      <w:start w:val="1"/>
      <w:numFmt w:val="bullet"/>
      <w:lvlText w:val="*"/>
      <w:lvlJc w:val="left"/>
      <w:pPr>
        <w:ind w:left="5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E5E24">
      <w:start w:val="1"/>
      <w:numFmt w:val="bullet"/>
      <w:lvlText w:val="*"/>
      <w:lvlJc w:val="left"/>
      <w:pPr>
        <w:ind w:left="7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FDF4">
      <w:start w:val="1"/>
      <w:numFmt w:val="bullet"/>
      <w:lvlText w:val="*"/>
      <w:lvlJc w:val="left"/>
      <w:pPr>
        <w:ind w:left="90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CBBA6">
      <w:start w:val="1"/>
      <w:numFmt w:val="bullet"/>
      <w:lvlText w:val="*"/>
      <w:lvlJc w:val="left"/>
      <w:pPr>
        <w:ind w:left="10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6202A">
      <w:start w:val="1"/>
      <w:numFmt w:val="bullet"/>
      <w:lvlText w:val="*"/>
      <w:lvlJc w:val="left"/>
      <w:pPr>
        <w:ind w:left="12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E833C">
      <w:start w:val="1"/>
      <w:numFmt w:val="bullet"/>
      <w:lvlText w:val="*"/>
      <w:lvlJc w:val="left"/>
      <w:pPr>
        <w:ind w:left="14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30EEF0">
      <w:start w:val="1"/>
      <w:numFmt w:val="bullet"/>
      <w:lvlText w:val="*"/>
      <w:lvlJc w:val="left"/>
      <w:pPr>
        <w:ind w:left="16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A7"/>
    <w:rsid w:val="00166F52"/>
    <w:rsid w:val="0022243F"/>
    <w:rsid w:val="00264313"/>
    <w:rsid w:val="002C4A67"/>
    <w:rsid w:val="003E37ED"/>
    <w:rsid w:val="007409B1"/>
    <w:rsid w:val="00C02AE5"/>
    <w:rsid w:val="00D3630A"/>
    <w:rsid w:val="00DD4637"/>
    <w:rsid w:val="00DE6CA7"/>
    <w:rsid w:val="00E32CF2"/>
    <w:rsid w:val="00F34CB5"/>
    <w:rsid w:val="00FB0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xos.com" TargetMode="External"/><Relationship Id="rId4" Type="http://schemas.openxmlformats.org/officeDocument/2006/relationships/settings" Target="settings.xml"/><Relationship Id="rId9" Type="http://schemas.openxmlformats.org/officeDocument/2006/relationships/hyperlink" Target="mailto:bookinga1@mail.ru"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780</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WHO</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HALOUANI, Sihem</dc:creator>
  <cp:lastModifiedBy>Mariana Mkurnali</cp:lastModifiedBy>
  <cp:revision>2</cp:revision>
  <dcterms:created xsi:type="dcterms:W3CDTF">2018-10-02T10:08:00Z</dcterms:created>
  <dcterms:modified xsi:type="dcterms:W3CDTF">2018-10-02T10:08:00Z</dcterms:modified>
</cp:coreProperties>
</file>