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D63" w:rsidRPr="00216118" w:rsidRDefault="00A221DB" w:rsidP="00216118">
      <w:pPr>
        <w:spacing w:before="120" w:after="20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216118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176D63" w:rsidRPr="00216118" w:rsidRDefault="00A221DB" w:rsidP="00216118">
      <w:pPr>
        <w:spacing w:before="120" w:after="200" w:line="240" w:lineRule="auto"/>
        <w:rPr>
          <w:rFonts w:ascii="Sylfaen" w:eastAsia="Merriweather" w:hAnsi="Sylfaen" w:cs="Merriweather"/>
          <w:sz w:val="20"/>
          <w:szCs w:val="20"/>
        </w:rPr>
      </w:pPr>
      <w:r w:rsidRPr="00216118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57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02"/>
        <w:gridCol w:w="7268"/>
      </w:tblGrid>
      <w:tr w:rsidR="00176D63" w:rsidRPr="00216118">
        <w:trPr>
          <w:trHeight w:val="440"/>
        </w:trPr>
        <w:tc>
          <w:tcPr>
            <w:tcW w:w="73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6D63" w:rsidRPr="00216118" w:rsidRDefault="00A221DB" w:rsidP="00216118">
            <w:pPr>
              <w:spacing w:after="200"/>
              <w:ind w:right="906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6D63" w:rsidRPr="00216118" w:rsidRDefault="00176D63" w:rsidP="00216118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176D63" w:rsidRPr="00216118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არსი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ეთიკა</w:t>
            </w:r>
          </w:p>
        </w:tc>
      </w:tr>
      <w:tr w:rsidR="00176D63" w:rsidRPr="00216118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D63" w:rsidRPr="00216118" w:rsidRDefault="00176D63" w:rsidP="00216118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76D63" w:rsidRPr="00216118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D63" w:rsidRPr="00216118" w:rsidRDefault="00A221DB" w:rsidP="00216118">
            <w:pPr>
              <w:spacing w:before="120" w:after="20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D63" w:rsidRPr="00216118" w:rsidRDefault="00A221DB" w:rsidP="00216118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</w:tr>
      <w:tr w:rsidR="00176D63" w:rsidRPr="00216118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D63" w:rsidRPr="00216118" w:rsidRDefault="00A221DB" w:rsidP="00216118">
            <w:pPr>
              <w:spacing w:before="120" w:after="20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D63" w:rsidRPr="00216118" w:rsidRDefault="00A221DB" w:rsidP="00216118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-</w:t>
            </w:r>
          </w:p>
        </w:tc>
      </w:tr>
      <w:tr w:rsidR="00176D63" w:rsidRPr="00216118">
        <w:trPr>
          <w:trHeight w:val="1280"/>
        </w:trPr>
        <w:tc>
          <w:tcPr>
            <w:tcW w:w="73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6D63" w:rsidRPr="00216118" w:rsidRDefault="00A221DB" w:rsidP="00216118">
            <w:pPr>
              <w:spacing w:before="120"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ისტორიისა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თანამედროვე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16118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სტრუქტურისა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სფეროს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დაფინანსების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76D63" w:rsidRPr="00216118" w:rsidRDefault="00176D63" w:rsidP="00216118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176D63" w:rsidRPr="00216118" w:rsidRDefault="00176D63" w:rsidP="00216118">
      <w:pPr>
        <w:spacing w:after="20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20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20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A221DB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176D63" w:rsidRPr="00216118" w:rsidRDefault="00176D63" w:rsidP="00216118">
      <w:pPr>
        <w:spacing w:after="200" w:line="240" w:lineRule="auto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5"/>
        <w:gridCol w:w="3800"/>
        <w:gridCol w:w="5580"/>
        <w:gridCol w:w="2325"/>
      </w:tblGrid>
      <w:tr w:rsidR="00176D63" w:rsidRPr="00216118" w:rsidTr="00216118">
        <w:trPr>
          <w:trHeight w:val="1100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176D63" w:rsidRPr="00216118" w:rsidRDefault="00A221DB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176D63" w:rsidRPr="00216118" w:rsidRDefault="00176D63" w:rsidP="00216118">
            <w:pPr>
              <w:spacing w:before="120"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176D63" w:rsidRPr="00216118" w:rsidRDefault="00A221DB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176D63" w:rsidRPr="00216118" w:rsidRDefault="00A221DB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176D63" w:rsidRPr="00216118" w:rsidRDefault="00176D63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76D63" w:rsidRPr="00216118" w:rsidRDefault="00A221DB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176D63" w:rsidRPr="00216118" w:rsidTr="00216118">
        <w:trPr>
          <w:trHeight w:val="920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ისტორიისა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თანამედროვე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</w:p>
          <w:p w:rsidR="00176D63" w:rsidRPr="00216118" w:rsidRDefault="00176D63" w:rsidP="00216118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numPr>
                <w:ilvl w:val="0"/>
                <w:numId w:val="2"/>
              </w:numPr>
              <w:spacing w:before="120"/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საქმის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numPr>
                <w:ilvl w:val="0"/>
                <w:numId w:val="2"/>
              </w:numPr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ისტორიის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ეტაპებს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;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ეტაპები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ზრდის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</w:p>
          <w:p w:rsidR="00176D63" w:rsidRPr="00216118" w:rsidRDefault="00176D63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D63" w:rsidRPr="00216118" w:rsidRDefault="00176D63" w:rsidP="00216118">
            <w:pPr>
              <w:ind w:left="176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ind w:left="176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A221DB" w:rsidP="00216118">
            <w:pPr>
              <w:spacing w:after="200"/>
              <w:ind w:left="176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</w:p>
        </w:tc>
      </w:tr>
      <w:tr w:rsidR="00176D63" w:rsidRPr="00216118" w:rsidTr="00216118">
        <w:trPr>
          <w:trHeight w:val="539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2.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16118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</w:p>
          <w:p w:rsidR="00176D63" w:rsidRPr="00216118" w:rsidRDefault="00176D63" w:rsidP="00216118">
            <w:pPr>
              <w:spacing w:after="20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76D63" w:rsidRPr="00216118" w:rsidRDefault="00176D63" w:rsidP="00216118">
            <w:pPr>
              <w:spacing w:after="200"/>
              <w:ind w:left="318" w:hanging="318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76D63" w:rsidRPr="00216118" w:rsidRDefault="00176D63" w:rsidP="00216118">
            <w:pPr>
              <w:spacing w:after="200"/>
              <w:ind w:left="318" w:hanging="318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სტაციონარული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ამბულატორიული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ტიპების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მათ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ორგანიზაციულ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სტრუქტურას</w:t>
            </w:r>
            <w:r w:rsid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tabs>
                <w:tab w:val="left" w:pos="243"/>
              </w:tabs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ამბულატორიული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ტიპების</w:t>
            </w:r>
            <w:r w:rsidRPr="00216118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ვალდებულებებსა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პასუხისმგებლობებს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tabs>
                <w:tab w:val="left" w:pos="243"/>
              </w:tabs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განიხილავს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აქტს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tabs>
                <w:tab w:val="left" w:pos="243"/>
              </w:tabs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განიხილავს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კლინიკურ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სტანდარტებს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176D63" w:rsidRPr="00216118" w:rsidRDefault="00176D63" w:rsidP="002161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329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176D63" w:rsidP="0021611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329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76D63" w:rsidRPr="00216118" w:rsidRDefault="00176D63" w:rsidP="00216118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სტაციონარული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ამბულატორიული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ტიპები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ხანგრძლივი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ბინაზე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სერვისის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მიმწოდებელი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სუბიექტები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ჰოსპისი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სასწრაფო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ტრანსპორტირების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რეფერალის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სამსახურები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დამხმარე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სერვისების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მიმწოდებელი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ზოგადოებრივი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ლაბორატორიები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2.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ვალდებულებები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პასუხისმგებლობები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ინტერესების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გათვალისწინების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პაციენტისთვის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წარმოამდგენლისთვის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ინფორმირებული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თანხმობის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კონფიდენციალურობის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დაცვისა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ცხოვრების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პატივისცემის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აქტი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აკადემიური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ქცევის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შრომის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ეფექტურობისთვის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მნიშვნელოვანი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პიროვნული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მახასიათებლები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ტოლერანტობის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კონფიდენციალობის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176D63" w:rsidRPr="00216118" w:rsidRDefault="00176D63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4.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კლინიკური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სტანდარტები</w:t>
            </w:r>
          </w:p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განხორციელება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შემდგომ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კო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ნსულტაცია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D63" w:rsidRPr="00216118" w:rsidRDefault="00176D63" w:rsidP="00216118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176D63" w:rsidRPr="00216118" w:rsidTr="00216118">
        <w:trPr>
          <w:trHeight w:val="1040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3.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სფეროს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დაფინანსების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ტიპის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დაფინანსების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წყაროს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დაფინანსების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ჯგუფებსა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დაფიანანსების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პირობებს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176D63" w:rsidRPr="00216118" w:rsidRDefault="00176D63" w:rsidP="00216118">
            <w:pPr>
              <w:spacing w:after="200"/>
              <w:ind w:left="343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დაფინანსების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წყარო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ზღვევის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თავისებურებები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სრული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ნაწილობრივი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დაფინანასება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br/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კერძო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დაზღვევა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br/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დაფინანსების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წყაროები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br/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დეფინიცირებული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პაკეტების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ამოქმედება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(01.05.2017).</w:t>
            </w:r>
          </w:p>
          <w:p w:rsidR="00176D63" w:rsidRPr="00216118" w:rsidRDefault="00A221DB" w:rsidP="00216118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დაფინანსების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ჯგუფები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დაფიანანსების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პირობები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176D63" w:rsidRPr="00216118" w:rsidRDefault="00A221DB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სოციალურად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დაუცველი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პენსიონერი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0-6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წლამდე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ბავშვი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პედაგოგი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იძულების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გადაადგილებული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პირი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176D63" w:rsidRPr="00216118" w:rsidRDefault="00A221DB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შშმ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პირი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D63" w:rsidRPr="00216118" w:rsidRDefault="00176D63" w:rsidP="00216118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176D63" w:rsidRPr="00216118" w:rsidRDefault="00176D63" w:rsidP="00216118">
      <w:pPr>
        <w:spacing w:after="20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A221DB" w:rsidP="00216118">
      <w:pPr>
        <w:spacing w:after="200" w:line="240" w:lineRule="auto"/>
        <w:rPr>
          <w:rFonts w:ascii="Sylfaen" w:eastAsia="Merriweather" w:hAnsi="Sylfaen" w:cs="Merriweather"/>
          <w:sz w:val="20"/>
          <w:szCs w:val="20"/>
        </w:rPr>
      </w:pP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176D63" w:rsidRPr="00216118" w:rsidRDefault="00A221DB" w:rsidP="00216118">
      <w:pPr>
        <w:spacing w:after="200" w:line="240" w:lineRule="auto"/>
        <w:rPr>
          <w:rFonts w:ascii="Sylfaen" w:eastAsia="Merriweather" w:hAnsi="Sylfaen" w:cs="Merriweather"/>
          <w:b/>
          <w:sz w:val="20"/>
          <w:szCs w:val="20"/>
        </w:rPr>
      </w:pP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176D63" w:rsidRPr="00216118" w:rsidRDefault="00176D63" w:rsidP="00216118">
      <w:pPr>
        <w:spacing w:after="20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7"/>
        <w:gridCol w:w="5601"/>
        <w:gridCol w:w="2340"/>
        <w:gridCol w:w="2568"/>
        <w:gridCol w:w="2344"/>
      </w:tblGrid>
      <w:tr w:rsidR="00176D63" w:rsidRPr="00216118" w:rsidTr="00216118">
        <w:trPr>
          <w:trHeight w:val="60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63" w:rsidRPr="00216118" w:rsidRDefault="00A221DB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63" w:rsidRPr="00216118" w:rsidRDefault="00A221DB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63" w:rsidRPr="00216118" w:rsidRDefault="00A221DB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პორთფოლიოში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განთვსებული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216118" w:rsidRPr="00216118" w:rsidTr="00341DF7">
        <w:trPr>
          <w:trHeight w:val="42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8" w:rsidRDefault="00216118" w:rsidP="00216118">
            <w:pPr>
              <w:spacing w:after="20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118" w:rsidRPr="00216118" w:rsidRDefault="00216118" w:rsidP="00216118">
            <w:pPr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 პროცესი და ეტაპები: საექთნო პრაქტიკის განვითარების საფეხურები; საექთნო კომპეტენციის ზრდის და განვითარების ასპექტები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118" w:rsidRDefault="00216118" w:rsidP="00216118">
            <w:pPr>
              <w:ind w:left="720"/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216118" w:rsidRDefault="00216118" w:rsidP="00216118">
            <w:pPr>
              <w:ind w:left="720"/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216118" w:rsidRDefault="00216118" w:rsidP="00216118">
            <w:pPr>
              <w:ind w:left="720"/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216118" w:rsidRDefault="00216118" w:rsidP="00216118">
            <w:pPr>
              <w:ind w:left="720"/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216118" w:rsidRDefault="00216118" w:rsidP="00216118">
            <w:pPr>
              <w:ind w:left="720"/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216118" w:rsidRDefault="00216118" w:rsidP="00216118">
            <w:pPr>
              <w:ind w:left="720"/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216118" w:rsidRDefault="00216118" w:rsidP="00216118">
            <w:pPr>
              <w:ind w:left="720"/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216118" w:rsidRDefault="00216118" w:rsidP="00216118">
            <w:pPr>
              <w:ind w:left="720"/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216118" w:rsidRDefault="00216118" w:rsidP="00216118">
            <w:pPr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216118" w:rsidRPr="00216118" w:rsidRDefault="00216118" w:rsidP="00216118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 ლექცია;</w:t>
            </w:r>
          </w:p>
          <w:p w:rsidR="00216118" w:rsidRPr="00216118" w:rsidRDefault="00216118" w:rsidP="00216118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</w:p>
          <w:p w:rsidR="00216118" w:rsidRPr="00216118" w:rsidRDefault="00216118" w:rsidP="00216118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118" w:rsidRPr="00216118" w:rsidRDefault="00216118" w:rsidP="00216118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Default="00216118" w:rsidP="00216118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წერითი მეთოდი - ღია ან/და დახურული ტესტი; </w:t>
            </w:r>
          </w:p>
          <w:p w:rsidR="00216118" w:rsidRPr="00216118" w:rsidRDefault="00216118" w:rsidP="00216118">
            <w:pPr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ან/და</w:t>
            </w:r>
          </w:p>
          <w:p w:rsidR="00216118" w:rsidRPr="00216118" w:rsidRDefault="00216118" w:rsidP="00216118">
            <w:pPr>
              <w:numPr>
                <w:ilvl w:val="0"/>
                <w:numId w:val="4"/>
              </w:numPr>
              <w:spacing w:after="200"/>
              <w:contextualSpacing/>
              <w:rPr>
                <w:rFonts w:ascii="Sylfaen" w:hAnsi="Sylfaen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ზეპირი - გამოკითხვა,</w:t>
            </w:r>
          </w:p>
          <w:p w:rsidR="00216118" w:rsidRPr="00216118" w:rsidRDefault="00216118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 ზღვარი 55 % თითოეულ ინსტრუმენტში</w:t>
            </w: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118" w:rsidRDefault="00216118" w:rsidP="00216118">
            <w:pPr>
              <w:spacing w:after="200"/>
              <w:jc w:val="center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216118" w:rsidRDefault="00216118" w:rsidP="00216118">
            <w:pPr>
              <w:spacing w:after="200"/>
              <w:jc w:val="center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216118" w:rsidRDefault="00216118" w:rsidP="00216118">
            <w:pPr>
              <w:spacing w:after="200"/>
              <w:jc w:val="center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216118" w:rsidRDefault="00216118" w:rsidP="00216118">
            <w:pPr>
              <w:spacing w:after="200"/>
              <w:jc w:val="center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216118" w:rsidRDefault="00216118" w:rsidP="00216118">
            <w:pPr>
              <w:spacing w:after="200"/>
              <w:jc w:val="center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216118" w:rsidRPr="00216118" w:rsidRDefault="00216118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 ან/და წერილობითი მტკიცებულება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ა) ზეპირი: პროფესიული მასწავლებლის/დაწესებულების წარმომადგენლის მიერ შევსებული ჩანაწერი, 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ბ) წერილობითი:  პროფესიული სტუდენტის მიერ წერილობით შესრულებული ნამუშევარი, რომელიც ადასტურებს ცოდნას, უნარს ან/და კომპეტენციას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16118" w:rsidRPr="00216118" w:rsidRDefault="00216118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16118" w:rsidRPr="00216118" w:rsidRDefault="00216118" w:rsidP="00216118">
            <w:pPr>
              <w:ind w:left="720"/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216118" w:rsidRPr="00216118" w:rsidRDefault="00216118" w:rsidP="00216118">
            <w:pPr>
              <w:ind w:left="720"/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216118" w:rsidRPr="00216118" w:rsidTr="00341DF7">
        <w:trPr>
          <w:trHeight w:val="44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8" w:rsidRPr="00216118" w:rsidRDefault="00216118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1.სტაციონარული და  ამბულატორიული ტიპები: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 დაწესებულებები;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ხანგრძლივი მოვლის დაწესებულებები;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შინმოვლის დაწესებულებები/ბინაზე სამედიცინო სერვისის მიმწოდებელი სუბიექტები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ჰოსპისი;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სასწრაფო გადაუდებელი დახმარებისა და სამედიცინო ტრანსპორტირების (რეფერალის) სამსახურები;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დამხმარე სერვისების მიმწოდებელი დაწესებულებები;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 ჯანდაცვის ლაბორატორიები.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2.საექთნო ვალდებულებები და პასუხისმგებლობები: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 ინტერესების გათვალისწინების ვალდებულება;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მკურნალობის ვალდებულება;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პაციენტისთვის და/ან მისი წარმოამდგენლისთვის ინფორმაციის მიწოდების ვალდებულება;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ინფორმირებული თანხმობის მიღების ვალდებულება;</w:t>
            </w:r>
          </w:p>
          <w:p w:rsidR="00216118" w:rsidRPr="00216118" w:rsidRDefault="00216118" w:rsidP="00216118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კონფიდენციალურობის დაცვისა და პაციენტის პირადი ცხოვრების პატივისცემის ვალდებულება;</w:t>
            </w:r>
          </w:p>
          <w:p w:rsidR="00216118" w:rsidRPr="00216118" w:rsidRDefault="00216118" w:rsidP="00216118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3.კომპეტენციის აქტი:</w:t>
            </w: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ექთნის კლინიკური და აკადემიური ქცევის პრინციპები;</w:t>
            </w: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სამუშაო გარემოს მოწყობის პრინციპები; </w:t>
            </w: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შრომის ეფექტურობისთვის მნიშვნელოვანი პიროვნული მახასიათებლები; </w:t>
            </w: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ტოლერანტობის ძირითადი პრინციპები; კონფიდენციალობის ძირითადი პრინციპები.</w:t>
            </w: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4.კლინიკური საექთნო პრაქტიკის სტანდარტები</w:t>
            </w: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დაგეგმვა;</w:t>
            </w: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განხორციელება;</w:t>
            </w: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საექთნო ჩარევის შემდგომ შეფასება;</w:t>
            </w: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კონსულტაცია.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118" w:rsidRPr="00216118" w:rsidRDefault="00216118" w:rsidP="00216118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118" w:rsidRPr="00216118" w:rsidRDefault="00216118" w:rsidP="00216118">
            <w:pPr>
              <w:widowControl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216118" w:rsidRPr="00216118" w:rsidTr="00341DF7">
        <w:trPr>
          <w:trHeight w:val="44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8" w:rsidRPr="00216118" w:rsidRDefault="00216118" w:rsidP="00216118">
            <w:pPr>
              <w:spacing w:after="20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1.დაფინანსების წყარო: ჯანმრთელობის სოციალური დაზღვევის ძირითადი თავისებურებები: სრული და ნაწილობრივი დაფინანასება;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br/>
              <w:t>კერძო დაზღვევა.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br/>
              <w:t>დაფინანსების წყაროები;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br/>
              <w:t>დეფინიცირებული პაკეტების ამოქმედება (01.05.2017).</w:t>
            </w:r>
          </w:p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16118" w:rsidRPr="00216118" w:rsidRDefault="00216118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2.დაფინანსების ჯგუფები და დაფიანანსების პირობები:</w:t>
            </w:r>
          </w:p>
          <w:p w:rsidR="00216118" w:rsidRPr="00216118" w:rsidRDefault="00216118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სოციალურად დაუცველი;</w:t>
            </w:r>
          </w:p>
          <w:p w:rsidR="00216118" w:rsidRPr="00216118" w:rsidRDefault="00216118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პენსიონერი;</w:t>
            </w:r>
          </w:p>
          <w:p w:rsidR="00216118" w:rsidRPr="00216118" w:rsidRDefault="00216118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0-6 წლამდე ასაკის ბავშვი;</w:t>
            </w:r>
          </w:p>
          <w:p w:rsidR="00216118" w:rsidRPr="00216118" w:rsidRDefault="00216118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პედაგოგი;</w:t>
            </w:r>
          </w:p>
          <w:p w:rsidR="00216118" w:rsidRPr="00216118" w:rsidRDefault="00216118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სტუდენტი;</w:t>
            </w:r>
          </w:p>
          <w:p w:rsidR="00216118" w:rsidRPr="00216118" w:rsidRDefault="00216118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იძულების გადაადგილებული პირი;</w:t>
            </w:r>
          </w:p>
          <w:p w:rsidR="00216118" w:rsidRPr="00216118" w:rsidRDefault="00216118" w:rsidP="00216118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შშმ პირი.</w:t>
            </w:r>
          </w:p>
          <w:p w:rsidR="00216118" w:rsidRPr="00216118" w:rsidRDefault="00216118" w:rsidP="00216118">
            <w:pPr>
              <w:spacing w:after="200"/>
              <w:ind w:left="425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118" w:rsidRPr="00216118" w:rsidRDefault="00216118" w:rsidP="00216118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118" w:rsidRPr="00216118" w:rsidRDefault="00216118" w:rsidP="00216118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18" w:rsidRPr="00216118" w:rsidRDefault="00216118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76D63" w:rsidRPr="00216118" w:rsidTr="00216118">
        <w:trPr>
          <w:trHeight w:val="440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მოდულის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176D63" w:rsidRPr="00216118" w:rsidRDefault="00A221DB" w:rsidP="00216118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7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63" w:rsidRPr="00216118" w:rsidRDefault="00176D63" w:rsidP="00216118">
            <w:pPr>
              <w:spacing w:after="200"/>
              <w:ind w:left="720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A221DB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550" w:type="dxa"/>
        <w:tblLayout w:type="fixed"/>
        <w:tblLook w:val="0400" w:firstRow="0" w:lastRow="0" w:firstColumn="0" w:lastColumn="0" w:noHBand="0" w:noVBand="1"/>
      </w:tblPr>
      <w:tblGrid>
        <w:gridCol w:w="2892"/>
        <w:gridCol w:w="5287"/>
        <w:gridCol w:w="2436"/>
        <w:gridCol w:w="1822"/>
        <w:gridCol w:w="2113"/>
      </w:tblGrid>
      <w:tr w:rsidR="00176D63" w:rsidRPr="00216118">
        <w:tc>
          <w:tcPr>
            <w:tcW w:w="28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658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176D63" w:rsidRPr="00216118">
        <w:tc>
          <w:tcPr>
            <w:tcW w:w="289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176D63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36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22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1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176D63" w:rsidRPr="00216118">
        <w:trPr>
          <w:trHeight w:val="500"/>
        </w:trPr>
        <w:tc>
          <w:tcPr>
            <w:tcW w:w="28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2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4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176D63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</w:tr>
      <w:tr w:rsidR="00176D63" w:rsidRPr="00216118">
        <w:trPr>
          <w:trHeight w:val="600"/>
        </w:trPr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176D63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</w:tr>
      <w:tr w:rsidR="00176D63" w:rsidRPr="00216118">
        <w:trPr>
          <w:trHeight w:val="420"/>
        </w:trPr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2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176D63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</w:tr>
      <w:tr w:rsidR="00176D63" w:rsidRPr="00216118">
        <w:trPr>
          <w:trHeight w:val="600"/>
        </w:trPr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b/>
                <w:sz w:val="20"/>
                <w:szCs w:val="20"/>
              </w:rPr>
              <w:t>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b/>
                <w:sz w:val="20"/>
                <w:szCs w:val="20"/>
              </w:rP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63" w:rsidRPr="00216118" w:rsidRDefault="00A221DB" w:rsidP="0021611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b/>
                <w:sz w:val="20"/>
                <w:szCs w:val="20"/>
              </w:rPr>
              <w:t>25</w:t>
            </w:r>
          </w:p>
        </w:tc>
      </w:tr>
    </w:tbl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A221DB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176D63" w:rsidRPr="00216118" w:rsidRDefault="00A221DB" w:rsidP="00216118">
      <w:pPr>
        <w:spacing w:after="0" w:line="240" w:lineRule="auto"/>
        <w:jc w:val="both"/>
        <w:rPr>
          <w:rFonts w:ascii="Sylfaen" w:eastAsia="Merriweather" w:hAnsi="Sylfaen" w:cs="Merriweather"/>
          <w:b/>
          <w:i/>
          <w:sz w:val="20"/>
          <w:szCs w:val="20"/>
        </w:rPr>
      </w:pPr>
      <w:r w:rsidRPr="00216118">
        <w:rPr>
          <w:rFonts w:ascii="Sylfaen" w:eastAsia="Merriweather" w:hAnsi="Sylfaen" w:cs="Merriweather"/>
          <w:b/>
          <w:sz w:val="20"/>
          <w:szCs w:val="20"/>
        </w:rPr>
        <w:t xml:space="preserve">1.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მთავრობის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დადგენილება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#385 2010 </w:t>
      </w:r>
      <w:r w:rsidRPr="00216118">
        <w:rPr>
          <w:rFonts w:ascii="Sylfaen" w:eastAsia="Arial Unicode MS" w:hAnsi="Sylfaen" w:cs="Arial Unicode MS"/>
          <w:sz w:val="20"/>
          <w:szCs w:val="20"/>
        </w:rPr>
        <w:t>წლის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17 </w:t>
      </w:r>
      <w:r w:rsidRPr="00216118">
        <w:rPr>
          <w:rFonts w:ascii="Sylfaen" w:eastAsia="Arial Unicode MS" w:hAnsi="Sylfaen" w:cs="Arial Unicode MS"/>
          <w:sz w:val="20"/>
          <w:szCs w:val="20"/>
        </w:rPr>
        <w:t>დეკემბერი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ქ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216118">
        <w:rPr>
          <w:rFonts w:ascii="Sylfaen" w:eastAsia="Arial Unicode MS" w:hAnsi="Sylfaen" w:cs="Arial Unicode MS"/>
          <w:sz w:val="20"/>
          <w:szCs w:val="20"/>
        </w:rPr>
        <w:t>თბილისი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სამედიცინო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საქმიანობის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ლიცენზიისა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და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სტაციონარული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დაწესებულების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ნებართვის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გაცემის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წესისა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და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პირობების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შესახებ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დებულებების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დამტკიცების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თაობაზე</w:t>
      </w:r>
    </w:p>
    <w:p w:rsidR="00176D63" w:rsidRPr="00216118" w:rsidRDefault="00A221DB" w:rsidP="00216118">
      <w:pPr>
        <w:spacing w:after="0" w:line="240" w:lineRule="auto"/>
        <w:jc w:val="both"/>
        <w:rPr>
          <w:rFonts w:ascii="Sylfaen" w:eastAsia="Merriweather" w:hAnsi="Sylfaen" w:cs="Merriweather"/>
          <w:b/>
          <w:i/>
          <w:sz w:val="20"/>
          <w:szCs w:val="20"/>
        </w:rPr>
      </w:pPr>
      <w:r w:rsidRPr="00216118">
        <w:rPr>
          <w:rFonts w:ascii="Sylfaen" w:eastAsia="Arial Unicode MS" w:hAnsi="Sylfaen" w:cs="Arial Unicode MS"/>
          <w:sz w:val="20"/>
          <w:szCs w:val="20"/>
        </w:rPr>
        <w:t xml:space="preserve">2.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მთავრობის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დადგენილება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#3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59 2010 </w:t>
      </w:r>
      <w:r w:rsidRPr="00216118">
        <w:rPr>
          <w:rFonts w:ascii="Sylfaen" w:eastAsia="Arial Unicode MS" w:hAnsi="Sylfaen" w:cs="Arial Unicode MS"/>
          <w:sz w:val="20"/>
          <w:szCs w:val="20"/>
        </w:rPr>
        <w:t>წლის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22 </w:t>
      </w:r>
      <w:r w:rsidRPr="00216118">
        <w:rPr>
          <w:rFonts w:ascii="Sylfaen" w:eastAsia="Arial Unicode MS" w:hAnsi="Sylfaen" w:cs="Arial Unicode MS"/>
          <w:sz w:val="20"/>
          <w:szCs w:val="20"/>
        </w:rPr>
        <w:t>ნოემბერი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ქ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216118">
        <w:rPr>
          <w:rFonts w:ascii="Sylfaen" w:eastAsia="Arial Unicode MS" w:hAnsi="Sylfaen" w:cs="Arial Unicode MS"/>
          <w:sz w:val="20"/>
          <w:szCs w:val="20"/>
        </w:rPr>
        <w:t>თბილისი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მაღალი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რისკის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შემცველი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სამედიცინო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საქმიანობის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ტექნიკური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რეგლამენტის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დამტკიცების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თაობაზე</w:t>
      </w:r>
    </w:p>
    <w:p w:rsidR="00176D63" w:rsidRPr="00216118" w:rsidRDefault="00A221DB" w:rsidP="00216118">
      <w:pPr>
        <w:spacing w:after="0" w:line="240" w:lineRule="auto"/>
        <w:jc w:val="both"/>
        <w:rPr>
          <w:rFonts w:ascii="Sylfaen" w:eastAsia="Merriweather" w:hAnsi="Sylfaen" w:cs="Merriweather"/>
          <w:b/>
          <w:i/>
          <w:sz w:val="20"/>
          <w:szCs w:val="20"/>
        </w:rPr>
      </w:pPr>
      <w:r w:rsidRPr="00216118">
        <w:rPr>
          <w:rFonts w:ascii="Sylfaen" w:eastAsia="Arial Unicode MS" w:hAnsi="Sylfaen" w:cs="Arial Unicode MS"/>
          <w:sz w:val="20"/>
          <w:szCs w:val="20"/>
        </w:rPr>
        <w:lastRenderedPageBreak/>
        <w:t xml:space="preserve">3.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შრომის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sz w:val="20"/>
          <w:szCs w:val="20"/>
        </w:rPr>
        <w:t>ჯანმრთელობის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და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სოციალური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დაცვის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მინისტრის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ბრძანება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#01-9/</w:t>
      </w:r>
      <w:r w:rsidRPr="00216118">
        <w:rPr>
          <w:rFonts w:ascii="Sylfaen" w:eastAsia="Arial Unicode MS" w:hAnsi="Sylfaen" w:cs="Arial Unicode MS"/>
          <w:sz w:val="20"/>
          <w:szCs w:val="20"/>
        </w:rPr>
        <w:t>ნ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2016 </w:t>
      </w:r>
      <w:r w:rsidRPr="00216118">
        <w:rPr>
          <w:rFonts w:ascii="Sylfaen" w:eastAsia="Arial Unicode MS" w:hAnsi="Sylfaen" w:cs="Arial Unicode MS"/>
          <w:sz w:val="20"/>
          <w:szCs w:val="20"/>
        </w:rPr>
        <w:t>წლის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4 </w:t>
      </w:r>
      <w:r w:rsidRPr="00216118">
        <w:rPr>
          <w:rFonts w:ascii="Sylfaen" w:eastAsia="Arial Unicode MS" w:hAnsi="Sylfaen" w:cs="Arial Unicode MS"/>
          <w:sz w:val="20"/>
          <w:szCs w:val="20"/>
        </w:rPr>
        <w:t>მარტი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ქ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216118">
        <w:rPr>
          <w:rFonts w:ascii="Sylfaen" w:eastAsia="Arial Unicode MS" w:hAnsi="Sylfaen" w:cs="Arial Unicode MS"/>
          <w:sz w:val="20"/>
          <w:szCs w:val="20"/>
        </w:rPr>
        <w:t>თბილისი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სამედიცინო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დაწესებ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ულებების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კლასიფიკაციის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განსაზღვრის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i/>
          <w:sz w:val="20"/>
          <w:szCs w:val="20"/>
        </w:rPr>
        <w:t>თაობაზე</w:t>
      </w: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76D63" w:rsidRPr="00216118" w:rsidRDefault="00A221DB" w:rsidP="0021611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176D63" w:rsidRPr="00216118" w:rsidRDefault="00A221DB" w:rsidP="00216118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16118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მიერ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216118">
        <w:rPr>
          <w:rFonts w:ascii="Sylfaen" w:eastAsia="Arial Unicode MS" w:hAnsi="Sylfaen" w:cs="Arial Unicode MS"/>
          <w:sz w:val="20"/>
          <w:szCs w:val="20"/>
        </w:rPr>
        <w:t>/</w:t>
      </w:r>
      <w:r w:rsidRPr="00216118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და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მოდიფიკა</w:t>
      </w:r>
      <w:r w:rsidRPr="00216118">
        <w:rPr>
          <w:rFonts w:ascii="Sylfaen" w:eastAsia="Arial Unicode MS" w:hAnsi="Sylfaen" w:cs="Arial Unicode MS"/>
          <w:sz w:val="20"/>
          <w:szCs w:val="20"/>
        </w:rPr>
        <w:t>ციას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216118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ან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216118">
        <w:rPr>
          <w:rFonts w:ascii="Sylfaen" w:eastAsia="Arial Unicode MS" w:hAnsi="Sylfaen" w:cs="Arial Unicode MS"/>
          <w:sz w:val="20"/>
          <w:szCs w:val="20"/>
        </w:rPr>
        <w:t>და</w:t>
      </w:r>
      <w:r w:rsidRPr="00216118">
        <w:rPr>
          <w:rFonts w:ascii="Sylfaen" w:eastAsia="Arial Unicode MS" w:hAnsi="Sylfaen" w:cs="Arial Unicode MS"/>
          <w:sz w:val="20"/>
          <w:szCs w:val="20"/>
        </w:rPr>
        <w:t>/</w:t>
      </w:r>
      <w:r w:rsidRPr="00216118">
        <w:rPr>
          <w:rFonts w:ascii="Sylfaen" w:eastAsia="Arial Unicode MS" w:hAnsi="Sylfaen" w:cs="Arial Unicode MS"/>
          <w:sz w:val="20"/>
          <w:szCs w:val="20"/>
        </w:rPr>
        <w:t>ან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216118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და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216118">
        <w:rPr>
          <w:rFonts w:ascii="Sylfaen" w:eastAsia="Arial Unicode MS" w:hAnsi="Sylfaen" w:cs="Arial Unicode MS"/>
          <w:sz w:val="20"/>
          <w:szCs w:val="20"/>
        </w:rPr>
        <w:t>და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16118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პროფე</w:t>
      </w:r>
      <w:r w:rsidRPr="00216118">
        <w:rPr>
          <w:rFonts w:ascii="Sylfaen" w:eastAsia="Arial Unicode MS" w:hAnsi="Sylfaen" w:cs="Arial Unicode MS"/>
          <w:sz w:val="20"/>
          <w:szCs w:val="20"/>
        </w:rPr>
        <w:t>სიული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16118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176D63" w:rsidRPr="00216118" w:rsidRDefault="00176D63" w:rsidP="00216118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176D63" w:rsidRPr="00216118" w:rsidRDefault="00A221DB" w:rsidP="00216118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16118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216118">
        <w:rPr>
          <w:rFonts w:ascii="Sylfaen" w:eastAsia="Arial Unicode MS" w:hAnsi="Sylfaen" w:cs="Arial Unicode MS"/>
          <w:sz w:val="20"/>
          <w:szCs w:val="20"/>
        </w:rPr>
        <w:t>ინდივიდუალურ</w:t>
      </w:r>
      <w:r w:rsidRPr="00216118">
        <w:rPr>
          <w:rFonts w:ascii="Sylfaen" w:eastAsia="Arial Unicode MS" w:hAnsi="Sylfaen" w:cs="Arial Unicode MS"/>
          <w:sz w:val="20"/>
          <w:szCs w:val="20"/>
        </w:rPr>
        <w:t>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16118">
        <w:rPr>
          <w:rFonts w:ascii="Sylfaen" w:eastAsia="Arial Unicode MS" w:hAnsi="Sylfaen" w:cs="Arial Unicode MS"/>
          <w:sz w:val="20"/>
          <w:szCs w:val="20"/>
        </w:rPr>
        <w:t>ხოლო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და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216118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216118">
        <w:rPr>
          <w:rFonts w:ascii="Sylfaen" w:eastAsia="Arial Unicode MS" w:hAnsi="Sylfaen" w:cs="Arial Unicode MS"/>
          <w:sz w:val="20"/>
          <w:szCs w:val="20"/>
        </w:rPr>
        <w:t>/</w:t>
      </w:r>
      <w:r w:rsidRPr="00216118">
        <w:rPr>
          <w:rFonts w:ascii="Sylfaen" w:eastAsia="Arial Unicode MS" w:hAnsi="Sylfaen" w:cs="Arial Unicode MS"/>
          <w:sz w:val="20"/>
          <w:szCs w:val="20"/>
        </w:rPr>
        <w:t>მოდ</w:t>
      </w:r>
      <w:r w:rsidRPr="00216118">
        <w:rPr>
          <w:rFonts w:ascii="Sylfaen" w:eastAsia="Arial Unicode MS" w:hAnsi="Sylfaen" w:cs="Arial Unicode MS"/>
          <w:sz w:val="20"/>
          <w:szCs w:val="20"/>
        </w:rPr>
        <w:t>ულის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216118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216118">
        <w:rPr>
          <w:rFonts w:ascii="Sylfaen" w:eastAsia="Arial Unicode MS" w:hAnsi="Sylfaen" w:cs="Arial Unicode MS"/>
          <w:sz w:val="20"/>
          <w:szCs w:val="20"/>
        </w:rPr>
        <w:t>.</w:t>
      </w:r>
    </w:p>
    <w:p w:rsidR="00176D63" w:rsidRPr="00216118" w:rsidRDefault="00176D63" w:rsidP="00216118">
      <w:pPr>
        <w:spacing w:before="120" w:after="20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oBack"/>
      <w:bookmarkEnd w:id="0"/>
    </w:p>
    <w:p w:rsidR="00176D63" w:rsidRPr="00216118" w:rsidRDefault="00A221DB" w:rsidP="00216118">
      <w:pPr>
        <w:spacing w:before="120" w:after="20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16118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216118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176D63" w:rsidRPr="00216118">
        <w:tc>
          <w:tcPr>
            <w:tcW w:w="520" w:type="dxa"/>
            <w:shd w:val="clear" w:color="auto" w:fill="auto"/>
          </w:tcPr>
          <w:p w:rsidR="00176D63" w:rsidRPr="00216118" w:rsidRDefault="00A221DB" w:rsidP="00216118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D63" w:rsidRPr="00216118" w:rsidRDefault="00A221DB" w:rsidP="00216118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D63" w:rsidRPr="00216118" w:rsidRDefault="00A221DB" w:rsidP="00216118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176D63" w:rsidRPr="00216118">
        <w:tc>
          <w:tcPr>
            <w:tcW w:w="520" w:type="dxa"/>
            <w:shd w:val="clear" w:color="auto" w:fill="auto"/>
          </w:tcPr>
          <w:p w:rsidR="00176D63" w:rsidRPr="00216118" w:rsidRDefault="00A221DB" w:rsidP="00216118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176D63" w:rsidRPr="00216118" w:rsidRDefault="00A221DB" w:rsidP="00216118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D63" w:rsidRPr="00216118" w:rsidRDefault="00A221DB" w:rsidP="00216118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 “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კორპორაცია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ევექსი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176D63" w:rsidRPr="00216118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D63" w:rsidRPr="00216118" w:rsidRDefault="00A221DB" w:rsidP="00216118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16118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D63" w:rsidRPr="00216118" w:rsidRDefault="00A221DB" w:rsidP="00216118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216118">
              <w:rPr>
                <w:rFonts w:ascii="Sylfaen" w:hAnsi="Sylfaen"/>
                <w:sz w:val="20"/>
                <w:szCs w:val="20"/>
              </w:rPr>
              <w:t>ნინო</w:t>
            </w:r>
            <w:r w:rsidRPr="0021611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16118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D63" w:rsidRPr="00216118" w:rsidRDefault="00A221DB" w:rsidP="00216118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“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დავით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ტვილდიანის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სახელობის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უნივერსიტეტის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საზოგადოებრივი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კოლეჯი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176D63" w:rsidRPr="00216118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D63" w:rsidRPr="00216118" w:rsidRDefault="00A221DB" w:rsidP="00216118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16118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D63" w:rsidRPr="00216118" w:rsidRDefault="00A221DB" w:rsidP="00216118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სალომე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</w:rPr>
              <w:t>ჭინჭარაული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D63" w:rsidRPr="00216118" w:rsidRDefault="00A221DB" w:rsidP="00216118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“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დავით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ტვილდიანის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სახელობის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უნივერსიტეტის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საზოგადოებრივი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კოლეჯი</w:t>
            </w:r>
            <w:r w:rsidRPr="00216118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</w:tbl>
    <w:p w:rsidR="00176D63" w:rsidRPr="00216118" w:rsidRDefault="00176D63" w:rsidP="00216118">
      <w:pPr>
        <w:spacing w:after="200" w:line="240" w:lineRule="auto"/>
        <w:rPr>
          <w:rFonts w:ascii="Sylfaen" w:eastAsia="Merriweather" w:hAnsi="Sylfaen" w:cs="Merriweather"/>
          <w:sz w:val="20"/>
          <w:szCs w:val="20"/>
        </w:rPr>
      </w:pPr>
    </w:p>
    <w:p w:rsidR="00176D63" w:rsidRPr="00216118" w:rsidRDefault="00176D63" w:rsidP="00216118">
      <w:pPr>
        <w:spacing w:line="240" w:lineRule="auto"/>
        <w:rPr>
          <w:rFonts w:ascii="Sylfaen" w:eastAsia="Merriweather" w:hAnsi="Sylfaen" w:cs="Merriweather"/>
          <w:sz w:val="20"/>
          <w:szCs w:val="20"/>
        </w:rPr>
      </w:pPr>
      <w:bookmarkStart w:id="1" w:name="_gjdgxs" w:colFirst="0" w:colLast="0"/>
      <w:bookmarkEnd w:id="1"/>
    </w:p>
    <w:sectPr w:rsidR="00176D63" w:rsidRPr="00216118">
      <w:footerReference w:type="default" r:id="rId7"/>
      <w:pgSz w:w="16838" w:h="11906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1DB" w:rsidRDefault="00A221DB">
      <w:pPr>
        <w:spacing w:after="0" w:line="240" w:lineRule="auto"/>
      </w:pPr>
      <w:r>
        <w:separator/>
      </w:r>
    </w:p>
  </w:endnote>
  <w:endnote w:type="continuationSeparator" w:id="0">
    <w:p w:rsidR="00A221DB" w:rsidRDefault="00A2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D63" w:rsidRDefault="00A221DB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216118">
      <w:fldChar w:fldCharType="separate"/>
    </w:r>
    <w:r w:rsidR="00216118">
      <w:rPr>
        <w:noProof/>
      </w:rPr>
      <w:t>8</w:t>
    </w:r>
    <w:r>
      <w:fldChar w:fldCharType="end"/>
    </w:r>
  </w:p>
  <w:p w:rsidR="00176D63" w:rsidRDefault="00176D63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1DB" w:rsidRDefault="00A221DB">
      <w:pPr>
        <w:spacing w:after="0" w:line="240" w:lineRule="auto"/>
      </w:pPr>
      <w:r>
        <w:separator/>
      </w:r>
    </w:p>
  </w:footnote>
  <w:footnote w:type="continuationSeparator" w:id="0">
    <w:p w:rsidR="00A221DB" w:rsidRDefault="00A22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37F55"/>
    <w:multiLevelType w:val="multilevel"/>
    <w:tmpl w:val="4B902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EF65BB"/>
    <w:multiLevelType w:val="multilevel"/>
    <w:tmpl w:val="18F49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D7CBA"/>
    <w:multiLevelType w:val="hybridMultilevel"/>
    <w:tmpl w:val="9C04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0795E"/>
    <w:multiLevelType w:val="multilevel"/>
    <w:tmpl w:val="CA04BA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A305100"/>
    <w:multiLevelType w:val="multilevel"/>
    <w:tmpl w:val="511E861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6D63"/>
    <w:rsid w:val="00176D63"/>
    <w:rsid w:val="00216118"/>
    <w:rsid w:val="00A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41E93-E93B-4626-AC2F-5CD9FA94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1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2</cp:revision>
  <dcterms:created xsi:type="dcterms:W3CDTF">2017-12-04T10:11:00Z</dcterms:created>
  <dcterms:modified xsi:type="dcterms:W3CDTF">2017-12-04T10:14:00Z</dcterms:modified>
</cp:coreProperties>
</file>