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120" w:rsidRPr="006D4C10" w:rsidRDefault="00382D87" w:rsidP="006D4C10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6D4C10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1A4120" w:rsidRPr="006D4C10" w:rsidRDefault="00382D87" w:rsidP="006D4C10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6D4C10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57"/>
        <w:gridCol w:w="7321"/>
      </w:tblGrid>
      <w:tr w:rsidR="001A4120" w:rsidRPr="006D4C10">
        <w:trPr>
          <w:trHeight w:val="440"/>
        </w:trPr>
        <w:tc>
          <w:tcPr>
            <w:tcW w:w="7357" w:type="dxa"/>
          </w:tcPr>
          <w:p w:rsidR="001A4120" w:rsidRPr="006D4C10" w:rsidRDefault="00382D87" w:rsidP="006D4C10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321" w:type="dxa"/>
          </w:tcPr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1A4120" w:rsidRPr="006D4C10">
        <w:trPr>
          <w:trHeight w:val="420"/>
        </w:trPr>
        <w:tc>
          <w:tcPr>
            <w:tcW w:w="7357" w:type="dxa"/>
          </w:tcPr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</w:p>
        </w:tc>
        <w:tc>
          <w:tcPr>
            <w:tcW w:w="7321" w:type="dxa"/>
          </w:tcPr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1 -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თერაპიული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</w:tc>
      </w:tr>
      <w:tr w:rsidR="001A4120" w:rsidRPr="006D4C10">
        <w:trPr>
          <w:trHeight w:val="420"/>
        </w:trPr>
        <w:tc>
          <w:tcPr>
            <w:tcW w:w="7357" w:type="dxa"/>
          </w:tcPr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321" w:type="dxa"/>
          </w:tcPr>
          <w:p w:rsidR="001A4120" w:rsidRPr="006D4C10" w:rsidRDefault="001A4120" w:rsidP="006D4C10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1A4120" w:rsidRPr="006D4C10">
        <w:trPr>
          <w:trHeight w:val="420"/>
        </w:trPr>
        <w:tc>
          <w:tcPr>
            <w:tcW w:w="7357" w:type="dxa"/>
          </w:tcPr>
          <w:p w:rsidR="001A4120" w:rsidRPr="006D4C10" w:rsidRDefault="00382D87" w:rsidP="006D4C10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321" w:type="dxa"/>
          </w:tcPr>
          <w:p w:rsidR="001A4120" w:rsidRPr="006D4C10" w:rsidRDefault="00382D87" w:rsidP="006D4C10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9</w:t>
            </w:r>
          </w:p>
        </w:tc>
      </w:tr>
      <w:tr w:rsidR="001A4120" w:rsidRPr="006D4C10">
        <w:trPr>
          <w:trHeight w:val="420"/>
        </w:trPr>
        <w:tc>
          <w:tcPr>
            <w:tcW w:w="7357" w:type="dxa"/>
          </w:tcPr>
          <w:p w:rsidR="001A4120" w:rsidRPr="006D4C10" w:rsidRDefault="00382D87" w:rsidP="006D4C10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</w:p>
        </w:tc>
        <w:tc>
          <w:tcPr>
            <w:tcW w:w="7321" w:type="dxa"/>
          </w:tcPr>
          <w:p w:rsidR="001A4120" w:rsidRPr="006D4C10" w:rsidRDefault="00382D87" w:rsidP="006D4C10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თერაპიული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საფუძვლები</w:t>
            </w:r>
          </w:p>
        </w:tc>
      </w:tr>
      <w:tr w:rsidR="001A4120" w:rsidRPr="006D4C10">
        <w:trPr>
          <w:trHeight w:val="1280"/>
        </w:trPr>
        <w:tc>
          <w:tcPr>
            <w:tcW w:w="7357" w:type="dxa"/>
          </w:tcPr>
          <w:p w:rsidR="001A4120" w:rsidRPr="006D4C10" w:rsidRDefault="00382D87" w:rsidP="006D4C10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321" w:type="dxa"/>
          </w:tcPr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კარდიოვასკულარული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პულმონოლოგიური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ნეფროლოგიური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გასტროენტეროლოგიური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ჰემატოლოგიური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ნევროლოგიური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გრძნობათა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ორგანოების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ონკო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რევმატოლოგიური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ენდოკრინოლოგიური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სპეციფიკის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ზედამხედველობის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1A4120" w:rsidP="006D4C10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1A4120" w:rsidRPr="006D4C10" w:rsidRDefault="001A4120" w:rsidP="006D4C10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A4120" w:rsidRPr="006D4C10" w:rsidRDefault="001A4120" w:rsidP="006D4C10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A4120" w:rsidRPr="006D4C10" w:rsidRDefault="001A4120" w:rsidP="006D4C10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A4120" w:rsidRPr="006D4C10" w:rsidRDefault="001A4120" w:rsidP="006D4C10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A4120" w:rsidRPr="006D4C10" w:rsidRDefault="001A4120" w:rsidP="006D4C10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A4120" w:rsidRPr="006D4C10" w:rsidRDefault="001A4120" w:rsidP="006D4C10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A4120" w:rsidRPr="006D4C10" w:rsidRDefault="001A4120" w:rsidP="006D4C10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A4120" w:rsidRDefault="001A4120" w:rsidP="006D4C10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6D4C10" w:rsidRPr="006D4C10" w:rsidRDefault="006D4C10" w:rsidP="006D4C10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A4120" w:rsidRPr="006D4C10" w:rsidRDefault="00382D87" w:rsidP="006D4C10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6D4C10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2.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1A4120" w:rsidRPr="006D4C10" w:rsidRDefault="001A4120" w:rsidP="006D4C10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9"/>
        <w:gridCol w:w="4937"/>
        <w:gridCol w:w="4573"/>
        <w:gridCol w:w="2089"/>
      </w:tblGrid>
      <w:tr w:rsidR="001A4120" w:rsidRPr="006D4C10">
        <w:trPr>
          <w:trHeight w:val="1100"/>
          <w:jc w:val="center"/>
        </w:trPr>
        <w:tc>
          <w:tcPr>
            <w:tcW w:w="3069" w:type="dxa"/>
            <w:shd w:val="clear" w:color="auto" w:fill="DEEBF6"/>
            <w:vAlign w:val="center"/>
          </w:tcPr>
          <w:p w:rsidR="001A4120" w:rsidRPr="006D4C10" w:rsidRDefault="00382D87" w:rsidP="006D4C10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1A4120" w:rsidRPr="006D4C10" w:rsidRDefault="001A4120" w:rsidP="006D4C10">
            <w:pPr>
              <w:spacing w:before="12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937" w:type="dxa"/>
            <w:shd w:val="clear" w:color="auto" w:fill="DEEBF6"/>
            <w:vAlign w:val="center"/>
          </w:tcPr>
          <w:p w:rsidR="001A4120" w:rsidRPr="006D4C10" w:rsidRDefault="00382D87" w:rsidP="006D4C10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573" w:type="dxa"/>
            <w:shd w:val="clear" w:color="auto" w:fill="DEEBF6"/>
            <w:vAlign w:val="center"/>
          </w:tcPr>
          <w:p w:rsidR="001A4120" w:rsidRPr="006D4C10" w:rsidRDefault="00382D87" w:rsidP="006D4C10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2089" w:type="dxa"/>
            <w:shd w:val="clear" w:color="auto" w:fill="DEEBF6"/>
            <w:vAlign w:val="center"/>
          </w:tcPr>
          <w:p w:rsidR="001A4120" w:rsidRPr="006D4C10" w:rsidRDefault="001A4120" w:rsidP="006D4C10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382D87" w:rsidP="006D4C10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1A4120" w:rsidRPr="006D4C10">
        <w:trPr>
          <w:trHeight w:val="1680"/>
          <w:jc w:val="center"/>
        </w:trPr>
        <w:tc>
          <w:tcPr>
            <w:tcW w:w="3069" w:type="dxa"/>
            <w:shd w:val="clear" w:color="auto" w:fill="auto"/>
          </w:tcPr>
          <w:p w:rsidR="001A4120" w:rsidRPr="006D4C10" w:rsidRDefault="00382D87" w:rsidP="006D4C10">
            <w:pPr>
              <w:numPr>
                <w:ilvl w:val="0"/>
                <w:numId w:val="5"/>
              </w:numPr>
              <w:tabs>
                <w:tab w:val="left" w:pos="382"/>
              </w:tabs>
              <w:ind w:left="-23" w:firstLine="23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კარდიოვასკულარული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სპეციფიკის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მეთვალყურეობა</w:t>
            </w:r>
          </w:p>
          <w:p w:rsidR="001A4120" w:rsidRPr="006D4C10" w:rsidRDefault="001A4120" w:rsidP="006D4C10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37" w:type="dxa"/>
            <w:shd w:val="clear" w:color="auto" w:fill="auto"/>
          </w:tcPr>
          <w:p w:rsidR="001A4120" w:rsidRPr="006D4C10" w:rsidRDefault="00382D87" w:rsidP="006D4C10">
            <w:pPr>
              <w:numPr>
                <w:ilvl w:val="0"/>
                <w:numId w:val="3"/>
              </w:numPr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კარდიოლოგიური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3"/>
              </w:numPr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მანიპულაციებს</w:t>
            </w: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3"/>
              </w:numPr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3"/>
              </w:numPr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3"/>
              </w:numPr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3"/>
              </w:numPr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4573" w:type="dxa"/>
            <w:vMerge w:val="restart"/>
          </w:tcPr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1"/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6D4C10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6D4C10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კვლევ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კლასიფიკაცია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ჩარ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მანიპულაციები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2"/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: 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მიერთება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არაინვაზიური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გაზომვა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მანუალური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მეთოდით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ელექტროკარდიოგრამის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გადაღება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პუნქცია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საანალიზე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აღება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სინჯარაში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განთავსება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დონის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ფერი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სინოტივე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კაპილარული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ავსებადობის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შეშუპების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დონის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აქტივობის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დონის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შესრულებაში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მოყვანა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ექიმთან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ერთად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მედიკამენტოზური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სქემის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სუნთქვითი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ვარჯიშები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ვიბრაციულ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პერკუსიული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მასაჟი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ბალანსის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დათვლა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ცნობიერების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დონის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ინტრავენური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ბოლუსი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ინფუზიური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ტიტრაცია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 xml:space="preserve">6.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1A4120" w:rsidRPr="006D4C10" w:rsidRDefault="001A4120" w:rsidP="006D4C10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1A4120" w:rsidP="006D4C10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  <w:vAlign w:val="center"/>
          </w:tcPr>
          <w:p w:rsidR="001A4120" w:rsidRPr="006D4C10" w:rsidRDefault="00382D87" w:rsidP="006D4C10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ტიკული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1A4120" w:rsidRPr="006D4C10" w:rsidRDefault="001A4120" w:rsidP="006D4C10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1A4120" w:rsidRPr="006D4C10">
        <w:trPr>
          <w:trHeight w:val="1040"/>
          <w:jc w:val="center"/>
        </w:trPr>
        <w:tc>
          <w:tcPr>
            <w:tcW w:w="3069" w:type="dxa"/>
            <w:shd w:val="clear" w:color="auto" w:fill="auto"/>
          </w:tcPr>
          <w:p w:rsidR="001A4120" w:rsidRPr="006D4C10" w:rsidRDefault="00382D87" w:rsidP="006D4C10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ინფექციური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სპეციფიკის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მეთვალყურეობა</w:t>
            </w:r>
          </w:p>
          <w:p w:rsidR="001A4120" w:rsidRPr="006D4C10" w:rsidRDefault="00382D87" w:rsidP="006D4C10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1A4120" w:rsidRPr="006D4C10" w:rsidRDefault="001A4120" w:rsidP="006D4C10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1A4120" w:rsidP="006D4C10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37" w:type="dxa"/>
            <w:tcBorders>
              <w:bottom w:val="single" w:sz="4" w:space="0" w:color="000000"/>
            </w:tcBorders>
            <w:shd w:val="clear" w:color="auto" w:fill="auto"/>
          </w:tcPr>
          <w:p w:rsidR="001A4120" w:rsidRPr="006D4C10" w:rsidRDefault="00382D87" w:rsidP="006D4C10">
            <w:pPr>
              <w:numPr>
                <w:ilvl w:val="0"/>
                <w:numId w:val="8"/>
              </w:numPr>
              <w:tabs>
                <w:tab w:val="left" w:pos="284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8"/>
              </w:numPr>
              <w:tabs>
                <w:tab w:val="left" w:pos="284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8"/>
              </w:numPr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8"/>
              </w:numPr>
              <w:tabs>
                <w:tab w:val="left" w:pos="47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8"/>
              </w:numPr>
              <w:tabs>
                <w:tab w:val="left" w:pos="47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ელებული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1A4120" w:rsidRPr="006D4C10" w:rsidRDefault="001A4120" w:rsidP="006D4C10">
            <w:pPr>
              <w:tabs>
                <w:tab w:val="left" w:pos="479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573" w:type="dxa"/>
            <w:vMerge/>
          </w:tcPr>
          <w:p w:rsidR="001A4120" w:rsidRPr="006D4C10" w:rsidRDefault="001A4120" w:rsidP="006D4C10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89" w:type="dxa"/>
            <w:vMerge/>
            <w:vAlign w:val="center"/>
          </w:tcPr>
          <w:p w:rsidR="001A4120" w:rsidRPr="006D4C10" w:rsidRDefault="001A4120" w:rsidP="006D4C10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1A4120" w:rsidRPr="006D4C10">
        <w:trPr>
          <w:trHeight w:val="1040"/>
          <w:jc w:val="center"/>
        </w:trPr>
        <w:tc>
          <w:tcPr>
            <w:tcW w:w="3069" w:type="dxa"/>
            <w:shd w:val="clear" w:color="auto" w:fill="auto"/>
          </w:tcPr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3.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პულმონოლოგიური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სპეციფიკის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მეთვალყურეობა</w:t>
            </w:r>
          </w:p>
        </w:tc>
        <w:tc>
          <w:tcPr>
            <w:tcW w:w="4937" w:type="dxa"/>
            <w:tcBorders>
              <w:bottom w:val="single" w:sz="4" w:space="0" w:color="000000"/>
            </w:tcBorders>
            <w:shd w:val="clear" w:color="auto" w:fill="auto"/>
          </w:tcPr>
          <w:p w:rsidR="001A4120" w:rsidRPr="006D4C10" w:rsidRDefault="00382D87" w:rsidP="006D4C10">
            <w:pPr>
              <w:numPr>
                <w:ilvl w:val="0"/>
                <w:numId w:val="9"/>
              </w:numPr>
              <w:tabs>
                <w:tab w:val="left" w:pos="299"/>
              </w:tabs>
              <w:ind w:left="0" w:firstLine="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პულმონოლოგიური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9"/>
              </w:numPr>
              <w:tabs>
                <w:tab w:val="left" w:pos="299"/>
              </w:tabs>
              <w:ind w:left="0" w:firstLine="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3.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 xml:space="preserve">4.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tabs>
                <w:tab w:val="left" w:pos="299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5.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382D87" w:rsidP="006D4C10">
            <w:pPr>
              <w:tabs>
                <w:tab w:val="left" w:pos="299"/>
              </w:tabs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highlight w:val="white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6.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1A4120" w:rsidRPr="006D4C10" w:rsidRDefault="001A4120" w:rsidP="006D4C10">
            <w:pPr>
              <w:tabs>
                <w:tab w:val="left" w:pos="299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573" w:type="dxa"/>
            <w:vMerge/>
          </w:tcPr>
          <w:p w:rsidR="001A4120" w:rsidRPr="006D4C10" w:rsidRDefault="001A4120" w:rsidP="006D4C10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089" w:type="dxa"/>
            <w:vMerge/>
            <w:vAlign w:val="center"/>
          </w:tcPr>
          <w:p w:rsidR="001A4120" w:rsidRPr="006D4C10" w:rsidRDefault="001A4120" w:rsidP="006D4C10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1A4120" w:rsidRPr="006D4C10">
        <w:trPr>
          <w:trHeight w:val="1700"/>
          <w:jc w:val="center"/>
        </w:trPr>
        <w:tc>
          <w:tcPr>
            <w:tcW w:w="3069" w:type="dxa"/>
            <w:shd w:val="clear" w:color="auto" w:fill="auto"/>
          </w:tcPr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lastRenderedPageBreak/>
              <w:t>4.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ნეფროლოგიური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სპეციფიკის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1A4120" w:rsidP="006D4C10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37" w:type="dxa"/>
            <w:tcBorders>
              <w:top w:val="single" w:sz="4" w:space="0" w:color="000000"/>
            </w:tcBorders>
            <w:shd w:val="clear" w:color="auto" w:fill="auto"/>
          </w:tcPr>
          <w:p w:rsidR="001A4120" w:rsidRPr="006D4C10" w:rsidRDefault="00382D87" w:rsidP="006D4C10">
            <w:pPr>
              <w:numPr>
                <w:ilvl w:val="0"/>
                <w:numId w:val="10"/>
              </w:numPr>
              <w:tabs>
                <w:tab w:val="left" w:pos="299"/>
              </w:tabs>
              <w:ind w:left="0" w:firstLine="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ნეფროლოგიური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0"/>
              </w:numPr>
              <w:tabs>
                <w:tab w:val="left" w:pos="299"/>
              </w:tabs>
              <w:ind w:left="0" w:firstLine="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მანიპულაციებს</w:t>
            </w: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0"/>
              </w:numPr>
              <w:tabs>
                <w:tab w:val="left" w:pos="299"/>
              </w:tabs>
              <w:ind w:left="0" w:firstLine="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382D87" w:rsidP="006D4C10">
            <w:pPr>
              <w:numPr>
                <w:ilvl w:val="0"/>
                <w:numId w:val="10"/>
              </w:numPr>
              <w:tabs>
                <w:tab w:val="left" w:pos="299"/>
              </w:tabs>
              <w:ind w:left="0" w:firstLine="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იელებული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1A4120" w:rsidRPr="006D4C10" w:rsidRDefault="001A4120" w:rsidP="006D4C10">
            <w:pPr>
              <w:tabs>
                <w:tab w:val="left" w:pos="299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573" w:type="dxa"/>
            <w:vMerge/>
          </w:tcPr>
          <w:p w:rsidR="001A4120" w:rsidRPr="006D4C10" w:rsidRDefault="001A4120" w:rsidP="006D4C10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089" w:type="dxa"/>
            <w:vMerge/>
            <w:vAlign w:val="center"/>
          </w:tcPr>
          <w:p w:rsidR="001A4120" w:rsidRPr="006D4C10" w:rsidRDefault="001A4120" w:rsidP="006D4C10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1A4120" w:rsidRPr="006D4C10">
        <w:trPr>
          <w:trHeight w:val="520"/>
          <w:jc w:val="center"/>
        </w:trPr>
        <w:tc>
          <w:tcPr>
            <w:tcW w:w="3069" w:type="dxa"/>
            <w:shd w:val="clear" w:color="auto" w:fill="auto"/>
          </w:tcPr>
          <w:p w:rsidR="001A4120" w:rsidRPr="006D4C10" w:rsidRDefault="00382D87" w:rsidP="006D4C10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5.</w:t>
            </w: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გასტროენტეროლოგიური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სპეციფიკის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მეთვალყურეობა</w:t>
            </w:r>
          </w:p>
          <w:p w:rsidR="001A4120" w:rsidRPr="006D4C10" w:rsidRDefault="001A4120" w:rsidP="006D4C10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37" w:type="dxa"/>
            <w:shd w:val="clear" w:color="auto" w:fill="auto"/>
          </w:tcPr>
          <w:p w:rsidR="001A4120" w:rsidRPr="006D4C10" w:rsidRDefault="00382D87" w:rsidP="006D4C10">
            <w:pPr>
              <w:numPr>
                <w:ilvl w:val="0"/>
                <w:numId w:val="13"/>
              </w:numPr>
              <w:tabs>
                <w:tab w:val="left" w:pos="29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გასტროენტეროლოგიური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3"/>
              </w:numPr>
              <w:tabs>
                <w:tab w:val="left" w:pos="29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3"/>
              </w:numPr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3"/>
              </w:numPr>
              <w:tabs>
                <w:tab w:val="left" w:pos="29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382D87" w:rsidP="006D4C10">
            <w:pPr>
              <w:numPr>
                <w:ilvl w:val="0"/>
                <w:numId w:val="13"/>
              </w:numPr>
              <w:tabs>
                <w:tab w:val="left" w:pos="29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1A4120" w:rsidRPr="006D4C10" w:rsidRDefault="001A4120" w:rsidP="006D4C10">
            <w:pPr>
              <w:tabs>
                <w:tab w:val="left" w:pos="299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573" w:type="dxa"/>
            <w:vMerge/>
          </w:tcPr>
          <w:p w:rsidR="001A4120" w:rsidRPr="006D4C10" w:rsidRDefault="001A4120" w:rsidP="006D4C10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089" w:type="dxa"/>
            <w:vMerge/>
            <w:vAlign w:val="center"/>
          </w:tcPr>
          <w:p w:rsidR="001A4120" w:rsidRPr="006D4C10" w:rsidRDefault="001A4120" w:rsidP="006D4C10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1A4120" w:rsidRPr="006D4C10">
        <w:trPr>
          <w:trHeight w:val="520"/>
          <w:jc w:val="center"/>
        </w:trPr>
        <w:tc>
          <w:tcPr>
            <w:tcW w:w="3069" w:type="dxa"/>
            <w:shd w:val="clear" w:color="auto" w:fill="auto"/>
          </w:tcPr>
          <w:p w:rsidR="001A4120" w:rsidRPr="006D4C10" w:rsidRDefault="00382D87" w:rsidP="006D4C10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6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.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ჰემატოლოგიური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სპეციფიკის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მეთვალყურეობა</w:t>
            </w:r>
          </w:p>
          <w:p w:rsidR="001A4120" w:rsidRPr="006D4C10" w:rsidRDefault="001A4120" w:rsidP="006D4C10">
            <w:pPr>
              <w:spacing w:after="200"/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37" w:type="dxa"/>
            <w:shd w:val="clear" w:color="auto" w:fill="auto"/>
          </w:tcPr>
          <w:p w:rsidR="001A4120" w:rsidRPr="006D4C10" w:rsidRDefault="00382D87" w:rsidP="006D4C10">
            <w:pPr>
              <w:numPr>
                <w:ilvl w:val="0"/>
                <w:numId w:val="14"/>
              </w:numPr>
              <w:tabs>
                <w:tab w:val="left" w:pos="29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ჰემატოლოგიური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4"/>
              </w:numPr>
              <w:tabs>
                <w:tab w:val="left" w:pos="29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მანიპულაციებს</w:t>
            </w: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4"/>
              </w:numPr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4"/>
              </w:numPr>
              <w:tabs>
                <w:tab w:val="left" w:pos="29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1A4120" w:rsidP="006D4C10">
            <w:pPr>
              <w:tabs>
                <w:tab w:val="left" w:pos="299"/>
              </w:tabs>
              <w:ind w:hanging="3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4573" w:type="dxa"/>
            <w:vMerge/>
          </w:tcPr>
          <w:p w:rsidR="001A4120" w:rsidRPr="006D4C10" w:rsidRDefault="001A4120" w:rsidP="006D4C10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089" w:type="dxa"/>
            <w:vMerge/>
            <w:vAlign w:val="center"/>
          </w:tcPr>
          <w:p w:rsidR="001A4120" w:rsidRPr="006D4C10" w:rsidRDefault="001A4120" w:rsidP="006D4C10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1A4120" w:rsidRPr="006D4C10">
        <w:trPr>
          <w:trHeight w:val="580"/>
          <w:jc w:val="center"/>
        </w:trPr>
        <w:tc>
          <w:tcPr>
            <w:tcW w:w="3069" w:type="dxa"/>
          </w:tcPr>
          <w:p w:rsidR="001A4120" w:rsidRPr="006D4C10" w:rsidRDefault="00382D87" w:rsidP="006D4C10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 xml:space="preserve">7.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ნევროლოგიური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გრძნობათა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ორგანოების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სპეციფიკის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მეთვალყურეობა</w:t>
            </w:r>
          </w:p>
          <w:p w:rsidR="001A4120" w:rsidRPr="006D4C10" w:rsidRDefault="001A4120" w:rsidP="006D4C10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1A4120" w:rsidP="006D4C10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37" w:type="dxa"/>
          </w:tcPr>
          <w:p w:rsidR="001A4120" w:rsidRPr="006D4C10" w:rsidRDefault="00382D87" w:rsidP="006D4C10">
            <w:pPr>
              <w:numPr>
                <w:ilvl w:val="0"/>
                <w:numId w:val="15"/>
              </w:numPr>
              <w:tabs>
                <w:tab w:val="left" w:pos="29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ნევროლოგიურ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გრძნობათა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ორგანოების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5"/>
              </w:numPr>
              <w:tabs>
                <w:tab w:val="left" w:pos="29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6D4C10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5"/>
              </w:numPr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5"/>
              </w:numPr>
              <w:tabs>
                <w:tab w:val="left" w:pos="29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აპექტებს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1A4120" w:rsidRPr="006D4C10" w:rsidRDefault="00382D87" w:rsidP="006D4C10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highlight w:val="white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6.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1A4120" w:rsidRPr="006D4C10" w:rsidRDefault="001A4120" w:rsidP="006D4C10">
            <w:pPr>
              <w:tabs>
                <w:tab w:val="left" w:pos="299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1A4120" w:rsidRPr="006D4C10" w:rsidRDefault="001A4120" w:rsidP="006D4C10">
            <w:pPr>
              <w:tabs>
                <w:tab w:val="left" w:pos="299"/>
              </w:tabs>
              <w:ind w:hanging="3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4573" w:type="dxa"/>
            <w:vMerge/>
          </w:tcPr>
          <w:p w:rsidR="001A4120" w:rsidRPr="006D4C10" w:rsidRDefault="001A4120" w:rsidP="006D4C10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089" w:type="dxa"/>
            <w:vMerge/>
            <w:vAlign w:val="center"/>
          </w:tcPr>
          <w:p w:rsidR="001A4120" w:rsidRPr="006D4C10" w:rsidRDefault="001A4120" w:rsidP="006D4C10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1A4120" w:rsidRPr="006D4C10">
        <w:trPr>
          <w:trHeight w:val="620"/>
          <w:jc w:val="center"/>
        </w:trPr>
        <w:tc>
          <w:tcPr>
            <w:tcW w:w="3069" w:type="dxa"/>
          </w:tcPr>
          <w:p w:rsidR="001A4120" w:rsidRPr="006D4C10" w:rsidRDefault="00382D87" w:rsidP="006D4C10">
            <w:pPr>
              <w:tabs>
                <w:tab w:val="left" w:pos="292"/>
              </w:tabs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8.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ონკოლოგიური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სპეციფიკის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მეთვალყურეობა</w:t>
            </w:r>
          </w:p>
        </w:tc>
        <w:tc>
          <w:tcPr>
            <w:tcW w:w="4937" w:type="dxa"/>
          </w:tcPr>
          <w:p w:rsidR="001A4120" w:rsidRPr="006D4C10" w:rsidRDefault="00382D87" w:rsidP="006D4C10">
            <w:pPr>
              <w:numPr>
                <w:ilvl w:val="0"/>
                <w:numId w:val="1"/>
              </w:numPr>
              <w:tabs>
                <w:tab w:val="left" w:pos="29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ონკოლოგიური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"/>
              </w:numPr>
              <w:tabs>
                <w:tab w:val="left" w:pos="29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"/>
              </w:numPr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"/>
              </w:numPr>
              <w:tabs>
                <w:tab w:val="left" w:pos="29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382D87" w:rsidP="006D4C10">
            <w:pPr>
              <w:numPr>
                <w:ilvl w:val="0"/>
                <w:numId w:val="1"/>
              </w:numPr>
              <w:tabs>
                <w:tab w:val="left" w:pos="29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1A4120" w:rsidRPr="006D4C10" w:rsidRDefault="001A4120" w:rsidP="006D4C10">
            <w:pPr>
              <w:tabs>
                <w:tab w:val="left" w:pos="299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573" w:type="dxa"/>
            <w:vMerge/>
          </w:tcPr>
          <w:p w:rsidR="001A4120" w:rsidRPr="006D4C10" w:rsidRDefault="001A4120" w:rsidP="006D4C10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089" w:type="dxa"/>
            <w:vMerge/>
            <w:vAlign w:val="center"/>
          </w:tcPr>
          <w:p w:rsidR="001A4120" w:rsidRPr="006D4C10" w:rsidRDefault="001A4120" w:rsidP="006D4C10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1A4120" w:rsidRPr="006D4C10">
        <w:trPr>
          <w:trHeight w:val="620"/>
          <w:jc w:val="center"/>
        </w:trPr>
        <w:tc>
          <w:tcPr>
            <w:tcW w:w="3069" w:type="dxa"/>
          </w:tcPr>
          <w:p w:rsidR="001A4120" w:rsidRPr="006D4C10" w:rsidRDefault="00382D87" w:rsidP="006D4C10">
            <w:pPr>
              <w:tabs>
                <w:tab w:val="left" w:pos="322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9.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რევმატოლოგიური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სპეციფიკის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მეთვალყურეობა</w:t>
            </w:r>
          </w:p>
        </w:tc>
        <w:tc>
          <w:tcPr>
            <w:tcW w:w="4937" w:type="dxa"/>
          </w:tcPr>
          <w:p w:rsidR="001A4120" w:rsidRPr="006D4C10" w:rsidRDefault="00382D87" w:rsidP="006D4C10">
            <w:pPr>
              <w:numPr>
                <w:ilvl w:val="0"/>
                <w:numId w:val="2"/>
              </w:numPr>
              <w:tabs>
                <w:tab w:val="left" w:pos="29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რევმატოიდული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2"/>
              </w:numPr>
              <w:tabs>
                <w:tab w:val="left" w:pos="29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მანიპულაციებს</w:t>
            </w: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2"/>
              </w:numPr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2"/>
              </w:numPr>
              <w:tabs>
                <w:tab w:val="left" w:pos="29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382D87" w:rsidP="006D4C10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highlight w:val="white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6.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რციელებული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1A4120" w:rsidRPr="006D4C10" w:rsidRDefault="001A4120" w:rsidP="006D4C10">
            <w:pPr>
              <w:tabs>
                <w:tab w:val="left" w:pos="299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573" w:type="dxa"/>
            <w:vMerge/>
          </w:tcPr>
          <w:p w:rsidR="001A4120" w:rsidRPr="006D4C10" w:rsidRDefault="001A4120" w:rsidP="006D4C10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089" w:type="dxa"/>
            <w:vMerge/>
            <w:vAlign w:val="center"/>
          </w:tcPr>
          <w:p w:rsidR="001A4120" w:rsidRPr="006D4C10" w:rsidRDefault="001A4120" w:rsidP="006D4C10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1A4120" w:rsidRPr="006D4C10">
        <w:trPr>
          <w:trHeight w:val="1400"/>
          <w:jc w:val="center"/>
        </w:trPr>
        <w:tc>
          <w:tcPr>
            <w:tcW w:w="3069" w:type="dxa"/>
            <w:tcBorders>
              <w:bottom w:val="single" w:sz="4" w:space="0" w:color="000000"/>
            </w:tcBorders>
          </w:tcPr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 xml:space="preserve">10.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ენდოკრინოლოგიური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სპეციფიკის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მეთვალყურეობა</w:t>
            </w: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1A4120" w:rsidP="006D4C10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37" w:type="dxa"/>
            <w:tcBorders>
              <w:bottom w:val="single" w:sz="4" w:space="0" w:color="000000"/>
            </w:tcBorders>
          </w:tcPr>
          <w:p w:rsidR="001A4120" w:rsidRPr="006D4C10" w:rsidRDefault="00382D87" w:rsidP="006D4C10">
            <w:pPr>
              <w:numPr>
                <w:ilvl w:val="0"/>
                <w:numId w:val="4"/>
              </w:numPr>
              <w:tabs>
                <w:tab w:val="left" w:pos="26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ენდოკრინული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4"/>
              </w:numPr>
              <w:tabs>
                <w:tab w:val="left" w:pos="26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4"/>
              </w:numPr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ამყარებს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4"/>
              </w:numPr>
              <w:tabs>
                <w:tab w:val="left" w:pos="26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382D87" w:rsidP="006D4C10">
            <w:pPr>
              <w:numPr>
                <w:ilvl w:val="0"/>
                <w:numId w:val="4"/>
              </w:numPr>
              <w:tabs>
                <w:tab w:val="left" w:pos="269"/>
              </w:tabs>
              <w:ind w:left="0" w:hanging="31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1A4120" w:rsidRPr="006D4C10" w:rsidRDefault="001A4120" w:rsidP="006D4C10">
            <w:pPr>
              <w:tabs>
                <w:tab w:val="left" w:pos="269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573" w:type="dxa"/>
            <w:vMerge/>
          </w:tcPr>
          <w:p w:rsidR="001A4120" w:rsidRPr="006D4C10" w:rsidRDefault="001A4120" w:rsidP="006D4C10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089" w:type="dxa"/>
            <w:vMerge/>
            <w:vAlign w:val="center"/>
          </w:tcPr>
          <w:p w:rsidR="001A4120" w:rsidRPr="006D4C10" w:rsidRDefault="001A4120" w:rsidP="006D4C10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1A4120" w:rsidRPr="006D4C10">
        <w:trPr>
          <w:trHeight w:val="100"/>
          <w:jc w:val="center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11.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ზოგადი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სპეციფიკის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მეთვალყურეობა</w:t>
            </w: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120" w:rsidRPr="006D4C10" w:rsidRDefault="00382D87" w:rsidP="006D4C10">
            <w:pPr>
              <w:numPr>
                <w:ilvl w:val="0"/>
                <w:numId w:val="6"/>
              </w:numPr>
              <w:tabs>
                <w:tab w:val="left" w:pos="269"/>
              </w:tabs>
              <w:ind w:left="0" w:firstLine="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6"/>
              </w:numPr>
              <w:tabs>
                <w:tab w:val="left" w:pos="269"/>
              </w:tabs>
              <w:ind w:left="0" w:firstLine="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მანიპულაციებს</w:t>
            </w: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6"/>
              </w:numPr>
              <w:tabs>
                <w:tab w:val="left" w:pos="269"/>
              </w:tabs>
              <w:ind w:left="0" w:firstLine="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382D87" w:rsidP="006D4C10">
            <w:pPr>
              <w:numPr>
                <w:ilvl w:val="0"/>
                <w:numId w:val="6"/>
              </w:numPr>
              <w:tabs>
                <w:tab w:val="left" w:pos="269"/>
              </w:tabs>
              <w:ind w:left="0" w:firstLine="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1A4120" w:rsidRPr="006D4C10" w:rsidRDefault="001A4120" w:rsidP="006D4C10">
            <w:pPr>
              <w:tabs>
                <w:tab w:val="left" w:pos="269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382D87" w:rsidP="006D4C10">
            <w:pPr>
              <w:tabs>
                <w:tab w:val="left" w:pos="269"/>
              </w:tabs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</w:tc>
        <w:tc>
          <w:tcPr>
            <w:tcW w:w="4573" w:type="dxa"/>
            <w:vMerge/>
          </w:tcPr>
          <w:p w:rsidR="001A4120" w:rsidRPr="006D4C10" w:rsidRDefault="001A4120" w:rsidP="006D4C10">
            <w:pPr>
              <w:widowControl w:val="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089" w:type="dxa"/>
            <w:vMerge/>
            <w:vAlign w:val="center"/>
          </w:tcPr>
          <w:p w:rsidR="001A4120" w:rsidRPr="006D4C10" w:rsidRDefault="001A4120" w:rsidP="006D4C10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:rsidR="001A4120" w:rsidRPr="006D4C10" w:rsidRDefault="001A4120" w:rsidP="006D4C10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6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4890"/>
        <w:gridCol w:w="4605"/>
        <w:gridCol w:w="2040"/>
      </w:tblGrid>
      <w:tr w:rsidR="001A4120" w:rsidRPr="006D4C10">
        <w:trPr>
          <w:trHeight w:val="780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120" w:rsidRPr="006D4C10" w:rsidRDefault="00382D87" w:rsidP="006D4C10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12.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მართავს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ხანდაზმულ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ასაკობრივ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120" w:rsidRPr="006D4C10" w:rsidRDefault="00382D87" w:rsidP="006D4C10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მართვას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ხანდაზმული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ნერვოლოგიურ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გრძნობათა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ორგანოებთან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კარდიოვასკულარულ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გასტროენტერალურ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შარდ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სასქესო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ძვალსახსროვან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კანთან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იმუნურ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ენდოკრინულ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სისტემასა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კოგნიტურ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ცვლილებასთან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1"/>
              </w:numPr>
              <w:tabs>
                <w:tab w:val="left" w:pos="269"/>
              </w:tabs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382D87" w:rsidP="006D4C10">
            <w:pPr>
              <w:numPr>
                <w:ilvl w:val="0"/>
                <w:numId w:val="11"/>
              </w:numPr>
              <w:tabs>
                <w:tab w:val="left" w:pos="269"/>
              </w:tabs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ნევროლოგიური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ფიქრი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ყურადღბის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გაფანტვა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იზორიენტაცია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ხანმოკლე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მოტორული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ძილის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ემოციური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გარემოს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იგულისხმება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საცხოვრებლის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შეცვლა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რეჰოსპიტალიზაცია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დისბალანსი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ოქსიგენაციის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გრძნობათა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ორგანოები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ახლო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შორს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ველის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გლაუკომასთან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რისკები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საცმრემლე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ჯირკვლის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სეკრეციის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სმენის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გემოვნების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ყნოსვის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შეხების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კარდიო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ვასკულარული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სისხლძარღვოვანი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გულს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კუნთის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სარქველის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კომპენსატორული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რესპირატორული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ტრაქტი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ფილტვების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ელასტიურობა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სასუნთქი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მოცულობის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ფილტვის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არასრული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გაშლა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ფილტვების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არასრული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გაშლა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ფუძის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მიდამოში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უცხ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სხეულის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ამოღების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სეკრეციის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არაეფექტური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ხველა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;PO2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დონის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10-15%-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ით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ობსტრუქციული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ფილტვების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ხანდაზმულ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გასტროინტესტინალური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კბილების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პირის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ღრუს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არასათანადო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ჰიგიენა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ნერწყვის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ნერწყვში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ფტიალინის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საყლაპავ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მილთან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ასპირაციის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რისკები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კუჭის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ფერმენტების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მსხვილი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წვრილი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ნაწლავის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ატროფია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შარდ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ქესო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სისტემასთან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თირკმლის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პროდუქციის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რეარფსორფსიის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გაომყოფის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პრობლემები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მამაკაცის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სასქესო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ისტემის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ტესტოსტერონის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სპერმისდაქვეითება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ქალის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სასქესო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ორგანოების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ესტროგენის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სარძევე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ჯირკვლების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ვაგინიტის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სიხშირის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მომატება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ძვალ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სასხსროვანი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კუნთოვანი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ტრემორი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ფასციკულაციები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ძვლოვანი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ხრტილოვანი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გაძვალება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ოსტეოპოროზი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კანთან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ელასტიურობა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ტურგორი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სუფკუტანური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იმუნური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დეპრესია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იმუნურ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სისტემასთან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ბ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უნებრივი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ანტისხეულების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აუტო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იმუნური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პროგრესია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ენდოკრინული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სისტემასთან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ჰიპოფიზის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ჯირკვალთან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ფარისებრ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ჯირკვალთან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პანკრეასთან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საკ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ვერცხეებთან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მენოპაუზა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).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კოგნიტური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მეხსიერებასთან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მოკლე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3"/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6D4C10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6D4C10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კვლევ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ჩარ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1A4120" w:rsidRPr="006D4C10" w:rsidRDefault="00382D87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ბარათ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1A4120" w:rsidRPr="006D4C10" w:rsidRDefault="001A4120" w:rsidP="006D4C10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1A4120" w:rsidRPr="006D4C10" w:rsidRDefault="001A4120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1A4120" w:rsidP="006D4C10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120" w:rsidRPr="006D4C10" w:rsidRDefault="001A4120" w:rsidP="006D4C10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:rsidR="001A4120" w:rsidRPr="006D4C10" w:rsidRDefault="001A4120" w:rsidP="006D4C10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A4120" w:rsidRPr="006D4C10" w:rsidRDefault="001A4120" w:rsidP="006D4C10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A4120" w:rsidRPr="006D4C10" w:rsidRDefault="00382D87" w:rsidP="006D4C10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3.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1A4120" w:rsidRPr="006D4C10" w:rsidRDefault="00382D87" w:rsidP="006D4C10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1A4120" w:rsidRPr="006D4C10" w:rsidRDefault="001A4120" w:rsidP="006D4C10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2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"/>
        <w:gridCol w:w="5562"/>
        <w:gridCol w:w="2341"/>
        <w:gridCol w:w="3148"/>
        <w:gridCol w:w="2614"/>
      </w:tblGrid>
      <w:tr w:rsidR="001A4120" w:rsidRPr="006D4C10">
        <w:trPr>
          <w:trHeight w:val="600"/>
        </w:trPr>
        <w:tc>
          <w:tcPr>
            <w:tcW w:w="1003" w:type="dxa"/>
            <w:vAlign w:val="center"/>
          </w:tcPr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სწავლის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5562" w:type="dxa"/>
            <w:vAlign w:val="center"/>
          </w:tcPr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341" w:type="dxa"/>
            <w:vAlign w:val="center"/>
          </w:tcPr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3148" w:type="dxa"/>
          </w:tcPr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14" w:type="dxa"/>
          </w:tcPr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1A4120" w:rsidRPr="006D4C10" w:rsidRDefault="00382D87" w:rsidP="006D4C10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1A4120" w:rsidRPr="006D4C10">
        <w:trPr>
          <w:trHeight w:val="6380"/>
        </w:trPr>
        <w:tc>
          <w:tcPr>
            <w:tcW w:w="1003" w:type="dxa"/>
            <w:vMerge w:val="restart"/>
          </w:tcPr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</w:rPr>
              <w:t>2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</w:rPr>
              <w:t>3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</w:rPr>
              <w:t>5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</w:rPr>
              <w:t>6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7.</w:t>
            </w:r>
          </w:p>
          <w:p w:rsidR="001A4120" w:rsidRPr="006D4C10" w:rsidRDefault="00382D87" w:rsidP="006D4C10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8. </w:t>
            </w:r>
          </w:p>
          <w:p w:rsidR="001A4120" w:rsidRPr="006D4C10" w:rsidRDefault="00382D87" w:rsidP="006D4C10">
            <w:pPr>
              <w:ind w:left="10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</w:rPr>
              <w:t>9.</w:t>
            </w: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382D87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</w:rPr>
              <w:t>10.</w:t>
            </w:r>
          </w:p>
          <w:p w:rsidR="001A4120" w:rsidRPr="006D4C10" w:rsidRDefault="00382D87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</w:rPr>
              <w:t>11.</w:t>
            </w: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382D87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</w:rPr>
              <w:t>12.</w:t>
            </w:r>
          </w:p>
        </w:tc>
        <w:tc>
          <w:tcPr>
            <w:tcW w:w="5562" w:type="dxa"/>
            <w:vMerge w:val="restart"/>
            <w:shd w:val="clear" w:color="auto" w:fill="auto"/>
          </w:tcPr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პროცესი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6D4C10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აზღვრა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6D4C10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მიერთება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არაინვაზიური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გაზომვა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მანუალური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მეთოდით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ელექტროკარდიოგრამის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გადაღება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პუნქცია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საანალიზე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აღება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სინჯარაში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განთავსება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დონის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მდგომარეობაზე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ფერი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სინოტივე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კაპილარული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ავსებადობის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დრო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შეშუპების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დონის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აქტივობის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დონის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შესრულებაში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მოყვანა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ექიმთა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ერთად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მედიკამენტოზური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სქემის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სუნთქვითი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ვარჯიშები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ვიბრაციულ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პერკუსიული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მასაჟი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ბალანსის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დათვლა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ცნობიერების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დონის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ინტრავენური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ბოლუსი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ინფუზიური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ტიტრაცია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6.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1A4120" w:rsidRPr="006D4C10" w:rsidRDefault="00382D87" w:rsidP="006D4C10">
            <w:pPr>
              <w:numPr>
                <w:ilvl w:val="0"/>
                <w:numId w:val="1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6D4C10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ნევროლოგიური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ფიქრი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ყურადღბის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გაფანტვა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დიზორიენტაცია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ხანმოკლე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მოტორული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ძილის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ემო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ციური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იგულისხმება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საცხოვრებლის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შეცვლა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რეჰოსპიტალიზაცია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დისბალანსი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ოქსიგენაციის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გრძნობათა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ორგანოები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ახლო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შორს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ველის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გლაუკომასთან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რისკები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საცმრემლე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ჯირკვლის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სეკრეციის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სმენის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გემოვნების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ყნოსვის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შეხების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კარდიო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ვასკულარული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ოვანი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გულს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კუნთის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სარქველის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კომპენსატორული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რესპირატორული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ტრაქტი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ფილტვების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ელასტიურობა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სასუნთქი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მოცულობის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ფილტვის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არასრული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გაშლა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ფილტვების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არასრ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გაშლა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ფუძის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მიდამოში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უცხო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სხეულის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ამოღების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სეკრეციის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არაეფექტური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ხველა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;PO2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დონის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10-15%-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ით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ობსტრუქციული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ფილტვების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ხანდაზმულ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გასტროინტესტინალური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კბილების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პირის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ღრუს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არასათანადო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ჰიგიენა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ნერწყვის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ნერწყვში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ფტიალინის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საყლაპავ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მილთან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ასპირაციის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რისკები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კუჭის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ფერმენტების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მსხვილი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წვრილი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ნაწლავის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ატროფია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შარდ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სასქესო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სისტემასთან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თირკმლის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პროდუქციის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რეარფსორფსიის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გაომყოფის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პრობლემები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მამაკაცის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ასქესო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ტესტოსტერონის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სპერმისდაქვეითება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ქალის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სასქესო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ორგანოების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ცვლილება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ესტროგენის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სარძევე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ჯირკვლების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ვაგინიტის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სიხშირის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მომატება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ძვალ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სასხსროვანი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კუნთოვ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ტრემორი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ფასციკულაციები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ძვლოვანი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ხრტილოვანი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გაძვალება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ოსტეოპოროზი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კანთან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ელასტიურობა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ტურგორი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სუფკუტანური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იმუნური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დეპრესია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იმუნურ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სისტემასთან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ებები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ბუნებრივი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ანტისხეულების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აუტო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იმუნური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პროგრესია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ენდოკრინული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სისტემასთან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ჰიპოფიზის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ჯირკვალთან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ფარისებრ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ჯირკვალთან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პანკრეასთან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საკვერცხეებთან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მენოპაუზა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).</w:t>
            </w:r>
          </w:p>
          <w:p w:rsidR="001A4120" w:rsidRPr="006D4C10" w:rsidRDefault="00382D87" w:rsidP="006D4C10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კოგნიტური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მეხსიერებასთან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მოკლე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1A4120" w:rsidP="006D4C10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341" w:type="dxa"/>
            <w:vMerge w:val="restart"/>
            <w:vAlign w:val="center"/>
          </w:tcPr>
          <w:p w:rsidR="001A4120" w:rsidRPr="006D4C10" w:rsidRDefault="00382D87" w:rsidP="006D4C10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1A4120" w:rsidRPr="006D4C10" w:rsidRDefault="001A4120" w:rsidP="006D4C10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3148" w:type="dxa"/>
            <w:vMerge w:val="restart"/>
          </w:tcPr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ვალება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A4120" w:rsidRPr="006D4C10" w:rsidRDefault="001A4120" w:rsidP="006D4C10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614" w:type="dxa"/>
            <w:vMerge w:val="restart"/>
          </w:tcPr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>შესრულების</w:t>
            </w:r>
            <w:r w:rsidRPr="006D4C10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>მტკიცებულება</w:t>
            </w:r>
          </w:p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პროფესიული</w:t>
            </w:r>
            <w:r w:rsidRPr="006D4C10">
              <w:rPr>
                <w:rFonts w:ascii="Sylfaen" w:eastAsia="Arial Unicode MS" w:hAnsi="Sylfaen" w:cs="Arial Unicode MS"/>
                <w:i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მასწავლებლის</w:t>
            </w:r>
            <w:r w:rsidRPr="006D4C10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/</w:t>
            </w:r>
            <w:r w:rsidRPr="006D4C10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დაწესებულების</w:t>
            </w:r>
            <w:r w:rsidRPr="006D4C10">
              <w:rPr>
                <w:rFonts w:ascii="Sylfaen" w:eastAsia="Arial Unicode MS" w:hAnsi="Sylfaen" w:cs="Arial Unicode MS"/>
                <w:i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წარმომადგენლის</w:t>
            </w:r>
            <w:r w:rsidRPr="006D4C10">
              <w:rPr>
                <w:rFonts w:ascii="Sylfaen" w:eastAsia="Arial Unicode MS" w:hAnsi="Sylfaen" w:cs="Arial Unicode MS"/>
                <w:i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მიერ</w:t>
            </w:r>
            <w:r w:rsidRPr="006D4C10">
              <w:rPr>
                <w:rFonts w:ascii="Sylfaen" w:eastAsia="Arial Unicode MS" w:hAnsi="Sylfaen" w:cs="Arial Unicode MS"/>
                <w:i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წერილობითი</w:t>
            </w:r>
            <w:r w:rsidRPr="006D4C10">
              <w:rPr>
                <w:rFonts w:ascii="Sylfaen" w:eastAsia="Arial Unicode MS" w:hAnsi="Sylfaen" w:cs="Arial Unicode MS"/>
                <w:i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ჩანაწერი</w:t>
            </w:r>
            <w:r w:rsidRPr="006D4C10">
              <w:rPr>
                <w:rFonts w:ascii="Sylfaen" w:eastAsia="Arial Unicode MS" w:hAnsi="Sylfaen" w:cs="Arial Unicode MS"/>
                <w:i/>
                <w:sz w:val="20"/>
                <w:szCs w:val="20"/>
              </w:rPr>
              <w:t xml:space="preserve"> </w:t>
            </w:r>
          </w:p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1A4120" w:rsidRPr="006D4C10" w:rsidRDefault="001A4120" w:rsidP="006D4C10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</w:tr>
      <w:tr w:rsidR="001A4120" w:rsidRPr="006D4C10">
        <w:trPr>
          <w:trHeight w:val="1500"/>
        </w:trPr>
        <w:tc>
          <w:tcPr>
            <w:tcW w:w="1003" w:type="dxa"/>
            <w:vMerge/>
          </w:tcPr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562" w:type="dxa"/>
            <w:vMerge/>
            <w:shd w:val="clear" w:color="auto" w:fill="auto"/>
          </w:tcPr>
          <w:p w:rsidR="001A4120" w:rsidRPr="006D4C10" w:rsidRDefault="001A4120" w:rsidP="006D4C10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341" w:type="dxa"/>
            <w:vMerge/>
            <w:vAlign w:val="center"/>
          </w:tcPr>
          <w:p w:rsidR="001A4120" w:rsidRPr="006D4C10" w:rsidRDefault="001A4120" w:rsidP="006D4C10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</w:tcPr>
          <w:p w:rsidR="001A4120" w:rsidRPr="006D4C10" w:rsidRDefault="001A4120" w:rsidP="006D4C10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614" w:type="dxa"/>
            <w:vMerge/>
          </w:tcPr>
          <w:p w:rsidR="001A4120" w:rsidRPr="006D4C10" w:rsidRDefault="001A4120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1A4120" w:rsidRPr="006D4C10" w:rsidRDefault="001A4120" w:rsidP="006D4C10">
            <w:pPr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1A4120" w:rsidRPr="006D4C10">
        <w:trPr>
          <w:trHeight w:val="620"/>
        </w:trPr>
        <w:tc>
          <w:tcPr>
            <w:tcW w:w="14668" w:type="dxa"/>
            <w:gridSpan w:val="5"/>
          </w:tcPr>
          <w:p w:rsidR="001A4120" w:rsidRPr="006D4C10" w:rsidRDefault="00382D87" w:rsidP="006D4C10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მოდულის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1A4120" w:rsidRPr="006D4C10" w:rsidRDefault="00382D87" w:rsidP="006D4C10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  <w:p w:rsidR="001A4120" w:rsidRPr="006D4C10" w:rsidRDefault="001A4120" w:rsidP="006D4C10">
            <w:pPr>
              <w:spacing w:before="120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:rsidR="001A4120" w:rsidRPr="006D4C10" w:rsidRDefault="001A4120" w:rsidP="006D4C10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0" w:name="_GoBack"/>
      <w:bookmarkEnd w:id="0"/>
    </w:p>
    <w:p w:rsidR="001A4120" w:rsidRPr="006D4C10" w:rsidRDefault="00382D87" w:rsidP="006D4C10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3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1A4120" w:rsidRPr="006D4C10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1A4120" w:rsidRPr="006D4C10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1A4120" w:rsidRPr="006D4C10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A4120" w:rsidRPr="006D4C10" w:rsidRDefault="001A4120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1A4120" w:rsidRPr="006D4C10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120" w:rsidRPr="006D4C10" w:rsidRDefault="001A4120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</w:tr>
      <w:tr w:rsidR="001A4120" w:rsidRPr="006D4C10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</w:tr>
      <w:tr w:rsidR="001A4120" w:rsidRPr="006D4C10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</w:tr>
      <w:tr w:rsidR="001A4120" w:rsidRPr="006D4C10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</w:tr>
      <w:tr w:rsidR="001A4120" w:rsidRPr="006D4C10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</w:tr>
      <w:tr w:rsidR="001A4120" w:rsidRPr="006D4C10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</w:tr>
      <w:tr w:rsidR="001A4120" w:rsidRPr="006D4C10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21</w:t>
            </w:r>
          </w:p>
        </w:tc>
      </w:tr>
      <w:tr w:rsidR="001A4120" w:rsidRPr="006D4C10">
        <w:tc>
          <w:tcPr>
            <w:tcW w:w="29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17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21</w:t>
            </w:r>
          </w:p>
        </w:tc>
      </w:tr>
      <w:tr w:rsidR="001A4120" w:rsidRPr="006D4C10">
        <w:trPr>
          <w:trHeight w:val="80"/>
        </w:trPr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1A4120" w:rsidRPr="006D4C10">
        <w:tc>
          <w:tcPr>
            <w:tcW w:w="29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17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21</w:t>
            </w:r>
          </w:p>
        </w:tc>
      </w:tr>
      <w:tr w:rsidR="001A4120" w:rsidRPr="006D4C10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1A4120" w:rsidRPr="006D4C10">
        <w:trPr>
          <w:trHeight w:val="660"/>
        </w:trPr>
        <w:tc>
          <w:tcPr>
            <w:tcW w:w="29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10</w:t>
            </w:r>
          </w:p>
          <w:p w:rsidR="001A4120" w:rsidRPr="006D4C10" w:rsidRDefault="001A4120" w:rsidP="006D4C10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21</w:t>
            </w:r>
          </w:p>
        </w:tc>
      </w:tr>
      <w:tr w:rsidR="001A4120" w:rsidRPr="006D4C10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17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1A4120" w:rsidP="006D4C10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21</w:t>
            </w:r>
          </w:p>
        </w:tc>
      </w:tr>
      <w:tr w:rsidR="001A4120" w:rsidRPr="006D4C10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</w:rPr>
              <w:t>176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</w:rPr>
              <w:t>44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120" w:rsidRPr="006D4C10" w:rsidRDefault="00382D87" w:rsidP="006D4C10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b/>
                <w:sz w:val="20"/>
                <w:szCs w:val="20"/>
              </w:rPr>
              <w:t>225</w:t>
            </w:r>
          </w:p>
        </w:tc>
      </w:tr>
    </w:tbl>
    <w:p w:rsidR="001A4120" w:rsidRPr="006D4C10" w:rsidRDefault="00382D87" w:rsidP="006D4C10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6D4C10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3.3.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1A4120" w:rsidRPr="006D4C10" w:rsidRDefault="00382D87" w:rsidP="006D4C10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6D4C10">
        <w:rPr>
          <w:rFonts w:ascii="Sylfaen" w:eastAsia="Merriweather" w:hAnsi="Sylfaen" w:cs="Merriweather"/>
          <w:sz w:val="20"/>
          <w:szCs w:val="20"/>
        </w:rPr>
        <w:t>1. Therapeutic Nursing: Improving Patient Care through Self-Awareness and Reflection, Freshwater, Dawn</w:t>
      </w:r>
    </w:p>
    <w:p w:rsidR="001A4120" w:rsidRPr="006D4C10" w:rsidRDefault="00382D87" w:rsidP="006D4C10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1A4120" w:rsidRPr="006D4C10" w:rsidRDefault="00382D87" w:rsidP="006D4C10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6D4C10">
        <w:rPr>
          <w:rFonts w:ascii="Sylfaen" w:eastAsia="Arial Unicode MS" w:hAnsi="Sylfaen" w:cs="Arial Unicode MS"/>
          <w:sz w:val="20"/>
          <w:szCs w:val="20"/>
        </w:rPr>
        <w:t>საჭ</w:t>
      </w:r>
      <w:r w:rsidRPr="006D4C10">
        <w:rPr>
          <w:rFonts w:ascii="Sylfaen" w:eastAsia="Arial Unicode MS" w:hAnsi="Sylfaen" w:cs="Arial Unicode MS"/>
          <w:sz w:val="20"/>
          <w:szCs w:val="20"/>
        </w:rPr>
        <w:t>იროების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6D4C10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მიერ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6D4C10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6D4C10">
        <w:rPr>
          <w:rFonts w:ascii="Sylfaen" w:eastAsia="Arial Unicode MS" w:hAnsi="Sylfaen" w:cs="Arial Unicode MS"/>
          <w:sz w:val="20"/>
          <w:szCs w:val="20"/>
        </w:rPr>
        <w:t>/</w:t>
      </w:r>
      <w:r w:rsidRPr="006D4C10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და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მის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მოდიფიკაცია</w:t>
      </w:r>
      <w:r w:rsidRPr="006D4C10">
        <w:rPr>
          <w:rFonts w:ascii="Sylfaen" w:eastAsia="Arial Unicode MS" w:hAnsi="Sylfaen" w:cs="Arial Unicode MS"/>
          <w:sz w:val="20"/>
          <w:szCs w:val="20"/>
        </w:rPr>
        <w:t>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6D4C10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ან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6D4C10">
        <w:rPr>
          <w:rFonts w:ascii="Sylfaen" w:eastAsia="Arial Unicode MS" w:hAnsi="Sylfaen" w:cs="Arial Unicode MS"/>
          <w:sz w:val="20"/>
          <w:szCs w:val="20"/>
        </w:rPr>
        <w:t>და</w:t>
      </w:r>
      <w:r w:rsidRPr="006D4C10">
        <w:rPr>
          <w:rFonts w:ascii="Sylfaen" w:eastAsia="Arial Unicode MS" w:hAnsi="Sylfaen" w:cs="Arial Unicode MS"/>
          <w:sz w:val="20"/>
          <w:szCs w:val="20"/>
        </w:rPr>
        <w:t>/</w:t>
      </w:r>
      <w:r w:rsidRPr="006D4C10">
        <w:rPr>
          <w:rFonts w:ascii="Sylfaen" w:eastAsia="Arial Unicode MS" w:hAnsi="Sylfaen" w:cs="Arial Unicode MS"/>
          <w:sz w:val="20"/>
          <w:szCs w:val="20"/>
        </w:rPr>
        <w:t>ან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6D4C10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და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6D4C10">
        <w:rPr>
          <w:rFonts w:ascii="Sylfaen" w:eastAsia="Arial Unicode MS" w:hAnsi="Sylfaen" w:cs="Arial Unicode MS"/>
          <w:sz w:val="20"/>
          <w:szCs w:val="20"/>
        </w:rPr>
        <w:t>და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6D4C10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6D4C10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6D4C10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პროფესიუ</w:t>
      </w:r>
      <w:r w:rsidRPr="006D4C10">
        <w:rPr>
          <w:rFonts w:ascii="Sylfaen" w:eastAsia="Arial Unicode MS" w:hAnsi="Sylfaen" w:cs="Arial Unicode MS"/>
          <w:sz w:val="20"/>
          <w:szCs w:val="20"/>
        </w:rPr>
        <w:t>ლი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6D4C10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1A4120" w:rsidRPr="006D4C10" w:rsidRDefault="001A4120" w:rsidP="006D4C10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1A4120" w:rsidRPr="006D4C10" w:rsidRDefault="00382D87" w:rsidP="006D4C10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6D4C10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6D4C10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6D4C10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მქონ</w:t>
      </w:r>
      <w:r w:rsidRPr="006D4C10">
        <w:rPr>
          <w:rFonts w:ascii="Sylfaen" w:eastAsia="Arial Unicode MS" w:hAnsi="Sylfaen" w:cs="Arial Unicode MS"/>
          <w:sz w:val="20"/>
          <w:szCs w:val="20"/>
        </w:rPr>
        <w:t>ე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6D4C10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6D4C10">
        <w:rPr>
          <w:rFonts w:ascii="Sylfaen" w:eastAsia="Arial Unicode MS" w:hAnsi="Sylfaen" w:cs="Arial Unicode MS"/>
          <w:sz w:val="20"/>
          <w:szCs w:val="20"/>
        </w:rPr>
        <w:t>ხოლო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და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6D4C10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6D4C10">
        <w:rPr>
          <w:rFonts w:ascii="Sylfaen" w:eastAsia="Arial Unicode MS" w:hAnsi="Sylfaen" w:cs="Arial Unicode MS"/>
          <w:sz w:val="20"/>
          <w:szCs w:val="20"/>
        </w:rPr>
        <w:t>/</w:t>
      </w:r>
      <w:r w:rsidRPr="006D4C10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6D4C10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6D4C10">
        <w:rPr>
          <w:rFonts w:ascii="Sylfaen" w:eastAsia="Arial Unicode MS" w:hAnsi="Sylfaen" w:cs="Arial Unicode MS"/>
          <w:sz w:val="20"/>
          <w:szCs w:val="20"/>
        </w:rPr>
        <w:t>.</w:t>
      </w:r>
    </w:p>
    <w:p w:rsidR="001A4120" w:rsidRPr="006D4C10" w:rsidRDefault="00382D87" w:rsidP="006D4C10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jdgxs" w:colFirst="0" w:colLast="0"/>
      <w:bookmarkEnd w:id="1"/>
      <w:r w:rsidRPr="006D4C10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პირებ</w:t>
      </w:r>
      <w:r w:rsidRPr="006D4C10">
        <w:rPr>
          <w:rFonts w:ascii="Sylfaen" w:eastAsia="Arial Unicode MS" w:hAnsi="Sylfaen" w:cs="Arial Unicode MS"/>
          <w:b/>
          <w:sz w:val="20"/>
          <w:szCs w:val="20"/>
        </w:rPr>
        <w:t>ი</w:t>
      </w:r>
    </w:p>
    <w:tbl>
      <w:tblPr>
        <w:tblStyle w:val="a4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1A4120" w:rsidRPr="006D4C10">
        <w:tc>
          <w:tcPr>
            <w:tcW w:w="520" w:type="dxa"/>
            <w:shd w:val="clear" w:color="auto" w:fill="auto"/>
          </w:tcPr>
          <w:p w:rsidR="001A4120" w:rsidRPr="006D4C10" w:rsidRDefault="00382D87" w:rsidP="006D4C10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120" w:rsidRPr="006D4C10" w:rsidRDefault="00382D87" w:rsidP="006D4C10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120" w:rsidRPr="006D4C10" w:rsidRDefault="00382D87" w:rsidP="006D4C10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1A4120" w:rsidRPr="006D4C10">
        <w:tc>
          <w:tcPr>
            <w:tcW w:w="520" w:type="dxa"/>
            <w:shd w:val="clear" w:color="auto" w:fill="auto"/>
          </w:tcPr>
          <w:p w:rsidR="001A4120" w:rsidRPr="006D4C10" w:rsidRDefault="00382D87" w:rsidP="006D4C10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1A4120" w:rsidRPr="006D4C10" w:rsidRDefault="00382D87" w:rsidP="006D4C10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120" w:rsidRPr="006D4C10" w:rsidRDefault="00382D87" w:rsidP="006D4C10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 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კორპორაცია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ევექსი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  <w:tr w:rsidR="001A4120" w:rsidRPr="006D4C10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120" w:rsidRPr="006D4C10" w:rsidRDefault="00382D87" w:rsidP="006D4C10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120" w:rsidRPr="006D4C10" w:rsidRDefault="00382D87" w:rsidP="006D4C10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D4C10">
              <w:rPr>
                <w:rFonts w:ascii="Sylfaen" w:hAnsi="Sylfaen"/>
                <w:sz w:val="20"/>
                <w:szCs w:val="20"/>
              </w:rPr>
              <w:t>ნინო</w:t>
            </w:r>
            <w:r w:rsidRPr="006D4C1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D4C10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120" w:rsidRPr="006D4C10" w:rsidRDefault="00382D87" w:rsidP="006D4C10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შპს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“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დავით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ტვილდიანის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სახელობის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უნივერსიტეტის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კოლეჯი</w:t>
            </w:r>
            <w:r w:rsidRPr="006D4C10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</w:tbl>
    <w:p w:rsidR="001A4120" w:rsidRPr="006D4C10" w:rsidRDefault="001A4120" w:rsidP="006D4C10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1A4120" w:rsidRPr="006D4C10" w:rsidRDefault="001A4120" w:rsidP="006D4C10">
      <w:pPr>
        <w:spacing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sectPr w:rsidR="001A4120" w:rsidRPr="006D4C10">
      <w:headerReference w:type="default" r:id="rId7"/>
      <w:footerReference w:type="default" r:id="rId8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D87" w:rsidRDefault="00382D87">
      <w:pPr>
        <w:spacing w:after="0" w:line="240" w:lineRule="auto"/>
      </w:pPr>
      <w:r>
        <w:separator/>
      </w:r>
    </w:p>
  </w:endnote>
  <w:endnote w:type="continuationSeparator" w:id="0">
    <w:p w:rsidR="00382D87" w:rsidRDefault="0038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rriweather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120" w:rsidRDefault="00382D87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6D4C10">
      <w:fldChar w:fldCharType="separate"/>
    </w:r>
    <w:r w:rsidR="006D4C10">
      <w:rPr>
        <w:noProof/>
      </w:rPr>
      <w:t>17</w:t>
    </w:r>
    <w:r>
      <w:fldChar w:fldCharType="end"/>
    </w:r>
  </w:p>
  <w:p w:rsidR="001A4120" w:rsidRDefault="001A4120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D87" w:rsidRDefault="00382D87">
      <w:pPr>
        <w:spacing w:after="0" w:line="240" w:lineRule="auto"/>
      </w:pPr>
      <w:r>
        <w:separator/>
      </w:r>
    </w:p>
  </w:footnote>
  <w:footnote w:type="continuationSeparator" w:id="0">
    <w:p w:rsidR="00382D87" w:rsidRDefault="00382D87">
      <w:pPr>
        <w:spacing w:after="0" w:line="240" w:lineRule="auto"/>
      </w:pPr>
      <w:r>
        <w:continuationSeparator/>
      </w:r>
    </w:p>
  </w:footnote>
  <w:footnote w:id="1">
    <w:p w:rsidR="001A4120" w:rsidRDefault="00382D87">
      <w:pPr>
        <w:spacing w:after="0" w:line="240" w:lineRule="auto"/>
        <w:jc w:val="both"/>
        <w:rPr>
          <w:rFonts w:ascii="Merriweather" w:eastAsia="Merriweather" w:hAnsi="Merriweather" w:cs="Merriweather"/>
          <w:b/>
          <w:sz w:val="20"/>
          <w:szCs w:val="20"/>
        </w:rPr>
      </w:pPr>
      <w:r>
        <w:rPr>
          <w:vertAlign w:val="superscript"/>
        </w:rPr>
        <w:footnoteRef/>
      </w:r>
      <w:r>
        <w:rPr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საექთნო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  <w:p w:rsidR="001A4120" w:rsidRDefault="001A4120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:rsidR="001A4120" w:rsidRDefault="001A4120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</w:p>
  </w:footnote>
  <w:footnote w:id="2">
    <w:p w:rsidR="001A4120" w:rsidRDefault="00382D87">
      <w:pPr>
        <w:spacing w:after="0" w:line="240" w:lineRule="auto"/>
        <w:jc w:val="both"/>
        <w:rPr>
          <w:rFonts w:ascii="Merriweather" w:eastAsia="Merriweather" w:hAnsi="Merriweather" w:cs="Merriweather"/>
          <w:b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საექთნო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მანიპულაციის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  <w:p w:rsidR="001A4120" w:rsidRDefault="001A4120">
      <w:pPr>
        <w:spacing w:after="0" w:line="240" w:lineRule="auto"/>
        <w:jc w:val="both"/>
        <w:rPr>
          <w:rFonts w:ascii="Merriweather" w:eastAsia="Merriweather" w:hAnsi="Merriweather" w:cs="Merriweather"/>
          <w:sz w:val="20"/>
          <w:szCs w:val="20"/>
        </w:rPr>
      </w:pPr>
    </w:p>
  </w:footnote>
  <w:footnote w:id="3">
    <w:p w:rsidR="001A4120" w:rsidRDefault="00382D87">
      <w:pPr>
        <w:spacing w:after="0" w:line="240" w:lineRule="auto"/>
        <w:jc w:val="both"/>
        <w:rPr>
          <w:rFonts w:ascii="Merriweather" w:eastAsia="Merriweather" w:hAnsi="Merriweather" w:cs="Merriweather"/>
          <w:b/>
          <w:sz w:val="20"/>
          <w:szCs w:val="20"/>
        </w:rPr>
      </w:pPr>
      <w:r>
        <w:rPr>
          <w:vertAlign w:val="superscript"/>
        </w:rPr>
        <w:footnoteRef/>
      </w:r>
      <w:r>
        <w:rPr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საექთნო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  <w:p w:rsidR="001A4120" w:rsidRDefault="001A4120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:rsidR="001A4120" w:rsidRDefault="001A4120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120" w:rsidRDefault="001A4120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8F9"/>
    <w:multiLevelType w:val="multilevel"/>
    <w:tmpl w:val="6EEE348E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6A08"/>
    <w:multiLevelType w:val="multilevel"/>
    <w:tmpl w:val="2B56D50E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27CE4"/>
    <w:multiLevelType w:val="multilevel"/>
    <w:tmpl w:val="16AAC96C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3506AA"/>
    <w:multiLevelType w:val="multilevel"/>
    <w:tmpl w:val="89E48C0A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63517"/>
    <w:multiLevelType w:val="multilevel"/>
    <w:tmpl w:val="F74A6BF4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A7B77"/>
    <w:multiLevelType w:val="multilevel"/>
    <w:tmpl w:val="AED6EF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93C7C"/>
    <w:multiLevelType w:val="multilevel"/>
    <w:tmpl w:val="5C8487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995B24"/>
    <w:multiLevelType w:val="multilevel"/>
    <w:tmpl w:val="6780F986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F2D3A"/>
    <w:multiLevelType w:val="multilevel"/>
    <w:tmpl w:val="684CC826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50571"/>
    <w:multiLevelType w:val="multilevel"/>
    <w:tmpl w:val="C194E89E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C5E3E"/>
    <w:multiLevelType w:val="multilevel"/>
    <w:tmpl w:val="69148260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66A7"/>
    <w:multiLevelType w:val="multilevel"/>
    <w:tmpl w:val="A5344972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62EAE"/>
    <w:multiLevelType w:val="multilevel"/>
    <w:tmpl w:val="024438C0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62BF9"/>
    <w:multiLevelType w:val="multilevel"/>
    <w:tmpl w:val="64383B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36B1E5C"/>
    <w:multiLevelType w:val="multilevel"/>
    <w:tmpl w:val="BFE2B9A6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10"/>
  </w:num>
  <w:num w:numId="7">
    <w:abstractNumId w:val="2"/>
  </w:num>
  <w:num w:numId="8">
    <w:abstractNumId w:val="12"/>
  </w:num>
  <w:num w:numId="9">
    <w:abstractNumId w:val="8"/>
  </w:num>
  <w:num w:numId="10">
    <w:abstractNumId w:val="3"/>
  </w:num>
  <w:num w:numId="11">
    <w:abstractNumId w:val="13"/>
  </w:num>
  <w:num w:numId="12">
    <w:abstractNumId w:val="6"/>
  </w:num>
  <w:num w:numId="13">
    <w:abstractNumId w:val="1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4120"/>
    <w:rsid w:val="001A4120"/>
    <w:rsid w:val="00382D87"/>
    <w:rsid w:val="006D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8A8B84-BA2A-40DF-A0DF-766A317E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3288</Words>
  <Characters>18747</Characters>
  <Application>Microsoft Office Word</Application>
  <DocSecurity>0</DocSecurity>
  <Lines>156</Lines>
  <Paragraphs>43</Paragraphs>
  <ScaleCrop>false</ScaleCrop>
  <Company/>
  <LinksUpToDate>false</LinksUpToDate>
  <CharactersWithSpaces>21992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Learning_Room</cp:lastModifiedBy>
  <cp:revision>2</cp:revision>
  <dcterms:created xsi:type="dcterms:W3CDTF">2017-12-04T08:47:00Z</dcterms:created>
  <dcterms:modified xsi:type="dcterms:W3CDTF">2017-12-04T08:48:00Z</dcterms:modified>
</cp:coreProperties>
</file>