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DC" w:rsidRPr="008A2A1B" w:rsidRDefault="00B367B3" w:rsidP="008A2A1B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FF14DC" w:rsidRPr="008A2A1B">
        <w:trPr>
          <w:trHeight w:val="440"/>
        </w:trPr>
        <w:tc>
          <w:tcPr>
            <w:tcW w:w="7357" w:type="dxa"/>
          </w:tcPr>
          <w:p w:rsidR="00FF14DC" w:rsidRPr="008A2A1B" w:rsidRDefault="00B367B3" w:rsidP="008A2A1B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14DC" w:rsidRPr="008A2A1B">
        <w:trPr>
          <w:trHeight w:val="420"/>
        </w:trPr>
        <w:tc>
          <w:tcPr>
            <w:tcW w:w="7357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7321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yellow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2 -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ფსიქიატრია</w:t>
            </w:r>
          </w:p>
        </w:tc>
      </w:tr>
      <w:tr w:rsidR="00FF14DC" w:rsidRPr="008A2A1B">
        <w:trPr>
          <w:trHeight w:val="420"/>
        </w:trPr>
        <w:tc>
          <w:tcPr>
            <w:tcW w:w="7357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FF14DC" w:rsidRPr="008A2A1B" w:rsidRDefault="00FF14DC" w:rsidP="008A2A1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F14DC" w:rsidRPr="008A2A1B">
        <w:trPr>
          <w:trHeight w:val="420"/>
        </w:trPr>
        <w:tc>
          <w:tcPr>
            <w:tcW w:w="7357" w:type="dxa"/>
          </w:tcPr>
          <w:p w:rsidR="00FF14DC" w:rsidRPr="008A2A1B" w:rsidRDefault="00B367B3" w:rsidP="008A2A1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FF14DC" w:rsidRPr="008A2A1B" w:rsidRDefault="00B367B3" w:rsidP="008A2A1B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FF14DC" w:rsidRPr="008A2A1B">
        <w:trPr>
          <w:trHeight w:val="420"/>
        </w:trPr>
        <w:tc>
          <w:tcPr>
            <w:tcW w:w="7357" w:type="dxa"/>
          </w:tcPr>
          <w:p w:rsidR="00FF14DC" w:rsidRPr="008A2A1B" w:rsidRDefault="00B367B3" w:rsidP="008A2A1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21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ფსიქიატრია</w:t>
            </w:r>
          </w:p>
        </w:tc>
      </w:tr>
      <w:tr w:rsidR="00FF14DC" w:rsidRPr="008A2A1B">
        <w:trPr>
          <w:trHeight w:val="1280"/>
        </w:trPr>
        <w:tc>
          <w:tcPr>
            <w:tcW w:w="7357" w:type="dxa"/>
          </w:tcPr>
          <w:p w:rsidR="00FF14DC" w:rsidRPr="008A2A1B" w:rsidRDefault="00B367B3" w:rsidP="008A2A1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სექსუალური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</w:p>
        </w:tc>
      </w:tr>
    </w:tbl>
    <w:p w:rsidR="00FF14DC" w:rsidRPr="008A2A1B" w:rsidRDefault="00FF14DC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Pr="008A2A1B" w:rsidRDefault="00FF14DC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Pr="008A2A1B" w:rsidRDefault="00FF14DC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Default="00FF14DC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Default="008A2A1B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Default="008A2A1B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Default="008A2A1B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Pr="008A2A1B" w:rsidRDefault="008A2A1B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Pr="008A2A1B" w:rsidRDefault="00B367B3" w:rsidP="008A2A1B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FF14DC" w:rsidRPr="008A2A1B" w:rsidRDefault="00FF14DC" w:rsidP="008A2A1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4799"/>
        <w:gridCol w:w="4796"/>
        <w:gridCol w:w="2156"/>
      </w:tblGrid>
      <w:tr w:rsidR="00FF14DC" w:rsidRPr="008A2A1B">
        <w:trPr>
          <w:trHeight w:val="1100"/>
          <w:jc w:val="center"/>
        </w:trPr>
        <w:tc>
          <w:tcPr>
            <w:tcW w:w="2917" w:type="dxa"/>
            <w:shd w:val="clear" w:color="auto" w:fill="DEEBF6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FF14DC" w:rsidRPr="008A2A1B" w:rsidRDefault="00FF14DC" w:rsidP="008A2A1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799" w:type="dxa"/>
            <w:shd w:val="clear" w:color="auto" w:fill="DEEBF6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796" w:type="dxa"/>
            <w:shd w:val="clear" w:color="auto" w:fill="DEEBF6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156" w:type="dxa"/>
            <w:shd w:val="clear" w:color="auto" w:fill="DEEBF6"/>
            <w:vAlign w:val="center"/>
          </w:tcPr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FF14DC" w:rsidRPr="008A2A1B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99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იდენტიფიცირებას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აგროვებს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ანამნეზს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მქონდე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Times New Roman" w:hAnsi="Sylfaen" w:cs="Times New Roman"/>
                <w:sz w:val="20"/>
                <w:szCs w:val="20"/>
              </w:rPr>
              <w:t xml:space="preserve">6.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.;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810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4796" w:type="dxa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ფსიქიატრიულ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1"/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შფოთვის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ნევრიულობის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დაძაბულ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განწყობა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გაღიზიანების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გაბრაზების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დაძაბუნება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სიბერის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მოხუცებისთვის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დამახასიათებელი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ქცევა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შიში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მანიაკალური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სუიციდი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სომატიზაცია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პოსტრტამვული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პიროვნული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ბულემია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ჩამორჩენილობა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ანამნეზი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სინდრომზე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6.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FF14DC" w:rsidRPr="008A2A1B" w:rsidRDefault="00B367B3" w:rsidP="008A2A1B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FF14DC" w:rsidRPr="008A2A1B" w:rsidRDefault="00FF14DC" w:rsidP="008A2A1B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FF14DC" w:rsidRPr="008A2A1B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</w:p>
        </w:tc>
        <w:tc>
          <w:tcPr>
            <w:tcW w:w="4799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ინტერაქციის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მოდელ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3.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ურთიერთობების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ფაზების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მსველობისას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Times New Roman" w:hAnsi="Sylfaen" w:cs="Times New Roman"/>
                <w:sz w:val="20"/>
                <w:szCs w:val="20"/>
              </w:rPr>
              <w:t xml:space="preserve">7.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ვსებს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8.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FF14DC" w:rsidRPr="008A2A1B" w:rsidRDefault="00B367B3" w:rsidP="008A2A1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ინტერაქციის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მოდელი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IPR-JOHARI WINDOW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ურთიერთობების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ფაზები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გაცნობის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4.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თერაპიის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მოქმედებები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არტ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რელაქსაციის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ცეკვა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მუსიკა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ოკუ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კოლმუნსიური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7.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4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FF14DC" w:rsidRPr="008A2A1B" w:rsidRDefault="00FF14DC" w:rsidP="008A2A1B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F14DC" w:rsidRPr="008A2A1B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3.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799" w:type="dxa"/>
            <w:shd w:val="clear" w:color="auto" w:fill="auto"/>
          </w:tcPr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2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ხასიათის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ცვლილებით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მიმდინარე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იდენტიდიცირებას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6.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FF14DC" w:rsidRPr="008A2A1B" w:rsidRDefault="00B367B3" w:rsidP="008A2A1B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3"/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მდგომარეობასთან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ხასიათის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ცვლილებით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მიმდინარე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იდენტიდი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ცირება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დისთამია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7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FF14DC" w:rsidRPr="008A2A1B" w:rsidRDefault="00FF14DC" w:rsidP="008A2A1B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F14DC" w:rsidRPr="008A2A1B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4.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  <w:tc>
          <w:tcPr>
            <w:tcW w:w="4799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ნევროზული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სტრესთან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იდენტიფიცირებას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Times New Roman" w:hAnsi="Sylfaen" w:cs="Times New Roman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6.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ნევროზული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სტრესთან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4"/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ობსესივ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კომპულსიურ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პოსტ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ტრამვული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პათო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2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FF14DC" w:rsidRPr="008A2A1B" w:rsidRDefault="00FF14DC" w:rsidP="008A2A1B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F14DC" w:rsidRPr="008A2A1B">
        <w:trPr>
          <w:trHeight w:val="1040"/>
          <w:jc w:val="center"/>
        </w:trPr>
        <w:tc>
          <w:tcPr>
            <w:tcW w:w="2917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5.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სექსუალური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4799" w:type="dxa"/>
            <w:shd w:val="clear" w:color="auto" w:fill="auto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მართვისას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გამოსაყენებელი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ადიქტოლოგიური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სექსუალური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კვებითი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4.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Times New Roman" w:hAnsi="Sylfaen" w:cs="Times New Roman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 xml:space="preserve">6.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4796" w:type="dxa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გამოსაყენებელი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საშუალებები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5"/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ფსიქოტროპული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ინტოქსიკაცია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დეზინტოქსიკაცია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5.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ნტაცია</w:t>
            </w: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6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56" w:type="dxa"/>
            <w:vMerge/>
            <w:vAlign w:val="center"/>
          </w:tcPr>
          <w:p w:rsidR="00FF14DC" w:rsidRPr="008A2A1B" w:rsidRDefault="00FF14DC" w:rsidP="008A2A1B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FF14DC" w:rsidRPr="008A2A1B" w:rsidRDefault="00B367B3" w:rsidP="008A2A1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FF14DC" w:rsidRPr="008A2A1B" w:rsidRDefault="00B367B3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FF14DC" w:rsidRPr="008A2A1B" w:rsidRDefault="00FF14DC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5550"/>
        <w:gridCol w:w="2040"/>
        <w:gridCol w:w="3015"/>
        <w:gridCol w:w="3063"/>
      </w:tblGrid>
      <w:tr w:rsidR="00FF14DC" w:rsidRPr="008A2A1B">
        <w:trPr>
          <w:trHeight w:val="600"/>
        </w:trPr>
        <w:tc>
          <w:tcPr>
            <w:tcW w:w="1002" w:type="dxa"/>
            <w:vAlign w:val="center"/>
          </w:tcPr>
          <w:p w:rsidR="00FF14DC" w:rsidRPr="008A2A1B" w:rsidRDefault="00B367B3" w:rsidP="008A2A1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550" w:type="dxa"/>
            <w:vAlign w:val="center"/>
          </w:tcPr>
          <w:p w:rsidR="00FF14DC" w:rsidRPr="008A2A1B" w:rsidRDefault="00B367B3" w:rsidP="008A2A1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040" w:type="dxa"/>
            <w:vAlign w:val="center"/>
          </w:tcPr>
          <w:p w:rsidR="00FF14DC" w:rsidRPr="008A2A1B" w:rsidRDefault="00B367B3" w:rsidP="008A2A1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015" w:type="dxa"/>
          </w:tcPr>
          <w:p w:rsidR="00FF14DC" w:rsidRPr="008A2A1B" w:rsidRDefault="00B367B3" w:rsidP="008A2A1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</w:p>
        </w:tc>
        <w:tc>
          <w:tcPr>
            <w:tcW w:w="3063" w:type="dxa"/>
          </w:tcPr>
          <w:p w:rsidR="00FF14DC" w:rsidRPr="008A2A1B" w:rsidRDefault="00B367B3" w:rsidP="008A2A1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FF14DC" w:rsidRPr="008A2A1B" w:rsidRDefault="00B367B3" w:rsidP="008A2A1B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FF14DC" w:rsidRPr="008A2A1B">
        <w:trPr>
          <w:trHeight w:val="420"/>
        </w:trPr>
        <w:tc>
          <w:tcPr>
            <w:tcW w:w="1002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ფსიქიატრიულ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შფოთვის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ნევრიულობის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დაძაბულობის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განწყობა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გაღიზიანების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გაბრაზების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დაძაბუნება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სიბერის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მოხუცებისთვის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ახასიათებელი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ქცევა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შიში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მეხსიერების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დემენცია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შიზოფრენია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მანიაკალური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სუიციდი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სომატიზაცია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პოსტრტამვული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პიროვნული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ანორექსია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ბულემია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გონებრივი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ჩამორჩენილობა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2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დაგეგმვა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პრიორიტ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015" w:type="dxa"/>
            <w:vMerge w:val="restart"/>
          </w:tcPr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numPr>
                <w:ilvl w:val="0"/>
                <w:numId w:val="8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.</w:t>
            </w: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 w:val="restart"/>
          </w:tcPr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FF14DC" w:rsidRPr="008A2A1B" w:rsidRDefault="00B367B3" w:rsidP="008A2A1B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FF14DC" w:rsidRPr="008A2A1B">
        <w:trPr>
          <w:trHeight w:val="440"/>
        </w:trPr>
        <w:tc>
          <w:tcPr>
            <w:tcW w:w="1002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FF14DC" w:rsidRPr="008A2A1B" w:rsidRDefault="00B367B3" w:rsidP="008A2A1B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მოდელი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: IPR-JOHARI WINDOW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გაცნობის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სამუშაო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არტ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რელაქსაციის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ცეკვა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მუსიკა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ოკუპაციური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კოლმუ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ნსიური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FF14DC" w:rsidRPr="008A2A1B">
        <w:trPr>
          <w:trHeight w:val="440"/>
        </w:trPr>
        <w:tc>
          <w:tcPr>
            <w:tcW w:w="1002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8A2A1B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Nursing intervention 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classification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კვლევის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: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ცვლილებით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მიმდინარე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იდენტიდიცირება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br/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ბიპოლარული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დეპრესია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დისთამია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FF14DC" w:rsidRPr="008A2A1B">
        <w:trPr>
          <w:trHeight w:val="440"/>
        </w:trPr>
        <w:tc>
          <w:tcPr>
            <w:tcW w:w="1002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ნევროზული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სტრესთან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შფოთვა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ფობია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ობსესივ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კომპულსიურ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აშლილობა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პოსტ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ტრამვული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სტრესული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დარღვევა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პათო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FF14DC" w:rsidRPr="008A2A1B">
        <w:trPr>
          <w:trHeight w:val="440"/>
        </w:trPr>
        <w:tc>
          <w:tcPr>
            <w:tcW w:w="1002" w:type="dxa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550" w:type="dxa"/>
            <w:shd w:val="clear" w:color="auto" w:fill="auto"/>
            <w:vAlign w:val="center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გამოსაყენებელი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გამოყენებადი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ფსიქოტროპული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გზა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ინტოქსიკაცია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დეზინტოქსიკაცია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პათოფიზიოლოგია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ეტიოლოგია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ფსიქო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პათოფიზიოლოგია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მანიფესტაცია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მენტალური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ეფასება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მკურნალობა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FF14DC" w:rsidRPr="008A2A1B" w:rsidRDefault="00FF14DC" w:rsidP="008A2A1B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8A2A1B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FF14DC" w:rsidRPr="008A2A1B" w:rsidRDefault="00B367B3" w:rsidP="008A2A1B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კლინიკაში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არსებული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</w:p>
          <w:p w:rsidR="00FF14DC" w:rsidRPr="008A2A1B" w:rsidRDefault="00FF14DC" w:rsidP="008A2A1B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40" w:type="dxa"/>
            <w:vMerge/>
            <w:vAlign w:val="center"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5" w:type="dxa"/>
            <w:vMerge/>
          </w:tcPr>
          <w:p w:rsidR="00FF14DC" w:rsidRPr="008A2A1B" w:rsidRDefault="00FF14DC" w:rsidP="008A2A1B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63" w:type="dxa"/>
            <w:vMerge/>
          </w:tcPr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FF14DC" w:rsidRPr="008A2A1B" w:rsidRDefault="00FF14DC" w:rsidP="008A2A1B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FF14DC" w:rsidRPr="008A2A1B">
        <w:trPr>
          <w:trHeight w:val="620"/>
        </w:trPr>
        <w:tc>
          <w:tcPr>
            <w:tcW w:w="14670" w:type="dxa"/>
            <w:gridSpan w:val="5"/>
          </w:tcPr>
          <w:p w:rsidR="00FF14DC" w:rsidRPr="008A2A1B" w:rsidRDefault="00B367B3" w:rsidP="008A2A1B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FF14DC" w:rsidRPr="008A2A1B" w:rsidRDefault="00B367B3" w:rsidP="008A2A1B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FF14DC" w:rsidRPr="008A2A1B" w:rsidRDefault="00FF14DC" w:rsidP="008A2A1B">
            <w:pPr>
              <w:spacing w:before="120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FF14DC" w:rsidRDefault="00FF14DC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Default="008A2A1B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Default="008A2A1B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Default="008A2A1B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8A2A1B" w:rsidRPr="008A2A1B" w:rsidRDefault="008A2A1B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3.2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FF14DC" w:rsidRPr="008A2A1B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FF14DC" w:rsidRPr="008A2A1B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FF14DC" w:rsidRPr="008A2A1B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FF14DC" w:rsidRPr="008A2A1B" w:rsidRDefault="00FF14DC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14DC" w:rsidRPr="008A2A1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DC" w:rsidRPr="008A2A1B" w:rsidRDefault="00FF14DC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FF14DC" w:rsidRPr="008A2A1B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FF14DC" w:rsidRPr="008A2A1B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FF14DC" w:rsidRPr="008A2A1B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FF14DC" w:rsidRPr="008A2A1B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FF14DC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FF14DC" w:rsidRPr="008A2A1B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>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>20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4DC" w:rsidRPr="008A2A1B" w:rsidRDefault="00B367B3" w:rsidP="008A2A1B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FF14DC" w:rsidRPr="008A2A1B" w:rsidRDefault="00FF14DC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Pr="008A2A1B" w:rsidRDefault="00FF14DC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8A2A1B">
        <w:rPr>
          <w:rFonts w:ascii="Sylfaen" w:eastAsia="Merriweather" w:hAnsi="Sylfaen" w:cs="Merriweather"/>
          <w:b/>
          <w:color w:val="222222"/>
          <w:sz w:val="20"/>
          <w:szCs w:val="20"/>
        </w:rPr>
        <w:t>1. </w:t>
      </w: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Marilynn E. Doenges, Mary Frances Moorhouse, Alice C. Murr</w:t>
      </w:r>
      <w:r w:rsidRPr="008A2A1B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8A2A1B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Nursing Care Plans – Guidelines for Individualizing Client Care Across the Life Span, </w:t>
      </w: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Edition 8, 2010</w:t>
      </w:r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8A2A1B">
        <w:rPr>
          <w:rFonts w:ascii="Sylfaen" w:eastAsia="Merriweather" w:hAnsi="Sylfaen" w:cs="Merriweather"/>
          <w:b/>
          <w:color w:val="222222"/>
          <w:sz w:val="20"/>
          <w:szCs w:val="20"/>
        </w:rPr>
        <w:t>2. </w:t>
      </w: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8A2A1B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8A2A1B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3.  </w:t>
      </w:r>
      <w:hyperlink r:id="rId7">
        <w:r w:rsidRPr="008A2A1B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http://www.growmore.ac.in/index.php/gnm-syllabus-fourth-year.html</w:t>
        </w:r>
      </w:hyperlink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4.  Bar</w:t>
      </w: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bara Kozier, Glenora ERB, Audrey Berman, Shirlee Snyder. </w:t>
      </w:r>
      <w:r w:rsidRPr="008A2A1B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Fifth edition, 2004</w:t>
      </w:r>
    </w:p>
    <w:p w:rsidR="008A2A1B" w:rsidRPr="008A2A1B" w:rsidRDefault="00B367B3" w:rsidP="008A2A1B">
      <w:pPr>
        <w:spacing w:before="12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5. </w:t>
      </w:r>
      <w:hyperlink r:id="rId8">
        <w:r w:rsidRPr="008A2A1B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https</w:t>
        </w:r>
        <w:r w:rsidRPr="008A2A1B">
          <w:rPr>
            <w:rFonts w:ascii="Sylfaen" w:eastAsia="Merriweather" w:hAnsi="Sylfaen" w:cs="Merriweather"/>
            <w:color w:val="1155CC"/>
            <w:sz w:val="20"/>
            <w:szCs w:val="20"/>
            <w:u w:val="single"/>
          </w:rPr>
          <w:t>://www.iscp.ac.uk/curriculum/surgical/specialty_year_syllabus.aspx?enc=vVY4XFLbRSZIHhnkUDQyVoJGVh3MGYxzpE0YSpfvy0k</w:t>
        </w:r>
      </w:hyperlink>
      <w:r w:rsidRPr="008A2A1B">
        <w:rPr>
          <w:rFonts w:ascii="Sylfaen" w:eastAsia="Merriweather" w:hAnsi="Sylfaen" w:cs="Merriweather"/>
          <w:color w:val="222222"/>
          <w:sz w:val="20"/>
          <w:szCs w:val="20"/>
        </w:rPr>
        <w:t>=</w:t>
      </w:r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8A2A1B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3.4.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სწავლე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ბისათვის</w:t>
      </w:r>
    </w:p>
    <w:p w:rsidR="00FF14DC" w:rsidRPr="008A2A1B" w:rsidRDefault="00B367B3" w:rsidP="008A2A1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8A2A1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8A2A1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მიერ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8A2A1B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8A2A1B">
        <w:rPr>
          <w:rFonts w:ascii="Sylfaen" w:eastAsia="Arial Unicode MS" w:hAnsi="Sylfaen" w:cs="Arial Unicode MS"/>
          <w:sz w:val="20"/>
          <w:szCs w:val="20"/>
        </w:rPr>
        <w:t>/</w:t>
      </w:r>
      <w:r w:rsidRPr="008A2A1B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და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8A2A1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ან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8A2A1B">
        <w:rPr>
          <w:rFonts w:ascii="Sylfaen" w:eastAsia="Arial Unicode MS" w:hAnsi="Sylfaen" w:cs="Arial Unicode MS"/>
          <w:sz w:val="20"/>
          <w:szCs w:val="20"/>
        </w:rPr>
        <w:t>და</w:t>
      </w:r>
      <w:r w:rsidRPr="008A2A1B">
        <w:rPr>
          <w:rFonts w:ascii="Sylfaen" w:eastAsia="Arial Unicode MS" w:hAnsi="Sylfaen" w:cs="Arial Unicode MS"/>
          <w:sz w:val="20"/>
          <w:szCs w:val="20"/>
        </w:rPr>
        <w:t>/</w:t>
      </w:r>
      <w:r w:rsidRPr="008A2A1B">
        <w:rPr>
          <w:rFonts w:ascii="Sylfaen" w:eastAsia="Arial Unicode MS" w:hAnsi="Sylfaen" w:cs="Arial Unicode MS"/>
          <w:sz w:val="20"/>
          <w:szCs w:val="20"/>
        </w:rPr>
        <w:t>ან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8A2A1B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და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8A2A1B">
        <w:rPr>
          <w:rFonts w:ascii="Sylfaen" w:eastAsia="Arial Unicode MS" w:hAnsi="Sylfaen" w:cs="Arial Unicode MS"/>
          <w:sz w:val="20"/>
          <w:szCs w:val="20"/>
        </w:rPr>
        <w:t>და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8A2A1B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8A2A1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მქ</w:t>
      </w:r>
      <w:r w:rsidRPr="008A2A1B">
        <w:rPr>
          <w:rFonts w:ascii="Sylfaen" w:eastAsia="Arial Unicode MS" w:hAnsi="Sylfaen" w:cs="Arial Unicode MS"/>
          <w:sz w:val="20"/>
          <w:szCs w:val="20"/>
        </w:rPr>
        <w:t>ონე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8A2A1B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FF14DC" w:rsidRPr="008A2A1B" w:rsidRDefault="00FF14DC" w:rsidP="008A2A1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FF14DC" w:rsidRPr="008A2A1B" w:rsidRDefault="00B367B3" w:rsidP="008A2A1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8A2A1B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8A2A1B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8A2A1B">
        <w:rPr>
          <w:rFonts w:ascii="Sylfaen" w:eastAsia="Arial Unicode MS" w:hAnsi="Sylfaen" w:cs="Arial Unicode MS"/>
          <w:sz w:val="20"/>
          <w:szCs w:val="20"/>
        </w:rPr>
        <w:t>ინდ</w:t>
      </w:r>
      <w:r w:rsidRPr="008A2A1B">
        <w:rPr>
          <w:rFonts w:ascii="Sylfaen" w:eastAsia="Arial Unicode MS" w:hAnsi="Sylfaen" w:cs="Arial Unicode MS"/>
          <w:sz w:val="20"/>
          <w:szCs w:val="20"/>
        </w:rPr>
        <w:t>ივიდუალური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8A2A1B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8A2A1B">
        <w:rPr>
          <w:rFonts w:ascii="Sylfaen" w:eastAsia="Arial Unicode MS" w:hAnsi="Sylfaen" w:cs="Arial Unicode MS"/>
          <w:sz w:val="20"/>
          <w:szCs w:val="20"/>
        </w:rPr>
        <w:t>ხოლო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და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8A2A1B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პროგ</w:t>
      </w:r>
      <w:r w:rsidRPr="008A2A1B">
        <w:rPr>
          <w:rFonts w:ascii="Sylfaen" w:eastAsia="Arial Unicode MS" w:hAnsi="Sylfaen" w:cs="Arial Unicode MS"/>
          <w:sz w:val="20"/>
          <w:szCs w:val="20"/>
        </w:rPr>
        <w:t>რამის</w:t>
      </w:r>
      <w:r w:rsidRPr="008A2A1B">
        <w:rPr>
          <w:rFonts w:ascii="Sylfaen" w:eastAsia="Arial Unicode MS" w:hAnsi="Sylfaen" w:cs="Arial Unicode MS"/>
          <w:sz w:val="20"/>
          <w:szCs w:val="20"/>
        </w:rPr>
        <w:t>/</w:t>
      </w:r>
      <w:r w:rsidRPr="008A2A1B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8A2A1B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8A2A1B">
        <w:rPr>
          <w:rFonts w:ascii="Sylfaen" w:eastAsia="Arial Unicode MS" w:hAnsi="Sylfaen" w:cs="Arial Unicode MS"/>
          <w:sz w:val="20"/>
          <w:szCs w:val="20"/>
        </w:rPr>
        <w:t>.</w:t>
      </w:r>
    </w:p>
    <w:p w:rsidR="00FF14DC" w:rsidRPr="008A2A1B" w:rsidRDefault="00FF14DC" w:rsidP="008A2A1B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bookmarkStart w:id="0" w:name="_GoBack"/>
      <w:bookmarkEnd w:id="0"/>
    </w:p>
    <w:p w:rsidR="00FF14DC" w:rsidRPr="008A2A1B" w:rsidRDefault="00B367B3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8A2A1B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8A2A1B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FF14DC" w:rsidRPr="008A2A1B">
        <w:tc>
          <w:tcPr>
            <w:tcW w:w="520" w:type="dxa"/>
            <w:shd w:val="clear" w:color="auto" w:fill="auto"/>
          </w:tcPr>
          <w:p w:rsidR="00FF14DC" w:rsidRPr="008A2A1B" w:rsidRDefault="00B367B3" w:rsidP="008A2A1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FF14DC" w:rsidRPr="008A2A1B">
        <w:tc>
          <w:tcPr>
            <w:tcW w:w="520" w:type="dxa"/>
            <w:shd w:val="clear" w:color="auto" w:fill="auto"/>
          </w:tcPr>
          <w:p w:rsidR="00FF14DC" w:rsidRPr="008A2A1B" w:rsidRDefault="00B367B3" w:rsidP="008A2A1B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FF14DC" w:rsidRPr="008A2A1B" w:rsidRDefault="00B367B3" w:rsidP="008A2A1B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FF14DC" w:rsidRPr="008A2A1B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hAnsi="Sylfaen"/>
                <w:sz w:val="20"/>
                <w:szCs w:val="20"/>
              </w:rPr>
              <w:t>ნინო</w:t>
            </w:r>
            <w:r w:rsidRPr="008A2A1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A2A1B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FF14DC" w:rsidRPr="008A2A1B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A2A1B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სალომე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ჭინჭარაული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14DC" w:rsidRPr="008A2A1B" w:rsidRDefault="00B367B3" w:rsidP="008A2A1B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- “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8A2A1B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FF14DC" w:rsidRPr="008A2A1B" w:rsidRDefault="00FF14DC" w:rsidP="008A2A1B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FF14DC" w:rsidRPr="008A2A1B" w:rsidRDefault="00FF14DC" w:rsidP="008A2A1B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FF14DC" w:rsidRPr="008A2A1B" w:rsidRDefault="00FF14DC" w:rsidP="008A2A1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FF14DC" w:rsidRPr="008A2A1B" w:rsidRDefault="00FF14DC" w:rsidP="008A2A1B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FF14DC" w:rsidRPr="008A2A1B" w:rsidRDefault="00FF14DC" w:rsidP="008A2A1B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sectPr w:rsidR="00FF14DC" w:rsidRPr="008A2A1B">
      <w:headerReference w:type="default" r:id="rId9"/>
      <w:footerReference w:type="default" r:id="rId10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B3" w:rsidRDefault="00B367B3">
      <w:pPr>
        <w:spacing w:after="0" w:line="240" w:lineRule="auto"/>
      </w:pPr>
      <w:r>
        <w:separator/>
      </w:r>
    </w:p>
  </w:endnote>
  <w:endnote w:type="continuationSeparator" w:id="0">
    <w:p w:rsidR="00B367B3" w:rsidRDefault="00B3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DC" w:rsidRDefault="00B367B3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8A2A1B">
      <w:fldChar w:fldCharType="separate"/>
    </w:r>
    <w:r w:rsidR="008A2A1B">
      <w:rPr>
        <w:noProof/>
      </w:rPr>
      <w:t>18</w:t>
    </w:r>
    <w:r>
      <w:fldChar w:fldCharType="end"/>
    </w:r>
  </w:p>
  <w:p w:rsidR="00FF14DC" w:rsidRDefault="00FF14DC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B3" w:rsidRDefault="00B367B3">
      <w:pPr>
        <w:spacing w:after="0" w:line="240" w:lineRule="auto"/>
      </w:pPr>
      <w:r>
        <w:separator/>
      </w:r>
    </w:p>
  </w:footnote>
  <w:footnote w:type="continuationSeparator" w:id="0">
    <w:p w:rsidR="00B367B3" w:rsidRDefault="00B367B3">
      <w:pPr>
        <w:spacing w:after="0" w:line="240" w:lineRule="auto"/>
      </w:pPr>
      <w:r>
        <w:continuationSeparator/>
      </w:r>
    </w:p>
  </w:footnote>
  <w:footnote w:id="1">
    <w:p w:rsidR="00FF14DC" w:rsidRDefault="00B367B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2">
    <w:p w:rsidR="00FF14DC" w:rsidRDefault="00B367B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3">
    <w:p w:rsidR="00FF14DC" w:rsidRDefault="00B367B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4">
    <w:p w:rsidR="00FF14DC" w:rsidRDefault="00B367B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5">
    <w:p w:rsidR="00FF14DC" w:rsidRDefault="00B367B3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რაოდნეობა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DC" w:rsidRDefault="00FF14DC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01C"/>
    <w:multiLevelType w:val="multilevel"/>
    <w:tmpl w:val="4E8225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8F606D"/>
    <w:multiLevelType w:val="multilevel"/>
    <w:tmpl w:val="1F1844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F76CE4"/>
    <w:multiLevelType w:val="multilevel"/>
    <w:tmpl w:val="778CC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F40C82"/>
    <w:multiLevelType w:val="multilevel"/>
    <w:tmpl w:val="0C2C4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754130"/>
    <w:multiLevelType w:val="multilevel"/>
    <w:tmpl w:val="24D8F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DF54A6"/>
    <w:multiLevelType w:val="multilevel"/>
    <w:tmpl w:val="6B9E1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A51AC9"/>
    <w:multiLevelType w:val="multilevel"/>
    <w:tmpl w:val="68C49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0369C4"/>
    <w:multiLevelType w:val="multilevel"/>
    <w:tmpl w:val="8E9C8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14DC"/>
    <w:rsid w:val="008A2A1B"/>
    <w:rsid w:val="00B367B3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E8F8EB-1936-4A84-8005-97480EA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p.ac.uk/curriculum/surgical/specialty_year_syllabus.aspx?enc=vVY4XFLbRSZIHhnkUDQyVoJGVh3MGYxzpE0YSpfvy0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wmore.ac.in/index.php/gnm-syllabus-fourth-yea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3601</Words>
  <Characters>20527</Characters>
  <Application>Microsoft Office Word</Application>
  <DocSecurity>0</DocSecurity>
  <Lines>171</Lines>
  <Paragraphs>48</Paragraphs>
  <ScaleCrop>false</ScaleCrop>
  <Company/>
  <LinksUpToDate>false</LinksUpToDate>
  <CharactersWithSpaces>24080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2017-12-04T08:40:00Z</dcterms:created>
  <dcterms:modified xsi:type="dcterms:W3CDTF">2017-12-04T08:41:00Z</dcterms:modified>
</cp:coreProperties>
</file>