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07" w:rsidRPr="00980AF4" w:rsidRDefault="00E57169" w:rsidP="00980AF4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7D2407" w:rsidRPr="00980AF4" w:rsidRDefault="00E57169" w:rsidP="00980AF4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7D2407" w:rsidRPr="00980AF4">
        <w:trPr>
          <w:trHeight w:val="440"/>
        </w:trPr>
        <w:tc>
          <w:tcPr>
            <w:tcW w:w="7559" w:type="dxa"/>
          </w:tcPr>
          <w:p w:rsidR="007D2407" w:rsidRPr="00980AF4" w:rsidRDefault="00E57169" w:rsidP="00980AF4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119" w:type="dxa"/>
          </w:tcPr>
          <w:p w:rsidR="007D2407" w:rsidRPr="00980AF4" w:rsidRDefault="007D2407" w:rsidP="00980AF4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7D2407" w:rsidRPr="00980AF4">
        <w:trPr>
          <w:trHeight w:val="420"/>
        </w:trPr>
        <w:tc>
          <w:tcPr>
            <w:tcW w:w="755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    </w:t>
            </w:r>
          </w:p>
        </w:tc>
        <w:tc>
          <w:tcPr>
            <w:tcW w:w="711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2 -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</w:p>
        </w:tc>
      </w:tr>
      <w:tr w:rsidR="007D2407" w:rsidRPr="00980AF4">
        <w:trPr>
          <w:trHeight w:val="420"/>
        </w:trPr>
        <w:tc>
          <w:tcPr>
            <w:tcW w:w="755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7D2407" w:rsidRPr="00980AF4" w:rsidRDefault="007D2407" w:rsidP="00980AF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7D2407" w:rsidRPr="00980AF4">
        <w:trPr>
          <w:trHeight w:val="420"/>
        </w:trPr>
        <w:tc>
          <w:tcPr>
            <w:tcW w:w="7559" w:type="dxa"/>
          </w:tcPr>
          <w:p w:rsidR="007D2407" w:rsidRPr="00980AF4" w:rsidRDefault="00E57169" w:rsidP="00980AF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7D2407" w:rsidRPr="00980AF4" w:rsidRDefault="00E57169" w:rsidP="00980AF4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</w:tr>
      <w:tr w:rsidR="007D2407" w:rsidRPr="00980AF4">
        <w:trPr>
          <w:trHeight w:val="360"/>
        </w:trPr>
        <w:tc>
          <w:tcPr>
            <w:tcW w:w="7559" w:type="dxa"/>
          </w:tcPr>
          <w:p w:rsidR="007D2407" w:rsidRPr="00980AF4" w:rsidRDefault="00E57169" w:rsidP="00980AF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11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7D2407" w:rsidRPr="00980AF4">
        <w:trPr>
          <w:trHeight w:val="4060"/>
        </w:trPr>
        <w:tc>
          <w:tcPr>
            <w:tcW w:w="7559" w:type="dxa"/>
          </w:tcPr>
          <w:p w:rsidR="007D2407" w:rsidRPr="00980AF4" w:rsidRDefault="00E57169" w:rsidP="00980AF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11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ადგილის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არეალის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tabs>
                <w:tab w:val="left" w:pos="11720"/>
              </w:tabs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E57169" w:rsidP="00980AF4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1"/>
        <w:gridCol w:w="4095"/>
        <w:gridCol w:w="4893"/>
        <w:gridCol w:w="1659"/>
      </w:tblGrid>
      <w:tr w:rsidR="007D2407" w:rsidRPr="00980AF4">
        <w:trPr>
          <w:trHeight w:val="1100"/>
          <w:jc w:val="center"/>
        </w:trPr>
        <w:tc>
          <w:tcPr>
            <w:tcW w:w="4021" w:type="dxa"/>
            <w:shd w:val="clear" w:color="auto" w:fill="DEEBF6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7D2407" w:rsidRPr="00980AF4" w:rsidRDefault="007D2407" w:rsidP="00980AF4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DEEBF6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93" w:type="dxa"/>
            <w:shd w:val="clear" w:color="auto" w:fill="DEEBF6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59" w:type="dxa"/>
            <w:shd w:val="clear" w:color="auto" w:fill="DEEBF6"/>
            <w:vAlign w:val="center"/>
          </w:tcPr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7D2407" w:rsidRPr="00980AF4">
        <w:trPr>
          <w:trHeight w:val="3980"/>
          <w:jc w:val="center"/>
        </w:trPr>
        <w:tc>
          <w:tcPr>
            <w:tcW w:w="4021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ადგილის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არეალის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</w:p>
          <w:p w:rsidR="007D2407" w:rsidRPr="00980AF4" w:rsidRDefault="007D2407" w:rsidP="00980AF4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7D2407" w:rsidRPr="00980AF4" w:rsidRDefault="00E57169" w:rsidP="00980AF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აყალიბებს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გარემოს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ანაწილებს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გუნდში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შესასრულებელ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5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გარემოს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საგზაო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ფეთქებადი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აალებადი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ცეცხლსასროლი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შესასრულებელი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ლიდერი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რესპირაციაზ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ცირკულაციაზე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მედიკამნტებზე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7D2407" w:rsidRPr="00980AF4" w:rsidRDefault="007D2407" w:rsidP="00980AF4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ნებლის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სტაციონარში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ფურცელი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7D2407" w:rsidRPr="00980AF4" w:rsidRDefault="00E57169" w:rsidP="00980AF4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7D2407" w:rsidRPr="00980AF4" w:rsidRDefault="007D2407" w:rsidP="00980AF4">
            <w:pPr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7D2407" w:rsidRPr="00980AF4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7D2407" w:rsidRPr="00980AF4" w:rsidRDefault="00E57169" w:rsidP="00980AF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E57169" w:rsidP="00980AF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7D2407" w:rsidRPr="00980AF4" w:rsidRDefault="00E57169" w:rsidP="00980AF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Merge w:val="restart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980AF4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ჩარევა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3"/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ალერგიის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ინსპექცია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პალპაცია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აუსკულტაცია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სისხლში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გლუკოზის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ობიექტური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მდგომ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ქმედების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საპასუხოდ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გამოსავლებთან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ექთანთან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ფლებოტომია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ტიტრაცია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საჰ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აერო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გახსნა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რეზერვუიანი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ვენტური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ცხვირხახის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პირხახის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ერჩევა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აპარატზე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საინჰალაციო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ნებულაიზერები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ბრონქოდილატატორები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დამზადება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ტიპების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ირიგაცია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ჩანთის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ნახვევების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დამწოლი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ნახვევის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კიდურის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პლევრის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დეკომპრესია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გადაბარ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სქემა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პლევრელაკი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აპარატები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სპირომეტრი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კარდიოგრაფი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ზონდები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ოროფარენგიალური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ნაზოფარენგიალური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თბობელი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სტოპკოკი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7D2407" w:rsidRPr="00980AF4" w:rsidRDefault="007D2407" w:rsidP="00980AF4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hd w:val="clear" w:color="auto" w:fill="FFFFFF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7D2407" w:rsidRPr="00980AF4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6.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7.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 xml:space="preserve">  </w:t>
            </w:r>
          </w:p>
        </w:tc>
        <w:tc>
          <w:tcPr>
            <w:tcW w:w="4893" w:type="dxa"/>
            <w:vMerge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7D2407" w:rsidRPr="00980AF4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lastRenderedPageBreak/>
              <w:t>დოკუმენტაციას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Merge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7D2407" w:rsidRPr="00980AF4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</w:p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7.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Merge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7D2407" w:rsidRPr="00980AF4" w:rsidRDefault="007D2407" w:rsidP="00980AF4">
      <w:pPr>
        <w:widowControl w:val="0"/>
        <w:spacing w:after="0" w:line="240" w:lineRule="auto"/>
        <w:rPr>
          <w:rFonts w:ascii="Sylfaen" w:eastAsia="Merriweather" w:hAnsi="Sylfaen" w:cs="Merriweather"/>
          <w:sz w:val="20"/>
          <w:szCs w:val="20"/>
          <w:highlight w:val="yellow"/>
        </w:rPr>
      </w:pPr>
    </w:p>
    <w:tbl>
      <w:tblPr>
        <w:tblStyle w:val="a1"/>
        <w:tblW w:w="146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4083"/>
        <w:gridCol w:w="4920"/>
        <w:gridCol w:w="1659"/>
      </w:tblGrid>
      <w:tr w:rsidR="007D2407" w:rsidRPr="00980AF4">
        <w:trPr>
          <w:trHeight w:val="300"/>
        </w:trPr>
        <w:tc>
          <w:tcPr>
            <w:tcW w:w="4009" w:type="dxa"/>
          </w:tcPr>
          <w:p w:rsidR="007D2407" w:rsidRPr="00980AF4" w:rsidRDefault="00E57169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</w:p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1.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შეკრებას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ეროსნალთან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20" w:type="dxa"/>
          </w:tcPr>
          <w:p w:rsidR="007D2407" w:rsidRPr="00980AF4" w:rsidRDefault="00E57169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ტრიაჟის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პრიციპებს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კატეგორიაზე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რესურსზე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დაფუ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ძნებული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4"/>
            </w:r>
          </w:p>
          <w:p w:rsidR="007D2407" w:rsidRPr="00980AF4" w:rsidRDefault="007D2407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</w:tcPr>
          <w:p w:rsidR="007D2407" w:rsidRPr="00980AF4" w:rsidRDefault="00E57169" w:rsidP="00980AF4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დაკვირვებით</w:t>
            </w:r>
          </w:p>
          <w:p w:rsidR="007D2407" w:rsidRPr="00980AF4" w:rsidRDefault="007D2407" w:rsidP="00980AF4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7D2407" w:rsidRPr="00980AF4">
        <w:trPr>
          <w:trHeight w:val="300"/>
        </w:trPr>
        <w:tc>
          <w:tcPr>
            <w:tcW w:w="4009" w:type="dxa"/>
          </w:tcPr>
          <w:p w:rsidR="007D2407" w:rsidRPr="00980AF4" w:rsidRDefault="00E57169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7.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</w:p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:rsidR="007D2407" w:rsidRPr="00980AF4" w:rsidRDefault="00E57169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წარმართვას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ტრანპორიტრებას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7D2407" w:rsidRPr="00980AF4" w:rsidRDefault="007D2407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20" w:type="dxa"/>
          </w:tcPr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5"/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III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E57169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IV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7D2407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7D2407" w:rsidRPr="00980AF4" w:rsidRDefault="007D2407" w:rsidP="00980AF4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E57169" w:rsidP="00980AF4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7D2407" w:rsidRPr="00980AF4" w:rsidRDefault="00E57169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tbl>
      <w:tblPr>
        <w:tblStyle w:val="a2"/>
        <w:tblW w:w="15032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5222"/>
        <w:gridCol w:w="3175"/>
        <w:gridCol w:w="2943"/>
        <w:gridCol w:w="2793"/>
      </w:tblGrid>
      <w:tr w:rsidR="007D2407" w:rsidRPr="00980AF4">
        <w:trPr>
          <w:trHeight w:val="600"/>
        </w:trPr>
        <w:tc>
          <w:tcPr>
            <w:tcW w:w="899" w:type="dxa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222" w:type="dxa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3175" w:type="dxa"/>
            <w:vAlign w:val="center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943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bottom w:val="single" w:sz="4" w:space="0" w:color="000000"/>
            </w:tcBorders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7D2407" w:rsidRPr="00980AF4">
        <w:trPr>
          <w:trHeight w:val="420"/>
        </w:trPr>
        <w:tc>
          <w:tcPr>
            <w:tcW w:w="89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222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საგზაო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ფეთქებადი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აალებადი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ცეცხლსასროლი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შესასრულებელი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ლიდერი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რესპირაციაზე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ცირკულაციაზე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მედიკამნტებზე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7D2407" w:rsidRPr="00980AF4" w:rsidRDefault="007D2407" w:rsidP="00980AF4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7D2407" w:rsidRPr="00980AF4" w:rsidRDefault="00E57169" w:rsidP="00980AF4">
            <w:pPr>
              <w:numPr>
                <w:ilvl w:val="0"/>
                <w:numId w:val="6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ფურცელი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75" w:type="dxa"/>
            <w:vMerge w:val="restart"/>
            <w:vAlign w:val="center"/>
          </w:tcPr>
          <w:p w:rsidR="007D2407" w:rsidRPr="00980AF4" w:rsidRDefault="00E57169" w:rsidP="00980AF4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 w:val="restart"/>
          </w:tcPr>
          <w:p w:rsidR="007D2407" w:rsidRPr="00980AF4" w:rsidRDefault="007D2407" w:rsidP="00980AF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7D2407" w:rsidRPr="00980AF4" w:rsidRDefault="00E57169" w:rsidP="00980AF4">
            <w:pPr>
              <w:numPr>
                <w:ilvl w:val="0"/>
                <w:numId w:val="2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რეფლექსია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ზღვარი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55 %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vMerge w:val="restart"/>
          </w:tcPr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წერილობითი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</w:p>
          <w:p w:rsidR="007D2407" w:rsidRPr="00980AF4" w:rsidRDefault="00E57169" w:rsidP="00980AF4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ნამუშევარი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ადასტურებს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უნარს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კომპეტენციას</w:t>
            </w: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E57169" w:rsidP="00980AF4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7D2407" w:rsidRPr="00980AF4">
        <w:trPr>
          <w:trHeight w:val="23960"/>
        </w:trPr>
        <w:tc>
          <w:tcPr>
            <w:tcW w:w="899" w:type="dxa"/>
            <w:tcBorders>
              <w:bottom w:val="single" w:sz="4" w:space="0" w:color="000000"/>
            </w:tcBorders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222" w:type="dxa"/>
            <w:tcBorders>
              <w:bottom w:val="single" w:sz="4" w:space="0" w:color="000000"/>
            </w:tcBorders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1.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პროცესი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980AF4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7D2407" w:rsidRPr="00980AF4" w:rsidRDefault="00E57169" w:rsidP="00980AF4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ჩატ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იდენტიფიცირებისთვის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ალერგიის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ჩივილი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ინსპექცია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პალპაცია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აუსკულტაცია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მოწმება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სისხლში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გლუკოზის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შემცველობა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ობიექტური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გაწეული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ქმედების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საპასუხოდ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მოსალო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დნელ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გამოსავლებთან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ექთანთან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ფლებოტომია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ტიტრაცია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გახსნა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რეზერვუიანი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ვენტური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ცხვირხახის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პირხახის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აპარატზე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საინჰალაციო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მოწყო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ბილობების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ნებულაიზერები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ბრონქოდილატატორები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დოზის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დამზადება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გადაღება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ინფექ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ტიპების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ირიგაცია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ჩანთის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ნახვევების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დამწოლი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ნახვევის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კიდურის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ისრის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სტაბილიზაცია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პლევრის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დეკომპრესია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სქემა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ჟა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ნგბადის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პლევრელაკი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აპარატები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სპირომეტრი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კარდიოგრაფი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აპარატი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ზონდები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ოროფარენგიალური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ნაზოფარენგიალური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სტოპკოკი</w:t>
            </w: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75" w:type="dxa"/>
            <w:vMerge/>
            <w:vAlign w:val="center"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93" w:type="dxa"/>
            <w:vMerge/>
          </w:tcPr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7D2407" w:rsidRPr="00980AF4" w:rsidRDefault="007D2407" w:rsidP="00980AF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D2407" w:rsidRPr="00980AF4">
        <w:trPr>
          <w:trHeight w:val="440"/>
        </w:trPr>
        <w:tc>
          <w:tcPr>
            <w:tcW w:w="89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5222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პრიციპებს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კატეგორიაზე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რესურსზე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</w:p>
        </w:tc>
        <w:tc>
          <w:tcPr>
            <w:tcW w:w="3175" w:type="dxa"/>
            <w:vMerge/>
            <w:vAlign w:val="center"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93" w:type="dxa"/>
            <w:vMerge/>
          </w:tcPr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D2407" w:rsidRPr="00980AF4">
        <w:trPr>
          <w:trHeight w:val="440"/>
        </w:trPr>
        <w:tc>
          <w:tcPr>
            <w:tcW w:w="899" w:type="dxa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7</w:t>
            </w:r>
          </w:p>
        </w:tc>
        <w:tc>
          <w:tcPr>
            <w:tcW w:w="5222" w:type="dxa"/>
            <w:shd w:val="clear" w:color="auto" w:fill="auto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III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IV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7D2407" w:rsidRPr="00980AF4" w:rsidRDefault="007D2407" w:rsidP="00980AF4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75" w:type="dxa"/>
            <w:vMerge/>
            <w:vAlign w:val="center"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/>
          </w:tcPr>
          <w:p w:rsidR="007D2407" w:rsidRPr="00980AF4" w:rsidRDefault="007D2407" w:rsidP="00980AF4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93" w:type="dxa"/>
            <w:vMerge/>
          </w:tcPr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7D2407" w:rsidRPr="00980AF4" w:rsidRDefault="007D2407" w:rsidP="00980AF4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7D2407" w:rsidRPr="00980AF4">
        <w:trPr>
          <w:trHeight w:val="440"/>
        </w:trPr>
        <w:tc>
          <w:tcPr>
            <w:tcW w:w="6121" w:type="dxa"/>
            <w:gridSpan w:val="2"/>
          </w:tcPr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7D2407" w:rsidRPr="00980AF4" w:rsidRDefault="00E57169" w:rsidP="00980AF4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8911" w:type="dxa"/>
            <w:gridSpan w:val="3"/>
            <w:vAlign w:val="center"/>
          </w:tcPr>
          <w:p w:rsidR="007D2407" w:rsidRPr="00980AF4" w:rsidRDefault="007D2407" w:rsidP="00980AF4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7D2407" w:rsidRPr="00980AF4" w:rsidRDefault="007D2407" w:rsidP="00980AF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E57169" w:rsidP="00980AF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3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7D2407" w:rsidRPr="00980AF4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7D2407" w:rsidRPr="00980AF4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7D2407" w:rsidRPr="00980AF4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7D2407" w:rsidRPr="00980AF4" w:rsidRDefault="007D2407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18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სწავლის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13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7D2407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</w:tr>
      <w:tr w:rsidR="007D2407" w:rsidRPr="00980AF4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97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2407" w:rsidRPr="00980AF4" w:rsidRDefault="00E57169" w:rsidP="00980AF4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b/>
                <w:sz w:val="20"/>
                <w:szCs w:val="20"/>
              </w:rPr>
              <w:t>125</w:t>
            </w:r>
          </w:p>
        </w:tc>
      </w:tr>
    </w:tbl>
    <w:p w:rsidR="007D2407" w:rsidRPr="00980AF4" w:rsidRDefault="007D2407" w:rsidP="00980AF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7D2407" w:rsidRPr="00980AF4" w:rsidRDefault="00980AF4" w:rsidP="00980AF4">
      <w:pPr>
        <w:spacing w:before="120" w:line="240" w:lineRule="auto"/>
        <w:ind w:left="360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Arial Unicode MS" w:hAnsi="Sylfaen" w:cs="Arial Unicode MS"/>
          <w:b/>
          <w:sz w:val="20"/>
          <w:szCs w:val="20"/>
        </w:rPr>
        <w:t>3.3</w:t>
      </w:r>
      <w:r w:rsidR="00E57169" w:rsidRPr="00980AF4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="00E57169"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="00E57169" w:rsidRPr="00980AF4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7D2407" w:rsidRPr="00980AF4" w:rsidRDefault="00E57169" w:rsidP="00980AF4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980AF4">
        <w:rPr>
          <w:rFonts w:ascii="Sylfaen" w:eastAsia="Arial" w:hAnsi="Sylfaen" w:cs="Arial"/>
          <w:color w:val="111111"/>
          <w:sz w:val="20"/>
          <w:szCs w:val="20"/>
        </w:rPr>
        <w:t>1. PHTLS Prehospital Trauma Life Support, 6e (Phtls: Basic &amp; Advanced Prehospital Trauma Life Support) 6th Edition </w:t>
      </w:r>
      <w:r w:rsidRPr="00980AF4">
        <w:rPr>
          <w:rFonts w:ascii="Sylfaen" w:eastAsia="Arial" w:hAnsi="Sylfaen" w:cs="Arial"/>
          <w:color w:val="222222"/>
          <w:sz w:val="20"/>
          <w:szCs w:val="20"/>
          <w:highlight w:val="white"/>
        </w:rPr>
        <w:t>National Association of Emergency Medical Technicians (NAEMT) </w:t>
      </w:r>
    </w:p>
    <w:p w:rsidR="007D2407" w:rsidRPr="00980AF4" w:rsidRDefault="00E57169" w:rsidP="00980AF4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980AF4">
        <w:rPr>
          <w:rFonts w:ascii="Sylfaen" w:eastAsia="Arial" w:hAnsi="Sylfaen" w:cs="Arial"/>
          <w:color w:val="111111"/>
          <w:sz w:val="20"/>
          <w:szCs w:val="20"/>
        </w:rPr>
        <w:t>2. Trauma Nursing Core Course Provider Manual ( TNCC ) </w:t>
      </w:r>
      <w:r w:rsidRPr="00980AF4">
        <w:rPr>
          <w:rFonts w:ascii="Sylfaen" w:eastAsia="Arial" w:hAnsi="Sylfaen" w:cs="Arial"/>
          <w:color w:val="545454"/>
          <w:sz w:val="20"/>
          <w:szCs w:val="20"/>
          <w:highlight w:val="white"/>
        </w:rPr>
        <w:t>Emergency Nursing Association</w:t>
      </w:r>
      <w:r w:rsidRPr="00980AF4">
        <w:rPr>
          <w:rFonts w:ascii="Sylfaen" w:eastAsia="Arial" w:hAnsi="Sylfaen" w:cs="Arial"/>
          <w:color w:val="222222"/>
          <w:sz w:val="20"/>
          <w:szCs w:val="20"/>
        </w:rPr>
        <w:t xml:space="preserve"> </w:t>
      </w:r>
      <w:r w:rsidRPr="00980AF4">
        <w:rPr>
          <w:rFonts w:ascii="Sylfaen" w:eastAsia="Merriweather" w:hAnsi="Sylfaen" w:cs="Merriweather"/>
          <w:color w:val="111111"/>
          <w:sz w:val="20"/>
          <w:szCs w:val="20"/>
        </w:rPr>
        <w:t>BLS ACLS- AHA</w:t>
      </w:r>
    </w:p>
    <w:p w:rsidR="007D2407" w:rsidRPr="00980AF4" w:rsidRDefault="00E57169" w:rsidP="00980AF4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7D2407" w:rsidRPr="00980AF4" w:rsidRDefault="00E57169" w:rsidP="00980AF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980AF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მიერ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980AF4">
        <w:rPr>
          <w:rFonts w:ascii="Sylfaen" w:eastAsia="Arial Unicode MS" w:hAnsi="Sylfaen" w:cs="Arial Unicode MS"/>
          <w:sz w:val="20"/>
          <w:szCs w:val="20"/>
        </w:rPr>
        <w:t>/</w:t>
      </w:r>
      <w:r w:rsidRPr="00980AF4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980AF4">
        <w:rPr>
          <w:rFonts w:ascii="Sylfaen" w:eastAsia="Arial Unicode MS" w:hAnsi="Sylfaen" w:cs="Arial Unicode MS"/>
          <w:sz w:val="20"/>
          <w:szCs w:val="20"/>
        </w:rPr>
        <w:t>ციას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980AF4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ან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980AF4">
        <w:rPr>
          <w:rFonts w:ascii="Sylfaen" w:eastAsia="Arial Unicode MS" w:hAnsi="Sylfaen" w:cs="Arial Unicode MS"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sz w:val="20"/>
          <w:szCs w:val="20"/>
        </w:rPr>
        <w:t>/</w:t>
      </w:r>
      <w:r w:rsidRPr="00980AF4">
        <w:rPr>
          <w:rFonts w:ascii="Sylfaen" w:eastAsia="Arial Unicode MS" w:hAnsi="Sylfaen" w:cs="Arial Unicode MS"/>
          <w:sz w:val="20"/>
          <w:szCs w:val="20"/>
        </w:rPr>
        <w:t>ან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980AF4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980AF4">
        <w:rPr>
          <w:rFonts w:ascii="Sylfaen" w:eastAsia="Arial Unicode MS" w:hAnsi="Sylfaen" w:cs="Arial Unicode MS"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980AF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980AF4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980AF4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7D2407" w:rsidRPr="00980AF4" w:rsidRDefault="007D2407" w:rsidP="00980AF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7D2407" w:rsidRPr="00980AF4" w:rsidRDefault="00E57169" w:rsidP="00980AF4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980AF4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980AF4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980AF4">
        <w:rPr>
          <w:rFonts w:ascii="Sylfaen" w:eastAsia="Arial Unicode MS" w:hAnsi="Sylfaen" w:cs="Arial Unicode MS"/>
          <w:sz w:val="20"/>
          <w:szCs w:val="20"/>
        </w:rPr>
        <w:t>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980AF4">
        <w:rPr>
          <w:rFonts w:ascii="Sylfaen" w:eastAsia="Arial Unicode MS" w:hAnsi="Sylfaen" w:cs="Arial Unicode MS"/>
          <w:sz w:val="20"/>
          <w:szCs w:val="20"/>
        </w:rPr>
        <w:t>ხოლო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და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980AF4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980AF4">
        <w:rPr>
          <w:rFonts w:ascii="Sylfaen" w:eastAsia="Arial Unicode MS" w:hAnsi="Sylfaen" w:cs="Arial Unicode MS"/>
          <w:sz w:val="20"/>
          <w:szCs w:val="20"/>
        </w:rPr>
        <w:t>/</w:t>
      </w:r>
      <w:r w:rsidRPr="00980AF4">
        <w:rPr>
          <w:rFonts w:ascii="Sylfaen" w:eastAsia="Arial Unicode MS" w:hAnsi="Sylfaen" w:cs="Arial Unicode MS"/>
          <w:sz w:val="20"/>
          <w:szCs w:val="20"/>
        </w:rPr>
        <w:t>მოდ</w:t>
      </w:r>
      <w:r w:rsidRPr="00980AF4">
        <w:rPr>
          <w:rFonts w:ascii="Sylfaen" w:eastAsia="Arial Unicode MS" w:hAnsi="Sylfaen" w:cs="Arial Unicode MS"/>
          <w:sz w:val="20"/>
          <w:szCs w:val="20"/>
        </w:rPr>
        <w:t>ულის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980AF4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980AF4">
        <w:rPr>
          <w:rFonts w:ascii="Sylfaen" w:eastAsia="Arial Unicode MS" w:hAnsi="Sylfaen" w:cs="Arial Unicode MS"/>
          <w:sz w:val="20"/>
          <w:szCs w:val="20"/>
        </w:rPr>
        <w:t>.</w:t>
      </w:r>
    </w:p>
    <w:p w:rsidR="007D2407" w:rsidRPr="00980AF4" w:rsidRDefault="00E57169" w:rsidP="00980AF4">
      <w:pPr>
        <w:spacing w:before="120" w:after="20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jdgxs" w:colFirst="0" w:colLast="0"/>
      <w:bookmarkEnd w:id="0"/>
      <w:r w:rsidRPr="00980AF4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980AF4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4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7D2407" w:rsidRPr="00980AF4">
        <w:tc>
          <w:tcPr>
            <w:tcW w:w="520" w:type="dxa"/>
            <w:shd w:val="clear" w:color="auto" w:fill="auto"/>
          </w:tcPr>
          <w:p w:rsidR="007D2407" w:rsidRPr="00980AF4" w:rsidRDefault="00E57169" w:rsidP="00980AF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407" w:rsidRPr="00980AF4" w:rsidRDefault="00E57169" w:rsidP="00980AF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407" w:rsidRPr="00980AF4" w:rsidRDefault="00E57169" w:rsidP="00980AF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7D2407" w:rsidRPr="00980AF4">
        <w:tc>
          <w:tcPr>
            <w:tcW w:w="520" w:type="dxa"/>
            <w:shd w:val="clear" w:color="auto" w:fill="auto"/>
          </w:tcPr>
          <w:p w:rsidR="007D2407" w:rsidRPr="00980AF4" w:rsidRDefault="00E57169" w:rsidP="00980AF4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7D2407" w:rsidRPr="00980AF4" w:rsidRDefault="00E57169" w:rsidP="00980AF4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407" w:rsidRPr="00980AF4" w:rsidRDefault="00E57169" w:rsidP="00980AF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7D2407" w:rsidRPr="00980AF4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407" w:rsidRPr="00980AF4" w:rsidRDefault="00E57169" w:rsidP="00980AF4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407" w:rsidRPr="00980AF4" w:rsidRDefault="00E57169" w:rsidP="00980AF4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80AF4">
              <w:rPr>
                <w:rFonts w:ascii="Sylfaen" w:hAnsi="Sylfaen"/>
                <w:sz w:val="20"/>
                <w:szCs w:val="20"/>
              </w:rPr>
              <w:t>ნინო</w:t>
            </w:r>
            <w:r w:rsidRPr="00980AF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80AF4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2407" w:rsidRPr="00980AF4" w:rsidRDefault="00E57169" w:rsidP="00980AF4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980AF4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7D2407" w:rsidRPr="00980AF4" w:rsidRDefault="007D2407" w:rsidP="00980AF4">
      <w:pPr>
        <w:spacing w:after="20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7D2407" w:rsidRPr="00980AF4" w:rsidRDefault="007D2407" w:rsidP="00980AF4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oBack"/>
      <w:bookmarkEnd w:id="1"/>
    </w:p>
    <w:sectPr w:rsidR="007D2407" w:rsidRPr="00980AF4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69" w:rsidRDefault="00E57169">
      <w:pPr>
        <w:spacing w:after="0" w:line="240" w:lineRule="auto"/>
      </w:pPr>
      <w:r>
        <w:separator/>
      </w:r>
    </w:p>
  </w:endnote>
  <w:endnote w:type="continuationSeparator" w:id="0">
    <w:p w:rsidR="00E57169" w:rsidRDefault="00E5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07" w:rsidRDefault="00E57169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980AF4">
      <w:fldChar w:fldCharType="separate"/>
    </w:r>
    <w:r w:rsidR="00980AF4">
      <w:rPr>
        <w:noProof/>
      </w:rPr>
      <w:t>13</w:t>
    </w:r>
    <w:r>
      <w:fldChar w:fldCharType="end"/>
    </w:r>
  </w:p>
  <w:p w:rsidR="007D2407" w:rsidRDefault="007D2407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69" w:rsidRDefault="00E57169">
      <w:pPr>
        <w:spacing w:after="0" w:line="240" w:lineRule="auto"/>
      </w:pPr>
      <w:r>
        <w:separator/>
      </w:r>
    </w:p>
  </w:footnote>
  <w:footnote w:type="continuationSeparator" w:id="0">
    <w:p w:rsidR="00E57169" w:rsidRDefault="00E57169">
      <w:pPr>
        <w:spacing w:after="0" w:line="240" w:lineRule="auto"/>
      </w:pPr>
      <w:r>
        <w:continuationSeparator/>
      </w:r>
    </w:p>
  </w:footnote>
  <w:footnote w:id="1">
    <w:p w:rsidR="007D2407" w:rsidRDefault="00E571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2">
    <w:p w:rsidR="007D2407" w:rsidRDefault="00E571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3">
    <w:p w:rsidR="007D2407" w:rsidRDefault="00E571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მანიპულაციის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ჩატარების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ტექნიკის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4">
    <w:p w:rsidR="007D2407" w:rsidRDefault="00E571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დახარისხებისას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5">
    <w:p w:rsidR="007D2407" w:rsidRDefault="00E57169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საველე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ტრიაჟისას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/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გარეშე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07" w:rsidRDefault="007D2407">
    <w:pPr>
      <w:tabs>
        <w:tab w:val="center" w:pos="4680"/>
        <w:tab w:val="right" w:pos="9360"/>
      </w:tabs>
      <w:spacing w:after="0" w:line="240" w:lineRule="auto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1B3D"/>
    <w:multiLevelType w:val="multilevel"/>
    <w:tmpl w:val="475A9E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5A49"/>
    <w:multiLevelType w:val="multilevel"/>
    <w:tmpl w:val="BA2CB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503317"/>
    <w:multiLevelType w:val="multilevel"/>
    <w:tmpl w:val="670484A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227217"/>
    <w:multiLevelType w:val="multilevel"/>
    <w:tmpl w:val="5680CE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C212C8"/>
    <w:multiLevelType w:val="multilevel"/>
    <w:tmpl w:val="47726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7DCC5ED2"/>
    <w:multiLevelType w:val="multilevel"/>
    <w:tmpl w:val="AFF85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2407"/>
    <w:rsid w:val="007D2407"/>
    <w:rsid w:val="00980AF4"/>
    <w:rsid w:val="00E5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21272-6419-4D82-9F5D-8ED9C15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04" w:lineRule="auto"/>
      <w:contextualSpacing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2753</Words>
  <Characters>15698</Characters>
  <Application>Microsoft Office Word</Application>
  <DocSecurity>0</DocSecurity>
  <Lines>130</Lines>
  <Paragraphs>36</Paragraphs>
  <ScaleCrop>false</ScaleCrop>
  <Company/>
  <LinksUpToDate>false</LinksUpToDate>
  <CharactersWithSpaces>18415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2017-12-04T08:45:00Z</dcterms:created>
  <dcterms:modified xsi:type="dcterms:W3CDTF">2017-12-04T08:46:00Z</dcterms:modified>
</cp:coreProperties>
</file>