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B8" w:rsidRPr="003C2A6A" w:rsidRDefault="00020D3C" w:rsidP="003C2A6A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</w:t>
      </w: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1.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ზოგადი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617FB8" w:rsidRPr="003C2A6A">
        <w:trPr>
          <w:trHeight w:val="440"/>
        </w:trPr>
        <w:tc>
          <w:tcPr>
            <w:tcW w:w="7357" w:type="dxa"/>
          </w:tcPr>
          <w:p w:rsidR="00617FB8" w:rsidRPr="003C2A6A" w:rsidRDefault="00020D3C" w:rsidP="003C2A6A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სარეგისტრაციო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ნომერი</w:t>
            </w:r>
          </w:p>
        </w:tc>
        <w:tc>
          <w:tcPr>
            <w:tcW w:w="7321" w:type="dxa"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20"/>
        </w:trPr>
        <w:tc>
          <w:tcPr>
            <w:tcW w:w="7357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სახელწოდება</w:t>
            </w:r>
          </w:p>
        </w:tc>
        <w:tc>
          <w:tcPr>
            <w:tcW w:w="7321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2 -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</w:p>
        </w:tc>
      </w:tr>
      <w:tr w:rsidR="00617FB8" w:rsidRPr="003C2A6A">
        <w:trPr>
          <w:trHeight w:val="420"/>
        </w:trPr>
        <w:tc>
          <w:tcPr>
            <w:tcW w:w="7357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გამოქვეყნების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თარიღი</w:t>
            </w:r>
          </w:p>
        </w:tc>
        <w:tc>
          <w:tcPr>
            <w:tcW w:w="7321" w:type="dxa"/>
          </w:tcPr>
          <w:p w:rsidR="00617FB8" w:rsidRPr="003C2A6A" w:rsidRDefault="00617FB8" w:rsidP="003C2A6A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20"/>
        </w:trPr>
        <w:tc>
          <w:tcPr>
            <w:tcW w:w="7357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მოცულობა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კრედიტებში</w:t>
            </w:r>
          </w:p>
        </w:tc>
        <w:tc>
          <w:tcPr>
            <w:tcW w:w="7321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</w:tr>
      <w:tr w:rsidR="00617FB8" w:rsidRPr="003C2A6A">
        <w:trPr>
          <w:trHeight w:val="420"/>
        </w:trPr>
        <w:tc>
          <w:tcPr>
            <w:tcW w:w="7357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მოდულზე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დაშვების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წინაპირობა</w:t>
            </w:r>
          </w:p>
        </w:tc>
        <w:tc>
          <w:tcPr>
            <w:tcW w:w="7321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</w:p>
        </w:tc>
      </w:tr>
      <w:tr w:rsidR="00617FB8" w:rsidRPr="003C2A6A">
        <w:trPr>
          <w:trHeight w:val="1280"/>
        </w:trPr>
        <w:tc>
          <w:tcPr>
            <w:tcW w:w="7357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აღწერა</w:t>
            </w:r>
          </w:p>
        </w:tc>
        <w:tc>
          <w:tcPr>
            <w:tcW w:w="7321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მოდულის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დასრულების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შემდეგ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შეუძლია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ინფექციური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ჰემატოლოგიური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ნევროლოგიური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ორგანოების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რევმატოლოგიური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ზოგადი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ზედამხედველობის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</w:tbl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3C2A6A" w:rsidRPr="003C2A6A" w:rsidRDefault="003C2A6A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020D3C" w:rsidP="003C2A6A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lastRenderedPageBreak/>
        <w:t xml:space="preserve">2.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სტანდარტული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4767"/>
        <w:gridCol w:w="4744"/>
        <w:gridCol w:w="2089"/>
      </w:tblGrid>
      <w:tr w:rsidR="00617FB8" w:rsidRPr="003C2A6A">
        <w:trPr>
          <w:trHeight w:val="1100"/>
          <w:jc w:val="center"/>
        </w:trPr>
        <w:tc>
          <w:tcPr>
            <w:tcW w:w="3068" w:type="dxa"/>
            <w:shd w:val="clear" w:color="auto" w:fill="DEEBF6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  <w:p w:rsidR="00617FB8" w:rsidRPr="003C2A6A" w:rsidRDefault="00617FB8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shd w:val="clear" w:color="auto" w:fill="DEEBF6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კრიტერიუმები</w:t>
            </w:r>
          </w:p>
        </w:tc>
        <w:tc>
          <w:tcPr>
            <w:tcW w:w="4744" w:type="dxa"/>
            <w:shd w:val="clear" w:color="auto" w:fill="DEEBF6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კომპეტენციის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პარამეტრების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ფარგლები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br/>
            </w:r>
          </w:p>
        </w:tc>
        <w:tc>
          <w:tcPr>
            <w:tcW w:w="2089" w:type="dxa"/>
            <w:shd w:val="clear" w:color="auto" w:fill="DEEBF6"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მიმართულება</w:t>
            </w:r>
          </w:p>
        </w:tc>
      </w:tr>
      <w:tr w:rsidR="00617FB8" w:rsidRPr="003C2A6A">
        <w:trPr>
          <w:trHeight w:val="104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1.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კარდიოვასკულარული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 w:val="restart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  <w:vertAlign w:val="superscript"/>
              </w:rPr>
              <w:footnoteReference w:id="1"/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2"/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სასიცოცხლო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საანალიზე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ფერი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სინოტივე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ტემპერატურა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კაპილარული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ავსებადობის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შესრულებაში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მოყვანა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ვიბრაციულ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პერკუსიული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მასაჟი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სითხის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ბალანსის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დათვლა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ცნობიერების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ინტრავენური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ბოლუსი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ინფუზიური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ტიტრაცია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#IV-300/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ექიმის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ითი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617FB8" w:rsidRPr="003C2A6A" w:rsidRDefault="00020D3C" w:rsidP="003C2A6A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პრაქტიკული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617FB8" w:rsidRPr="003C2A6A" w:rsidRDefault="00617FB8" w:rsidP="003C2A6A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104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2.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ინფექციური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tcBorders>
              <w:bottom w:val="single" w:sz="4" w:space="0" w:color="000000"/>
            </w:tcBorders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ინფექციური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104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პულმონოლოგიური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</w:tc>
        <w:tc>
          <w:tcPr>
            <w:tcW w:w="4767" w:type="dxa"/>
            <w:tcBorders>
              <w:bottom w:val="single" w:sz="4" w:space="0" w:color="000000"/>
            </w:tcBorders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52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ნეფროლოგიური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tcBorders>
              <w:top w:val="single" w:sz="4" w:space="0" w:color="000000"/>
            </w:tcBorders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52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5.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გასტროენტეროლოგიური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520"/>
          <w:jc w:val="center"/>
        </w:trPr>
        <w:tc>
          <w:tcPr>
            <w:tcW w:w="3068" w:type="dxa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6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ჰემატოლოგიური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shd w:val="clear" w:color="auto" w:fill="auto"/>
          </w:tcPr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ჰემატოლოგიური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7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580"/>
          <w:jc w:val="center"/>
        </w:trPr>
        <w:tc>
          <w:tcPr>
            <w:tcW w:w="3068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7.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ნევროლოგიური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ორგანოების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</w:tcPr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ნევროლოგიურ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ორგანოების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8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20"/>
          <w:jc w:val="center"/>
        </w:trPr>
        <w:tc>
          <w:tcPr>
            <w:tcW w:w="3068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8.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ონკოლოგიური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</w:tc>
        <w:tc>
          <w:tcPr>
            <w:tcW w:w="4767" w:type="dxa"/>
          </w:tcPr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20"/>
          <w:jc w:val="center"/>
        </w:trPr>
        <w:tc>
          <w:tcPr>
            <w:tcW w:w="3068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რევმატოლოგიური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</w:tc>
        <w:tc>
          <w:tcPr>
            <w:tcW w:w="4767" w:type="dxa"/>
          </w:tcPr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რევმატოიდული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20"/>
          <w:jc w:val="center"/>
        </w:trPr>
        <w:tc>
          <w:tcPr>
            <w:tcW w:w="3068" w:type="dxa"/>
            <w:tcBorders>
              <w:bottom w:val="single" w:sz="4" w:space="0" w:color="000000"/>
            </w:tcBorders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10.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ენდოკრინოლოგიური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tcBorders>
              <w:bottom w:val="single" w:sz="4" w:space="0" w:color="000000"/>
            </w:tcBorders>
          </w:tcPr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100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11.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ზოგადი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ზოგადი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;</w:t>
            </w:r>
          </w:p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744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089" w:type="dxa"/>
            <w:vMerge/>
            <w:vAlign w:val="center"/>
          </w:tcPr>
          <w:p w:rsidR="00617FB8" w:rsidRPr="003C2A6A" w:rsidRDefault="00617FB8" w:rsidP="003C2A6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tbl>
      <w:tblPr>
        <w:tblStyle w:val="a1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4890"/>
        <w:gridCol w:w="4605"/>
        <w:gridCol w:w="2040"/>
      </w:tblGrid>
      <w:tr w:rsidR="00617FB8" w:rsidRPr="003C2A6A">
        <w:trPr>
          <w:trHeight w:val="7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12.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ხანდაზმულ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ასაკობრივ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ცვლილელებს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ხანდაზმული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ადამიანის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ნერვოლოგიურ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ორგანოებთან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რესპირატორულ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გასტროენტერალურ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ძვალსახსროვან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სისტემასა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კოგნიტურ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პათოლოგიებს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9"/>
              </w:numPr>
              <w:tabs>
                <w:tab w:val="left" w:pos="269"/>
              </w:tabs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numPr>
                <w:ilvl w:val="0"/>
                <w:numId w:val="9"/>
              </w:numPr>
              <w:tabs>
                <w:tab w:val="left" w:pos="269"/>
              </w:tabs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</w:p>
          <w:p w:rsidR="00617FB8" w:rsidRPr="003C2A6A" w:rsidRDefault="00020D3C" w:rsidP="003C2A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ნევროლოგიური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მწვავე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მენტალური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ფიქრი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ყურადღბის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გაფანტვა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დიზორიენტაცია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ხანმოკლე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მეხსიერების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მოტორული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დარღვევა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დეპრესია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ემოციური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გარემოს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იგულისხმება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საცხოვრებლის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შეცვლა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რეჰოსპიტალიზაცია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დისბალანსი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ინფექციები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ოქსიგენაციის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ორგანოები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მხედველობა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ახლო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მხედველობა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შორს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მხედველობა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მხედველობის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გლაუკომა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საცმრემლე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ჯირკვლის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სეკრეციის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სმენის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გემოვნების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შეგრძნების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ყნოსვის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შეხების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შეგრძნების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კარდიო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ვასკულარული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სისხლძარღვოვანი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გულს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კუნთის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სარქველის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კომპენსატორული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მექანიზმების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რესპირატორული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ტრაქტი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ფილტვების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ელასტიურობა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სასუნთქი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მოცულობის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ფილტვის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არასრული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გაშლა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ფილტვ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არასრული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გაშლა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ფუძის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მიდამოში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უცხო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სხეულის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ამოღების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სეკრეციის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არაეფექტური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ხველა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;PO2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10-15%-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ქრონიკული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ობსტრუქციული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ფილტვების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ხანდაზმულ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გასტროინტესტინალური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კბილები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ღრუს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არასათანადო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ნერწყვის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ნერწყვში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ფტიალინის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საყლაპავ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ასპირაციის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კუჭის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ფერმენტების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მსხვილი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წვრილი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ნაწლავის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ატროფია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შარდ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სტემასთან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თირკმლის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პირველადი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პროდუქციის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რეარფსორფსიის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გაომყოფის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სიხშირე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პრობლემები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გართულება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მამაკაცის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ტესტოსტერონის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სპერმისდაქვეითება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ქალის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ორგანოების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ესტროგენის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სარძევე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ჯირკვლების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ვაგინიტის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სიხშირის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მომატება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ძვალ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სასხსროვანი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კუნთოვანი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ტრემო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ფასციკულაციები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ძვლოვანი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ხრტილოვანი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გაძვალება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ოსტეოპოროზი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კანთან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ელასტიურობა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ტურგორი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სუფკუტანური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დეპრესია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იმუნურ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სისტემასთან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ბუნებრივი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ანტისხეულების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აუტო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იმუნური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პროგრესია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ენდოკრინული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სისტემასთან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ჰიპოფიზის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ჯირკვალთან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ფარისებრ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ჯირკვალთან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პანკრეასთან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კვერცხეებთან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მენოპაუზა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).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კოგნიტური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მეხსიერებასთან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ცვლილება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მეხსიერება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მეხსიერება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3"/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617FB8" w:rsidRPr="003C2A6A" w:rsidRDefault="00020D3C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#IV-300/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617FB8" w:rsidP="003C2A6A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დიცინო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617FB8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617FB8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020D3C" w:rsidP="003C2A6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დამხმარე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617FB8" w:rsidRPr="003C2A6A" w:rsidRDefault="00020D3C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3.1.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შეფასების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ორგანიზებისთვის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</w:p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tbl>
      <w:tblPr>
        <w:tblStyle w:val="a2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4078"/>
        <w:gridCol w:w="2203"/>
        <w:gridCol w:w="4101"/>
        <w:gridCol w:w="3283"/>
      </w:tblGrid>
      <w:tr w:rsidR="00617FB8" w:rsidRPr="003C2A6A">
        <w:trPr>
          <w:trHeight w:val="600"/>
        </w:trPr>
        <w:tc>
          <w:tcPr>
            <w:tcW w:w="1003" w:type="dxa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</w:p>
        </w:tc>
        <w:tc>
          <w:tcPr>
            <w:tcW w:w="4078" w:type="dxa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თემატიკა</w:t>
            </w:r>
          </w:p>
        </w:tc>
        <w:tc>
          <w:tcPr>
            <w:tcW w:w="2203" w:type="dxa"/>
            <w:vAlign w:val="center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სწავლება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-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</w:t>
            </w:r>
          </w:p>
        </w:tc>
        <w:tc>
          <w:tcPr>
            <w:tcW w:w="4101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აღწერილობა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28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პორტფოლიოში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განთავსებული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მტკიცებულებები</w:t>
            </w:r>
          </w:p>
        </w:tc>
      </w:tr>
      <w:tr w:rsidR="00617FB8" w:rsidRPr="003C2A6A">
        <w:trPr>
          <w:trHeight w:val="13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078" w:type="dxa"/>
            <w:vMerge w:val="restart"/>
            <w:shd w:val="clear" w:color="auto" w:fill="auto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დგომი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სასიცოცხლო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ნალიზე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მდგომარეობაზე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ფერი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სინოტივე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ტემპერატურა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კაპილარული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ავსებადობის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მოყვანა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ვიბრაციულ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პერკუსიული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მასაჟი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სითხის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ბალანსის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დათვლა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ცნობიერების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ინტრავე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ბოლუსი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ინფუზიური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ტიტრაცია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#IV-300/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lastRenderedPageBreak/>
              <w:t>ირებული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020D3C" w:rsidP="003C2A6A">
            <w:pPr>
              <w:numPr>
                <w:ilvl w:val="0"/>
                <w:numId w:val="11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ტთა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3C2A6A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ფიქრი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ყურადღბის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გაფანტვა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დიზორიენტაცია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ხანმოკლე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იგულისხმება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რეჰოსპიტალიზაცია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გრძნობათა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ორგანოები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ახლო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მხედვე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ლობა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ველის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გლაუკომასთან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საცმრემლე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ჯირკვლის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ყნოსვის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შეხების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სისხ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ლძარღვოვანი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გულს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კუნთის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კომპენსატორული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რესპირატორული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ტრაქტი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ფუძის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მიდამოში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არაეფექტური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;PO2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10-15%-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გასტროინტესტინალური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ნერწყვის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ნერწყვში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ფტიალინის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საყლაპავ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მილთან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ასპირაციის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კუჭის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მსხვილი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წვრილი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ნაწლავის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ატროფია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რეარფსორფსიის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გაომყოფის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მამაკაცის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ტესტოსტერონის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სპერმისდაქვეითება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სასქესო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ესტროგენის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სარძევე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ჯირკვლების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ვაგინიტის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ძვალ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სასხსროვანი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ტრემორი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ფასციკულაციები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ძვლოვანი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ხრტილოვანი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გაძვალება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ოსტეოპოროზი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სუფკუტანური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იმუნურ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ბუნებრივი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ტისხეულების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აუტო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პროგრესია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ჰიპოფიზის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ფარისებრ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პანკრეასთან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საკვერცხეებთან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მენოპაუზა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კოგნიტური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მეხსიერებასთან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მეცადინეობა</w:t>
            </w:r>
          </w:p>
          <w:p w:rsidR="00617FB8" w:rsidRPr="003C2A6A" w:rsidRDefault="00020D3C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 w:val="restart"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numPr>
                <w:ilvl w:val="0"/>
                <w:numId w:val="1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განესაზღვრება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პრაქტიკული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დავალება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,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პროცესსაც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აკვირდება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განათლების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მასწავლებელი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პროცესში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ხდება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კითხვარის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შევსება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55%-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უპასუხა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numPr>
                <w:ilvl w:val="0"/>
                <w:numId w:val="20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რეფლექსია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გამსვლელი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ზღვარი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5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5 %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 w:val="restart"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617FB8" w:rsidRPr="003C2A6A" w:rsidRDefault="00020D3C" w:rsidP="003C2A6A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დაწესებულების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წარმომადგენლის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ჩანაწერი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წერილობითი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617FB8" w:rsidRPr="003C2A6A" w:rsidRDefault="00020D3C" w:rsidP="003C2A6A">
            <w:pPr>
              <w:numPr>
                <w:ilvl w:val="0"/>
                <w:numId w:val="1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შესრულებული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ნამუშევარი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რომელიც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ადასტურებს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ცოდნას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კომპეტენციას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3</w:t>
            </w: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40"/>
        </w:trPr>
        <w:tc>
          <w:tcPr>
            <w:tcW w:w="1003" w:type="dxa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60"/>
        </w:trPr>
        <w:tc>
          <w:tcPr>
            <w:tcW w:w="1003" w:type="dxa"/>
          </w:tcPr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8. 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760"/>
        </w:trPr>
        <w:tc>
          <w:tcPr>
            <w:tcW w:w="1003" w:type="dxa"/>
          </w:tcPr>
          <w:p w:rsidR="00617FB8" w:rsidRPr="003C2A6A" w:rsidRDefault="00020D3C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9.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960"/>
        </w:trPr>
        <w:tc>
          <w:tcPr>
            <w:tcW w:w="1003" w:type="dxa"/>
          </w:tcPr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10.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480"/>
        </w:trPr>
        <w:tc>
          <w:tcPr>
            <w:tcW w:w="1003" w:type="dxa"/>
          </w:tcPr>
          <w:p w:rsidR="00617FB8" w:rsidRPr="003C2A6A" w:rsidRDefault="00020D3C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11.</w:t>
            </w: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12.</w:t>
            </w:r>
          </w:p>
        </w:tc>
        <w:tc>
          <w:tcPr>
            <w:tcW w:w="4078" w:type="dxa"/>
            <w:vMerge/>
            <w:shd w:val="clear" w:color="auto" w:fill="auto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03" w:type="dxa"/>
            <w:vMerge/>
            <w:vAlign w:val="center"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101" w:type="dxa"/>
            <w:vMerge/>
          </w:tcPr>
          <w:p w:rsidR="00617FB8" w:rsidRPr="003C2A6A" w:rsidRDefault="00617FB8" w:rsidP="003C2A6A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vMerge/>
          </w:tcPr>
          <w:p w:rsidR="00617FB8" w:rsidRPr="003C2A6A" w:rsidRDefault="00617FB8" w:rsidP="003C2A6A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20"/>
        </w:trPr>
        <w:tc>
          <w:tcPr>
            <w:tcW w:w="14668" w:type="dxa"/>
            <w:gridSpan w:val="5"/>
          </w:tcPr>
          <w:p w:rsidR="00617FB8" w:rsidRPr="003C2A6A" w:rsidRDefault="00020D3C" w:rsidP="003C2A6A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მოდულის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განხორციელებასთან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დაკავშირებით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დამატებითი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რეკომენდაციები</w:t>
            </w:r>
          </w:p>
          <w:p w:rsidR="00617FB8" w:rsidRPr="003C2A6A" w:rsidRDefault="00020D3C" w:rsidP="003C2A6A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(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საჭიროების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შემთხვევაში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)</w:t>
            </w:r>
          </w:p>
          <w:p w:rsidR="00617FB8" w:rsidRPr="003C2A6A" w:rsidRDefault="00617FB8" w:rsidP="003C2A6A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3.2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საათების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განაწილების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სარეკომენდაციო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სქემა</w:t>
      </w:r>
    </w:p>
    <w:tbl>
      <w:tblPr>
        <w:tblStyle w:val="a3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617FB8" w:rsidRPr="003C2A6A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საათების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განაწილება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მიხედვით</w:t>
            </w:r>
          </w:p>
        </w:tc>
      </w:tr>
      <w:tr w:rsidR="00617FB8" w:rsidRPr="003C2A6A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</w:tr>
      <w:tr w:rsidR="00617FB8" w:rsidRPr="003C2A6A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8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rPr>
          <w:trHeight w:val="8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9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617FB8" w:rsidRPr="003C2A6A">
        <w:trPr>
          <w:trHeight w:val="66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10</w:t>
            </w:r>
          </w:p>
          <w:p w:rsidR="00617FB8" w:rsidRPr="003C2A6A" w:rsidRDefault="00617FB8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617FB8" w:rsidRPr="003C2A6A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11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617FB8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10</w:t>
            </w:r>
          </w:p>
        </w:tc>
      </w:tr>
      <w:tr w:rsidR="00617FB8" w:rsidRPr="003C2A6A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52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FB8" w:rsidRPr="003C2A6A" w:rsidRDefault="00020D3C" w:rsidP="003C2A6A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100</w:t>
            </w:r>
          </w:p>
        </w:tc>
      </w:tr>
    </w:tbl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3.3.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სასწავლო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რესურსი</w:t>
      </w: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3C2A6A">
        <w:rPr>
          <w:rFonts w:ascii="Sylfaen" w:eastAsia="Merriweather" w:hAnsi="Sylfaen" w:cs="Merriweather"/>
          <w:sz w:val="20"/>
          <w:szCs w:val="20"/>
          <w:highlight w:val="white"/>
        </w:rPr>
        <w:t xml:space="preserve">1. Therapeutic Nursing: Improving Patient Care through Self-Awareness </w:t>
      </w:r>
      <w:r w:rsidRPr="003C2A6A">
        <w:rPr>
          <w:rFonts w:ascii="Sylfaen" w:eastAsia="Merriweather" w:hAnsi="Sylfaen" w:cs="Merriweather"/>
          <w:sz w:val="20"/>
          <w:szCs w:val="20"/>
          <w:highlight w:val="white"/>
        </w:rPr>
        <w:t>and Reflection, Freshwater, Dawn</w:t>
      </w: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3.4.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სპეციალური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 (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სსსმ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შეზღუდული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შესაძლებლობების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მქონე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(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შშმ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პროფესიული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სტუდენტების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სწავლებისათვის</w:t>
      </w:r>
    </w:p>
    <w:p w:rsidR="00617FB8" w:rsidRPr="003C2A6A" w:rsidRDefault="00020D3C" w:rsidP="003C2A6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შემთხვევაში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დაწესებულების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მიერ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მუშავდება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რომელიც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ეფუძნება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მოდულს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წარმოადგენს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მოდიფიკა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ციას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(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თვისობრივ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რაოდენობრივ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აკომოდაციას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(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სწავლებისა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მიდგომებში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გარეშე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შესაბამისად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აზუსტებს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პროფე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სიული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დამატებით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მომსახურებას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</w:p>
    <w:p w:rsidR="00617FB8" w:rsidRPr="003C2A6A" w:rsidRDefault="00617FB8" w:rsidP="003C2A6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p w:rsidR="00617FB8" w:rsidRPr="003C2A6A" w:rsidRDefault="00020D3C" w:rsidP="003C2A6A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გამოიყენება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როგორც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სახელმძღვანელო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პროცესის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განხორციელებისთვის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გეგმის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ფარგლებში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მიმდინარე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ხორციელდება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ინდივიდუალურად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განსაზღვრულ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შედეგებთან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ხოლო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საბოლოო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კრედიტების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მინიჭება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-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მოდ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ულის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მოთხოვნებთან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მიმართებით</w:t>
      </w:r>
      <w:r w:rsidRPr="003C2A6A">
        <w:rPr>
          <w:rFonts w:ascii="Sylfaen" w:eastAsia="Arial Unicode MS" w:hAnsi="Sylfaen" w:cs="Arial Unicode MS"/>
          <w:sz w:val="20"/>
          <w:szCs w:val="20"/>
          <w:highlight w:val="white"/>
        </w:rPr>
        <w:t>.</w:t>
      </w: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020D3C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0" w:name="_gjdgxs" w:colFirst="0" w:colLast="0"/>
      <w:bookmarkEnd w:id="0"/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lastRenderedPageBreak/>
        <w:t>მოდულის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შემუშავებაში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მონაწილე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პირი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/</w:t>
      </w:r>
      <w:r w:rsidRPr="003C2A6A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პირები</w:t>
      </w:r>
    </w:p>
    <w:tbl>
      <w:tblPr>
        <w:tblStyle w:val="a4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617FB8" w:rsidRPr="003C2A6A">
        <w:tc>
          <w:tcPr>
            <w:tcW w:w="520" w:type="dxa"/>
            <w:shd w:val="clear" w:color="auto" w:fill="auto"/>
          </w:tcPr>
          <w:p w:rsidR="00617FB8" w:rsidRPr="003C2A6A" w:rsidRDefault="00020D3C" w:rsidP="003C2A6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Nova Mono" w:hAnsi="Sylfaen" w:cs="Nova Mono"/>
                <w:b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სახელი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ორგანიზაცია</w:t>
            </w:r>
          </w:p>
        </w:tc>
      </w:tr>
      <w:tr w:rsidR="00617FB8" w:rsidRPr="003C2A6A">
        <w:tc>
          <w:tcPr>
            <w:tcW w:w="520" w:type="dxa"/>
            <w:shd w:val="clear" w:color="auto" w:fill="auto"/>
          </w:tcPr>
          <w:p w:rsidR="00617FB8" w:rsidRPr="003C2A6A" w:rsidRDefault="00020D3C" w:rsidP="003C2A6A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617FB8" w:rsidRPr="003C2A6A" w:rsidRDefault="00020D3C" w:rsidP="003C2A6A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თამარ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617FB8" w:rsidRPr="003C2A6A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>ნინო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hAnsi="Sylfaen"/>
                <w:sz w:val="20"/>
                <w:szCs w:val="20"/>
                <w:highlight w:val="white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020D3C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“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3C2A6A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617FB8" w:rsidRPr="003C2A6A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617FB8" w:rsidP="003C2A6A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white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617FB8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FB8" w:rsidRPr="003C2A6A" w:rsidRDefault="00617FB8" w:rsidP="003C2A6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617FB8" w:rsidRPr="003C2A6A" w:rsidRDefault="00617FB8" w:rsidP="003C2A6A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p w:rsidR="00617FB8" w:rsidRPr="003C2A6A" w:rsidRDefault="00617FB8" w:rsidP="003C2A6A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617FB8" w:rsidRPr="003C2A6A" w:rsidRDefault="00617FB8" w:rsidP="003C2A6A">
      <w:pPr>
        <w:spacing w:line="240" w:lineRule="auto"/>
        <w:jc w:val="both"/>
        <w:rPr>
          <w:rFonts w:ascii="Sylfaen" w:hAnsi="Sylfaen"/>
          <w:sz w:val="20"/>
          <w:szCs w:val="20"/>
          <w:highlight w:val="white"/>
        </w:rPr>
      </w:pPr>
      <w:bookmarkStart w:id="1" w:name="_GoBack"/>
      <w:bookmarkEnd w:id="1"/>
    </w:p>
    <w:sectPr w:rsidR="00617FB8" w:rsidRPr="003C2A6A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3C" w:rsidRDefault="00020D3C">
      <w:pPr>
        <w:spacing w:after="0" w:line="240" w:lineRule="auto"/>
      </w:pPr>
      <w:r>
        <w:separator/>
      </w:r>
    </w:p>
  </w:endnote>
  <w:endnote w:type="continuationSeparator" w:id="0">
    <w:p w:rsidR="00020D3C" w:rsidRDefault="0002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8" w:rsidRDefault="00020D3C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3C2A6A">
      <w:fldChar w:fldCharType="separate"/>
    </w:r>
    <w:r w:rsidR="003C2A6A">
      <w:rPr>
        <w:noProof/>
      </w:rPr>
      <w:t>20</w:t>
    </w:r>
    <w:r>
      <w:fldChar w:fldCharType="end"/>
    </w:r>
  </w:p>
  <w:p w:rsidR="00617FB8" w:rsidRDefault="00617FB8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3C" w:rsidRDefault="00020D3C">
      <w:pPr>
        <w:spacing w:after="0" w:line="240" w:lineRule="auto"/>
      </w:pPr>
      <w:r>
        <w:separator/>
      </w:r>
    </w:p>
  </w:footnote>
  <w:footnote w:type="continuationSeparator" w:id="0">
    <w:p w:rsidR="00020D3C" w:rsidRDefault="00020D3C">
      <w:pPr>
        <w:spacing w:after="0" w:line="240" w:lineRule="auto"/>
      </w:pPr>
      <w:r>
        <w:continuationSeparator/>
      </w:r>
    </w:p>
  </w:footnote>
  <w:footnote w:id="1">
    <w:p w:rsidR="00617FB8" w:rsidRDefault="00020D3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2">
    <w:p w:rsidR="00617FB8" w:rsidRDefault="00020D3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3">
    <w:p w:rsidR="00617FB8" w:rsidRDefault="00020D3C">
      <w:pPr>
        <w:spacing w:after="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617FB8" w:rsidRDefault="00617FB8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:rsidR="00617FB8" w:rsidRDefault="00617FB8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8" w:rsidRDefault="00617FB8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8C1"/>
    <w:multiLevelType w:val="multilevel"/>
    <w:tmpl w:val="02B8A5A4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A9E"/>
    <w:multiLevelType w:val="multilevel"/>
    <w:tmpl w:val="A7807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033CA5"/>
    <w:multiLevelType w:val="multilevel"/>
    <w:tmpl w:val="95626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C66618"/>
    <w:multiLevelType w:val="multilevel"/>
    <w:tmpl w:val="0422F7C6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02EE4"/>
    <w:multiLevelType w:val="multilevel"/>
    <w:tmpl w:val="48A8E910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D52"/>
    <w:multiLevelType w:val="multilevel"/>
    <w:tmpl w:val="7CFEB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6AF7954"/>
    <w:multiLevelType w:val="multilevel"/>
    <w:tmpl w:val="BB7C2AD4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1010"/>
    <w:multiLevelType w:val="multilevel"/>
    <w:tmpl w:val="E912D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516DDB"/>
    <w:multiLevelType w:val="multilevel"/>
    <w:tmpl w:val="6D1A18A8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779"/>
    <w:multiLevelType w:val="multilevel"/>
    <w:tmpl w:val="C8D8A9AC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56EE"/>
    <w:multiLevelType w:val="multilevel"/>
    <w:tmpl w:val="3B8A6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3459A2"/>
    <w:multiLevelType w:val="multilevel"/>
    <w:tmpl w:val="DC6A5E46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60191"/>
    <w:multiLevelType w:val="multilevel"/>
    <w:tmpl w:val="96CEFE08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1795"/>
    <w:multiLevelType w:val="multilevel"/>
    <w:tmpl w:val="A3C2F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B82CEC"/>
    <w:multiLevelType w:val="multilevel"/>
    <w:tmpl w:val="4B0A4C14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4389C"/>
    <w:multiLevelType w:val="multilevel"/>
    <w:tmpl w:val="F77A862A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847"/>
    <w:multiLevelType w:val="multilevel"/>
    <w:tmpl w:val="AC3030DA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405E"/>
    <w:multiLevelType w:val="multilevel"/>
    <w:tmpl w:val="29C6E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2840999"/>
    <w:multiLevelType w:val="multilevel"/>
    <w:tmpl w:val="B9C2B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6F14912"/>
    <w:multiLevelType w:val="multilevel"/>
    <w:tmpl w:val="E584768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9"/>
  </w:num>
  <w:num w:numId="7">
    <w:abstractNumId w:val="11"/>
  </w:num>
  <w:num w:numId="8">
    <w:abstractNumId w:val="3"/>
  </w:num>
  <w:num w:numId="9">
    <w:abstractNumId w:val="5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9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FB8"/>
    <w:rsid w:val="00020D3C"/>
    <w:rsid w:val="003C2A6A"/>
    <w:rsid w:val="0061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16B88-BFBE-4A07-A22C-49A7CD94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3376</Words>
  <Characters>19247</Characters>
  <Application>Microsoft Office Word</Application>
  <DocSecurity>0</DocSecurity>
  <Lines>160</Lines>
  <Paragraphs>45</Paragraphs>
  <ScaleCrop>false</ScaleCrop>
  <Company/>
  <LinksUpToDate>false</LinksUpToDate>
  <CharactersWithSpaces>22578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2017-12-04T08:48:00Z</dcterms:created>
  <dcterms:modified xsi:type="dcterms:W3CDTF">2017-12-04T08:49:00Z</dcterms:modified>
</cp:coreProperties>
</file>