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F5" w:rsidRPr="00B552A6" w:rsidRDefault="00933FF5" w:rsidP="00B552A6">
      <w:pPr>
        <w:spacing w:before="12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7F0363" w:rsidP="00B552A6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7429"/>
      </w:tblGrid>
      <w:tr w:rsidR="00933FF5" w:rsidRPr="00B552A6">
        <w:trPr>
          <w:trHeight w:val="440"/>
        </w:trPr>
        <w:tc>
          <w:tcPr>
            <w:tcW w:w="7465" w:type="dxa"/>
          </w:tcPr>
          <w:p w:rsidR="00933FF5" w:rsidRPr="00B552A6" w:rsidRDefault="007F0363" w:rsidP="00B552A6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429" w:type="dxa"/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33FF5" w:rsidRPr="00B552A6">
        <w:trPr>
          <w:trHeight w:val="420"/>
        </w:trPr>
        <w:tc>
          <w:tcPr>
            <w:tcW w:w="7465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933FF5" w:rsidRPr="00B552A6">
        <w:trPr>
          <w:trHeight w:val="420"/>
        </w:trPr>
        <w:tc>
          <w:tcPr>
            <w:tcW w:w="7465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429" w:type="dxa"/>
          </w:tcPr>
          <w:p w:rsidR="00933FF5" w:rsidRPr="00B552A6" w:rsidRDefault="00933FF5" w:rsidP="00B552A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33FF5" w:rsidRPr="00B552A6">
        <w:trPr>
          <w:trHeight w:val="420"/>
        </w:trPr>
        <w:tc>
          <w:tcPr>
            <w:tcW w:w="7465" w:type="dxa"/>
          </w:tcPr>
          <w:p w:rsidR="00933FF5" w:rsidRPr="00B552A6" w:rsidRDefault="007F0363" w:rsidP="00B552A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429" w:type="dxa"/>
          </w:tcPr>
          <w:p w:rsidR="00933FF5" w:rsidRPr="00B552A6" w:rsidRDefault="007F0363" w:rsidP="00B552A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933FF5" w:rsidRPr="00B552A6">
        <w:trPr>
          <w:trHeight w:val="420"/>
        </w:trPr>
        <w:tc>
          <w:tcPr>
            <w:tcW w:w="7465" w:type="dxa"/>
          </w:tcPr>
          <w:p w:rsidR="00933FF5" w:rsidRPr="00B552A6" w:rsidRDefault="007F0363" w:rsidP="00B552A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933FF5" w:rsidRPr="00B552A6">
        <w:trPr>
          <w:trHeight w:val="1280"/>
        </w:trPr>
        <w:tc>
          <w:tcPr>
            <w:tcW w:w="7465" w:type="dxa"/>
          </w:tcPr>
          <w:p w:rsidR="00933FF5" w:rsidRPr="00B552A6" w:rsidRDefault="007F0363" w:rsidP="00B552A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429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სამშობიარო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ბლოკში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პოსტნატალური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განყოფილებაში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33FF5" w:rsidRPr="00B552A6" w:rsidRDefault="00933FF5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7F0363" w:rsidP="00B552A6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105"/>
        <w:gridCol w:w="5280"/>
        <w:gridCol w:w="105"/>
        <w:gridCol w:w="4470"/>
        <w:gridCol w:w="315"/>
        <w:gridCol w:w="1905"/>
      </w:tblGrid>
      <w:tr w:rsidR="00933FF5" w:rsidRPr="00B552A6">
        <w:trPr>
          <w:trHeight w:val="1100"/>
          <w:jc w:val="center"/>
        </w:trPr>
        <w:tc>
          <w:tcPr>
            <w:tcW w:w="2835" w:type="dxa"/>
            <w:gridSpan w:val="2"/>
            <w:shd w:val="clear" w:color="auto" w:fill="DBE5F1"/>
            <w:vAlign w:val="center"/>
          </w:tcPr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933FF5" w:rsidRPr="00B552A6" w:rsidRDefault="00933FF5" w:rsidP="00B552A6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0" w:type="dxa"/>
            <w:shd w:val="clear" w:color="auto" w:fill="DBE5F1"/>
            <w:vAlign w:val="center"/>
          </w:tcPr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90" w:type="dxa"/>
            <w:gridSpan w:val="3"/>
            <w:shd w:val="clear" w:color="auto" w:fill="DBE5F1"/>
            <w:vAlign w:val="center"/>
          </w:tcPr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905" w:type="dxa"/>
            <w:shd w:val="clear" w:color="auto" w:fill="DBE5F1"/>
            <w:vAlign w:val="center"/>
          </w:tcPr>
          <w:p w:rsidR="00933FF5" w:rsidRPr="00B552A6" w:rsidRDefault="00933FF5" w:rsidP="00B552A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933FF5" w:rsidRPr="00B552A6">
        <w:trPr>
          <w:trHeight w:val="620"/>
          <w:jc w:val="center"/>
        </w:trPr>
        <w:tc>
          <w:tcPr>
            <w:tcW w:w="2835" w:type="dxa"/>
            <w:gridSpan w:val="2"/>
          </w:tcPr>
          <w:p w:rsidR="00933FF5" w:rsidRPr="00B552A6" w:rsidRDefault="007F0363" w:rsidP="00B552A6">
            <w:pPr>
              <w:numPr>
                <w:ilvl w:val="0"/>
                <w:numId w:val="1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  <w:p w:rsidR="00933FF5" w:rsidRPr="00B552A6" w:rsidRDefault="00933FF5" w:rsidP="00B552A6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</w:tcPr>
          <w:p w:rsidR="00933FF5" w:rsidRPr="00B552A6" w:rsidRDefault="007F0363" w:rsidP="00B552A6">
            <w:pPr>
              <w:numPr>
                <w:ilvl w:val="0"/>
                <w:numId w:val="15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შეფასებასა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933FF5" w:rsidRPr="00B552A6" w:rsidRDefault="007F0363" w:rsidP="00B552A6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5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5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5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აბამის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890" w:type="dxa"/>
            <w:gridSpan w:val="3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წონისა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ჰემოგლობინისა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მუცლისა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მკერდის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>Nursing intervention classification -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1905" w:type="dxa"/>
          </w:tcPr>
          <w:p w:rsidR="00933FF5" w:rsidRPr="00B552A6" w:rsidRDefault="007F0363" w:rsidP="00B552A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33FF5" w:rsidRPr="00B552A6">
        <w:trPr>
          <w:trHeight w:val="620"/>
          <w:jc w:val="center"/>
        </w:trPr>
        <w:tc>
          <w:tcPr>
            <w:tcW w:w="2835" w:type="dxa"/>
            <w:gridSpan w:val="2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სამშობიარო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ბლოკში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</w:p>
          <w:p w:rsidR="00933FF5" w:rsidRPr="00B552A6" w:rsidRDefault="00933FF5" w:rsidP="00B552A6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</w:tcPr>
          <w:p w:rsidR="00933FF5" w:rsidRPr="00B552A6" w:rsidRDefault="007F0363" w:rsidP="00B552A6">
            <w:pPr>
              <w:numPr>
                <w:ilvl w:val="0"/>
                <w:numId w:val="9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სამშობიარო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ბლოკში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მოქმედებას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9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9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9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33FF5" w:rsidRPr="00B552A6" w:rsidRDefault="00933FF5" w:rsidP="00B552A6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0" w:type="dxa"/>
            <w:gridSpan w:val="3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სამშობიარო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ბლოკში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ფაზაში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პრევაგინალური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პარტოგრაფის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შობიარობის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ეპიზიოტომია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ნაკერების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საკეისრო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კვეთაზე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ასესტირება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1905" w:type="dxa"/>
          </w:tcPr>
          <w:p w:rsidR="00933FF5" w:rsidRPr="00B552A6" w:rsidRDefault="007F0363" w:rsidP="00B552A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33FF5" w:rsidRPr="00B552A6">
        <w:trPr>
          <w:trHeight w:val="620"/>
          <w:jc w:val="center"/>
        </w:trPr>
        <w:tc>
          <w:tcPr>
            <w:tcW w:w="2835" w:type="dxa"/>
            <w:gridSpan w:val="2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3.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პოსტნატალური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განყოფილებაში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933FF5" w:rsidRPr="00B552A6" w:rsidRDefault="00933FF5" w:rsidP="00B552A6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</w:tcPr>
          <w:p w:rsidR="00933FF5" w:rsidRPr="00B552A6" w:rsidRDefault="007F0363" w:rsidP="00B552A6">
            <w:pPr>
              <w:numPr>
                <w:ilvl w:val="0"/>
                <w:numId w:val="3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ატარებს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პოსტნატალური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განყოფილებაში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ედიცინო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33FF5" w:rsidRPr="00B552A6" w:rsidRDefault="00933FF5" w:rsidP="00B552A6">
            <w:pPr>
              <w:ind w:left="36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0" w:type="dxa"/>
            <w:gridSpan w:val="3"/>
          </w:tcPr>
          <w:p w:rsidR="00933FF5" w:rsidRPr="00B552A6" w:rsidRDefault="007F0363" w:rsidP="00B552A6">
            <w:pPr>
              <w:numPr>
                <w:ilvl w:val="0"/>
                <w:numId w:val="2"/>
              </w:numPr>
              <w:contextualSpacing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პოსტნატალური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განყოფილებაში</w:t>
            </w:r>
          </w:p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შორისის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ლაქტაციის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ინიცირება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პრომოუცია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1905" w:type="dxa"/>
          </w:tcPr>
          <w:p w:rsidR="00933FF5" w:rsidRPr="00B552A6" w:rsidRDefault="007F0363" w:rsidP="00B552A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33FF5" w:rsidRPr="00B552A6">
        <w:trPr>
          <w:trHeight w:val="620"/>
          <w:jc w:val="center"/>
        </w:trPr>
        <w:tc>
          <w:tcPr>
            <w:tcW w:w="2730" w:type="dxa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933FF5" w:rsidRPr="00B552A6" w:rsidRDefault="00933FF5" w:rsidP="00B552A6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:rsidR="00933FF5" w:rsidRPr="00B552A6" w:rsidRDefault="007F0363" w:rsidP="00B552A6">
            <w:pPr>
              <w:numPr>
                <w:ilvl w:val="0"/>
                <w:numId w:val="16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აწარმოოს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მოვლა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მეთვალყურეობის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6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6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6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933FF5" w:rsidRPr="00B552A6" w:rsidRDefault="00933FF5" w:rsidP="00B552A6">
            <w:pPr>
              <w:ind w:left="36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70" w:type="dxa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მოვლა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კვება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ვება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თერმული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რეგულაცია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Kangaroo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ინტრავენური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ხაზის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ტრანსფუზიის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2220" w:type="dxa"/>
            <w:gridSpan w:val="2"/>
          </w:tcPr>
          <w:p w:rsidR="00933FF5" w:rsidRPr="00B552A6" w:rsidRDefault="007F0363" w:rsidP="00B552A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7F0363" w:rsidP="00B552A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933FF5" w:rsidRPr="00B552A6" w:rsidRDefault="007F0363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5569"/>
        <w:gridCol w:w="2524"/>
        <w:gridCol w:w="2898"/>
        <w:gridCol w:w="2979"/>
      </w:tblGrid>
      <w:tr w:rsidR="00933FF5" w:rsidRPr="00B552A6">
        <w:trPr>
          <w:trHeight w:val="600"/>
        </w:trPr>
        <w:tc>
          <w:tcPr>
            <w:tcW w:w="924" w:type="dxa"/>
            <w:vAlign w:val="center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569" w:type="dxa"/>
            <w:vAlign w:val="center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524" w:type="dxa"/>
            <w:vAlign w:val="center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898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933FF5" w:rsidRPr="00B552A6">
        <w:trPr>
          <w:trHeight w:val="420"/>
        </w:trPr>
        <w:tc>
          <w:tcPr>
            <w:tcW w:w="924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569" w:type="dxa"/>
            <w:shd w:val="clear" w:color="auto" w:fill="auto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წონისა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ჰემოგლობინისა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მუცლისა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მკერდის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  <w:p w:rsidR="00933FF5" w:rsidRPr="00B552A6" w:rsidRDefault="00933FF5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898" w:type="dxa"/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5 %</w:t>
            </w:r>
          </w:p>
          <w:p w:rsidR="00933FF5" w:rsidRPr="00B552A6" w:rsidRDefault="00933FF5" w:rsidP="00B552A6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933FF5" w:rsidRPr="00B552A6" w:rsidRDefault="007F0363" w:rsidP="00B552A6">
            <w:pPr>
              <w:numPr>
                <w:ilvl w:val="0"/>
                <w:numId w:val="2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933FF5" w:rsidRPr="00B552A6" w:rsidRDefault="007F0363" w:rsidP="00B552A6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933FF5" w:rsidRPr="00B552A6">
        <w:trPr>
          <w:trHeight w:val="440"/>
        </w:trPr>
        <w:tc>
          <w:tcPr>
            <w:tcW w:w="924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სამშობიარო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ბლოკში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ფაზაში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პრევაგინალური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პარტოგრაფის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საჭიროებისას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ეპიზიოტომია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ნაკერების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საკეისრო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კვეთაზე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ასესტირება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</w:t>
            </w:r>
          </w:p>
          <w:p w:rsidR="00933FF5" w:rsidRPr="00B552A6" w:rsidRDefault="00933FF5" w:rsidP="00B552A6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აკვირდება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933FF5" w:rsidRPr="00B552A6">
        <w:trPr>
          <w:trHeight w:val="440"/>
        </w:trPr>
        <w:tc>
          <w:tcPr>
            <w:tcW w:w="924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uto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პოსტნატალური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განყოფილებაში</w:t>
            </w:r>
          </w:p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შორისის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ლაქტაციის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ინიცირება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პრომოუცია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classifica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</w:t>
            </w:r>
          </w:p>
          <w:p w:rsidR="00933FF5" w:rsidRPr="00B552A6" w:rsidRDefault="00933FF5" w:rsidP="00B552A6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1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განათ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კითხვების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933FF5" w:rsidRPr="00B552A6">
        <w:trPr>
          <w:trHeight w:val="440"/>
        </w:trPr>
        <w:tc>
          <w:tcPr>
            <w:tcW w:w="924" w:type="dxa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5569" w:type="dxa"/>
            <w:shd w:val="clear" w:color="auto" w:fill="auto"/>
          </w:tcPr>
          <w:p w:rsidR="00933FF5" w:rsidRPr="00B552A6" w:rsidRDefault="007F0363" w:rsidP="00B552A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მოვლა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თერმული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რეგულაცია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Kangaroo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ინტრავენური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ხაზის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ტრანსფუზიის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33FF5" w:rsidRPr="00B552A6" w:rsidRDefault="007F0363" w:rsidP="00B552A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2.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552A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პრიო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რიტეტიზაცია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პაციენტის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33FF5" w:rsidRPr="00B552A6" w:rsidRDefault="007F0363" w:rsidP="00B552A6">
            <w:pPr>
              <w:numPr>
                <w:ilvl w:val="0"/>
                <w:numId w:val="1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მის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</w:t>
            </w:r>
          </w:p>
        </w:tc>
        <w:tc>
          <w:tcPr>
            <w:tcW w:w="2524" w:type="dxa"/>
            <w:vAlign w:val="center"/>
          </w:tcPr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98" w:type="dxa"/>
          </w:tcPr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2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დაკვირვების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7F0363" w:rsidP="00B552A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933FF5" w:rsidRPr="00B552A6" w:rsidRDefault="00933FF5" w:rsidP="00B552A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</w:tcPr>
          <w:p w:rsidR="00933FF5" w:rsidRPr="00B552A6" w:rsidRDefault="00933FF5" w:rsidP="00B552A6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933FF5" w:rsidRPr="00B552A6">
        <w:trPr>
          <w:trHeight w:val="620"/>
        </w:trPr>
        <w:tc>
          <w:tcPr>
            <w:tcW w:w="14894" w:type="dxa"/>
            <w:gridSpan w:val="5"/>
          </w:tcPr>
          <w:p w:rsidR="00933FF5" w:rsidRPr="00B552A6" w:rsidRDefault="007F0363" w:rsidP="00B552A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მოდულის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933FF5" w:rsidRPr="00B552A6" w:rsidRDefault="007F0363" w:rsidP="00B552A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933FF5" w:rsidRPr="00B552A6" w:rsidRDefault="00933FF5" w:rsidP="00B552A6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933FF5" w:rsidRPr="00B552A6" w:rsidRDefault="00933FF5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894" w:type="dxa"/>
        <w:tblLayout w:type="fixed"/>
        <w:tblLook w:val="0400" w:firstRow="0" w:lastRow="0" w:firstColumn="0" w:lastColumn="0" w:noHBand="0" w:noVBand="1"/>
      </w:tblPr>
      <w:tblGrid>
        <w:gridCol w:w="2961"/>
        <w:gridCol w:w="5412"/>
        <w:gridCol w:w="2493"/>
        <w:gridCol w:w="1865"/>
        <w:gridCol w:w="2163"/>
      </w:tblGrid>
      <w:tr w:rsidR="00933FF5" w:rsidRPr="00B552A6">
        <w:tc>
          <w:tcPr>
            <w:tcW w:w="296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93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933FF5" w:rsidRPr="00B552A6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9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6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6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933FF5" w:rsidRPr="00B552A6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33FF5" w:rsidRPr="00B552A6" w:rsidRDefault="00933FF5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33FF5" w:rsidRPr="00B552A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5" w:rsidRPr="00B552A6" w:rsidRDefault="00933FF5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933FF5" w:rsidRPr="00B552A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4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933FF5" w:rsidRPr="00B552A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933FF5" w:rsidRPr="00B552A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933FF5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</w:tr>
      <w:tr w:rsidR="00933FF5" w:rsidRPr="00B552A6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34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16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F5" w:rsidRPr="00B552A6" w:rsidRDefault="007F0363" w:rsidP="00B552A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933FF5" w:rsidRDefault="00933FF5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552A6" w:rsidRDefault="00B552A6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552A6" w:rsidRPr="00B552A6" w:rsidRDefault="00B552A6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552A6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r w:rsidRPr="00B552A6">
        <w:rPr>
          <w:rFonts w:ascii="Sylfaen" w:eastAsia="Merriweather" w:hAnsi="Sylfaen" w:cs="Merriweather"/>
          <w:sz w:val="20"/>
          <w:szCs w:val="20"/>
        </w:rPr>
        <w:t>Marilynn E. Doenges, Mary Frances Moorhouse, Alice C. Murr</w:t>
      </w:r>
      <w:r w:rsidRPr="00B552A6">
        <w:rPr>
          <w:rFonts w:ascii="Sylfaen" w:eastAsia="Merriweather" w:hAnsi="Sylfaen" w:cs="Merriweather"/>
          <w:b/>
          <w:sz w:val="20"/>
          <w:szCs w:val="20"/>
        </w:rPr>
        <w:t xml:space="preserve">. </w:t>
      </w:r>
      <w:r w:rsidRPr="00B552A6">
        <w:rPr>
          <w:rFonts w:ascii="Sylfaen" w:eastAsia="Merriweather" w:hAnsi="Sylfaen" w:cs="Merriweather"/>
          <w:b/>
          <w:i/>
          <w:sz w:val="20"/>
          <w:szCs w:val="20"/>
        </w:rPr>
        <w:t xml:space="preserve">Nursing Care Plans – Guidelines for Individualizing Client Care Across the Life Span, </w:t>
      </w:r>
      <w:r w:rsidRPr="00B552A6">
        <w:rPr>
          <w:rFonts w:ascii="Sylfaen" w:eastAsia="Merriweather" w:hAnsi="Sylfaen" w:cs="Merriweather"/>
          <w:sz w:val="20"/>
          <w:szCs w:val="20"/>
        </w:rPr>
        <w:t>Edition 8, 2010</w:t>
      </w: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552A6">
        <w:rPr>
          <w:rFonts w:ascii="Sylfaen" w:eastAsia="Merriweather" w:hAnsi="Sylfaen" w:cs="Merriweather"/>
          <w:b/>
          <w:color w:val="222222"/>
          <w:sz w:val="20"/>
          <w:szCs w:val="20"/>
        </w:rPr>
        <w:t xml:space="preserve">2. </w:t>
      </w:r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B552A6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B552A6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B552A6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>4.  Barbara Kozier, Glenora ERB, Audrey Berman, Shirlee Snyder. </w:t>
      </w:r>
      <w:r w:rsidRPr="00B552A6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 xml:space="preserve">5. </w:t>
      </w:r>
      <w:hyperlink r:id="rId8">
        <w:r w:rsidRPr="00B552A6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https://www.iscp.ac.uk/curriculum/surgical/specialty_year_syllabus.aspx?enc=vVY4XFLbRSZIHhnkUDQyVoJGVh3MGYxzpE0YSpfvy0k</w:t>
        </w:r>
      </w:hyperlink>
      <w:r w:rsidRPr="00B552A6">
        <w:rPr>
          <w:rFonts w:ascii="Sylfaen" w:eastAsia="Merriweather" w:hAnsi="Sylfaen" w:cs="Merriweather"/>
          <w:color w:val="222222"/>
          <w:sz w:val="20"/>
          <w:szCs w:val="20"/>
        </w:rPr>
        <w:t>=</w:t>
      </w: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სტუდენტები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933FF5" w:rsidRPr="00B552A6" w:rsidRDefault="007F0363" w:rsidP="00B552A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552A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მიერ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B552A6">
        <w:rPr>
          <w:rFonts w:ascii="Sylfaen" w:eastAsia="Arial Unicode MS" w:hAnsi="Sylfaen" w:cs="Arial Unicode MS"/>
          <w:sz w:val="20"/>
          <w:szCs w:val="20"/>
        </w:rPr>
        <w:t>/</w:t>
      </w:r>
      <w:r w:rsidRPr="00B552A6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წარმოად</w:t>
      </w:r>
      <w:r w:rsidRPr="00B552A6">
        <w:rPr>
          <w:rFonts w:ascii="Sylfaen" w:eastAsia="Arial Unicode MS" w:hAnsi="Sylfaen" w:cs="Arial Unicode MS"/>
          <w:sz w:val="20"/>
          <w:szCs w:val="20"/>
        </w:rPr>
        <w:t>გენს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552A6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ან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552A6">
        <w:rPr>
          <w:rFonts w:ascii="Sylfaen" w:eastAsia="Arial Unicode MS" w:hAnsi="Sylfaen" w:cs="Arial Unicode MS"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sz w:val="20"/>
          <w:szCs w:val="20"/>
        </w:rPr>
        <w:t>/</w:t>
      </w:r>
      <w:r w:rsidRPr="00B552A6">
        <w:rPr>
          <w:rFonts w:ascii="Sylfaen" w:eastAsia="Arial Unicode MS" w:hAnsi="Sylfaen" w:cs="Arial Unicode MS"/>
          <w:sz w:val="20"/>
          <w:szCs w:val="20"/>
        </w:rPr>
        <w:t>ან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552A6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552A6">
        <w:rPr>
          <w:rFonts w:ascii="Sylfaen" w:eastAsia="Arial Unicode MS" w:hAnsi="Sylfaen" w:cs="Arial Unicode MS"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552A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საჭირ</w:t>
      </w:r>
      <w:r w:rsidRPr="00B552A6">
        <w:rPr>
          <w:rFonts w:ascii="Sylfaen" w:eastAsia="Arial Unicode MS" w:hAnsi="Sylfaen" w:cs="Arial Unicode MS"/>
          <w:sz w:val="20"/>
          <w:szCs w:val="20"/>
        </w:rPr>
        <w:t>ოების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552A6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933FF5" w:rsidRPr="00B552A6" w:rsidRDefault="00933FF5" w:rsidP="00B552A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33FF5" w:rsidRPr="00B552A6" w:rsidRDefault="007F0363" w:rsidP="00B552A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552A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განხორციელებისთ</w:t>
      </w:r>
      <w:r w:rsidRPr="00B552A6">
        <w:rPr>
          <w:rFonts w:ascii="Sylfaen" w:eastAsia="Arial Unicode MS" w:hAnsi="Sylfaen" w:cs="Arial Unicode MS"/>
          <w:sz w:val="20"/>
          <w:szCs w:val="20"/>
        </w:rPr>
        <w:t>ვის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B552A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552A6">
        <w:rPr>
          <w:rFonts w:ascii="Sylfaen" w:eastAsia="Arial Unicode MS" w:hAnsi="Sylfaen" w:cs="Arial Unicode MS"/>
          <w:sz w:val="20"/>
          <w:szCs w:val="20"/>
        </w:rPr>
        <w:t>ხოლო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და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B552A6">
        <w:rPr>
          <w:rFonts w:ascii="Sylfaen" w:eastAsia="Arial Unicode MS" w:hAnsi="Sylfaen" w:cs="Arial Unicode MS"/>
          <w:sz w:val="20"/>
          <w:szCs w:val="20"/>
        </w:rPr>
        <w:t>საგანმანათლე</w:t>
      </w:r>
      <w:r w:rsidRPr="00B552A6">
        <w:rPr>
          <w:rFonts w:ascii="Sylfaen" w:eastAsia="Arial Unicode MS" w:hAnsi="Sylfaen" w:cs="Arial Unicode MS"/>
          <w:sz w:val="20"/>
          <w:szCs w:val="20"/>
        </w:rPr>
        <w:t>ბლო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B552A6">
        <w:rPr>
          <w:rFonts w:ascii="Sylfaen" w:eastAsia="Arial Unicode MS" w:hAnsi="Sylfaen" w:cs="Arial Unicode MS"/>
          <w:sz w:val="20"/>
          <w:szCs w:val="20"/>
        </w:rPr>
        <w:t>/</w:t>
      </w:r>
      <w:r w:rsidRPr="00B552A6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B552A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B552A6">
        <w:rPr>
          <w:rFonts w:ascii="Sylfaen" w:eastAsia="Arial Unicode MS" w:hAnsi="Sylfaen" w:cs="Arial Unicode MS"/>
          <w:sz w:val="20"/>
          <w:szCs w:val="20"/>
        </w:rPr>
        <w:t>.</w:t>
      </w:r>
    </w:p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33FF5" w:rsidRPr="00B552A6" w:rsidRDefault="007F0363" w:rsidP="00B552A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jdgxs" w:colFirst="0" w:colLast="0"/>
      <w:bookmarkEnd w:id="0"/>
      <w:r w:rsidRPr="00B552A6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B552A6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933FF5" w:rsidRPr="00B552A6">
        <w:tc>
          <w:tcPr>
            <w:tcW w:w="520" w:type="dxa"/>
            <w:shd w:val="clear" w:color="auto" w:fill="auto"/>
          </w:tcPr>
          <w:p w:rsidR="00933FF5" w:rsidRPr="00B552A6" w:rsidRDefault="007F0363" w:rsidP="00B552A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FF5" w:rsidRPr="00B552A6" w:rsidRDefault="007F0363" w:rsidP="00B552A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FF5" w:rsidRPr="00B552A6" w:rsidRDefault="007F0363" w:rsidP="00B552A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933FF5" w:rsidRPr="00B552A6">
        <w:tc>
          <w:tcPr>
            <w:tcW w:w="520" w:type="dxa"/>
            <w:shd w:val="clear" w:color="auto" w:fill="auto"/>
          </w:tcPr>
          <w:p w:rsidR="00933FF5" w:rsidRPr="00B552A6" w:rsidRDefault="007F0363" w:rsidP="00B552A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933FF5" w:rsidRPr="00B552A6" w:rsidRDefault="007F0363" w:rsidP="00B552A6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FF5" w:rsidRPr="00B552A6" w:rsidRDefault="007F0363" w:rsidP="00B552A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933FF5" w:rsidRPr="00B552A6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FF5" w:rsidRPr="00B552A6" w:rsidRDefault="007F0363" w:rsidP="00B552A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FF5" w:rsidRPr="00B552A6" w:rsidRDefault="007F0363" w:rsidP="00B552A6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552A6">
              <w:rPr>
                <w:rFonts w:ascii="Sylfaen" w:hAnsi="Sylfaen"/>
                <w:sz w:val="20"/>
                <w:szCs w:val="20"/>
              </w:rPr>
              <w:t>ნინო</w:t>
            </w:r>
            <w:r w:rsidRPr="00B552A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552A6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FF5" w:rsidRPr="00B552A6" w:rsidRDefault="007F0363" w:rsidP="00B552A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B552A6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933FF5" w:rsidRPr="00B552A6" w:rsidRDefault="00933FF5" w:rsidP="00B552A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oBack"/>
      <w:bookmarkEnd w:id="1"/>
    </w:p>
    <w:sectPr w:rsidR="00933FF5" w:rsidRPr="00B552A6">
      <w:headerReference w:type="default" r:id="rId9"/>
      <w:footerReference w:type="default" r:id="rId10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63" w:rsidRDefault="007F0363">
      <w:pPr>
        <w:spacing w:after="0" w:line="240" w:lineRule="auto"/>
      </w:pPr>
      <w:r>
        <w:separator/>
      </w:r>
    </w:p>
  </w:endnote>
  <w:endnote w:type="continuationSeparator" w:id="0">
    <w:p w:rsidR="007F0363" w:rsidRDefault="007F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FF5" w:rsidRDefault="007F0363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B552A6">
      <w:fldChar w:fldCharType="separate"/>
    </w:r>
    <w:r w:rsidR="00B552A6">
      <w:rPr>
        <w:noProof/>
      </w:rPr>
      <w:t>16</w:t>
    </w:r>
    <w:r>
      <w:fldChar w:fldCharType="end"/>
    </w:r>
  </w:p>
  <w:p w:rsidR="00933FF5" w:rsidRDefault="00933FF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63" w:rsidRDefault="007F0363">
      <w:pPr>
        <w:spacing w:after="0" w:line="240" w:lineRule="auto"/>
      </w:pPr>
      <w:r>
        <w:separator/>
      </w:r>
    </w:p>
  </w:footnote>
  <w:footnote w:type="continuationSeparator" w:id="0">
    <w:p w:rsidR="007F0363" w:rsidRDefault="007F0363">
      <w:pPr>
        <w:spacing w:after="0" w:line="240" w:lineRule="auto"/>
      </w:pPr>
      <w:r>
        <w:continuationSeparator/>
      </w:r>
    </w:p>
  </w:footnote>
  <w:footnote w:id="1">
    <w:p w:rsidR="00933FF5" w:rsidRDefault="007F036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ყველა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შედეგის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FF5" w:rsidRDefault="00933FF5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2B1"/>
    <w:multiLevelType w:val="multilevel"/>
    <w:tmpl w:val="6430E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04073B"/>
    <w:multiLevelType w:val="multilevel"/>
    <w:tmpl w:val="082CC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9E62D1"/>
    <w:multiLevelType w:val="multilevel"/>
    <w:tmpl w:val="4EA0E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E06DA"/>
    <w:multiLevelType w:val="multilevel"/>
    <w:tmpl w:val="1930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4662"/>
    <w:multiLevelType w:val="multilevel"/>
    <w:tmpl w:val="CAF4A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E439E"/>
    <w:multiLevelType w:val="multilevel"/>
    <w:tmpl w:val="9CEEC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C06207"/>
    <w:multiLevelType w:val="multilevel"/>
    <w:tmpl w:val="01206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3B3A26"/>
    <w:multiLevelType w:val="multilevel"/>
    <w:tmpl w:val="EA6CB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455793"/>
    <w:multiLevelType w:val="multilevel"/>
    <w:tmpl w:val="E98C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F4EA8"/>
    <w:multiLevelType w:val="multilevel"/>
    <w:tmpl w:val="A1745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9C2321"/>
    <w:multiLevelType w:val="multilevel"/>
    <w:tmpl w:val="E85E0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3275BC"/>
    <w:multiLevelType w:val="multilevel"/>
    <w:tmpl w:val="DD3CF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406935"/>
    <w:multiLevelType w:val="multilevel"/>
    <w:tmpl w:val="D53C1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9520F"/>
    <w:multiLevelType w:val="multilevel"/>
    <w:tmpl w:val="A8EE4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885B2C"/>
    <w:multiLevelType w:val="multilevel"/>
    <w:tmpl w:val="F5648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C5D2F14"/>
    <w:multiLevelType w:val="multilevel"/>
    <w:tmpl w:val="7A44F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7087737"/>
    <w:multiLevelType w:val="multilevel"/>
    <w:tmpl w:val="ABE29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B706D78"/>
    <w:multiLevelType w:val="multilevel"/>
    <w:tmpl w:val="C0702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917BD3"/>
    <w:multiLevelType w:val="multilevel"/>
    <w:tmpl w:val="52563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ED810E7"/>
    <w:multiLevelType w:val="multilevel"/>
    <w:tmpl w:val="54223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73C7B5B"/>
    <w:multiLevelType w:val="multilevel"/>
    <w:tmpl w:val="46B87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9"/>
  </w:num>
  <w:num w:numId="5">
    <w:abstractNumId w:val="20"/>
  </w:num>
  <w:num w:numId="6">
    <w:abstractNumId w:val="6"/>
  </w:num>
  <w:num w:numId="7">
    <w:abstractNumId w:val="1"/>
  </w:num>
  <w:num w:numId="8">
    <w:abstractNumId w:val="5"/>
  </w:num>
  <w:num w:numId="9">
    <w:abstractNumId w:val="12"/>
  </w:num>
  <w:num w:numId="10">
    <w:abstractNumId w:val="18"/>
  </w:num>
  <w:num w:numId="11">
    <w:abstractNumId w:val="7"/>
  </w:num>
  <w:num w:numId="12">
    <w:abstractNumId w:val="13"/>
  </w:num>
  <w:num w:numId="13">
    <w:abstractNumId w:val="9"/>
  </w:num>
  <w:num w:numId="14">
    <w:abstractNumId w:val="17"/>
  </w:num>
  <w:num w:numId="15">
    <w:abstractNumId w:val="3"/>
  </w:num>
  <w:num w:numId="16">
    <w:abstractNumId w:val="8"/>
  </w:num>
  <w:num w:numId="17">
    <w:abstractNumId w:val="11"/>
  </w:num>
  <w:num w:numId="18">
    <w:abstractNumId w:val="0"/>
  </w:num>
  <w:num w:numId="19">
    <w:abstractNumId w:val="10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3FF5"/>
    <w:rsid w:val="007F0363"/>
    <w:rsid w:val="00933FF5"/>
    <w:rsid w:val="00B5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7FDAD-615F-435D-9600-172DB14A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p.ac.uk/curriculum/surgical/specialty_year_syllabus.aspx?enc=vVY4XFLbRSZIHhnkUDQyVoJGVh3MGYxzpE0YSpfvy0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3301</Words>
  <Characters>18822</Characters>
  <Application>Microsoft Office Word</Application>
  <DocSecurity>0</DocSecurity>
  <Lines>156</Lines>
  <Paragraphs>44</Paragraphs>
  <ScaleCrop>false</ScaleCrop>
  <Company/>
  <LinksUpToDate>false</LinksUpToDate>
  <CharactersWithSpaces>22079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2017-12-04T08:42:00Z</dcterms:created>
  <dcterms:modified xsi:type="dcterms:W3CDTF">2017-12-04T08:43:00Z</dcterms:modified>
</cp:coreProperties>
</file>