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223" w:rsidRPr="008B7E16" w:rsidRDefault="00E259FA" w:rsidP="008B7E16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მოდული</w:t>
      </w:r>
    </w:p>
    <w:p w:rsidR="004D6223" w:rsidRPr="008B7E16" w:rsidRDefault="00E259FA" w:rsidP="008B7E16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1.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ზოგადი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57"/>
        <w:gridCol w:w="7321"/>
      </w:tblGrid>
      <w:tr w:rsidR="004D6223" w:rsidRPr="008B7E16">
        <w:trPr>
          <w:trHeight w:val="440"/>
        </w:trPr>
        <w:tc>
          <w:tcPr>
            <w:tcW w:w="7357" w:type="dxa"/>
          </w:tcPr>
          <w:p w:rsidR="004D6223" w:rsidRPr="008B7E16" w:rsidRDefault="00E259FA" w:rsidP="008B7E16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სარეგისტრაციო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ნომერი</w:t>
            </w:r>
          </w:p>
        </w:tc>
        <w:tc>
          <w:tcPr>
            <w:tcW w:w="7321" w:type="dxa"/>
          </w:tcPr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4D6223" w:rsidRPr="008B7E16">
        <w:trPr>
          <w:trHeight w:val="420"/>
        </w:trPr>
        <w:tc>
          <w:tcPr>
            <w:tcW w:w="7357" w:type="dxa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სახელწოდება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     </w:t>
            </w:r>
          </w:p>
        </w:tc>
        <w:tc>
          <w:tcPr>
            <w:tcW w:w="7321" w:type="dxa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2 -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მართვა</w:t>
            </w:r>
          </w:p>
        </w:tc>
      </w:tr>
      <w:tr w:rsidR="004D6223" w:rsidRPr="008B7E16">
        <w:trPr>
          <w:trHeight w:val="420"/>
        </w:trPr>
        <w:tc>
          <w:tcPr>
            <w:tcW w:w="7357" w:type="dxa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გამოქვეყნების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ცვლილების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თარიღი</w:t>
            </w:r>
          </w:p>
        </w:tc>
        <w:tc>
          <w:tcPr>
            <w:tcW w:w="7321" w:type="dxa"/>
          </w:tcPr>
          <w:p w:rsidR="004D6223" w:rsidRPr="008B7E16" w:rsidRDefault="004D6223" w:rsidP="008B7E16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4D6223" w:rsidRPr="008B7E16">
        <w:trPr>
          <w:trHeight w:val="420"/>
        </w:trPr>
        <w:tc>
          <w:tcPr>
            <w:tcW w:w="7357" w:type="dxa"/>
          </w:tcPr>
          <w:p w:rsidR="004D6223" w:rsidRPr="008B7E16" w:rsidRDefault="00E259FA" w:rsidP="008B7E1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მოცულობა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კრედიტებში</w:t>
            </w:r>
          </w:p>
        </w:tc>
        <w:tc>
          <w:tcPr>
            <w:tcW w:w="7321" w:type="dxa"/>
          </w:tcPr>
          <w:p w:rsidR="004D6223" w:rsidRPr="008B7E16" w:rsidRDefault="00E259FA" w:rsidP="008B7E16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</w:tr>
      <w:tr w:rsidR="004D6223" w:rsidRPr="008B7E16">
        <w:trPr>
          <w:trHeight w:val="420"/>
        </w:trPr>
        <w:tc>
          <w:tcPr>
            <w:tcW w:w="7357" w:type="dxa"/>
          </w:tcPr>
          <w:p w:rsidR="004D6223" w:rsidRPr="008B7E16" w:rsidRDefault="00E259FA" w:rsidP="008B7E1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მოდულზე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დაშვების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წინაპირობა</w:t>
            </w:r>
          </w:p>
        </w:tc>
        <w:tc>
          <w:tcPr>
            <w:tcW w:w="7321" w:type="dxa"/>
          </w:tcPr>
          <w:p w:rsidR="004D6223" w:rsidRPr="008B7E16" w:rsidRDefault="00E259FA" w:rsidP="008B7E16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1 -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მართვა</w:t>
            </w:r>
          </w:p>
        </w:tc>
      </w:tr>
      <w:tr w:rsidR="004D6223" w:rsidRPr="008B7E16">
        <w:trPr>
          <w:trHeight w:val="1280"/>
        </w:trPr>
        <w:tc>
          <w:tcPr>
            <w:tcW w:w="7357" w:type="dxa"/>
          </w:tcPr>
          <w:p w:rsidR="004D6223" w:rsidRPr="008B7E16" w:rsidRDefault="00E259FA" w:rsidP="008B7E1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მოდულის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აღწერა</w:t>
            </w:r>
          </w:p>
        </w:tc>
        <w:tc>
          <w:tcPr>
            <w:tcW w:w="7321" w:type="dxa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მოდულის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დასრულების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შემდეგ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შეუძლია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კარდიოვასკულარული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პულმონოლოგიური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ნეფროლოგიური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გასტროენტეროლოგიური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რეპროდუქციული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ონკოლოგიური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ენდოკრინოლოგიური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ზედამხედველობის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</w:tbl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E259FA" w:rsidP="008B7E16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2.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სტანდარტული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ჩანაწერები</w:t>
      </w: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4"/>
        <w:gridCol w:w="6"/>
        <w:gridCol w:w="4711"/>
        <w:gridCol w:w="18"/>
        <w:gridCol w:w="4609"/>
        <w:gridCol w:w="15"/>
        <w:gridCol w:w="1995"/>
      </w:tblGrid>
      <w:tr w:rsidR="004D6223" w:rsidRPr="008B7E16">
        <w:trPr>
          <w:trHeight w:val="1100"/>
          <w:jc w:val="center"/>
        </w:trPr>
        <w:tc>
          <w:tcPr>
            <w:tcW w:w="3320" w:type="dxa"/>
            <w:gridSpan w:val="2"/>
            <w:shd w:val="clear" w:color="auto" w:fill="D9E2F3"/>
            <w:vAlign w:val="center"/>
          </w:tcPr>
          <w:p w:rsidR="004D6223" w:rsidRPr="008B7E16" w:rsidRDefault="00E259FA" w:rsidP="008B7E1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შედეგები</w:t>
            </w:r>
          </w:p>
          <w:p w:rsidR="004D6223" w:rsidRPr="008B7E16" w:rsidRDefault="004D6223" w:rsidP="008B7E16">
            <w:pPr>
              <w:spacing w:before="12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711" w:type="dxa"/>
            <w:shd w:val="clear" w:color="auto" w:fill="D9E2F3"/>
            <w:vAlign w:val="center"/>
          </w:tcPr>
          <w:p w:rsidR="004D6223" w:rsidRPr="008B7E16" w:rsidRDefault="00E259FA" w:rsidP="008B7E1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შესრულების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კრიტერიუმები</w:t>
            </w:r>
          </w:p>
        </w:tc>
        <w:tc>
          <w:tcPr>
            <w:tcW w:w="4642" w:type="dxa"/>
            <w:gridSpan w:val="3"/>
            <w:shd w:val="clear" w:color="auto" w:fill="D9E2F3"/>
            <w:vAlign w:val="center"/>
          </w:tcPr>
          <w:p w:rsidR="004D6223" w:rsidRPr="008B7E16" w:rsidRDefault="00E259FA" w:rsidP="008B7E1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კომპეტენციის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პარამეტრების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ფარგლები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br/>
            </w:r>
          </w:p>
        </w:tc>
        <w:tc>
          <w:tcPr>
            <w:tcW w:w="1995" w:type="dxa"/>
            <w:shd w:val="clear" w:color="auto" w:fill="D9E2F3"/>
            <w:vAlign w:val="center"/>
          </w:tcPr>
          <w:p w:rsidR="004D6223" w:rsidRPr="008B7E16" w:rsidRDefault="004D6223" w:rsidP="008B7E1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4D6223" w:rsidRPr="008B7E16" w:rsidRDefault="00E259FA" w:rsidP="008B7E1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შეფასების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მიმართულება</w:t>
            </w:r>
          </w:p>
        </w:tc>
      </w:tr>
      <w:tr w:rsidR="004D6223" w:rsidRPr="008B7E16">
        <w:trPr>
          <w:trHeight w:val="1040"/>
          <w:jc w:val="center"/>
        </w:trPr>
        <w:tc>
          <w:tcPr>
            <w:tcW w:w="3320" w:type="dxa"/>
            <w:gridSpan w:val="2"/>
            <w:shd w:val="clear" w:color="auto" w:fill="auto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1.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კარდიოვასკულარული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პულმონოლოგიური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4D6223" w:rsidRPr="008B7E16" w:rsidRDefault="004D6223" w:rsidP="008B7E1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711" w:type="dxa"/>
            <w:shd w:val="clear" w:color="auto" w:fill="auto"/>
          </w:tcPr>
          <w:p w:rsidR="004D6223" w:rsidRPr="008B7E16" w:rsidRDefault="00E259FA" w:rsidP="008B7E1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კარდიოვასკულარული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პულმონოლოგიური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პრეოპერაციული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პოსტოპერაციული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იელებული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მანიპულაციის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4D6223" w:rsidRPr="008B7E16" w:rsidRDefault="004D6223" w:rsidP="008B7E1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ind w:left="810"/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642" w:type="dxa"/>
            <w:gridSpan w:val="3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lastRenderedPageBreak/>
              <w:t>საექთნო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: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  <w:vertAlign w:val="superscript"/>
              </w:rPr>
              <w:footnoteReference w:id="1"/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გამოკითხვა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ჯანმრთელობის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ოჯახური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დიაგნოზი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ძირითადი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,</w:t>
            </w: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რისკ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ფაქტორები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სინდრომზე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სიმპტომზე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დამყარებული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დაგეგმვა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მოვლის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გრძელვადიანი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მოკლევადიანი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ჩამოყალიბება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საფეხურების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პრიორიტეტიზაცია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მოსალოდნელი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8B7E16">
              <w:rPr>
                <w:rFonts w:ascii="Sylfaen" w:hAnsi="Sylfaen"/>
                <w:sz w:val="20"/>
                <w:szCs w:val="20"/>
                <w:highlight w:val="white"/>
              </w:rPr>
              <w:t xml:space="preserve">Nursing outcomes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classification -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hAnsi="Sylfaen"/>
                <w:sz w:val="20"/>
                <w:szCs w:val="20"/>
                <w:highlight w:val="white"/>
              </w:rPr>
              <w:t xml:space="preserve">Nursing intervention classification -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დიაგნოზი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);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იმპლემენტაცია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წინ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იმპლემეტაცია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გადაფასება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შემდგომი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შედარება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პირვანდელ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მდგომარეობასთან</w:t>
            </w: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: 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  <w:vertAlign w:val="superscript"/>
              </w:rPr>
              <w:footnoteReference w:id="2"/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ჟანგბადის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მიწოდება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სასიცოცხლო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ფუნქციებზე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მიერთება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არაინვაზიური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წნევის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გაზომვა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მანუალური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მეთოდით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ელექტროკარდიოგრამის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გადაღება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პერიფერიული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პუნქცია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საანალიზე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მასალის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სინჯარაში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განთავსება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ტკივილის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ვრა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გამონადენის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სეროზული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ჰემორაგიული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ჩირქოვანი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დამუშავების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მშრალი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ნახვევი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სველი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ნახვევი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ჭირლობის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ირიგაცია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შეშუპების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აქტივობის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შესრულებაში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მოყვ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სუნთქვითი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ვარჯიშეის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წარმოება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ექიმთან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ერთად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მედიკამენტოზური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მკურნალობის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სქემის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განხილვა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სტატუსის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შემოწმება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პერიფერიული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კათეტერიზაცია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პრევლარული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პერიკარდიალური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დრენაჟებიდან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გამონადენის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(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გამონადენის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ხასიათი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რაოდ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ნეობა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ნაზო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ორო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ინტუბაცია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კუჭის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ლავაჟი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ენტერალური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საკვების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მონელების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ევაკუაციის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პირნაღები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ხასიათის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ტიპის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პერკუტანული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მლივი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ნაწლავის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ზონდის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მოვლა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შარდის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ბუშტის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კათეტერიზაცია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შარდის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ბუ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ირიგაცია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6.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სტაციონარული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ბარათი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#IV-300/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მონაცემების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რეგისტრაციის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300-1/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ექიმის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დანიშნულების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ფორმაც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300-2/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კომპონენტების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გადასხმის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ოქმი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№IV-300-11/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წერილობითი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ინფორმირებული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თანხმობა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სამედიცინო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მომსახურების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გაწევაზე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№IV-300-12/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მდგომარეობის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ძირითადი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მაჩვენებლის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რუკა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№IV-300-13/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სტაციონარში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პაციენტთა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მიღების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გაწერის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რეგისტრაციის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ჟურნალი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№IV-301/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  <w:u w:val="singl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ind w:left="1080"/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995" w:type="dxa"/>
            <w:vAlign w:val="center"/>
          </w:tcPr>
          <w:p w:rsidR="004D6223" w:rsidRPr="008B7E16" w:rsidRDefault="00E259FA" w:rsidP="008B7E16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პრაქტიკული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დავალება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დაკვირვებით</w:t>
            </w:r>
          </w:p>
          <w:p w:rsidR="004D6223" w:rsidRPr="008B7E16" w:rsidRDefault="00E259FA" w:rsidP="008B7E16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4D6223" w:rsidRPr="008B7E16">
        <w:trPr>
          <w:trHeight w:val="520"/>
          <w:jc w:val="center"/>
        </w:trPr>
        <w:tc>
          <w:tcPr>
            <w:tcW w:w="3320" w:type="dxa"/>
            <w:gridSpan w:val="2"/>
            <w:shd w:val="clear" w:color="auto" w:fill="auto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lastRenderedPageBreak/>
              <w:t>2.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ნეფროლოგიური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გასტროენტეროლოგიური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რეპროდუქციული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711" w:type="dxa"/>
            <w:tcBorders>
              <w:top w:val="single" w:sz="4" w:space="0" w:color="000000"/>
            </w:tcBorders>
            <w:shd w:val="clear" w:color="auto" w:fill="auto"/>
          </w:tcPr>
          <w:p w:rsidR="004D6223" w:rsidRPr="008B7E16" w:rsidRDefault="00E259FA" w:rsidP="008B7E1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მეთვალყურეობის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ნეფროლოგიური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გასტროენტეროლოგიური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რეპროდუქციული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პაციენტებში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პრეოპერაციული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პოსტოპერაციული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აპექტებს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ციელებული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4D6223" w:rsidRPr="008B7E16" w:rsidRDefault="004D6223" w:rsidP="008B7E16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642" w:type="dxa"/>
            <w:gridSpan w:val="3"/>
          </w:tcPr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995" w:type="dxa"/>
            <w:vAlign w:val="center"/>
          </w:tcPr>
          <w:p w:rsidR="004D6223" w:rsidRPr="008B7E16" w:rsidRDefault="00E259FA" w:rsidP="008B7E16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დავალება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დაკვირვებით</w:t>
            </w:r>
          </w:p>
          <w:p w:rsidR="004D6223" w:rsidRPr="008B7E16" w:rsidRDefault="004D6223" w:rsidP="008B7E16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</w:tr>
      <w:tr w:rsidR="004D6223" w:rsidRPr="008B7E16">
        <w:trPr>
          <w:trHeight w:val="620"/>
          <w:jc w:val="center"/>
        </w:trPr>
        <w:tc>
          <w:tcPr>
            <w:tcW w:w="3314" w:type="dxa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3.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ონკოლოგიური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ენდოკრინოლოგიური</w:t>
            </w: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სპეციფიკის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მეთვალყურეობა</w:t>
            </w:r>
          </w:p>
          <w:p w:rsidR="004D6223" w:rsidRPr="008B7E16" w:rsidRDefault="004D6223" w:rsidP="008B7E1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735" w:type="dxa"/>
            <w:gridSpan w:val="3"/>
          </w:tcPr>
          <w:p w:rsidR="004D6223" w:rsidRPr="008B7E16" w:rsidRDefault="00E259FA" w:rsidP="008B7E1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პროცესს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ონკოლოგიური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ენდოკრინოლოგიური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დაავადებების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მქონე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პაციენტებში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ქირურგიული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პრეოპერაციული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პოსტოპერაციული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გარეშე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ახორციელებს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მანიპულაციებს</w:t>
            </w: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ამყარებს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კომუნიკაცის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პაციენტთან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ითვალისწინებს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სოციალურ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კულტურულ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ეთიკურ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ფსიქოლოგიურ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აპექტებს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იელებული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</w:t>
            </w:r>
          </w:p>
          <w:p w:rsidR="004D6223" w:rsidRPr="008B7E16" w:rsidRDefault="004D6223" w:rsidP="008B7E16">
            <w:pPr>
              <w:ind w:left="7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609" w:type="dxa"/>
          </w:tcPr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010" w:type="dxa"/>
            <w:gridSpan w:val="2"/>
          </w:tcPr>
          <w:p w:rsidR="004D6223" w:rsidRPr="008B7E16" w:rsidRDefault="00E259FA" w:rsidP="008B7E16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პრაქტიკული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დავალება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დაკვირვებით</w:t>
            </w:r>
          </w:p>
          <w:p w:rsidR="004D6223" w:rsidRPr="008B7E16" w:rsidRDefault="004D6223" w:rsidP="008B7E16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</w:tbl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E259FA" w:rsidP="008B7E16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დამხმარე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ჩანაწერები</w:t>
      </w:r>
    </w:p>
    <w:p w:rsidR="004D6223" w:rsidRPr="008B7E16" w:rsidRDefault="00E259FA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3.1.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რეკომენდაციები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სწავლებისა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და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შეფასების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ორგანიზებისთვის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</w:p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6"/>
        <w:gridCol w:w="4365"/>
        <w:gridCol w:w="2611"/>
        <w:gridCol w:w="3693"/>
        <w:gridCol w:w="3283"/>
      </w:tblGrid>
      <w:tr w:rsidR="004D6223" w:rsidRPr="008B7E16">
        <w:trPr>
          <w:trHeight w:val="600"/>
        </w:trPr>
        <w:tc>
          <w:tcPr>
            <w:tcW w:w="716" w:type="dxa"/>
            <w:vAlign w:val="center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</w:p>
        </w:tc>
        <w:tc>
          <w:tcPr>
            <w:tcW w:w="4365" w:type="dxa"/>
            <w:vAlign w:val="center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თემატიკა</w:t>
            </w:r>
          </w:p>
        </w:tc>
        <w:tc>
          <w:tcPr>
            <w:tcW w:w="2611" w:type="dxa"/>
            <w:vAlign w:val="center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სწავლება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-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მეთოდი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მეთოდები</w:t>
            </w:r>
          </w:p>
        </w:tc>
        <w:tc>
          <w:tcPr>
            <w:tcW w:w="3693" w:type="dxa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შეფასების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მეთოდის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მეთოდების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აღწერილობა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283" w:type="dxa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პორტფოლიოში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განთავსებული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მტკიცებულება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მტკიცებულებები</w:t>
            </w:r>
          </w:p>
        </w:tc>
      </w:tr>
      <w:tr w:rsidR="004D6223" w:rsidRPr="008B7E16">
        <w:trPr>
          <w:trHeight w:val="18160"/>
        </w:trPr>
        <w:tc>
          <w:tcPr>
            <w:tcW w:w="716" w:type="dxa"/>
            <w:tcBorders>
              <w:bottom w:val="single" w:sz="4" w:space="0" w:color="000000"/>
            </w:tcBorders>
          </w:tcPr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1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2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3</w:t>
            </w: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4365" w:type="dxa"/>
            <w:tcBorders>
              <w:bottom w:val="single" w:sz="4" w:space="0" w:color="000000"/>
            </w:tcBorders>
            <w:shd w:val="clear" w:color="auto" w:fill="auto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: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გამოკითხვა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ჯანმრთელობის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ოჯახუ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ანამნეზის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შეკრება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დიაგნოზი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ძირითადი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,</w:t>
            </w: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  <w:u w:val="singl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დაავადების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განვითარების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რისკ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ფაქტორები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სინდრომზე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სიმპტომზე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დამყარებული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დაგეგმვა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მოვლის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გრძელვადიანი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მოკლევადიანი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ჩამოყალიბება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საფეხურების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პრიორიტეტიზაცია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გეგმის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მოსალოდნელი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8B7E16">
              <w:rPr>
                <w:rFonts w:ascii="Sylfaen" w:hAnsi="Sylfaen"/>
                <w:sz w:val="20"/>
                <w:szCs w:val="20"/>
                <w:highlight w:val="white"/>
              </w:rPr>
              <w:t xml:space="preserve">Nursing outcomes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classification -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ჩარევა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hAnsi="Sylfaen"/>
                <w:sz w:val="20"/>
                <w:szCs w:val="20"/>
                <w:highlight w:val="white"/>
              </w:rPr>
              <w:t xml:space="preserve">Nursing intervention classification -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კლასიფიკაცია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ყოვლისმომცველი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კვლევის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საფუძველზე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სტანდარტიზებული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დიაგნოზი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პაციენტისგან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მიღება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);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იმპლემენტაცია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იმპლემენტაციის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წინ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იმპლემეტაცია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>გადაფასება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  <w:u w:val="single"/>
              </w:rPr>
              <w:t xml:space="preserve">: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ინტერვენციის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შემდგომი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შედარება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პირვანდელ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მდგომარეობასთან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: 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ჟანგბადის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მიწოდება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სასიცოცხლო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ფუნქციებზე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მიერთება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არაინვაზიური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წნევის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გაზომვა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მანუალური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მეთოდით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ელექტროკარდიოგრამის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გადაღება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პერიფერიული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პუნქცია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საანალიზე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მასალის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აღება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სინჯარაში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განთავსება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ტკივილის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მდგომარეობის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გამონადენის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სეროზული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ჰემორაგიული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ჩირქოვანი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ჭრილობის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დამუშავების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მშრალი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ნახვევი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სველი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ნახვევი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ჭირლობის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ირიგაცია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შეშუპების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აქტივობის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შესრულებაში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მოყვანა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სუნთქვითი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ვარჯიშეის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წარმოება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ექიმთან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ერთად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მედიკამენტოზური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მკურნალობის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სქემის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განხილვა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ნუტრიციული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სტატუსის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შემოწმება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პერიფერიული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კათეტერიზაცია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პრევლარული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პერიკარდიალური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დრენაჟებიდან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გამონადენის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(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გამონადენის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ხასიათი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რაოდნეო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),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ნაზო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ორო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ინტუბაცია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კუჭის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ლავაჟი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ენტერალური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კვება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საკვების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მონელების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ევაკუაციის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პირნაღები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ხასიათის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ტიპის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პერკუტანული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გასტრალური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მლივი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ნაწლავის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ზონდის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მოვლა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შარდის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ბუშტის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კათეტერიზაცია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შარდის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ბუშტი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ირიგაცია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6.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დოკუმენტაცია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სტაციონარული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ბარათი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#IV-300/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ფიზიკალური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მონაცემების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რეგისტრაციის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300-1/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ექიმის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დანიშნულების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ფურცელი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ფორმაც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#IV – 300-2/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სისხლის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კომპონენტები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lastRenderedPageBreak/>
              <w:t>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გადასხმის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ოქმი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რმა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№IV-300-11/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წერილობითი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ინფორმირებული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თანხმობა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სამედიცინო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მომსახურების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გაწევაზე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№IV-300-12/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მდგომარეობის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ძირითადი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მაჩვენებლის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რუკა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№IV-300-13/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4D6223" w:rsidRPr="008B7E16" w:rsidRDefault="00E259FA" w:rsidP="008B7E16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სტაციონარში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პაციენტთა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მიღების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გაწერის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რეგისტრაციის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ჟურნალი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– 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ფორმა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 №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IV-301/</w:t>
            </w:r>
            <w:r w:rsidRPr="008B7E16">
              <w:rPr>
                <w:rFonts w:ascii="Sylfaen" w:eastAsia="Arial Unicode MS" w:hAnsi="Sylfaen" w:cs="Arial Unicode MS"/>
                <w:color w:val="333333"/>
                <w:sz w:val="20"/>
                <w:szCs w:val="20"/>
                <w:highlight w:val="white"/>
              </w:rPr>
              <w:t>ა</w:t>
            </w: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  <w:u w:val="singl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vAlign w:val="center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პრაქტიკული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მეცადინეობა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დაკვირვებით</w:t>
            </w:r>
          </w:p>
          <w:p w:rsidR="004D6223" w:rsidRPr="008B7E16" w:rsidRDefault="004D6223" w:rsidP="008B7E1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</w:tc>
        <w:tc>
          <w:tcPr>
            <w:tcW w:w="3693" w:type="dxa"/>
          </w:tcPr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E259FA" w:rsidP="008B7E1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განესაზღვრება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პრაქტიკული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დავალება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,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რომლის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შესრულების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პროცესსაც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აკვირდება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განათლების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მასწავლებელი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დაკვირვების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პროცესში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ხდება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კითხვარის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შევსება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.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განსაზღვრული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კითხვების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55%-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უპასუხა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4D6223" w:rsidRPr="008B7E16" w:rsidRDefault="00E259FA" w:rsidP="008B7E1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რეფლექსია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გამსვლელი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ზღვარი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5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5 %</w:t>
            </w: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შესრულების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მტკიცებულება</w:t>
            </w:r>
          </w:p>
          <w:p w:rsidR="004D6223" w:rsidRPr="008B7E16" w:rsidRDefault="00E259FA" w:rsidP="008B7E16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მასწავლებლის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დაწესებულების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წარმომადგენლის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წერილობითი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ჩანაწერი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წერილობითი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მტკიცებულება</w:t>
            </w:r>
          </w:p>
          <w:p w:rsidR="004D6223" w:rsidRPr="008B7E16" w:rsidRDefault="00E259FA" w:rsidP="008B7E16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წერილობითი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:</w:t>
            </w:r>
          </w:p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მიერ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წერილობით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შესრულებული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ნამუშევარი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რომელიც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ადასტურებს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ცოდნას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უნარს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/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კომპეტენციას</w:t>
            </w: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white"/>
              </w:rPr>
            </w:pPr>
          </w:p>
        </w:tc>
      </w:tr>
      <w:tr w:rsidR="004D6223" w:rsidRPr="008B7E16">
        <w:trPr>
          <w:trHeight w:val="620"/>
        </w:trPr>
        <w:tc>
          <w:tcPr>
            <w:tcW w:w="14668" w:type="dxa"/>
            <w:gridSpan w:val="5"/>
          </w:tcPr>
          <w:p w:rsidR="004D6223" w:rsidRPr="008B7E16" w:rsidRDefault="00E259FA" w:rsidP="008B7E1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lastRenderedPageBreak/>
              <w:t>მოდულის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განხორციელებასთან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დაკავშირებით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დამატებითი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რეკომენდაციები</w:t>
            </w:r>
          </w:p>
          <w:p w:rsidR="004D6223" w:rsidRPr="008B7E16" w:rsidRDefault="00E259FA" w:rsidP="008B7E1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(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საჭიროების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შემთხვევაში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)</w:t>
            </w:r>
          </w:p>
          <w:p w:rsidR="004D6223" w:rsidRPr="008B7E16" w:rsidRDefault="004D6223" w:rsidP="008B7E16">
            <w:pPr>
              <w:spacing w:before="120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</w:tbl>
    <w:p w:rsidR="004D6223" w:rsidRPr="008B7E16" w:rsidRDefault="004D6223" w:rsidP="008B7E1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bookmarkStart w:id="0" w:name="_GoBack"/>
      <w:bookmarkEnd w:id="0"/>
    </w:p>
    <w:p w:rsidR="004D6223" w:rsidRPr="008B7E16" w:rsidRDefault="00E259FA" w:rsidP="008B7E1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3.2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საათების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განაწილების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სარეკომენდაციო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4D6223" w:rsidRPr="008B7E16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საათების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განაწილება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შედეგების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მიხედვით</w:t>
            </w:r>
          </w:p>
        </w:tc>
      </w:tr>
      <w:tr w:rsidR="004D6223" w:rsidRPr="008B7E16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4D6223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სულ</w:t>
            </w:r>
          </w:p>
        </w:tc>
      </w:tr>
      <w:tr w:rsidR="004D6223" w:rsidRPr="008B7E16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4D6223" w:rsidP="008B7E1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4D6223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4D6223" w:rsidRPr="008B7E16" w:rsidRDefault="004D6223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4D6223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4D6223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4D6223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</w:tr>
      <w:tr w:rsidR="004D6223" w:rsidRPr="008B7E16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23" w:rsidRPr="008B7E16" w:rsidRDefault="004D6223" w:rsidP="008B7E1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23" w:rsidRPr="008B7E16" w:rsidRDefault="00E259FA" w:rsidP="008B7E1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23" w:rsidRPr="008B7E16" w:rsidRDefault="00E259FA" w:rsidP="008B7E1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32</w:t>
            </w:r>
          </w:p>
        </w:tc>
      </w:tr>
      <w:tr w:rsidR="004D6223" w:rsidRPr="008B7E16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28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4D6223" w:rsidP="008B7E1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32</w:t>
            </w:r>
          </w:p>
        </w:tc>
      </w:tr>
      <w:tr w:rsidR="004D6223" w:rsidRPr="008B7E16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სწავლის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შედეგი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4D6223" w:rsidP="008B7E1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36</w:t>
            </w:r>
          </w:p>
        </w:tc>
      </w:tr>
      <w:tr w:rsidR="004D6223" w:rsidRPr="008B7E16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სულ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84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23" w:rsidRPr="008B7E16" w:rsidRDefault="00E259FA" w:rsidP="008B7E1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100</w:t>
            </w:r>
          </w:p>
        </w:tc>
      </w:tr>
    </w:tbl>
    <w:p w:rsidR="004D6223" w:rsidRPr="008B7E16" w:rsidRDefault="004D6223" w:rsidP="008B7E1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E259FA" w:rsidP="008B7E1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3.3.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სასწავლო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რესურსი</w:t>
      </w:r>
    </w:p>
    <w:p w:rsidR="004D6223" w:rsidRPr="008B7E16" w:rsidRDefault="00E259FA" w:rsidP="008B7E16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8B7E16">
        <w:rPr>
          <w:rFonts w:ascii="Sylfaen" w:eastAsia="Merriweather" w:hAnsi="Sylfaen" w:cs="Merriweather"/>
          <w:sz w:val="20"/>
          <w:szCs w:val="20"/>
          <w:highlight w:val="white"/>
        </w:rPr>
        <w:t>1. Therapeutic Nursing: Improving Patient Care through Self-Awareness and Reflection, Freshwater, Dawn</w:t>
      </w:r>
    </w:p>
    <w:p w:rsidR="004D6223" w:rsidRPr="008B7E16" w:rsidRDefault="004D6223" w:rsidP="008B7E1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E259FA" w:rsidP="008B7E1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3.4.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რეკომენდაციები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სპეციალური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საგანმანათლებლო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საჭიროების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  (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სსსმ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) 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და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შეზღუდული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შესაძლებლობების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მქონე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 (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შშმ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)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პროფესიული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სტუდენტ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ების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სწავლებისათვის</w:t>
      </w:r>
    </w:p>
    <w:p w:rsidR="004D6223" w:rsidRPr="008B7E16" w:rsidRDefault="00E259FA" w:rsidP="008B7E16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lastRenderedPageBreak/>
        <w:t>საჭიროების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შემთხვევაში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სპეციალური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მქონე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სტუდენტისთვის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დაწესებულების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მიერ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მუშავდება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ინდივიდუალური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სასწავლო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გეგმა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რომელიც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ეფუძნება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პროგრამას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/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მოდულს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წარმ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ოადგენს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მოდიფიკაციას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(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მისაღწევი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სწავლის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შედეგების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თვისობრივ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ან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რაოდენობრივ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ცვლილებას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)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/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ან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აკომოდაციას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(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სწავლებისა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შეფასების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მიდგომებში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ცვლილებას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მისაღწევი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სწავლის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შედეგების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ცვლილების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გარეშე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)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შესაბამისად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აზუსტებს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სპეციალური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ჭიროების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მქონე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სტუდენტისთვის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საჭირო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დამატებით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მომსახურებას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. </w:t>
      </w:r>
    </w:p>
    <w:p w:rsidR="004D6223" w:rsidRPr="008B7E16" w:rsidRDefault="004D6223" w:rsidP="008B7E16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</w:p>
    <w:p w:rsidR="004D6223" w:rsidRPr="008B7E16" w:rsidRDefault="00E259FA" w:rsidP="008B7E16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ინდივიდუალური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სასწავლო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გეგმა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გამოიყენება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როგორც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სახელმძღვანელო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სპეციალური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მქონე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სტუდენტის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პროცესის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განხორციელებ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ისთვის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.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ინდივიდუალური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სასწავლო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გეგმის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ფარგლებში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სპეციალური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საგანმანათლებლო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საჭიროების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მქონე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პროფესიული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სტუდენტის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მიმდინარე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შეფასება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ხორციელდება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ინდივიდუალურად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განსაზღვრულ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მისაღწევ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სწავლის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შედეგებთან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,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ხოლო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საბოლოო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შეფასება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და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კრედიტების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მინიჭება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-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საგანმანა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თლებლო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პროგრამის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/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მოდულის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მოთხოვნებთან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მიმართებით</w:t>
      </w:r>
      <w:r w:rsidRPr="008B7E16">
        <w:rPr>
          <w:rFonts w:ascii="Sylfaen" w:eastAsia="Arial Unicode MS" w:hAnsi="Sylfaen" w:cs="Arial Unicode MS"/>
          <w:sz w:val="20"/>
          <w:szCs w:val="20"/>
          <w:highlight w:val="white"/>
        </w:rPr>
        <w:t>.</w:t>
      </w:r>
    </w:p>
    <w:p w:rsidR="004D6223" w:rsidRPr="008B7E16" w:rsidRDefault="004D6223" w:rsidP="008B7E1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E259FA" w:rsidP="008B7E1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  <w:bookmarkStart w:id="1" w:name="_gjdgxs" w:colFirst="0" w:colLast="0"/>
      <w:bookmarkEnd w:id="1"/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მოდულის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შემუშავებაში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მონაწილე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 xml:space="preserve"> 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პირი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/</w:t>
      </w:r>
      <w:r w:rsidRPr="008B7E16">
        <w:rPr>
          <w:rFonts w:ascii="Sylfaen" w:eastAsia="Arial Unicode MS" w:hAnsi="Sylfaen" w:cs="Arial Unicode MS"/>
          <w:b/>
          <w:sz w:val="20"/>
          <w:szCs w:val="20"/>
          <w:highlight w:val="white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4D6223" w:rsidRPr="008B7E16">
        <w:tc>
          <w:tcPr>
            <w:tcW w:w="520" w:type="dxa"/>
            <w:shd w:val="clear" w:color="auto" w:fill="auto"/>
          </w:tcPr>
          <w:p w:rsidR="004D6223" w:rsidRPr="008B7E16" w:rsidRDefault="00E259FA" w:rsidP="008B7E1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Nova Mono" w:hAnsi="Sylfaen" w:cs="Nova Mono"/>
                <w:b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223" w:rsidRPr="008B7E16" w:rsidRDefault="00E259FA" w:rsidP="008B7E1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სახელი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და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223" w:rsidRPr="008B7E16" w:rsidRDefault="00E259FA" w:rsidP="008B7E1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ორგანიზაცია</w:t>
            </w:r>
          </w:p>
        </w:tc>
      </w:tr>
      <w:tr w:rsidR="004D6223" w:rsidRPr="008B7E16">
        <w:tc>
          <w:tcPr>
            <w:tcW w:w="520" w:type="dxa"/>
            <w:shd w:val="clear" w:color="auto" w:fill="auto"/>
          </w:tcPr>
          <w:p w:rsidR="004D6223" w:rsidRPr="008B7E16" w:rsidRDefault="00E259FA" w:rsidP="008B7E1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4D6223" w:rsidRPr="008B7E16" w:rsidRDefault="00E259FA" w:rsidP="008B7E16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თამარ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223" w:rsidRPr="008B7E16" w:rsidRDefault="00E259FA" w:rsidP="008B7E1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კორპორაცია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ევექსი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  <w:tr w:rsidR="004D6223" w:rsidRPr="008B7E16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223" w:rsidRPr="008B7E16" w:rsidRDefault="00E259FA" w:rsidP="008B7E1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hAnsi="Sylfaen"/>
                <w:sz w:val="20"/>
                <w:szCs w:val="20"/>
                <w:highlight w:val="white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223" w:rsidRPr="008B7E16" w:rsidRDefault="00E259FA" w:rsidP="008B7E16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  <w:highlight w:val="white"/>
              </w:rPr>
            </w:pPr>
            <w:r w:rsidRPr="008B7E16">
              <w:rPr>
                <w:rFonts w:ascii="Sylfaen" w:hAnsi="Sylfaen"/>
                <w:sz w:val="20"/>
                <w:szCs w:val="20"/>
                <w:highlight w:val="white"/>
              </w:rPr>
              <w:t>ნინო</w:t>
            </w:r>
            <w:r w:rsidRPr="008B7E16">
              <w:rPr>
                <w:rFonts w:ascii="Sylfaen" w:hAnsi="Sylfaen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hAnsi="Sylfaen"/>
                <w:sz w:val="20"/>
                <w:szCs w:val="20"/>
                <w:highlight w:val="white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223" w:rsidRPr="008B7E16" w:rsidRDefault="00E259FA" w:rsidP="008B7E1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შპს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“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დავით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ტვილდიანის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სახელობის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უნივერსიტეტის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საზოგადოებრივი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კოლეჯი</w:t>
            </w:r>
            <w:r w:rsidRPr="008B7E1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</w:tbl>
    <w:p w:rsidR="004D6223" w:rsidRPr="008B7E16" w:rsidRDefault="004D6223" w:rsidP="008B7E16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  <w:highlight w:val="white"/>
        </w:rPr>
      </w:pPr>
    </w:p>
    <w:p w:rsidR="004D6223" w:rsidRPr="008B7E16" w:rsidRDefault="004D6223" w:rsidP="008B7E1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  <w:highlight w:val="white"/>
        </w:rPr>
      </w:pPr>
    </w:p>
    <w:p w:rsidR="004D6223" w:rsidRPr="008B7E16" w:rsidRDefault="004D6223" w:rsidP="008B7E16">
      <w:pPr>
        <w:spacing w:line="240" w:lineRule="auto"/>
        <w:jc w:val="both"/>
        <w:rPr>
          <w:rFonts w:ascii="Sylfaen" w:hAnsi="Sylfaen"/>
          <w:sz w:val="20"/>
          <w:szCs w:val="20"/>
          <w:highlight w:val="white"/>
        </w:rPr>
      </w:pPr>
    </w:p>
    <w:sectPr w:rsidR="004D6223" w:rsidRPr="008B7E16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FA" w:rsidRDefault="00E259FA">
      <w:pPr>
        <w:spacing w:after="0" w:line="240" w:lineRule="auto"/>
      </w:pPr>
      <w:r>
        <w:separator/>
      </w:r>
    </w:p>
  </w:endnote>
  <w:endnote w:type="continuationSeparator" w:id="0">
    <w:p w:rsidR="00E259FA" w:rsidRDefault="00E2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Merriweath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23" w:rsidRDefault="00E259FA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8B7E16">
      <w:fldChar w:fldCharType="separate"/>
    </w:r>
    <w:r w:rsidR="008B7E16">
      <w:rPr>
        <w:noProof/>
      </w:rPr>
      <w:t>11</w:t>
    </w:r>
    <w:r>
      <w:fldChar w:fldCharType="end"/>
    </w:r>
  </w:p>
  <w:p w:rsidR="004D6223" w:rsidRDefault="004D6223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FA" w:rsidRDefault="00E259FA">
      <w:pPr>
        <w:spacing w:after="0" w:line="240" w:lineRule="auto"/>
      </w:pPr>
      <w:r>
        <w:separator/>
      </w:r>
    </w:p>
  </w:footnote>
  <w:footnote w:type="continuationSeparator" w:id="0">
    <w:p w:rsidR="00E259FA" w:rsidRDefault="00E259FA">
      <w:pPr>
        <w:spacing w:after="0" w:line="240" w:lineRule="auto"/>
      </w:pPr>
      <w:r>
        <w:continuationSeparator/>
      </w:r>
    </w:p>
  </w:footnote>
  <w:footnote w:id="1">
    <w:p w:rsidR="004D6223" w:rsidRDefault="00E259FA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  <w:r>
        <w:rPr>
          <w:vertAlign w:val="superscript"/>
        </w:rPr>
        <w:footnoteRef/>
      </w:r>
      <w:r>
        <w:rPr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  <w:p w:rsidR="004D6223" w:rsidRDefault="004D6223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:rsidR="004D6223" w:rsidRDefault="004D6223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</w:p>
  </w:footnote>
  <w:footnote w:id="2">
    <w:p w:rsidR="004D6223" w:rsidRDefault="00E259FA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მ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მანიპულაციის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23" w:rsidRDefault="004D6223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25D0"/>
    <w:multiLevelType w:val="multilevel"/>
    <w:tmpl w:val="A0FC8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FF58B2"/>
    <w:multiLevelType w:val="multilevel"/>
    <w:tmpl w:val="FC7CC92C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FD9005A"/>
    <w:multiLevelType w:val="multilevel"/>
    <w:tmpl w:val="55DC3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F65992"/>
    <w:multiLevelType w:val="multilevel"/>
    <w:tmpl w:val="E4CAC5F0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0AF6787"/>
    <w:multiLevelType w:val="multilevel"/>
    <w:tmpl w:val="E0F0E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E0531D"/>
    <w:multiLevelType w:val="multilevel"/>
    <w:tmpl w:val="A8681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572252"/>
    <w:multiLevelType w:val="multilevel"/>
    <w:tmpl w:val="CDAA7B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44E64"/>
    <w:multiLevelType w:val="multilevel"/>
    <w:tmpl w:val="51360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26649E"/>
    <w:multiLevelType w:val="multilevel"/>
    <w:tmpl w:val="B8004DB0"/>
    <w:lvl w:ilvl="0">
      <w:start w:val="1"/>
      <w:numFmt w:val="decimal"/>
      <w:lvlText w:val="%1."/>
      <w:lvlJc w:val="left"/>
      <w:pPr>
        <w:ind w:left="720" w:hanging="360"/>
      </w:pPr>
      <w:rPr>
        <w:rFonts w:ascii="Merriweather" w:eastAsia="Merriweather" w:hAnsi="Merriweather" w:cs="Merriweather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6223"/>
    <w:rsid w:val="004D6223"/>
    <w:rsid w:val="008B7E16"/>
    <w:rsid w:val="00E2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D69FA7-4457-4693-B62B-65AF2D9D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1618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2017-12-04T08:34:00Z</dcterms:created>
  <dcterms:modified xsi:type="dcterms:W3CDTF">2017-12-04T08:34:00Z</dcterms:modified>
</cp:coreProperties>
</file>