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50" w:rsidRDefault="007F1450" w:rsidP="007F1450">
      <w:pPr>
        <w:spacing w:after="375" w:line="420" w:lineRule="atLeast"/>
        <w:rPr>
          <w:rFonts w:ascii="avenir_lt_std65_medium" w:eastAsia="Times New Roman" w:hAnsi="avenir_lt_std65_medium" w:cs="Arial"/>
          <w:b/>
          <w:bCs/>
          <w:color w:val="505070"/>
          <w:sz w:val="27"/>
          <w:szCs w:val="27"/>
        </w:rPr>
      </w:pPr>
      <w:r>
        <w:rPr>
          <w:rFonts w:ascii="avenir_lt_std35_light" w:hAnsi="avenir_lt_std35_light"/>
          <w:color w:val="393940"/>
          <w:sz w:val="27"/>
          <w:szCs w:val="27"/>
          <w:shd w:val="clear" w:color="auto" w:fill="FFFFFF"/>
        </w:rPr>
        <w:t>Speaker of the House Paul Ryan has his own ideas about healthcare reform, which he proposed in a neatly packaged booklet called</w:t>
      </w:r>
      <w:r>
        <w:rPr>
          <w:rStyle w:val="apple-converted-space"/>
          <w:rFonts w:ascii="avenir_lt_std35_light" w:hAnsi="avenir_lt_std35_light"/>
          <w:color w:val="393940"/>
          <w:sz w:val="27"/>
          <w:szCs w:val="27"/>
          <w:shd w:val="clear" w:color="auto" w:fill="FFFFFF"/>
        </w:rPr>
        <w:t> </w:t>
      </w:r>
      <w:hyperlink r:id="rId6" w:tgtFrame="_blank" w:history="1">
        <w:r>
          <w:rPr>
            <w:rStyle w:val="Hyperlink"/>
            <w:rFonts w:ascii="avenir_lt_std35_light" w:hAnsi="avenir_lt_std35_light"/>
            <w:color w:val="E26417"/>
            <w:sz w:val="27"/>
            <w:szCs w:val="27"/>
            <w:shd w:val="clear" w:color="auto" w:fill="FFFFFF"/>
          </w:rPr>
          <w:t>A Better Way</w:t>
        </w:r>
      </w:hyperlink>
      <w:r>
        <w:rPr>
          <w:rFonts w:ascii="avenir_lt_std35_light" w:hAnsi="avenir_lt_std35_light"/>
          <w:color w:val="393940"/>
          <w:sz w:val="27"/>
          <w:szCs w:val="27"/>
          <w:shd w:val="clear" w:color="auto" w:fill="FFFFFF"/>
        </w:rPr>
        <w:t>. There are several good ideas in Ryan’s plan, but his approach to health care differs drastically from the standard Democrat view.</w:t>
      </w:r>
      <w:r>
        <w:rPr>
          <w:rStyle w:val="apple-converted-space"/>
          <w:rFonts w:ascii="avenir_lt_std35_light" w:hAnsi="avenir_lt_std35_light"/>
          <w:color w:val="393940"/>
          <w:sz w:val="27"/>
          <w:szCs w:val="27"/>
          <w:shd w:val="clear" w:color="auto" w:fill="FFFFFF"/>
        </w:rPr>
        <w:t> </w:t>
      </w:r>
    </w:p>
    <w:p w:rsidR="007F1450" w:rsidRPr="007F1450" w:rsidRDefault="007F1450" w:rsidP="007F1450">
      <w:pPr>
        <w:numPr>
          <w:ilvl w:val="0"/>
          <w:numId w:val="1"/>
        </w:numPr>
        <w:spacing w:after="375" w:line="420" w:lineRule="atLeast"/>
        <w:ind w:left="0"/>
        <w:rPr>
          <w:rFonts w:ascii="avenir_lt_std65_medium" w:eastAsia="Times New Roman" w:hAnsi="avenir_lt_std65_medium" w:cs="Arial"/>
          <w:b/>
          <w:bCs/>
          <w:color w:val="505070"/>
          <w:sz w:val="27"/>
          <w:szCs w:val="27"/>
        </w:rPr>
      </w:pPr>
      <w:r w:rsidRPr="007F1450">
        <w:rPr>
          <w:rFonts w:ascii="avenir_lt_std65_medium" w:eastAsia="Times New Roman" w:hAnsi="avenir_lt_std65_medium" w:cs="Arial"/>
          <w:b/>
          <w:bCs/>
          <w:color w:val="505070"/>
          <w:sz w:val="27"/>
          <w:szCs w:val="27"/>
        </w:rPr>
        <w:t>The emphasis would be on patient-centered care, meaning patients are in the control seat when choosing plans, providers and other aspects of healthcare.</w:t>
      </w:r>
    </w:p>
    <w:p w:rsidR="007F1450" w:rsidRPr="007F1450" w:rsidRDefault="007F1450" w:rsidP="007F1450">
      <w:pPr>
        <w:numPr>
          <w:ilvl w:val="0"/>
          <w:numId w:val="1"/>
        </w:numPr>
        <w:spacing w:after="375" w:line="420" w:lineRule="atLeast"/>
        <w:ind w:left="0"/>
        <w:rPr>
          <w:rFonts w:ascii="avenir_lt_std65_medium" w:eastAsia="Times New Roman" w:hAnsi="avenir_lt_std65_medium" w:cs="Arial"/>
          <w:b/>
          <w:bCs/>
          <w:color w:val="505070"/>
          <w:sz w:val="27"/>
          <w:szCs w:val="27"/>
        </w:rPr>
      </w:pPr>
      <w:r w:rsidRPr="007F1450">
        <w:rPr>
          <w:rFonts w:ascii="avenir_lt_std65_medium" w:eastAsia="Times New Roman" w:hAnsi="avenir_lt_std65_medium" w:cs="Arial"/>
          <w:b/>
          <w:bCs/>
          <w:color w:val="505070"/>
          <w:sz w:val="27"/>
          <w:szCs w:val="27"/>
        </w:rPr>
        <w:t>If you don’t have access to health insurance through your job or a government program (like Medicare or Medicaid), then you would be eligible for a portable tax credit that you could apply toward the cost of your healthcare coverage for the year. It would be based on age rather than income, with older people getting higher credits.</w:t>
      </w:r>
    </w:p>
    <w:p w:rsidR="007F1450" w:rsidRPr="007F1450" w:rsidRDefault="007F1450" w:rsidP="007F1450">
      <w:pPr>
        <w:numPr>
          <w:ilvl w:val="0"/>
          <w:numId w:val="1"/>
        </w:numPr>
        <w:spacing w:after="375" w:line="420" w:lineRule="atLeast"/>
        <w:ind w:left="0"/>
        <w:rPr>
          <w:rFonts w:ascii="avenir_lt_std65_medium" w:eastAsia="Times New Roman" w:hAnsi="avenir_lt_std65_medium" w:cs="Arial"/>
          <w:b/>
          <w:bCs/>
          <w:color w:val="505070"/>
          <w:sz w:val="27"/>
          <w:szCs w:val="27"/>
        </w:rPr>
      </w:pPr>
      <w:r w:rsidRPr="007F1450">
        <w:rPr>
          <w:rFonts w:ascii="avenir_lt_std65_medium" w:eastAsia="Times New Roman" w:hAnsi="avenir_lt_std65_medium" w:cs="Arial"/>
          <w:b/>
          <w:bCs/>
          <w:color w:val="505070"/>
          <w:sz w:val="27"/>
          <w:szCs w:val="27"/>
        </w:rPr>
        <w:t>People with pre-existing conditions would be directed into high-risk pools, where costs would be subsidized, separate from the general pool of other health insurance applicants.</w:t>
      </w:r>
    </w:p>
    <w:p w:rsidR="007F1450" w:rsidRPr="007F1450" w:rsidRDefault="007F1450" w:rsidP="007F1450">
      <w:pPr>
        <w:numPr>
          <w:ilvl w:val="0"/>
          <w:numId w:val="1"/>
        </w:numPr>
        <w:spacing w:after="375" w:line="420" w:lineRule="atLeast"/>
        <w:ind w:left="0"/>
        <w:rPr>
          <w:rFonts w:ascii="avenir_lt_std65_medium" w:eastAsia="Times New Roman" w:hAnsi="avenir_lt_std65_medium" w:cs="Arial"/>
          <w:b/>
          <w:bCs/>
          <w:color w:val="505070"/>
          <w:sz w:val="27"/>
          <w:szCs w:val="27"/>
        </w:rPr>
      </w:pPr>
      <w:r w:rsidRPr="007F1450">
        <w:rPr>
          <w:rFonts w:ascii="avenir_lt_std65_medium" w:eastAsia="Times New Roman" w:hAnsi="avenir_lt_std65_medium" w:cs="Arial"/>
          <w:b/>
          <w:bCs/>
          <w:color w:val="505070"/>
          <w:sz w:val="27"/>
          <w:szCs w:val="27"/>
        </w:rPr>
        <w:t>Funding would go toward health care advancements and the development of an effective, nationwide electronic medical records system to improve efficiency.</w:t>
      </w:r>
    </w:p>
    <w:p w:rsidR="007F1450" w:rsidRDefault="007F1450" w:rsidP="007F1450">
      <w:pPr>
        <w:numPr>
          <w:ilvl w:val="0"/>
          <w:numId w:val="1"/>
        </w:numPr>
        <w:spacing w:after="375" w:line="420" w:lineRule="atLeast"/>
        <w:ind w:left="0"/>
        <w:rPr>
          <w:rFonts w:ascii="avenir_lt_std65_medium" w:eastAsia="Times New Roman" w:hAnsi="avenir_lt_std65_medium" w:cs="Arial"/>
          <w:b/>
          <w:bCs/>
          <w:color w:val="505070"/>
          <w:sz w:val="27"/>
          <w:szCs w:val="27"/>
        </w:rPr>
      </w:pPr>
      <w:r w:rsidRPr="007F1450">
        <w:rPr>
          <w:rFonts w:ascii="avenir_lt_std65_medium" w:eastAsia="Times New Roman" w:hAnsi="avenir_lt_std65_medium" w:cs="Arial"/>
          <w:b/>
          <w:bCs/>
          <w:color w:val="505070"/>
          <w:sz w:val="27"/>
          <w:szCs w:val="27"/>
        </w:rPr>
        <w:t>Medicare will be strengthened to make it viable for future generations, particularly the retiring Baby Boomer generation.</w:t>
      </w:r>
    </w:p>
    <w:p w:rsidR="007F1450" w:rsidRPr="007F1450" w:rsidRDefault="007F1450" w:rsidP="007F1450">
      <w:pPr>
        <w:spacing w:after="450" w:line="510" w:lineRule="atLeast"/>
        <w:rPr>
          <w:rFonts w:ascii="avenir_lt_std35_light" w:eastAsia="Times New Roman" w:hAnsi="avenir_lt_std35_light" w:cs="Times New Roman"/>
          <w:color w:val="393940"/>
          <w:sz w:val="27"/>
          <w:szCs w:val="27"/>
        </w:rPr>
      </w:pPr>
      <w:r w:rsidRPr="007F1450">
        <w:rPr>
          <w:rFonts w:ascii="avenir_lt_std35_light" w:eastAsia="Times New Roman" w:hAnsi="avenir_lt_std35_light" w:cs="Times New Roman"/>
          <w:color w:val="393940"/>
          <w:sz w:val="27"/>
          <w:szCs w:val="27"/>
        </w:rPr>
        <w:t>The </w:t>
      </w:r>
      <w:hyperlink r:id="rId7" w:tgtFrame="_blank" w:history="1">
        <w:r w:rsidRPr="007F1450">
          <w:rPr>
            <w:rFonts w:ascii="avenir_lt_std35_light" w:eastAsia="Times New Roman" w:hAnsi="avenir_lt_std35_light" w:cs="Times New Roman"/>
            <w:color w:val="E26417"/>
            <w:sz w:val="27"/>
            <w:szCs w:val="27"/>
            <w:u w:val="single"/>
          </w:rPr>
          <w:t>66-page American Health Care Act proposal</w:t>
        </w:r>
      </w:hyperlink>
      <w:r w:rsidRPr="007F1450">
        <w:rPr>
          <w:rFonts w:ascii="avenir_lt_std35_light" w:eastAsia="Times New Roman" w:hAnsi="avenir_lt_std35_light" w:cs="Times New Roman"/>
          <w:color w:val="393940"/>
          <w:sz w:val="27"/>
          <w:szCs w:val="27"/>
        </w:rPr>
        <w:t> outlines several proposals. Under the AHCA, we could expect </w:t>
      </w:r>
      <w:hyperlink r:id="rId8" w:tgtFrame="_blank" w:history="1">
        <w:r w:rsidRPr="007F1450">
          <w:rPr>
            <w:rFonts w:ascii="avenir_lt_std35_light" w:eastAsia="Times New Roman" w:hAnsi="avenir_lt_std35_light" w:cs="Times New Roman"/>
            <w:color w:val="E26417"/>
            <w:sz w:val="27"/>
            <w:szCs w:val="27"/>
            <w:u w:val="single"/>
          </w:rPr>
          <w:t>the following</w:t>
        </w:r>
      </w:hyperlink>
      <w:r w:rsidRPr="007F1450">
        <w:rPr>
          <w:rFonts w:ascii="avenir_lt_std35_light" w:eastAsia="Times New Roman" w:hAnsi="avenir_lt_std35_light" w:cs="Times New Roman"/>
          <w:color w:val="393940"/>
          <w:sz w:val="27"/>
          <w:szCs w:val="27"/>
        </w:rPr>
        <w:t>:</w:t>
      </w:r>
    </w:p>
    <w:p w:rsidR="007F1450" w:rsidRPr="007F1450" w:rsidRDefault="007F1450" w:rsidP="007F1450">
      <w:pPr>
        <w:numPr>
          <w:ilvl w:val="0"/>
          <w:numId w:val="2"/>
        </w:numPr>
        <w:spacing w:after="375" w:line="420" w:lineRule="atLeast"/>
        <w:ind w:left="0"/>
        <w:rPr>
          <w:rFonts w:ascii="avenir_lt_std65_medium" w:eastAsia="Times New Roman" w:hAnsi="avenir_lt_std65_medium" w:cs="Times New Roman"/>
          <w:b/>
          <w:bCs/>
          <w:color w:val="505070"/>
          <w:sz w:val="27"/>
          <w:szCs w:val="27"/>
        </w:rPr>
      </w:pPr>
      <w:r w:rsidRPr="007F1450">
        <w:rPr>
          <w:rFonts w:ascii="avenir_lt_std65_medium" w:eastAsia="Times New Roman" w:hAnsi="avenir_lt_std65_medium" w:cs="Times New Roman"/>
          <w:b/>
          <w:bCs/>
          <w:color w:val="505070"/>
          <w:sz w:val="27"/>
          <w:szCs w:val="27"/>
        </w:rPr>
        <w:t>The individual mandate requiring health insurance would be eliminated.</w:t>
      </w:r>
    </w:p>
    <w:p w:rsidR="007F1450" w:rsidRPr="007F1450" w:rsidRDefault="007F1450" w:rsidP="007F1450">
      <w:pPr>
        <w:numPr>
          <w:ilvl w:val="0"/>
          <w:numId w:val="2"/>
        </w:numPr>
        <w:spacing w:after="375" w:line="420" w:lineRule="atLeast"/>
        <w:ind w:left="0"/>
        <w:rPr>
          <w:rFonts w:ascii="avenir_lt_std65_medium" w:eastAsia="Times New Roman" w:hAnsi="avenir_lt_std65_medium" w:cs="Times New Roman"/>
          <w:b/>
          <w:bCs/>
          <w:color w:val="505070"/>
          <w:sz w:val="27"/>
          <w:szCs w:val="27"/>
        </w:rPr>
      </w:pPr>
      <w:r w:rsidRPr="007F1450">
        <w:rPr>
          <w:rFonts w:ascii="avenir_lt_std65_medium" w:eastAsia="Times New Roman" w:hAnsi="avenir_lt_std65_medium" w:cs="Times New Roman"/>
          <w:b/>
          <w:bCs/>
          <w:color w:val="505070"/>
          <w:sz w:val="27"/>
          <w:szCs w:val="27"/>
        </w:rPr>
        <w:t>Young adults would be able to stay on their parents’ plans up until age 26.</w:t>
      </w:r>
    </w:p>
    <w:p w:rsidR="007F1450" w:rsidRPr="007F1450" w:rsidRDefault="007F1450" w:rsidP="007F1450">
      <w:pPr>
        <w:numPr>
          <w:ilvl w:val="0"/>
          <w:numId w:val="2"/>
        </w:numPr>
        <w:spacing w:after="375" w:line="420" w:lineRule="atLeast"/>
        <w:ind w:left="0"/>
        <w:rPr>
          <w:rFonts w:ascii="avenir_lt_std65_medium" w:eastAsia="Times New Roman" w:hAnsi="avenir_lt_std65_medium" w:cs="Times New Roman"/>
          <w:b/>
          <w:bCs/>
          <w:color w:val="505070"/>
          <w:sz w:val="27"/>
          <w:szCs w:val="27"/>
        </w:rPr>
      </w:pPr>
      <w:r w:rsidRPr="007F1450">
        <w:rPr>
          <w:rFonts w:ascii="avenir_lt_std65_medium" w:eastAsia="Times New Roman" w:hAnsi="avenir_lt_std65_medium" w:cs="Times New Roman"/>
          <w:b/>
          <w:bCs/>
          <w:color w:val="505070"/>
          <w:sz w:val="27"/>
          <w:szCs w:val="27"/>
        </w:rPr>
        <w:lastRenderedPageBreak/>
        <w:t>You might pay a 30 percent penalty fee on top of premiums if you let your health insurance lapse for more than two months.</w:t>
      </w:r>
    </w:p>
    <w:p w:rsidR="007F1450" w:rsidRPr="007F1450" w:rsidRDefault="007F1450" w:rsidP="007F1450">
      <w:pPr>
        <w:numPr>
          <w:ilvl w:val="0"/>
          <w:numId w:val="2"/>
        </w:numPr>
        <w:spacing w:after="375" w:line="420" w:lineRule="atLeast"/>
        <w:ind w:left="0"/>
        <w:rPr>
          <w:rFonts w:ascii="avenir_lt_std65_medium" w:eastAsia="Times New Roman" w:hAnsi="avenir_lt_std65_medium" w:cs="Times New Roman"/>
          <w:b/>
          <w:bCs/>
          <w:color w:val="505070"/>
          <w:sz w:val="27"/>
          <w:szCs w:val="27"/>
        </w:rPr>
      </w:pPr>
      <w:r w:rsidRPr="007F1450">
        <w:rPr>
          <w:rFonts w:ascii="avenir_lt_std65_medium" w:eastAsia="Times New Roman" w:hAnsi="avenir_lt_std65_medium" w:cs="Times New Roman"/>
          <w:b/>
          <w:bCs/>
          <w:color w:val="505070"/>
          <w:sz w:val="27"/>
          <w:szCs w:val="27"/>
        </w:rPr>
        <w:t>People with pre-existing conditions would still be granted guaranteed-issue coverage.</w:t>
      </w:r>
    </w:p>
    <w:p w:rsidR="007F1450" w:rsidRPr="007F1450" w:rsidRDefault="007F1450" w:rsidP="007F1450">
      <w:pPr>
        <w:numPr>
          <w:ilvl w:val="0"/>
          <w:numId w:val="2"/>
        </w:numPr>
        <w:spacing w:after="375" w:line="420" w:lineRule="atLeast"/>
        <w:ind w:left="0"/>
        <w:rPr>
          <w:rFonts w:ascii="avenir_lt_std65_medium" w:eastAsia="Times New Roman" w:hAnsi="avenir_lt_std65_medium" w:cs="Times New Roman"/>
          <w:b/>
          <w:bCs/>
          <w:color w:val="505070"/>
          <w:sz w:val="27"/>
          <w:szCs w:val="27"/>
        </w:rPr>
      </w:pPr>
      <w:r w:rsidRPr="007F1450">
        <w:rPr>
          <w:rFonts w:ascii="avenir_lt_std65_medium" w:eastAsia="Times New Roman" w:hAnsi="avenir_lt_std65_medium" w:cs="Times New Roman"/>
          <w:b/>
          <w:bCs/>
          <w:color w:val="505070"/>
          <w:sz w:val="27"/>
          <w:szCs w:val="27"/>
        </w:rPr>
        <w:t>Medicaid would remain as it is until 2020. Until then, the states that opted to expand their programs under ACA guidelines could keep enrolling new people. Starting in 2020, states would receive federal funding on a per-capita basis rather than an open-ended system.</w:t>
      </w:r>
    </w:p>
    <w:p w:rsidR="007F1450" w:rsidRPr="007F1450" w:rsidRDefault="007F1450" w:rsidP="007F1450">
      <w:pPr>
        <w:spacing w:after="375" w:line="420" w:lineRule="atLeast"/>
        <w:rPr>
          <w:rFonts w:ascii="avenir_lt_std65_medium" w:eastAsia="Times New Roman" w:hAnsi="avenir_lt_std65_medium" w:cs="Arial"/>
          <w:b/>
          <w:bCs/>
          <w:color w:val="505070"/>
          <w:sz w:val="27"/>
          <w:szCs w:val="27"/>
        </w:rPr>
      </w:pPr>
    </w:p>
    <w:p w:rsidR="00A17A45" w:rsidRDefault="0086221B">
      <w:hyperlink r:id="rId9" w:history="1">
        <w:r w:rsidRPr="00E62B70">
          <w:rPr>
            <w:rStyle w:val="Hyperlink"/>
          </w:rPr>
          <w:t>https://www.nytimes.com/interactive/2017/03/06/us/politics/republican-obamacare-replacement.html</w:t>
        </w:r>
      </w:hyperlink>
    </w:p>
    <w:p w:rsidR="0086221B" w:rsidRDefault="0086221B">
      <w:bookmarkStart w:id="0" w:name="_GoBack"/>
      <w:bookmarkEnd w:id="0"/>
    </w:p>
    <w:sectPr w:rsidR="00862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venir_lt_std65_medium">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avenir_lt_std35_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344DE"/>
    <w:multiLevelType w:val="multilevel"/>
    <w:tmpl w:val="6BE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8D1569"/>
    <w:multiLevelType w:val="multilevel"/>
    <w:tmpl w:val="1A2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450"/>
    <w:rsid w:val="007F1450"/>
    <w:rsid w:val="0086221B"/>
    <w:rsid w:val="00A1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1450"/>
  </w:style>
  <w:style w:type="character" w:styleId="Hyperlink">
    <w:name w:val="Hyperlink"/>
    <w:basedOn w:val="DefaultParagraphFont"/>
    <w:uiPriority w:val="99"/>
    <w:unhideWhenUsed/>
    <w:rsid w:val="007F1450"/>
    <w:rPr>
      <w:color w:val="0000FF"/>
      <w:u w:val="single"/>
    </w:rPr>
  </w:style>
  <w:style w:type="paragraph" w:styleId="NormalWeb">
    <w:name w:val="Normal (Web)"/>
    <w:basedOn w:val="Normal"/>
    <w:uiPriority w:val="99"/>
    <w:semiHidden/>
    <w:unhideWhenUsed/>
    <w:rsid w:val="007F1450"/>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1450"/>
  </w:style>
  <w:style w:type="character" w:styleId="Hyperlink">
    <w:name w:val="Hyperlink"/>
    <w:basedOn w:val="DefaultParagraphFont"/>
    <w:uiPriority w:val="99"/>
    <w:unhideWhenUsed/>
    <w:rsid w:val="007F1450"/>
    <w:rPr>
      <w:color w:val="0000FF"/>
      <w:u w:val="single"/>
    </w:rPr>
  </w:style>
  <w:style w:type="paragraph" w:styleId="NormalWeb">
    <w:name w:val="Normal (Web)"/>
    <w:basedOn w:val="Normal"/>
    <w:uiPriority w:val="99"/>
    <w:semiHidden/>
    <w:unhideWhenUsed/>
    <w:rsid w:val="007F145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0722">
      <w:bodyDiv w:val="1"/>
      <w:marLeft w:val="0"/>
      <w:marRight w:val="0"/>
      <w:marTop w:val="0"/>
      <w:marBottom w:val="0"/>
      <w:divBdr>
        <w:top w:val="none" w:sz="0" w:space="0" w:color="auto"/>
        <w:left w:val="none" w:sz="0" w:space="0" w:color="auto"/>
        <w:bottom w:val="none" w:sz="0" w:space="0" w:color="auto"/>
        <w:right w:val="none" w:sz="0" w:space="0" w:color="auto"/>
      </w:divBdr>
    </w:div>
    <w:div w:id="105061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sections/health-shots/2017/03/07/519001659/7-things-to-watch-in-the-gops-american-health-care-act" TargetMode="External"/><Relationship Id="rId3" Type="http://schemas.microsoft.com/office/2007/relationships/stylesWithEffects" Target="stylesWithEffects.xml"/><Relationship Id="rId7" Type="http://schemas.openxmlformats.org/officeDocument/2006/relationships/hyperlink" Target="http://energycommerce.house.gov/sites/republicans.energycommerce.house.gov/files/documents/AmericanHealthCareAc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etterway.speaker.gov/_assets/pdf/ABetterWay-HealthCare-Snapshot.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ytimes.com/interactive/2017/03/06/us/politics/republican-obamacare-replac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2017-03-16T09:56:00Z</dcterms:created>
  <dcterms:modified xsi:type="dcterms:W3CDTF">2017-03-16T10:11:00Z</dcterms:modified>
</cp:coreProperties>
</file>