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Pr="00C12261" w:rsidRDefault="00A25111" w:rsidP="00C12261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6F744C">
              <w:rPr>
                <w:iCs/>
                <w:sz w:val="22"/>
                <w:szCs w:val="22"/>
              </w:rPr>
              <w:t>თამარ</w:t>
            </w:r>
            <w:proofErr w:type="spellEnd"/>
            <w:r w:rsidRPr="006F744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F744C">
              <w:rPr>
                <w:iCs/>
                <w:sz w:val="22"/>
                <w:szCs w:val="22"/>
              </w:rPr>
              <w:t>ბერიძ</w:t>
            </w:r>
            <w:r w:rsidRPr="006F744C">
              <w:rPr>
                <w:rFonts w:cs="Sylfaen"/>
                <w:iCs/>
                <w:sz w:val="22"/>
                <w:szCs w:val="22"/>
              </w:rPr>
              <w:t>ე</w:t>
            </w:r>
            <w:proofErr w:type="spellEnd"/>
          </w:p>
        </w:tc>
      </w:tr>
      <w:tr w:rsidR="00A25111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:rsidR="00A25111" w:rsidRDefault="00A2511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25111" w:rsidRDefault="00A25111" w:rsidP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A25111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A25111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</w:p>
        </w:tc>
      </w:tr>
    </w:tbl>
    <w:p w:rsidR="00A25111" w:rsidRDefault="00A25111" w:rsidP="00A25111">
      <w:pPr>
        <w:rPr>
          <w:sz w:val="20"/>
          <w:szCs w:val="20"/>
          <w:lang w:val="ka-GE"/>
        </w:rPr>
      </w:pPr>
    </w:p>
    <w:p w:rsidR="00A25111" w:rsidRDefault="00A25111" w:rsidP="00A25111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>
        <w:rPr>
          <w:rFonts w:ascii="Sylfaen" w:hAnsi="Sylfaen"/>
          <w:b/>
          <w:i/>
          <w:u w:val="single"/>
          <w:lang w:val="ka-GE"/>
        </w:rPr>
        <w:t xml:space="preserve"> /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hAnsi="Sylfaen"/>
          <w:b/>
          <w:i/>
          <w:u w:val="single"/>
          <w:lang w:val="ka-GE"/>
        </w:rPr>
        <w:t xml:space="preserve"> - 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>
        <w:rPr>
          <w:rFonts w:ascii="Sylfaen" w:hAnsi="Sylfaen"/>
          <w:b/>
          <w:i/>
          <w:u w:val="single"/>
          <w:lang w:val="ka-GE"/>
        </w:rPr>
        <w:t xml:space="preserve"> 3-5 </w:t>
      </w:r>
      <w:r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>
        <w:rPr>
          <w:rFonts w:ascii="Sylfaen" w:hAnsi="Sylfaen"/>
          <w:b/>
          <w:i/>
          <w:u w:val="single"/>
          <w:lang w:val="ka-GE"/>
        </w:rPr>
        <w:t xml:space="preserve"> </w:t>
      </w:r>
      <w:r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>
        <w:rPr>
          <w:rFonts w:ascii="Sylfaen" w:hAnsi="Sylfaen"/>
          <w:b/>
          <w:i/>
          <w:u w:val="single"/>
          <w:lang w:val="ka-GE"/>
        </w:rPr>
        <w:t>/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>
        <w:rPr>
          <w:rFonts w:ascii="Sylfaen" w:hAnsi="Sylfaen"/>
          <w:b/>
          <w:i/>
          <w:u w:val="single"/>
          <w:lang w:val="ka-GE"/>
        </w:rPr>
        <w:t xml:space="preserve"> 2-4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"/>
        <w:gridCol w:w="1889"/>
        <w:gridCol w:w="2076"/>
        <w:gridCol w:w="2578"/>
        <w:gridCol w:w="2614"/>
        <w:gridCol w:w="26"/>
        <w:gridCol w:w="1015"/>
        <w:gridCol w:w="989"/>
        <w:gridCol w:w="1675"/>
      </w:tblGrid>
      <w:tr w:rsidR="00050C63" w:rsidTr="006F744C">
        <w:trPr>
          <w:trHeight w:val="112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>
              <w:rPr>
                <w:b/>
                <w:bCs/>
                <w:sz w:val="22"/>
                <w:szCs w:val="22"/>
              </w:rPr>
              <w:t>ან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50C63" w:rsidTr="006F744C">
        <w:trPr>
          <w:trHeight w:val="152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proofErr w:type="gram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>/</w:t>
            </w:r>
            <w:proofErr w:type="spellStart"/>
            <w:r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proofErr w:type="gramStart"/>
            <w:r>
              <w:rPr>
                <w:b/>
                <w:sz w:val="18"/>
                <w:szCs w:val="22"/>
              </w:rPr>
              <w:t>მიუთითეთ</w:t>
            </w:r>
            <w:proofErr w:type="spellEnd"/>
            <w:proofErr w:type="gram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ქულისთვის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ინდიკატორი</w:t>
            </w:r>
            <w:proofErr w:type="spellEnd"/>
            <w:r>
              <w:rPr>
                <w:b/>
                <w:sz w:val="18"/>
                <w:szCs w:val="22"/>
              </w:rPr>
              <w:t>.</w:t>
            </w:r>
          </w:p>
          <w:p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განმარტეთ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050C63" w:rsidTr="006F744C">
        <w:trPr>
          <w:trHeight w:val="500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თანამშრომლობა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საკანონმდებლო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lastRenderedPageBreak/>
              <w:t>ხელისუფლების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სამსახურებთან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A25111">
              <w:rPr>
                <w:bCs/>
                <w:sz w:val="20"/>
                <w:szCs w:val="20"/>
              </w:rPr>
              <w:t>აგრეთვე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თანახმად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სტრატეგიებიების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5C72A5" w:rsidRDefault="00A25111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 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t>შესაბამისი დეპარტამენტებიდა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ნ </w:t>
            </w:r>
            <w:r w:rsidRPr="00A25111">
              <w:rPr>
                <w:bCs/>
                <w:iCs/>
                <w:sz w:val="20"/>
                <w:szCs w:val="20"/>
              </w:rPr>
              <w:t>მ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t>ო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წოდებული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განხორციელებული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მითითებული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 w:rsidR="00A81DC6"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  <w:r w:rsidR="00C12261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C6" w:rsidRPr="00C12261" w:rsidRDefault="00A81DC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დახვეწა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C12261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</w:t>
            </w:r>
            <w:r w:rsidRPr="00A25111">
              <w:rPr>
                <w:sz w:val="20"/>
                <w:szCs w:val="20"/>
                <w:lang w:val="ka-GE"/>
              </w:rPr>
              <w:lastRenderedPageBreak/>
              <w:t xml:space="preserve">მოწოდებული ინფორმაცია </w:t>
            </w:r>
            <w:proofErr w:type="gramStart"/>
            <w:r w:rsidRPr="00A25111">
              <w:rPr>
                <w:sz w:val="20"/>
                <w:szCs w:val="20"/>
                <w:lang w:val="ka-GE"/>
              </w:rPr>
              <w:t>იქნა  დაკორექტირებული</w:t>
            </w:r>
            <w:proofErr w:type="gramEnd"/>
            <w:r w:rsidRPr="00A25111">
              <w:rPr>
                <w:sz w:val="20"/>
                <w:szCs w:val="20"/>
                <w:lang w:val="ka-GE"/>
              </w:rPr>
              <w:t xml:space="preserve">.  ამასთან დამატებითი ინფორმაცია იქნა </w:t>
            </w:r>
            <w:r>
              <w:rPr>
                <w:sz w:val="20"/>
                <w:szCs w:val="20"/>
                <w:lang w:val="ka-GE"/>
              </w:rPr>
              <w:t>მოძიებ</w:t>
            </w:r>
            <w:r w:rsidRPr="00A25111">
              <w:rPr>
                <w:sz w:val="20"/>
                <w:szCs w:val="20"/>
                <w:lang w:val="ka-GE"/>
              </w:rPr>
              <w:t>ული,  ჩასწორებული  და  ერთიან ფორმატიში ვადაზე ადრე წარდგენილი.</w:t>
            </w:r>
          </w:p>
          <w:p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F269FC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lastRenderedPageBreak/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  <w:proofErr w:type="spellStart"/>
            <w:proofErr w:type="gramStart"/>
            <w:r w:rsidR="00F269FC" w:rsidRPr="008F303A">
              <w:rPr>
                <w:bCs/>
                <w:iCs/>
                <w:sz w:val="20"/>
                <w:szCs w:val="20"/>
              </w:rPr>
              <w:t>ანგარიშის</w:t>
            </w:r>
            <w:proofErr w:type="spellEnd"/>
            <w:proofErr w:type="gramEnd"/>
            <w:r w:rsidR="00F269FC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269FC" w:rsidRPr="008F303A">
              <w:rPr>
                <w:bCs/>
                <w:iCs/>
                <w:sz w:val="20"/>
                <w:szCs w:val="20"/>
              </w:rPr>
              <w:t>წარდგენის</w:t>
            </w:r>
            <w:proofErr w:type="spellEnd"/>
            <w:r w:rsidR="00F269FC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269FC" w:rsidRPr="008F303A">
              <w:rPr>
                <w:bCs/>
                <w:iCs/>
                <w:sz w:val="20"/>
                <w:szCs w:val="20"/>
              </w:rPr>
              <w:t>პირველ</w:t>
            </w:r>
            <w:proofErr w:type="spellEnd"/>
            <w:r w:rsidR="00F269FC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269FC" w:rsidRPr="008F303A">
              <w:rPr>
                <w:bCs/>
                <w:iCs/>
                <w:sz w:val="20"/>
                <w:szCs w:val="20"/>
              </w:rPr>
              <w:lastRenderedPageBreak/>
              <w:t>კვარტალში</w:t>
            </w:r>
            <w:proofErr w:type="spellEnd"/>
            <w:r w:rsidR="00F269FC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269FC" w:rsidRPr="008F303A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F269FC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269FC" w:rsidRPr="008F303A">
              <w:rPr>
                <w:bCs/>
                <w:iCs/>
                <w:sz w:val="20"/>
                <w:szCs w:val="20"/>
              </w:rPr>
              <w:t>აგრეთვე</w:t>
            </w:r>
            <w:proofErr w:type="spellEnd"/>
            <w:r w:rsidR="00F269FC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269FC" w:rsidRPr="008F303A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="00F269FC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269FC" w:rsidRPr="008F303A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="00F269FC" w:rsidRPr="008F303A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7D" w:rsidRPr="0087557D" w:rsidRDefault="00A2511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lastRenderedPageBreak/>
              <w:t> </w:t>
            </w:r>
            <w:proofErr w:type="spellStart"/>
            <w:proofErr w:type="gramStart"/>
            <w:r w:rsidR="0087557D" w:rsidRPr="008F303A">
              <w:rPr>
                <w:bCs/>
                <w:iCs/>
                <w:sz w:val="20"/>
                <w:szCs w:val="20"/>
              </w:rPr>
              <w:t>ანგარიშის</w:t>
            </w:r>
            <w:proofErr w:type="spellEnd"/>
            <w:proofErr w:type="gram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წარდგენის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lastRenderedPageBreak/>
              <w:t>პირველ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კვარტალში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აგრეთვე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>.</w:t>
            </w:r>
          </w:p>
        </w:tc>
      </w:tr>
      <w:tr w:rsidR="00050C63" w:rsidTr="006F744C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Pr="00012253">
              <w:rPr>
                <w:sz w:val="20"/>
                <w:szCs w:val="20"/>
                <w:lang w:val="ka-GE"/>
              </w:rPr>
              <w:t xml:space="preserve"> ფორმატში, ტექსტი დახვეწილია და ადრესატისათვის მიწოდებულია მოთხოვნილ ვადაში, ხელმძღვანელის მხრიდან გარკვეული მითითების შესაბამისად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81DC6" w:rsidP="00A25111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500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6D790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დარგობრივი 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ბრძანების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C6" w:rsidRPr="006D790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B808A4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B808A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08A4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Pr="004B072E" w:rsidRDefault="00A25111" w:rsidP="00F26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F303A">
              <w:rPr>
                <w:sz w:val="20"/>
                <w:szCs w:val="20"/>
              </w:rPr>
              <w:t>-</w:t>
            </w:r>
            <w:r w:rsidR="00A81DC6">
              <w:rPr>
                <w:sz w:val="20"/>
                <w:szCs w:val="20"/>
                <w:lang w:val="ka-GE"/>
              </w:rPr>
              <w:t xml:space="preserve"> </w:t>
            </w:r>
            <w:r w:rsidR="000F41E6">
              <w:rPr>
                <w:sz w:val="20"/>
                <w:szCs w:val="20"/>
                <w:lang w:val="ka-GE"/>
              </w:rPr>
              <w:t xml:space="preserve">მოხსენებითი ბარათის საფუძველზე სრულყოფილად მოპოვებულია ინფორმაცია, მრავალი ხარვეზისა თუ წინაღობის მიუხედავად დავალება შესრულებულია </w:t>
            </w:r>
            <w:r w:rsidR="00F269FC">
              <w:rPr>
                <w:sz w:val="20"/>
                <w:szCs w:val="20"/>
                <w:lang w:val="ka-GE"/>
              </w:rPr>
              <w:t>ვადაზე ადრე</w:t>
            </w:r>
            <w:r w:rsidR="000F41E6">
              <w:rPr>
                <w:sz w:val="20"/>
                <w:szCs w:val="20"/>
                <w:lang w:val="ka-GE"/>
              </w:rPr>
              <w:t xml:space="preserve">, ორგანიზაციული საკითხები მოგვარებულია უშუალო ხელმძღვანელის მითითებების </w:t>
            </w:r>
            <w:r w:rsidR="004B072E">
              <w:rPr>
                <w:sz w:val="20"/>
                <w:szCs w:val="20"/>
                <w:lang w:val="ka-GE"/>
              </w:rPr>
              <w:t>გარეშე</w:t>
            </w:r>
            <w:r w:rsidR="004B072E">
              <w:rPr>
                <w:sz w:val="20"/>
                <w:szCs w:val="20"/>
              </w:rPr>
              <w:t>;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უშუალო</w:t>
            </w:r>
            <w:proofErr w:type="spellEnd"/>
            <w:r w:rsidR="0087557D"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 w:rsidRPr="008F303A">
              <w:rPr>
                <w:bCs/>
                <w:iCs/>
                <w:sz w:val="20"/>
                <w:szCs w:val="20"/>
              </w:rPr>
              <w:t>ხელმძღვანელი</w:t>
            </w:r>
            <w:proofErr w:type="spellEnd"/>
          </w:p>
          <w:p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8F303A">
              <w:rPr>
                <w:bCs/>
                <w:iCs/>
                <w:sz w:val="20"/>
                <w:szCs w:val="20"/>
              </w:rPr>
              <w:t>მოხსენებით</w:t>
            </w:r>
            <w:proofErr w:type="spellEnd"/>
            <w:proofErr w:type="gram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ბარათში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მითითებული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შესაბამისად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>.</w:t>
            </w:r>
          </w:p>
        </w:tc>
      </w:tr>
      <w:tr w:rsidR="00050C63" w:rsidTr="006F744C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3A" w:rsidRPr="004B072E" w:rsidRDefault="00A25111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 xml:space="preserve">3 </w:t>
            </w:r>
            <w:r w:rsidR="008F303A" w:rsidRPr="008F303A">
              <w:rPr>
                <w:sz w:val="20"/>
                <w:szCs w:val="20"/>
              </w:rPr>
              <w:t>-</w:t>
            </w:r>
            <w:r w:rsidR="000F41E6">
              <w:rPr>
                <w:sz w:val="20"/>
                <w:szCs w:val="20"/>
                <w:lang w:val="ka-GE"/>
              </w:rPr>
              <w:t xml:space="preserve"> ინფორმაციის საფუძველზე მივლინების კოორდინაცია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გარეშეა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0F41E6">
              <w:rPr>
                <w:sz w:val="20"/>
                <w:szCs w:val="20"/>
                <w:lang w:val="ka-GE"/>
              </w:rPr>
              <w:t>შესრულებული</w:t>
            </w:r>
            <w:r w:rsidR="004B072E">
              <w:rPr>
                <w:sz w:val="20"/>
                <w:szCs w:val="20"/>
              </w:rPr>
              <w:t>,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შესაბამისი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მოხსენებითი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ბარათი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მომზადებული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>ა შეცდომების გარეშე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მივლინებასთან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იქნა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კორექტირებით</w:t>
            </w:r>
            <w:proofErr w:type="spellEnd"/>
            <w:r w:rsidR="004B072E">
              <w:rPr>
                <w:sz w:val="20"/>
                <w:szCs w:val="20"/>
                <w:lang w:val="ka-GE"/>
              </w:rPr>
              <w:t>;</w:t>
            </w:r>
          </w:p>
          <w:p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იქნა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და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ხელმძღვანელის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მხრიდან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არაერთი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დეტალი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იქნა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lastRenderedPageBreak/>
              <w:t>დაკორექტირებული</w:t>
            </w:r>
            <w:proofErr w:type="spellEnd"/>
            <w:r w:rsidR="004B072E">
              <w:rPr>
                <w:sz w:val="20"/>
                <w:szCs w:val="20"/>
                <w:lang w:val="ka-GE"/>
              </w:rPr>
              <w:t>;</w:t>
            </w:r>
          </w:p>
          <w:p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RPr="008F303A" w:rsidTr="006F744C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4B072E" w:rsidRDefault="006D7901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კითხვარების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0F41E6">
              <w:rPr>
                <w:bCs/>
                <w:sz w:val="20"/>
                <w:szCs w:val="20"/>
                <w:lang w:val="ka-GE"/>
              </w:rPr>
              <w:t>ა კოორდინაციის გზით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0F41E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წერილის/კითხვარების შესაბამის დარგობრივ დეპარტამენტებში გადაგზავნა და მიღებული ინფორმაციის საფუძველზე შესაბამისი კანდიდატურისა თუ კითხვარის ადრესატისათვის წერილის სახით წარდგენა</w:t>
            </w:r>
            <w:r w:rsidR="004B072E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4B072E" w:rsidRDefault="000F41E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დახვეწა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4B072E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6D7901" w:rsidP="000F41E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4-</w:t>
            </w:r>
            <w:r w:rsidR="000F41E6">
              <w:rPr>
                <w:sz w:val="20"/>
                <w:szCs w:val="20"/>
                <w:lang w:val="ka-GE"/>
              </w:rPr>
              <w:t xml:space="preserve">მრავალი ხარვეზებისა და დროის სიმცირის მიუხედავად </w:t>
            </w:r>
            <w:r w:rsidRPr="006D7901">
              <w:rPr>
                <w:sz w:val="20"/>
                <w:szCs w:val="20"/>
                <w:lang w:val="ka-GE"/>
              </w:rPr>
              <w:t>შესაბამისი უწყების მიერ მ</w:t>
            </w:r>
            <w:r w:rsidR="000F41E6"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 საფუძველზე კანდიდატურა  ვადაზე ადრე იქნა წარდგენილი, აგრეთვე სრულყოფილად ასახულია ის საკითხები, რომლებიც მიზანშეწონილი იყო საბჭოსა და კომისიის მუშაობისას.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57D" w:rsidRDefault="0087557D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F303A">
              <w:rPr>
                <w:bCs/>
                <w:iCs/>
                <w:sz w:val="20"/>
                <w:szCs w:val="20"/>
              </w:rPr>
              <w:t>უშუალო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ხელმძღვანელი</w:t>
            </w:r>
            <w:proofErr w:type="spellEnd"/>
          </w:p>
          <w:p w:rsidR="006D7901" w:rsidRPr="008F303A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F303A">
              <w:rPr>
                <w:bCs/>
                <w:iCs/>
                <w:sz w:val="20"/>
                <w:szCs w:val="20"/>
              </w:rPr>
              <w:t>მიწოდებული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8F30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bCs/>
                <w:iCs/>
                <w:sz w:val="20"/>
                <w:szCs w:val="20"/>
              </w:rPr>
              <w:t>ფარგლებში</w:t>
            </w:r>
            <w:proofErr w:type="spellEnd"/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6D7901" w:rsidP="000F41E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</w:t>
            </w:r>
            <w:r w:rsidR="000F41E6">
              <w:rPr>
                <w:sz w:val="20"/>
                <w:szCs w:val="20"/>
                <w:lang w:val="ka-GE"/>
              </w:rPr>
              <w:t xml:space="preserve">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წერილის წარდგენა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0F41E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0F41E6" w:rsidP="000F41E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 xml:space="preserve">ინფორმაცია მომზადებულია ხარვეზებით,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>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RPr="00C01146" w:rsidTr="006F744C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5C72A5" w:rsidRDefault="006D7901" w:rsidP="00050C6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050C63">
              <w:rPr>
                <w:bCs/>
                <w:sz w:val="20"/>
                <w:szCs w:val="20"/>
                <w:lang w:val="ka-GE"/>
              </w:rPr>
              <w:t xml:space="preserve">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 w:rsidR="00050C63"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დეპარტამენტებთან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r w:rsidR="00050C63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050C63" w:rsidP="00050C6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დეპარტამენტებიდან </w:t>
            </w:r>
            <w:r w:rsidRPr="00A25111">
              <w:rPr>
                <w:bCs/>
                <w:iCs/>
                <w:sz w:val="20"/>
                <w:szCs w:val="20"/>
              </w:rPr>
              <w:t>მ</w:t>
            </w:r>
            <w:r>
              <w:rPr>
                <w:bCs/>
                <w:iCs/>
                <w:sz w:val="20"/>
                <w:szCs w:val="20"/>
                <w:lang w:val="ka-GE"/>
              </w:rPr>
              <w:t>ო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წოდებული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განხორციელებული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მითითებული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50C63" w:rsidRPr="00050C63" w:rsidRDefault="00050C6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დახვეწა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</w:p>
          <w:p w:rsidR="00050C63" w:rsidRPr="005C72A5" w:rsidRDefault="00050C6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6D7901" w:rsidP="00F269F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  <w:r w:rsidR="00050C63">
              <w:rPr>
                <w:sz w:val="20"/>
                <w:szCs w:val="20"/>
                <w:lang w:val="ka-GE"/>
              </w:rPr>
              <w:t xml:space="preserve">- </w:t>
            </w:r>
            <w:r w:rsidR="00050C63"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 ფორმატში, ტექსტი დახვეწილია,  დეტალები დაზუსტებულია შესაბამის დეპარტამენტებთან და დავალება შესრულებულია დამოუკიდებლად, ხელმძღვანელის მითითებების გარეშე და ადრესატისთვის  მიწოდებულია ვა</w:t>
            </w:r>
            <w:r w:rsidR="00F269FC">
              <w:rPr>
                <w:sz w:val="20"/>
                <w:szCs w:val="20"/>
                <w:lang w:val="ka-GE"/>
              </w:rPr>
              <w:t>დაზე ადრე</w:t>
            </w:r>
            <w:r w:rsidR="00050C63">
              <w:rPr>
                <w:sz w:val="20"/>
                <w:szCs w:val="20"/>
                <w:lang w:val="ka-GE"/>
              </w:rPr>
              <w:t xml:space="preserve">, </w:t>
            </w:r>
            <w:r w:rsidR="00F269FC">
              <w:rPr>
                <w:sz w:val="20"/>
                <w:szCs w:val="20"/>
                <w:lang w:val="ka-GE"/>
              </w:rPr>
              <w:t>დამატებულია გარკვეული</w:t>
            </w:r>
            <w:r w:rsidR="00050C63">
              <w:rPr>
                <w:sz w:val="20"/>
                <w:szCs w:val="20"/>
                <w:lang w:val="ka-GE"/>
              </w:rPr>
              <w:t xml:space="preserve"> </w:t>
            </w:r>
            <w:r w:rsidR="00F269FC">
              <w:rPr>
                <w:sz w:val="20"/>
                <w:szCs w:val="20"/>
                <w:lang w:val="ka-GE"/>
              </w:rPr>
              <w:t>საკითხი</w:t>
            </w:r>
            <w:r w:rsidR="00050C63">
              <w:rPr>
                <w:sz w:val="20"/>
                <w:szCs w:val="20"/>
                <w:lang w:val="ka-GE"/>
              </w:rPr>
              <w:t xml:space="preserve">, </w:t>
            </w:r>
            <w:r w:rsidR="00F269FC">
              <w:rPr>
                <w:sz w:val="20"/>
                <w:szCs w:val="20"/>
                <w:lang w:val="ka-GE"/>
              </w:rPr>
              <w:t>რომელმაც</w:t>
            </w:r>
            <w:r w:rsidR="00050C63">
              <w:rPr>
                <w:sz w:val="20"/>
                <w:szCs w:val="20"/>
                <w:lang w:val="ka-GE"/>
              </w:rPr>
              <w:t xml:space="preserve"> შემდგომ ორმხრივი თანამშრომლობის სფეროში</w:t>
            </w:r>
            <w:r w:rsidR="00F269FC">
              <w:rPr>
                <w:sz w:val="20"/>
                <w:szCs w:val="20"/>
                <w:lang w:val="ka-GE"/>
              </w:rPr>
              <w:t xml:space="preserve"> შესაძლოა</w:t>
            </w:r>
            <w:r w:rsidR="00050C63">
              <w:rPr>
                <w:sz w:val="20"/>
                <w:szCs w:val="20"/>
                <w:lang w:val="ka-GE"/>
              </w:rPr>
              <w:t xml:space="preserve"> </w:t>
            </w:r>
            <w:r w:rsidR="00F269FC">
              <w:rPr>
                <w:sz w:val="20"/>
                <w:szCs w:val="20"/>
                <w:lang w:val="ka-GE"/>
              </w:rPr>
              <w:t>შედეგი</w:t>
            </w:r>
            <w:r w:rsidR="00050C63">
              <w:rPr>
                <w:sz w:val="20"/>
                <w:szCs w:val="20"/>
                <w:lang w:val="ka-GE"/>
              </w:rPr>
              <w:t xml:space="preserve"> </w:t>
            </w:r>
            <w:r w:rsidR="00F269FC">
              <w:rPr>
                <w:sz w:val="20"/>
                <w:szCs w:val="20"/>
                <w:lang w:val="ka-GE"/>
              </w:rPr>
              <w:t>გამოიღოს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57D" w:rsidRDefault="0087557D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01146">
              <w:rPr>
                <w:bCs/>
                <w:iCs/>
                <w:sz w:val="20"/>
                <w:szCs w:val="20"/>
              </w:rPr>
              <w:t>უშუალო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ხელმძღვანელი</w:t>
            </w:r>
            <w:proofErr w:type="spellEnd"/>
          </w:p>
          <w:p w:rsidR="006D7901" w:rsidRPr="00C01146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01146">
              <w:rPr>
                <w:bCs/>
                <w:iCs/>
                <w:sz w:val="20"/>
                <w:szCs w:val="20"/>
              </w:rPr>
              <w:t>ორმხრივი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ფარგლებში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მიღწეული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C01146">
              <w:rPr>
                <w:bCs/>
                <w:iCs/>
                <w:sz w:val="20"/>
                <w:szCs w:val="20"/>
                <w:lang w:val="ka-GE"/>
              </w:rPr>
              <w:t>ას</w:t>
            </w:r>
            <w:r w:rsidRPr="00C01146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050C6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 ფორმატში, ტექსტი დახვეწილია და ადრესატისათვის მიწოდებულია მოთხოვნილ ვადაში, ხელმძღვანელის მხრიდან გარკვეული მითითების შესაბამისად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050C6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 მუდმივი მითითებების საფუძველზე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050C6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F744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F744C">
            <w:pPr>
              <w:rPr>
                <w:bCs/>
                <w:sz w:val="20"/>
                <w:szCs w:val="20"/>
              </w:rPr>
            </w:pPr>
            <w:proofErr w:type="spellStart"/>
            <w:r w:rsidRPr="006F744C">
              <w:rPr>
                <w:bCs/>
                <w:sz w:val="20"/>
                <w:szCs w:val="20"/>
              </w:rPr>
              <w:t>უცხო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ქვეყნებთან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მთავრობათაშორისი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კომისიის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პროექტებში</w:t>
            </w:r>
            <w:proofErr w:type="spellEnd"/>
            <w:r w:rsidR="0087557D">
              <w:rPr>
                <w:bCs/>
                <w:sz w:val="20"/>
                <w:szCs w:val="20"/>
                <w:lang w:val="ka-GE"/>
              </w:rPr>
              <w:t>,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კომპეტენციაში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შემავალი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ასახვა</w:t>
            </w:r>
            <w:proofErr w:type="spellEnd"/>
            <w:r w:rsidR="00050C63">
              <w:rPr>
                <w:bCs/>
                <w:sz w:val="20"/>
                <w:szCs w:val="20"/>
                <w:lang w:val="ka-GE"/>
              </w:rPr>
              <w:t xml:space="preserve"> დარგობრივ დეპარტამენტებთან კოორდინაციის გზით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და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გასული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ოქმით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გათვალისწინებული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ღონისძიებების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შესრულების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უზრუნველყოფ</w:t>
            </w:r>
            <w:proofErr w:type="spellEnd"/>
            <w:r w:rsidR="00050C63">
              <w:rPr>
                <w:bCs/>
                <w:sz w:val="20"/>
                <w:szCs w:val="20"/>
                <w:lang w:val="ka-GE"/>
              </w:rPr>
              <w:t xml:space="preserve">ის </w:t>
            </w:r>
            <w:r w:rsidR="00050C63">
              <w:rPr>
                <w:bCs/>
                <w:sz w:val="20"/>
                <w:szCs w:val="20"/>
                <w:lang w:val="ka-GE"/>
              </w:rPr>
              <w:lastRenderedPageBreak/>
              <w:t>კოორდინაცია</w:t>
            </w:r>
            <w:r w:rsidRPr="006F744C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5A3A55" w:rsidRDefault="00050C63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</w:rPr>
              <w:t> 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დეპარტამენტებიდან </w:t>
            </w:r>
            <w:r w:rsidRPr="00A25111">
              <w:rPr>
                <w:bCs/>
                <w:iCs/>
                <w:sz w:val="20"/>
                <w:szCs w:val="20"/>
              </w:rPr>
              <w:t>მ</w:t>
            </w:r>
            <w:r>
              <w:rPr>
                <w:bCs/>
                <w:iCs/>
                <w:sz w:val="20"/>
                <w:szCs w:val="20"/>
                <w:lang w:val="ka-GE"/>
              </w:rPr>
              <w:t>ო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წოდებული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განხორციელებული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7557D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  <w:p w:rsidR="00050C63" w:rsidRPr="005A3A55" w:rsidRDefault="005A3A55" w:rsidP="005A3A5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6F744C">
              <w:rPr>
                <w:bCs/>
                <w:i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პროექტებში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ასახული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შესრულებ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ის გათვალისწინებით</w:t>
            </w:r>
            <w:r w:rsidR="0087557D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A55" w:rsidRDefault="005A3A5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დახვეწა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</w:p>
          <w:p w:rsidR="00F269FC" w:rsidRPr="00F269FC" w:rsidRDefault="00F269F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5A3A55" w:rsidP="00F269F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87557D">
              <w:rPr>
                <w:sz w:val="20"/>
                <w:szCs w:val="20"/>
                <w:lang w:val="ka-GE"/>
              </w:rPr>
              <w:t>იან</w:t>
            </w:r>
            <w:r w:rsidRPr="00012253">
              <w:rPr>
                <w:sz w:val="20"/>
                <w:szCs w:val="20"/>
                <w:lang w:val="ka-GE"/>
              </w:rPr>
              <w:t xml:space="preserve"> ფორმატში, ტექსტი დახვეწილია</w:t>
            </w:r>
            <w:r w:rsidR="0087557D">
              <w:rPr>
                <w:sz w:val="20"/>
                <w:szCs w:val="20"/>
                <w:lang w:val="ka-GE"/>
              </w:rPr>
              <w:t>,</w:t>
            </w:r>
            <w:r w:rsidRPr="00012253">
              <w:rPr>
                <w:sz w:val="20"/>
                <w:szCs w:val="20"/>
                <w:lang w:val="ka-GE"/>
              </w:rPr>
              <w:t xml:space="preserve"> დეტალები დაზუსტებულია შესაბამის დეპარტამენტებთან და დავალება შესრულებულია დამოუკიდებლად, ხელმძღვანელის მითითებების გარეშე და ადრესატისთვის  მიწოდებულია </w:t>
            </w:r>
            <w:r w:rsidR="00F269FC">
              <w:rPr>
                <w:sz w:val="20"/>
                <w:szCs w:val="20"/>
                <w:lang w:val="ka-GE"/>
              </w:rPr>
              <w:t>ვადაზე ადრე</w:t>
            </w:r>
            <w:bookmarkStart w:id="0" w:name="_GoBack"/>
            <w:bookmarkEnd w:id="0"/>
            <w:r w:rsidR="0087557D">
              <w:rPr>
                <w:sz w:val="20"/>
                <w:szCs w:val="20"/>
                <w:lang w:val="ka-GE"/>
              </w:rPr>
              <w:t>,</w:t>
            </w:r>
            <w:r w:rsidR="006F744C" w:rsidRPr="006F744C">
              <w:rPr>
                <w:sz w:val="20"/>
                <w:szCs w:val="20"/>
                <w:lang w:val="ka-GE"/>
              </w:rPr>
              <w:t xml:space="preserve"> ასევე მოძიებულ</w:t>
            </w:r>
            <w:r>
              <w:rPr>
                <w:sz w:val="20"/>
                <w:szCs w:val="20"/>
                <w:lang w:val="ka-GE"/>
              </w:rPr>
              <w:t>ია</w:t>
            </w:r>
            <w:r w:rsidR="006F744C" w:rsidRPr="006F744C">
              <w:rPr>
                <w:sz w:val="20"/>
                <w:szCs w:val="20"/>
                <w:lang w:val="ka-GE"/>
              </w:rPr>
              <w:t xml:space="preserve"> დამატებითი ინფორმაცი</w:t>
            </w:r>
            <w:r>
              <w:rPr>
                <w:sz w:val="20"/>
                <w:szCs w:val="20"/>
                <w:lang w:val="ka-GE"/>
              </w:rPr>
              <w:t>ა</w:t>
            </w:r>
            <w:r w:rsidR="0087557D">
              <w:rPr>
                <w:sz w:val="20"/>
                <w:szCs w:val="20"/>
                <w:lang w:val="ka-GE"/>
              </w:rPr>
              <w:t xml:space="preserve"> </w:t>
            </w:r>
            <w:r w:rsidR="006F744C" w:rsidRPr="006F744C">
              <w:rPr>
                <w:sz w:val="20"/>
                <w:szCs w:val="20"/>
                <w:lang w:val="ka-GE"/>
              </w:rPr>
              <w:t>ურთიერთთანამშრომლობისა და გამოცდილების გაზიარების თაობაზე</w:t>
            </w:r>
            <w:r>
              <w:rPr>
                <w:sz w:val="20"/>
                <w:szCs w:val="20"/>
                <w:lang w:val="ka-GE"/>
              </w:rPr>
              <w:t xml:space="preserve">, რომელიც ორმხრივი თანამშრომლობის ფორმატში კონკრეტულ </w:t>
            </w:r>
            <w:r>
              <w:rPr>
                <w:sz w:val="20"/>
                <w:szCs w:val="20"/>
                <w:lang w:val="ka-GE"/>
              </w:rPr>
              <w:lastRenderedPageBreak/>
              <w:t>შედეგს გამოიღებს</w:t>
            </w:r>
            <w:r w:rsidR="0087557D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57D" w:rsidRDefault="0087557D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01146">
              <w:rPr>
                <w:bCs/>
                <w:iCs/>
                <w:sz w:val="20"/>
                <w:szCs w:val="20"/>
              </w:rPr>
              <w:lastRenderedPageBreak/>
              <w:t>უშუალო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ხელმძღვანელი</w:t>
            </w:r>
            <w:proofErr w:type="spellEnd"/>
          </w:p>
          <w:p w:rsidR="006D7901" w:rsidRPr="00C01146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C01146">
              <w:rPr>
                <w:bCs/>
                <w:iCs/>
                <w:sz w:val="20"/>
                <w:szCs w:val="20"/>
              </w:rPr>
              <w:t>შემდგომი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კომისიის</w:t>
            </w:r>
            <w:proofErr w:type="spellEnd"/>
            <w:r w:rsidRPr="00C0114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01146">
              <w:rPr>
                <w:bCs/>
                <w:iCs/>
                <w:sz w:val="20"/>
                <w:szCs w:val="20"/>
              </w:rPr>
              <w:t>გამართვამდე</w:t>
            </w:r>
            <w:proofErr w:type="spellEnd"/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5A3A5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87557D">
              <w:rPr>
                <w:sz w:val="20"/>
                <w:szCs w:val="20"/>
                <w:lang w:val="ka-GE"/>
              </w:rPr>
              <w:t>იან</w:t>
            </w:r>
            <w:r w:rsidRPr="00012253">
              <w:rPr>
                <w:sz w:val="20"/>
                <w:szCs w:val="20"/>
                <w:lang w:val="ka-GE"/>
              </w:rPr>
              <w:t xml:space="preserve"> ფორმატში, ტექსტი დახვეწილია და ადრესატისათვის მიწოდებულია მოთხოვნილ ვადაში, ხელმძღვანელის მხრიდან გარკვეული მითითების შესაბამისად</w:t>
            </w:r>
            <w:r w:rsidR="0087557D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5A3A5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მომზადებულია არასრულყოფილად, ხელმძღვანელის მხრიდან</w:t>
            </w:r>
            <w:r w:rsidR="00F269FC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>მუდმივი მითითებების საფუძველზე</w:t>
            </w:r>
            <w:r w:rsidR="0087557D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Pr="006D7901" w:rsidRDefault="006D790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01" w:rsidRPr="006D7901" w:rsidRDefault="005A3A5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1" w:rsidRDefault="006D790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5C72A5">
        <w:trPr>
          <w:gridAfter w:val="2"/>
          <w:wAfter w:w="2496" w:type="dxa"/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744C" w:rsidRPr="006D7901" w:rsidRDefault="006F744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C" w:rsidRDefault="006F744C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C" w:rsidRDefault="006F744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C" w:rsidRDefault="006F744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744C" w:rsidRDefault="006F744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44C" w:rsidRDefault="006F744C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50C63" w:rsidTr="006F744C">
        <w:trPr>
          <w:gridAfter w:val="2"/>
          <w:wAfter w:w="2496" w:type="dxa"/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0C63" w:rsidRPr="006D7901" w:rsidRDefault="00050C6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C63" w:rsidRDefault="00050C6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C63" w:rsidRDefault="00050C6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0C63" w:rsidRDefault="00050C6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0C63" w:rsidRDefault="00050C6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C63" w:rsidRDefault="00050C6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A25111" w:rsidRDefault="00A25111" w:rsidP="00A25111">
      <w:pPr>
        <w:pStyle w:val="ListParagraph"/>
        <w:numPr>
          <w:ilvl w:val="0"/>
          <w:numId w:val="1"/>
        </w:numPr>
        <w:rPr>
          <w:rFonts w:ascii="Sylfaen" w:eastAsia="Helvetica" w:hAnsi="Sylfaen" w:cs="Helvetica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 (უნარები)</w:t>
      </w:r>
    </w:p>
    <w:p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rFonts w:cs="Times New Roman"/>
              </w:rPr>
            </w:pPr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A25111" w:rsidRDefault="00A25111" w:rsidP="00A25111">
      <w:pPr>
        <w:rPr>
          <w:lang w:val="ka-GE"/>
        </w:rPr>
      </w:pPr>
    </w:p>
    <w:p w:rsidR="00A25111" w:rsidRDefault="00A25111" w:rsidP="00A25111">
      <w:pPr>
        <w:rPr>
          <w:lang w:val="ka-GE"/>
        </w:rPr>
      </w:pPr>
    </w:p>
    <w:p w:rsidR="00A25111" w:rsidRDefault="00A25111" w:rsidP="00A25111">
      <w:pPr>
        <w:rPr>
          <w:lang w:val="ka-GE"/>
        </w:rPr>
      </w:pPr>
      <w:r>
        <w:rPr>
          <w:lang w:val="ka-GE"/>
        </w:rPr>
        <w:t>სხვა კომენტარი  ___________________________________________</w:t>
      </w:r>
    </w:p>
    <w:p w:rsidR="00A25111" w:rsidRDefault="00A25111" w:rsidP="00A25111">
      <w:pPr>
        <w:rPr>
          <w:lang w:val="ka-GE"/>
        </w:rPr>
      </w:pPr>
    </w:p>
    <w:p w:rsidR="00A25111" w:rsidRDefault="00A25111" w:rsidP="00A25111">
      <w:pPr>
        <w:rPr>
          <w:lang w:val="ka-GE"/>
        </w:rPr>
      </w:pPr>
    </w:p>
    <w:p w:rsidR="00A25111" w:rsidRDefault="00A25111" w:rsidP="00A25111">
      <w:pPr>
        <w:rPr>
          <w:lang w:val="ka-GE"/>
        </w:rPr>
      </w:pPr>
      <w:r>
        <w:rPr>
          <w:lang w:val="ka-GE"/>
        </w:rPr>
        <w:t xml:space="preserve">ხელმძღვანელის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   მოხელის ხელმოწერა </w:t>
      </w:r>
    </w:p>
    <w:p w:rsidR="00A25111" w:rsidRDefault="00A25111" w:rsidP="00A25111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:rsidR="00A25111" w:rsidRDefault="00A25111" w:rsidP="00A25111">
      <w:pPr>
        <w:rPr>
          <w:lang w:val="ka-GE"/>
        </w:rPr>
      </w:pPr>
    </w:p>
    <w:p w:rsidR="00B459D8" w:rsidRDefault="00B459D8"/>
    <w:sectPr w:rsidR="00B459D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50C63"/>
    <w:rsid w:val="000F41E6"/>
    <w:rsid w:val="00477F13"/>
    <w:rsid w:val="004B072E"/>
    <w:rsid w:val="005A3A55"/>
    <w:rsid w:val="005C72A5"/>
    <w:rsid w:val="006D7901"/>
    <w:rsid w:val="006F744C"/>
    <w:rsid w:val="0087557D"/>
    <w:rsid w:val="008F303A"/>
    <w:rsid w:val="00A25111"/>
    <w:rsid w:val="00A81DC6"/>
    <w:rsid w:val="00B42FB1"/>
    <w:rsid w:val="00B459D8"/>
    <w:rsid w:val="00C01146"/>
    <w:rsid w:val="00C12261"/>
    <w:rsid w:val="00F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61F6-3F45-4029-8BF7-75232213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10</cp:revision>
  <cp:lastPrinted>2018-11-12T11:08:00Z</cp:lastPrinted>
  <dcterms:created xsi:type="dcterms:W3CDTF">2018-11-21T06:33:00Z</dcterms:created>
  <dcterms:modified xsi:type="dcterms:W3CDTF">2018-11-30T11:57:00Z</dcterms:modified>
</cp:coreProperties>
</file>