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BD06F4" w:rsidRPr="00745834" w:rsidTr="00774386">
        <w:trPr>
          <w:cantSplit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en-GB" w:eastAsia="en-US"/>
              </w:rPr>
            </w:pPr>
            <w:r w:rsidRPr="00BD06F4"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en-GB" w:eastAsia="en-US"/>
              </w:rPr>
              <w:t>World Health Organization</w:t>
            </w: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en-GB" w:eastAsia="en-US"/>
              </w:rPr>
            </w:pP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en-GB" w:eastAsia="en-US"/>
              </w:rPr>
              <w:t xml:space="preserve">Regional Office for </w:t>
            </w:r>
            <w:smartTag w:uri="urn:schemas-microsoft-com:office:smarttags" w:element="place">
              <w:r w:rsidRPr="00BD06F4">
                <w:rPr>
                  <w:rFonts w:ascii="Times New Roman" w:eastAsia="Times New Roman" w:hAnsi="Times New Roman" w:cs="Times New Roman"/>
                  <w:b/>
                  <w:caps/>
                  <w:sz w:val="18"/>
                  <w:szCs w:val="20"/>
                  <w:lang w:val="en-GB" w:eastAsia="en-US"/>
                </w:rPr>
                <w:t>Europe</w:t>
              </w:r>
            </w:smartTag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en-GB" w:eastAsia="en-US"/>
              </w:rPr>
            </w:pP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en-GB" w:eastAsia="en-US"/>
              </w:rPr>
            </w:pPr>
            <w:r w:rsidRPr="00BD06F4"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en-GB" w:eastAsia="en-US"/>
              </w:rPr>
              <w:t>Weltgesundheitsorganisation</w:t>
            </w: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en-GB" w:eastAsia="en-US"/>
              </w:rPr>
            </w:pP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en-GB" w:eastAsia="en-US"/>
              </w:rPr>
              <w:t>Regionalb</w:t>
            </w: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fr-FR" w:eastAsia="en-US"/>
              </w:rPr>
              <w:t>ü</w:t>
            </w: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en-GB" w:eastAsia="en-US"/>
              </w:rPr>
              <w:t>ro f</w:t>
            </w: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fr-FR" w:eastAsia="en-US"/>
              </w:rPr>
              <w:t>üR</w:t>
            </w: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en-GB" w:eastAsia="en-US"/>
              </w:rPr>
              <w:t xml:space="preserve">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D06F4" w:rsidRPr="00BD06F4" w:rsidRDefault="00BD06F4" w:rsidP="00B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</w:pPr>
            <w:r w:rsidRPr="00BD06F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object w:dxaOrig="10443" w:dyaOrig="9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1.75pt" o:ole="" fillcolor="window">
                  <v:imagedata r:id="rId6" o:title=""/>
                </v:shape>
                <o:OLEObject Type="Embed" ProgID="MSDraw" ShapeID="_x0000_i1025" DrawAspect="Content" ObjectID="_1566224296" r:id="rId7">
                  <o:FieldCodes>\* mergeformat</o:FieldCodes>
                </o:OLEObject>
              </w:objec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 w:eastAsia="en-US"/>
              </w:rPr>
            </w:pPr>
            <w:r w:rsidRPr="00BD06F4"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 w:eastAsia="en-US"/>
              </w:rPr>
              <w:t>Organisation Mondiale de la SantÉ</w:t>
            </w: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 w:eastAsia="en-US"/>
              </w:rPr>
            </w:pP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fr-FR" w:eastAsia="en-US"/>
              </w:rPr>
              <w:t>Bureau RÉgional de l'Europe</w:t>
            </w: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 w:eastAsia="en-US"/>
              </w:rPr>
            </w:pP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ru-RU" w:eastAsia="en-US"/>
              </w:rPr>
            </w:pPr>
            <w:r w:rsidRPr="00BD06F4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ru-RU" w:eastAsia="en-US"/>
              </w:rPr>
              <w:t>ВсемирнаЯ организациЯ здравоохранениЯ</w:t>
            </w:r>
          </w:p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ru-RU" w:eastAsia="en-US"/>
              </w:rPr>
            </w:pPr>
            <w:r w:rsidRPr="00BD06F4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ru-RU" w:eastAsia="en-US"/>
              </w:rPr>
              <w:t>Европейское региональное бюро</w:t>
            </w:r>
          </w:p>
        </w:tc>
      </w:tr>
      <w:tr w:rsidR="00BD06F4" w:rsidRPr="00745834" w:rsidTr="00774386">
        <w:trPr>
          <w:cantSplit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Arial" w:eastAsia="Times New Roman" w:hAnsi="Arial" w:cs="Times New Roman"/>
                <w:smallCaps/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rPr>
                <w:rFonts w:ascii="Arial" w:eastAsia="Times New Roman" w:hAnsi="Arial" w:cs="Times New Roman"/>
                <w:smallCaps/>
                <w:sz w:val="20"/>
                <w:szCs w:val="20"/>
                <w:lang w:val="ru-RU" w:eastAsia="en-US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06F4" w:rsidRPr="00BD06F4" w:rsidRDefault="00BD06F4" w:rsidP="00BD06F4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smallCaps/>
                <w:sz w:val="20"/>
                <w:szCs w:val="20"/>
                <w:lang w:val="ru-RU" w:eastAsia="en-US"/>
              </w:rPr>
            </w:pPr>
          </w:p>
        </w:tc>
      </w:tr>
    </w:tbl>
    <w:p w:rsidR="00BD06F4" w:rsidRPr="00D809C5" w:rsidRDefault="00BD06F4" w:rsidP="00BD06F4">
      <w:pPr>
        <w:rPr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06"/>
        <w:gridCol w:w="4870"/>
      </w:tblGrid>
      <w:tr w:rsidR="00BD06F4" w:rsidRPr="00BD06F4" w:rsidTr="00BD06F4">
        <w:trPr>
          <w:cantSplit/>
        </w:trPr>
        <w:tc>
          <w:tcPr>
            <w:tcW w:w="2457" w:type="pct"/>
          </w:tcPr>
          <w:p w:rsidR="001E7A0E" w:rsidRPr="001E7A0E" w:rsidRDefault="000951C1" w:rsidP="001E7A0E">
            <w:pPr>
              <w:tabs>
                <w:tab w:val="left" w:pos="2763"/>
                <w:tab w:val="right" w:pos="4536"/>
              </w:tabs>
              <w:spacing w:after="0" w:line="240" w:lineRule="auto"/>
              <w:ind w:right="33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  <w:r w:rsidRPr="000951C1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t xml:space="preserve">International Health Regulations (IHR) National Focal Points Workshop </w:t>
            </w:r>
            <w:r w:rsidR="001E7A0E" w:rsidRPr="001E7A0E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t>Copenhagen, Denmark</w:t>
            </w:r>
          </w:p>
          <w:p w:rsidR="00BD06F4" w:rsidRPr="00BD06F4" w:rsidRDefault="001E7A0E" w:rsidP="001E7A0E">
            <w:pPr>
              <w:tabs>
                <w:tab w:val="left" w:pos="2763"/>
                <w:tab w:val="right" w:pos="4536"/>
              </w:tabs>
              <w:spacing w:after="0" w:line="240" w:lineRule="auto"/>
              <w:ind w:right="33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1E7A0E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t>18-20 October 2017</w:t>
            </w:r>
          </w:p>
        </w:tc>
        <w:tc>
          <w:tcPr>
            <w:tcW w:w="2543" w:type="pct"/>
          </w:tcPr>
          <w:p w:rsidR="00BD06F4" w:rsidRPr="00BD06F4" w:rsidRDefault="00BD06F4" w:rsidP="00BD06F4">
            <w:pPr>
              <w:tabs>
                <w:tab w:val="left" w:pos="2763"/>
                <w:tab w:val="right" w:pos="4536"/>
              </w:tabs>
              <w:spacing w:after="0" w:line="240" w:lineRule="auto"/>
              <w:ind w:right="33"/>
              <w:jc w:val="right"/>
              <w:rPr>
                <w:rFonts w:ascii="Arial" w:eastAsia="Times New Roman" w:hAnsi="Arial" w:cs="Times New Roman"/>
                <w:b/>
                <w:szCs w:val="20"/>
                <w:lang w:val="en-GB" w:eastAsia="en-GB"/>
              </w:rPr>
            </w:pPr>
          </w:p>
        </w:tc>
      </w:tr>
      <w:tr w:rsidR="00BD06F4" w:rsidRPr="00BD06F4" w:rsidTr="00BD06F4">
        <w:tc>
          <w:tcPr>
            <w:tcW w:w="2457" w:type="pct"/>
          </w:tcPr>
          <w:p w:rsidR="00BD06F4" w:rsidRPr="00BD06F4" w:rsidRDefault="00BD06F4" w:rsidP="00BD06F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</w:p>
        </w:tc>
        <w:tc>
          <w:tcPr>
            <w:tcW w:w="2543" w:type="pct"/>
          </w:tcPr>
          <w:p w:rsidR="00BD06F4" w:rsidRPr="00BD06F4" w:rsidRDefault="000951C1" w:rsidP="00BD06F4">
            <w:pPr>
              <w:tabs>
                <w:tab w:val="right" w:pos="3011"/>
                <w:tab w:val="right" w:pos="9571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Cs w:val="20"/>
                <w:lang w:val="en-GB" w:eastAsia="en-GB"/>
              </w:rPr>
            </w:pPr>
            <w:r w:rsidRPr="00BD06F4">
              <w:rPr>
                <w:rFonts w:ascii="Arial" w:eastAsia="Times New Roman" w:hAnsi="Arial" w:cs="Times New Roman"/>
                <w:b/>
                <w:szCs w:val="20"/>
                <w:lang w:val="en-GB" w:eastAsia="en-GB"/>
              </w:rPr>
              <w:t>Original: English</w:t>
            </w:r>
          </w:p>
        </w:tc>
      </w:tr>
      <w:tr w:rsidR="00BD06F4" w:rsidRPr="00BD06F4" w:rsidTr="00BD06F4">
        <w:tc>
          <w:tcPr>
            <w:tcW w:w="2457" w:type="pct"/>
          </w:tcPr>
          <w:p w:rsidR="00BD06F4" w:rsidRPr="00BD06F4" w:rsidRDefault="00BD06F4" w:rsidP="00BD06F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</w:p>
        </w:tc>
        <w:tc>
          <w:tcPr>
            <w:tcW w:w="2543" w:type="pct"/>
          </w:tcPr>
          <w:p w:rsidR="00BD06F4" w:rsidRPr="00BD06F4" w:rsidRDefault="00BD06F4" w:rsidP="00BD06F4">
            <w:pPr>
              <w:tabs>
                <w:tab w:val="right" w:pos="9571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Cs w:val="20"/>
                <w:lang w:val="en-GB" w:eastAsia="en-GB"/>
              </w:rPr>
            </w:pPr>
          </w:p>
        </w:tc>
      </w:tr>
    </w:tbl>
    <w:p w:rsidR="00BF5493" w:rsidRPr="009C67C9" w:rsidRDefault="00BD06F4" w:rsidP="00BF5493">
      <w:pPr>
        <w:jc w:val="center"/>
        <w:rPr>
          <w:rFonts w:asciiTheme="minorBidi" w:hAnsiTheme="minorBidi"/>
          <w:b/>
          <w:bCs/>
          <w:sz w:val="26"/>
          <w:szCs w:val="26"/>
        </w:rPr>
      </w:pPr>
      <w:r w:rsidRPr="0054078A">
        <w:rPr>
          <w:rFonts w:asciiTheme="minorBidi" w:hAnsiTheme="minorBidi"/>
          <w:b/>
          <w:bCs/>
          <w:sz w:val="26"/>
          <w:szCs w:val="26"/>
        </w:rPr>
        <w:t>Scope and Purpose</w:t>
      </w:r>
    </w:p>
    <w:p w:rsidR="00BF5493" w:rsidRDefault="00BF5493" w:rsidP="00BF5493">
      <w:pPr>
        <w:spacing w:after="0"/>
      </w:pPr>
      <w:r w:rsidRPr="00BF5493">
        <w:rPr>
          <w:b/>
          <w:bCs/>
        </w:rPr>
        <w:t>Purpose:</w:t>
      </w:r>
      <w:r>
        <w:t xml:space="preserve"> </w:t>
      </w:r>
      <w:r w:rsidR="00964DF0">
        <w:t>As provided under</w:t>
      </w:r>
      <w:r w:rsidR="00433FAE">
        <w:t xml:space="preserve"> the </w:t>
      </w:r>
      <w:r w:rsidR="00964DF0">
        <w:t xml:space="preserve">IHR – National IHR Focal Points (IHR NFP) are responsible for the implementation of health measures taken in countries </w:t>
      </w:r>
      <w:r w:rsidR="009C67C9">
        <w:t xml:space="preserve">to </w:t>
      </w:r>
      <w:r w:rsidR="00433FAE">
        <w:t>“</w:t>
      </w:r>
      <w:r w:rsidR="009C67C9">
        <w:t>prevent, protect against, control and provide a public health response to the i</w:t>
      </w:r>
      <w:r w:rsidR="00433FAE">
        <w:t xml:space="preserve">nternational spread of disease”. In order to </w:t>
      </w:r>
      <w:r w:rsidR="00433FAE" w:rsidRPr="00360135">
        <w:t xml:space="preserve">strengthen IHR NFP </w:t>
      </w:r>
      <w:r w:rsidR="00433FAE">
        <w:t xml:space="preserve">daily operations including </w:t>
      </w:r>
      <w:r w:rsidR="00433FAE" w:rsidRPr="00360135">
        <w:t>communication and coordination capacities</w:t>
      </w:r>
      <w:r w:rsidR="00433FAE">
        <w:t xml:space="preserve">, </w:t>
      </w:r>
      <w:r w:rsidR="00360135" w:rsidRPr="00360135">
        <w:t xml:space="preserve">this meeting </w:t>
      </w:r>
      <w:r w:rsidR="00433FAE">
        <w:t>aims</w:t>
      </w:r>
      <w:r w:rsidR="00360135" w:rsidRPr="00360135">
        <w:t xml:space="preserve"> to bring together</w:t>
      </w:r>
      <w:r w:rsidR="00360135">
        <w:t xml:space="preserve"> </w:t>
      </w:r>
      <w:r w:rsidR="00433FAE">
        <w:t>IHR NFPs</w:t>
      </w:r>
      <w:r w:rsidR="00360135">
        <w:t xml:space="preserve"> of </w:t>
      </w:r>
      <w:r w:rsidR="00360135" w:rsidRPr="001D13E2">
        <w:t>selected</w:t>
      </w:r>
      <w:r w:rsidR="00360135">
        <w:t xml:space="preserve"> Member States </w:t>
      </w:r>
      <w:r w:rsidR="00360135" w:rsidRPr="00360135">
        <w:t>to engage in a peer-to-peer exchange of experiences and best practices.</w:t>
      </w:r>
      <w:r w:rsidR="00360135">
        <w:t xml:space="preserve"> </w:t>
      </w:r>
      <w:bookmarkStart w:id="0" w:name="_GoBack"/>
      <w:bookmarkEnd w:id="0"/>
    </w:p>
    <w:p w:rsidR="00BF5493" w:rsidRDefault="00BF5493" w:rsidP="00BF5493">
      <w:pPr>
        <w:spacing w:after="0"/>
      </w:pPr>
    </w:p>
    <w:p w:rsidR="00433FAE" w:rsidRDefault="00BF5493" w:rsidP="00BF5493">
      <w:pPr>
        <w:spacing w:after="0"/>
      </w:pPr>
      <w:r w:rsidRPr="00BF5493">
        <w:rPr>
          <w:b/>
          <w:bCs/>
        </w:rPr>
        <w:t>Scope:</w:t>
      </w:r>
      <w:r>
        <w:t xml:space="preserve"> </w:t>
      </w:r>
      <w:r w:rsidR="009C67C9">
        <w:t>P</w:t>
      </w:r>
      <w:r w:rsidR="00360135" w:rsidRPr="00360135">
        <w:t xml:space="preserve">articipants </w:t>
      </w:r>
      <w:r w:rsidR="009C67C9">
        <w:t>will be</w:t>
      </w:r>
      <w:r w:rsidR="00360135" w:rsidRPr="00360135">
        <w:t xml:space="preserve"> IHR NFP personnel, including the IHR NFP responsib</w:t>
      </w:r>
      <w:r w:rsidR="009C67C9">
        <w:t>le person in respective countries.</w:t>
      </w:r>
      <w:r w:rsidR="00433FAE">
        <w:t xml:space="preserve"> </w:t>
      </w:r>
      <w:r w:rsidR="00433FAE" w:rsidRPr="00360135">
        <w:t xml:space="preserve">During the </w:t>
      </w:r>
      <w:r w:rsidR="00433FAE">
        <w:t>meeting</w:t>
      </w:r>
      <w:r w:rsidR="00433FAE" w:rsidRPr="00360135">
        <w:t>, participants</w:t>
      </w:r>
      <w:r w:rsidR="00433FAE">
        <w:t>, WHO and partner organizations will</w:t>
      </w:r>
      <w:r w:rsidR="00433FAE" w:rsidRPr="00360135">
        <w:t xml:space="preserve"> share experiences and best practices</w:t>
      </w:r>
      <w:r w:rsidR="00433FAE">
        <w:t xml:space="preserve"> with regards to </w:t>
      </w:r>
      <w:r>
        <w:t xml:space="preserve">event </w:t>
      </w:r>
      <w:r w:rsidR="00433FAE">
        <w:t>screening, risk assessment, event management, information products, risk communication, and legal provisions of the IHR NFP within respective government structures.</w:t>
      </w:r>
    </w:p>
    <w:p w:rsidR="00BF5493" w:rsidRDefault="00BF5493" w:rsidP="00BF5493">
      <w:pPr>
        <w:spacing w:after="0"/>
      </w:pPr>
    </w:p>
    <w:p w:rsidR="003E4128" w:rsidRDefault="00BF5493" w:rsidP="00BF5493">
      <w:pPr>
        <w:spacing w:after="0"/>
      </w:pPr>
      <w:r w:rsidRPr="00BF5493">
        <w:rPr>
          <w:b/>
          <w:bCs/>
        </w:rPr>
        <w:t>Objectives:</w:t>
      </w:r>
      <w:r>
        <w:t xml:space="preserve"> </w:t>
      </w:r>
      <w:r w:rsidR="00433FAE">
        <w:t xml:space="preserve">The meeting will comprise a </w:t>
      </w:r>
      <w:r w:rsidR="00360135" w:rsidRPr="00360135">
        <w:t>series of presentation</w:t>
      </w:r>
      <w:r w:rsidR="00964DF0">
        <w:t>s and</w:t>
      </w:r>
      <w:r w:rsidR="00433FAE">
        <w:t xml:space="preserve"> i</w:t>
      </w:r>
      <w:r w:rsidR="00964DF0">
        <w:t>nteractive discussion sessions utilizing scenarios and working groups with the</w:t>
      </w:r>
      <w:r>
        <w:t xml:space="preserve"> following</w:t>
      </w:r>
      <w:r w:rsidR="00964DF0">
        <w:t xml:space="preserve"> specific objectives</w:t>
      </w:r>
      <w:r w:rsidR="00C9002D">
        <w:t>:</w:t>
      </w:r>
    </w:p>
    <w:p w:rsidR="00BF5493" w:rsidRDefault="00BF5493" w:rsidP="00BF5493">
      <w:pPr>
        <w:spacing w:after="0"/>
      </w:pPr>
    </w:p>
    <w:p w:rsidR="00C02405" w:rsidRDefault="00C02405" w:rsidP="00BF5493">
      <w:pPr>
        <w:pStyle w:val="ListParagraph"/>
        <w:numPr>
          <w:ilvl w:val="0"/>
          <w:numId w:val="3"/>
        </w:numPr>
        <w:spacing w:after="0"/>
      </w:pPr>
      <w:r>
        <w:t xml:space="preserve">To provide an overview of WHO daily operations </w:t>
      </w:r>
      <w:r w:rsidR="00270122">
        <w:t xml:space="preserve">including how WHO interacts with National IHR Focal Points and partners such as ECDC, </w:t>
      </w:r>
      <w:r>
        <w:t>related to event detection and event management;</w:t>
      </w:r>
    </w:p>
    <w:p w:rsidR="001E7A0E" w:rsidRDefault="00C02405" w:rsidP="00BF5493">
      <w:pPr>
        <w:pStyle w:val="ListParagraph"/>
        <w:numPr>
          <w:ilvl w:val="0"/>
          <w:numId w:val="3"/>
        </w:numPr>
        <w:spacing w:after="0"/>
      </w:pPr>
      <w:r>
        <w:t xml:space="preserve">To </w:t>
      </w:r>
      <w:r w:rsidR="001E7A0E" w:rsidRPr="001E7A0E">
        <w:t xml:space="preserve">share experiences and practices related to </w:t>
      </w:r>
      <w:r w:rsidR="00964DF0">
        <w:t xml:space="preserve">legal provisions of the IHR NFP and </w:t>
      </w:r>
      <w:r w:rsidR="001E7A0E" w:rsidRPr="001E7A0E">
        <w:t>daily</w:t>
      </w:r>
      <w:r w:rsidR="001E7A0E">
        <w:t xml:space="preserve"> operations of IHR in countries</w:t>
      </w:r>
      <w:r>
        <w:t xml:space="preserve">; </w:t>
      </w:r>
      <w:r w:rsidR="00964DF0">
        <w:t xml:space="preserve"> </w:t>
      </w:r>
      <w:r>
        <w:t>and</w:t>
      </w:r>
      <w:r w:rsidR="001E7A0E" w:rsidRPr="001E7A0E">
        <w:t xml:space="preserve"> </w:t>
      </w:r>
    </w:p>
    <w:p w:rsidR="001E7A0E" w:rsidRDefault="00C02405" w:rsidP="00BF5493">
      <w:pPr>
        <w:pStyle w:val="ListParagraph"/>
        <w:numPr>
          <w:ilvl w:val="0"/>
          <w:numId w:val="3"/>
        </w:numPr>
        <w:spacing w:after="0"/>
      </w:pPr>
      <w:r>
        <w:t xml:space="preserve">To </w:t>
      </w:r>
      <w:r w:rsidR="001E7A0E" w:rsidRPr="001E7A0E">
        <w:t>explore opportunities for twinning partners for new IHR NFP staff from other States Parties in the future, in order to facilitate peer learning among the IHR NFP network</w:t>
      </w:r>
      <w:r w:rsidR="00BF5493">
        <w:t>.</w:t>
      </w:r>
    </w:p>
    <w:p w:rsidR="00BF5493" w:rsidRPr="001E7A0E" w:rsidRDefault="00BF5493" w:rsidP="00BF5493">
      <w:pPr>
        <w:pStyle w:val="ListParagraph"/>
        <w:spacing w:after="0"/>
      </w:pPr>
    </w:p>
    <w:p w:rsidR="00232575" w:rsidRPr="00BF5493" w:rsidRDefault="00BF5493" w:rsidP="00BF5493">
      <w:pPr>
        <w:spacing w:after="0"/>
        <w:rPr>
          <w:b/>
          <w:bCs/>
        </w:rPr>
      </w:pPr>
      <w:r w:rsidRPr="00BF5493">
        <w:rPr>
          <w:b/>
          <w:bCs/>
        </w:rPr>
        <w:t>Expected outcome:</w:t>
      </w:r>
      <w:r>
        <w:t xml:space="preserve"> </w:t>
      </w:r>
      <w:r w:rsidR="00EE3269" w:rsidRPr="00964DF0">
        <w:t>T</w:t>
      </w:r>
      <w:r w:rsidR="00A401A0" w:rsidRPr="00964DF0">
        <w:t xml:space="preserve">his meeting is expected to strengthen the </w:t>
      </w:r>
      <w:r w:rsidR="00964DF0" w:rsidRPr="00964DF0">
        <w:t xml:space="preserve">understanding of </w:t>
      </w:r>
      <w:r w:rsidR="00964DF0">
        <w:t xml:space="preserve">how the IHR NFPs function </w:t>
      </w:r>
      <w:r>
        <w:t xml:space="preserve">in respective countries </w:t>
      </w:r>
      <w:r w:rsidR="00964DF0">
        <w:t xml:space="preserve">and to provide potential examples and best practices for addressing gaps and challenges related to IHR </w:t>
      </w:r>
      <w:r w:rsidR="00964DF0" w:rsidRPr="00BF5493">
        <w:t>daily work</w:t>
      </w:r>
      <w:r w:rsidRPr="00BF5493">
        <w:t xml:space="preserve">. In addition, </w:t>
      </w:r>
      <w:r>
        <w:t xml:space="preserve">this meeting is expected to strengthen communications between IHR NFPs within the IHR network, and rapid communication with </w:t>
      </w:r>
      <w:proofErr w:type="gramStart"/>
      <w:r>
        <w:t>WHO</w:t>
      </w:r>
      <w:proofErr w:type="gramEnd"/>
      <w:r>
        <w:t xml:space="preserve"> those events meeting the IHR Annex 2 criteria for public health events of international concern.</w:t>
      </w:r>
    </w:p>
    <w:sectPr w:rsidR="00232575" w:rsidRPr="00BF5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7FD"/>
    <w:multiLevelType w:val="hybridMultilevel"/>
    <w:tmpl w:val="CCE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A41C0"/>
    <w:multiLevelType w:val="hybridMultilevel"/>
    <w:tmpl w:val="31D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64030"/>
    <w:multiLevelType w:val="hybridMultilevel"/>
    <w:tmpl w:val="68B2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F4"/>
    <w:rsid w:val="0003261E"/>
    <w:rsid w:val="000951C1"/>
    <w:rsid w:val="001D13E2"/>
    <w:rsid w:val="001E7A0E"/>
    <w:rsid w:val="00232575"/>
    <w:rsid w:val="0023377A"/>
    <w:rsid w:val="00270122"/>
    <w:rsid w:val="00360135"/>
    <w:rsid w:val="003D036E"/>
    <w:rsid w:val="003E4128"/>
    <w:rsid w:val="00433FAE"/>
    <w:rsid w:val="00456294"/>
    <w:rsid w:val="00516E55"/>
    <w:rsid w:val="0054078A"/>
    <w:rsid w:val="006214CF"/>
    <w:rsid w:val="00650E5E"/>
    <w:rsid w:val="00745834"/>
    <w:rsid w:val="00964DF0"/>
    <w:rsid w:val="009C67C9"/>
    <w:rsid w:val="00A401A0"/>
    <w:rsid w:val="00B07C16"/>
    <w:rsid w:val="00BD06F4"/>
    <w:rsid w:val="00BF5493"/>
    <w:rsid w:val="00C02405"/>
    <w:rsid w:val="00C9002D"/>
    <w:rsid w:val="00D809C5"/>
    <w:rsid w:val="00DB2873"/>
    <w:rsid w:val="00EE3269"/>
    <w:rsid w:val="00F11A57"/>
    <w:rsid w:val="00F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ACOSTA, Colleen</dc:creator>
  <cp:lastModifiedBy>PUKKILA, Jukka Tapani</cp:lastModifiedBy>
  <cp:revision>7</cp:revision>
  <cp:lastPrinted>2017-09-06T14:43:00Z</cp:lastPrinted>
  <dcterms:created xsi:type="dcterms:W3CDTF">2017-09-06T11:46:00Z</dcterms:created>
  <dcterms:modified xsi:type="dcterms:W3CDTF">2017-09-06T15:32:00Z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1070589995</vt:i4>
  </property>
  <property fmtid="{D5CDD505-2E9C-101B-9397-08002B2CF9AE}" pid="3" name="_NewReviewCycle">
    <vt:lpwstr/>
  </property>
  <property fmtid="{D5CDD505-2E9C-101B-9397-08002B2CF9AE}" pid="4" name="_EmailSubject">
    <vt:lpwstr>Invitation for a WHO Europe National IHR Focal Point workshop 18-20 Oct 2017 in Copenhagen</vt:lpwstr>
  </property>
  <property fmtid="{D5CDD505-2E9C-101B-9397-08002B2CF9AE}" pid="5" name="_AuthorEmail">
    <vt:lpwstr>euroihr@who.int</vt:lpwstr>
  </property>
  <property fmtid="{D5CDD505-2E9C-101B-9397-08002B2CF9AE}" pid="6" name="_AuthorEmailDisplayName">
    <vt:lpwstr>EURO IHR</vt:lpwstr>
  </property>
  <property fmtid="{D5CDD505-2E9C-101B-9397-08002B2CF9AE}" pid="8" name="_PreviousAdHocReviewCycleID">
    <vt:i4>-907359929</vt:i4>
  </property>
</Properties>
</file>