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16D" w:rsidRPr="002A1D45" w:rsidRDefault="00AB516D" w:rsidP="00AB516D">
      <w:pPr>
        <w:jc w:val="both"/>
        <w:rPr>
          <w:rFonts w:ascii="Sylfaen" w:hAnsi="Sylfaen" w:cstheme="minorHAnsi"/>
          <w:b/>
          <w:sz w:val="24"/>
          <w:szCs w:val="24"/>
          <w:lang w:val="ka-GE"/>
        </w:rPr>
      </w:pPr>
      <w:r w:rsidRPr="002A1D45">
        <w:rPr>
          <w:rFonts w:ascii="Sylfaen" w:hAnsi="Sylfaen" w:cstheme="minorHAnsi"/>
          <w:b/>
          <w:sz w:val="24"/>
          <w:szCs w:val="24"/>
          <w:lang w:val="ka-GE"/>
        </w:rPr>
        <w:t xml:space="preserve">Strategies for Eradicating Poverty to achieve Sustainable Development for All </w:t>
      </w:r>
    </w:p>
    <w:p w:rsidR="00CA3A2C" w:rsidRPr="002A1D45" w:rsidRDefault="00EA3450" w:rsidP="00AB516D">
      <w:pPr>
        <w:jc w:val="both"/>
        <w:rPr>
          <w:rFonts w:ascii="Sylfaen" w:hAnsi="Sylfaen" w:cstheme="minorHAnsi"/>
          <w:szCs w:val="22"/>
        </w:rPr>
      </w:pPr>
      <w:r w:rsidRPr="002A1D45">
        <w:rPr>
          <w:rFonts w:ascii="Sylfaen" w:hAnsi="Sylfaen" w:cstheme="minorHAnsi"/>
          <w:szCs w:val="22"/>
          <w:lang w:val="ka-GE"/>
        </w:rPr>
        <w:t xml:space="preserve">The key principles of the government’s social </w:t>
      </w:r>
      <w:r w:rsidR="0060425B" w:rsidRPr="002A1D45">
        <w:rPr>
          <w:rFonts w:ascii="Sylfaen" w:hAnsi="Sylfaen" w:cstheme="minorHAnsi"/>
          <w:szCs w:val="22"/>
        </w:rPr>
        <w:t>protection</w:t>
      </w:r>
      <w:r w:rsidRPr="002A1D45">
        <w:rPr>
          <w:rFonts w:ascii="Sylfaen" w:hAnsi="Sylfaen" w:cstheme="minorHAnsi"/>
          <w:szCs w:val="22"/>
          <w:lang w:val="ka-GE"/>
        </w:rPr>
        <w:t xml:space="preserve"> policy are poverty reduction and eradication, efficiency in the social assistance system, </w:t>
      </w:r>
      <w:r w:rsidR="00906A79" w:rsidRPr="002A1D45">
        <w:rPr>
          <w:rFonts w:ascii="Sylfaen" w:hAnsi="Sylfaen" w:cstheme="minorHAnsi"/>
          <w:szCs w:val="22"/>
        </w:rPr>
        <w:t>justice</w:t>
      </w:r>
      <w:r w:rsidRPr="002A1D45">
        <w:rPr>
          <w:rFonts w:ascii="Sylfaen" w:hAnsi="Sylfaen" w:cstheme="minorHAnsi"/>
          <w:szCs w:val="22"/>
          <w:lang w:val="ka-GE"/>
        </w:rPr>
        <w:t xml:space="preserve"> and transparency, and increase and promotion of motivation for employment</w:t>
      </w:r>
      <w:r w:rsidR="0075765E" w:rsidRPr="002A1D45">
        <w:rPr>
          <w:rFonts w:ascii="Sylfaen" w:hAnsi="Sylfaen" w:cstheme="minorHAnsi"/>
          <w:szCs w:val="22"/>
        </w:rPr>
        <w:t xml:space="preserve"> according to the “Freedom, rapid development, prosperity” government program.</w:t>
      </w:r>
    </w:p>
    <w:p w:rsidR="00CA3A2C" w:rsidRPr="002A1D45" w:rsidRDefault="00CA3A2C" w:rsidP="00AB516D">
      <w:pPr>
        <w:jc w:val="both"/>
        <w:rPr>
          <w:rFonts w:ascii="Sylfaen" w:hAnsi="Sylfaen" w:cstheme="minorHAnsi"/>
          <w:szCs w:val="22"/>
          <w:lang w:val="ka-GE"/>
        </w:rPr>
      </w:pPr>
      <w:r w:rsidRPr="002A1D45">
        <w:rPr>
          <w:rFonts w:ascii="Sylfaen" w:hAnsi="Sylfaen" w:cstheme="minorHAnsi"/>
          <w:szCs w:val="22"/>
          <w:lang w:val="ka-GE"/>
        </w:rPr>
        <w:t xml:space="preserve">The Government will continue targeted social programs to </w:t>
      </w:r>
      <w:r w:rsidR="0060425B" w:rsidRPr="002A1D45">
        <w:rPr>
          <w:rFonts w:ascii="Sylfaen" w:hAnsi="Sylfaen" w:cstheme="minorHAnsi"/>
          <w:szCs w:val="22"/>
          <w:lang w:val="ka-GE"/>
        </w:rPr>
        <w:t>improve the</w:t>
      </w:r>
      <w:r w:rsidRPr="002A1D45">
        <w:rPr>
          <w:rFonts w:ascii="Sylfaen" w:hAnsi="Sylfaen" w:cstheme="minorHAnsi"/>
          <w:szCs w:val="22"/>
          <w:lang w:val="ka-GE"/>
        </w:rPr>
        <w:t xml:space="preserve"> conditions of vulnerable groups.</w:t>
      </w:r>
      <w:r w:rsidR="006D40BC" w:rsidRPr="002A1D45">
        <w:rPr>
          <w:rFonts w:ascii="Sylfaen" w:hAnsi="Sylfaen" w:cstheme="minorHAnsi"/>
          <w:szCs w:val="22"/>
          <w:lang w:val="ka-GE"/>
        </w:rPr>
        <w:t xml:space="preserve"> </w:t>
      </w:r>
      <w:r w:rsidR="0060425B" w:rsidRPr="002A1D45">
        <w:rPr>
          <w:rFonts w:ascii="Sylfaen" w:hAnsi="Sylfaen" w:cstheme="minorHAnsi"/>
          <w:szCs w:val="22"/>
          <w:lang w:val="ka-GE"/>
        </w:rPr>
        <w:t>A</w:t>
      </w:r>
      <w:r w:rsidR="006D40BC" w:rsidRPr="002A1D45">
        <w:rPr>
          <w:rFonts w:ascii="Sylfaen" w:hAnsi="Sylfaen" w:cstheme="minorHAnsi"/>
          <w:szCs w:val="22"/>
          <w:lang w:val="ka-GE"/>
        </w:rPr>
        <w:t>ccess to quality social services for children with disabilities and other vulnerable groups will be increased.</w:t>
      </w:r>
      <w:r w:rsidR="003A4989" w:rsidRPr="002A1D45">
        <w:rPr>
          <w:rFonts w:ascii="Sylfaen" w:hAnsi="Sylfaen" w:cstheme="minorHAnsi"/>
          <w:szCs w:val="22"/>
          <w:lang w:val="ka-GE"/>
        </w:rPr>
        <w:t xml:space="preserve"> </w:t>
      </w:r>
    </w:p>
    <w:p w:rsidR="003A4989" w:rsidRPr="002A1D45" w:rsidRDefault="003A4989" w:rsidP="00AB516D">
      <w:pPr>
        <w:jc w:val="both"/>
        <w:rPr>
          <w:rFonts w:ascii="Sylfaen" w:hAnsi="Sylfaen" w:cstheme="minorHAnsi"/>
          <w:szCs w:val="22"/>
          <w:lang w:val="ka-GE"/>
        </w:rPr>
      </w:pPr>
      <w:r w:rsidRPr="002A1D45">
        <w:rPr>
          <w:rFonts w:ascii="Sylfaen" w:hAnsi="Sylfaen" w:cstheme="minorHAnsi"/>
          <w:szCs w:val="22"/>
          <w:lang w:val="ka-GE"/>
        </w:rPr>
        <w:t xml:space="preserve">The obligations taken by the Government of Georgia fully reflect the SDG goals of the United Nations. </w:t>
      </w:r>
      <w:r w:rsidR="004E5377" w:rsidRPr="002A1D45">
        <w:rPr>
          <w:rFonts w:ascii="Sylfaen" w:hAnsi="Sylfaen" w:cstheme="minorHAnsi"/>
          <w:szCs w:val="22"/>
          <w:lang w:val="ka-GE"/>
        </w:rPr>
        <w:t>To</w:t>
      </w:r>
      <w:r w:rsidR="002772E8" w:rsidRPr="002A1D45">
        <w:rPr>
          <w:rFonts w:ascii="Sylfaen" w:hAnsi="Sylfaen" w:cstheme="minorHAnsi"/>
          <w:szCs w:val="22"/>
          <w:lang w:val="ka-GE"/>
        </w:rPr>
        <w:t xml:space="preserve"> eradicate extreme poverty for all people living in all parts of Georgia by 2030</w:t>
      </w:r>
      <w:r w:rsidR="00DC1AD6" w:rsidRPr="002A1D45">
        <w:rPr>
          <w:rFonts w:ascii="Sylfaen" w:hAnsi="Sylfaen"/>
        </w:rPr>
        <w:t xml:space="preserve"> </w:t>
      </w:r>
      <w:r w:rsidR="00DC1AD6" w:rsidRPr="002A1D45">
        <w:rPr>
          <w:rFonts w:ascii="Sylfaen" w:hAnsi="Sylfaen"/>
          <w:lang w:val="ka-GE"/>
        </w:rPr>
        <w:t xml:space="preserve">was defined as </w:t>
      </w:r>
      <w:r w:rsidR="0060425B" w:rsidRPr="002A1D45">
        <w:rPr>
          <w:rFonts w:ascii="Sylfaen" w:hAnsi="Sylfaen"/>
          <w:lang w:val="ka-GE"/>
        </w:rPr>
        <w:t>a</w:t>
      </w:r>
      <w:r w:rsidR="00DC1AD6" w:rsidRPr="002A1D45">
        <w:rPr>
          <w:rFonts w:ascii="Sylfaen" w:hAnsi="Sylfaen"/>
          <w:lang w:val="ka-GE"/>
        </w:rPr>
        <w:t xml:space="preserve"> goal of </w:t>
      </w:r>
      <w:r w:rsidR="00DC1AD6" w:rsidRPr="002A1D45">
        <w:rPr>
          <w:rFonts w:ascii="Sylfaen" w:hAnsi="Sylfaen"/>
        </w:rPr>
        <w:t>Eradication of extreme poverty</w:t>
      </w:r>
      <w:r w:rsidR="00DC1AD6" w:rsidRPr="002A1D45">
        <w:rPr>
          <w:rFonts w:ascii="Sylfaen" w:hAnsi="Sylfaen"/>
          <w:lang w:val="ka-GE"/>
        </w:rPr>
        <w:t xml:space="preserve"> for Georgia</w:t>
      </w:r>
      <w:r w:rsidR="002772E8" w:rsidRPr="002A1D45">
        <w:rPr>
          <w:rFonts w:ascii="Sylfaen" w:hAnsi="Sylfaen" w:cstheme="minorHAnsi"/>
          <w:szCs w:val="22"/>
          <w:lang w:val="ka-GE"/>
        </w:rPr>
        <w:t>. The proportion</w:t>
      </w:r>
      <w:r w:rsidR="0060425B" w:rsidRPr="002A1D45">
        <w:rPr>
          <w:rFonts w:ascii="Sylfaen" w:hAnsi="Sylfaen" w:cstheme="minorHAnsi"/>
          <w:szCs w:val="22"/>
          <w:lang w:val="ka-GE"/>
        </w:rPr>
        <w:t xml:space="preserve"> </w:t>
      </w:r>
      <w:r w:rsidR="002772E8" w:rsidRPr="002A1D45">
        <w:rPr>
          <w:rFonts w:ascii="Sylfaen" w:hAnsi="Sylfaen" w:cstheme="minorHAnsi"/>
          <w:szCs w:val="22"/>
          <w:lang w:val="ka-GE"/>
        </w:rPr>
        <w:t xml:space="preserve">of population living in extreme poverty for 2014 – 9.77% </w:t>
      </w:r>
      <w:r w:rsidR="00DC1AD6" w:rsidRPr="002A1D45">
        <w:rPr>
          <w:rFonts w:ascii="Sylfaen" w:hAnsi="Sylfaen" w:cstheme="minorHAnsi"/>
          <w:szCs w:val="22"/>
          <w:lang w:val="ka-GE"/>
        </w:rPr>
        <w:t>was</w:t>
      </w:r>
      <w:r w:rsidR="002772E8" w:rsidRPr="002A1D45">
        <w:rPr>
          <w:rFonts w:ascii="Sylfaen" w:hAnsi="Sylfaen" w:cstheme="minorHAnsi"/>
          <w:szCs w:val="22"/>
          <w:lang w:val="ka-GE"/>
        </w:rPr>
        <w:t xml:space="preserve"> defined as </w:t>
      </w:r>
      <w:r w:rsidR="0060425B" w:rsidRPr="002A1D45">
        <w:rPr>
          <w:rFonts w:ascii="Sylfaen" w:hAnsi="Sylfaen" w:cstheme="minorHAnsi"/>
          <w:szCs w:val="22"/>
          <w:lang w:val="ka-GE"/>
        </w:rPr>
        <w:t>an</w:t>
      </w:r>
      <w:r w:rsidR="002772E8" w:rsidRPr="002A1D45">
        <w:rPr>
          <w:rFonts w:ascii="Sylfaen" w:hAnsi="Sylfaen" w:cstheme="minorHAnsi"/>
          <w:szCs w:val="22"/>
          <w:lang w:val="ka-GE"/>
        </w:rPr>
        <w:t xml:space="preserve"> indicator. </w:t>
      </w:r>
      <w:r w:rsidR="002772E8" w:rsidRPr="002A1D45">
        <w:rPr>
          <w:rFonts w:ascii="Sylfaen" w:hAnsi="Sylfaen"/>
          <w:lang w:val="ka-GE"/>
        </w:rPr>
        <w:t xml:space="preserve">The source of this indicator is the World Bank and based on the WB data for 2016 this indicator </w:t>
      </w:r>
      <w:r w:rsidR="00FB1584" w:rsidRPr="002A1D45">
        <w:rPr>
          <w:rFonts w:ascii="Sylfaen" w:hAnsi="Sylfaen"/>
          <w:lang w:val="ka-GE"/>
        </w:rPr>
        <w:t>was</w:t>
      </w:r>
      <w:r w:rsidR="002772E8" w:rsidRPr="002A1D45">
        <w:rPr>
          <w:rFonts w:ascii="Sylfaen" w:hAnsi="Sylfaen"/>
          <w:lang w:val="ka-GE"/>
        </w:rPr>
        <w:t xml:space="preserve"> 8.3%. </w:t>
      </w:r>
    </w:p>
    <w:p w:rsidR="00CE3339" w:rsidRPr="002A1D45" w:rsidRDefault="0060425B" w:rsidP="00AB516D">
      <w:pPr>
        <w:jc w:val="both"/>
        <w:rPr>
          <w:rFonts w:ascii="Sylfaen" w:hAnsi="Sylfaen" w:cstheme="minorHAnsi"/>
          <w:szCs w:val="22"/>
          <w:lang w:val="ka-GE"/>
        </w:rPr>
      </w:pPr>
      <w:r w:rsidRPr="002A1D45">
        <w:rPr>
          <w:rFonts w:ascii="Sylfaen" w:hAnsi="Sylfaen" w:cstheme="minorHAnsi"/>
          <w:szCs w:val="22"/>
          <w:lang w:val="ka-GE"/>
        </w:rPr>
        <w:t xml:space="preserve">The </w:t>
      </w:r>
      <w:r w:rsidR="007E1676" w:rsidRPr="002A1D45">
        <w:rPr>
          <w:rFonts w:ascii="Sylfaen" w:hAnsi="Sylfaen" w:cstheme="minorHAnsi"/>
          <w:szCs w:val="22"/>
          <w:lang w:val="ka-GE"/>
        </w:rPr>
        <w:t xml:space="preserve">coverage of vulnerable groups by social </w:t>
      </w:r>
      <w:r w:rsidRPr="002A1D45">
        <w:rPr>
          <w:rFonts w:ascii="Sylfaen" w:hAnsi="Sylfaen" w:cstheme="minorHAnsi"/>
          <w:szCs w:val="22"/>
          <w:lang w:val="ka-GE"/>
        </w:rPr>
        <w:t xml:space="preserve">protection schemes </w:t>
      </w:r>
      <w:r w:rsidR="00F07D80" w:rsidRPr="002A1D45">
        <w:rPr>
          <w:rFonts w:ascii="Sylfaen" w:hAnsi="Sylfaen" w:cstheme="minorHAnsi"/>
          <w:szCs w:val="22"/>
          <w:lang w:val="ka-GE"/>
        </w:rPr>
        <w:t xml:space="preserve">has </w:t>
      </w:r>
      <w:r w:rsidRPr="002A1D45">
        <w:rPr>
          <w:rFonts w:ascii="Sylfaen" w:hAnsi="Sylfaen" w:cstheme="minorHAnsi"/>
          <w:szCs w:val="22"/>
          <w:lang w:val="ka-GE"/>
        </w:rPr>
        <w:t xml:space="preserve">increased </w:t>
      </w:r>
      <w:r w:rsidR="00FB1584" w:rsidRPr="002A1D45">
        <w:rPr>
          <w:rFonts w:ascii="Sylfaen" w:hAnsi="Sylfaen" w:cstheme="minorHAnsi"/>
          <w:szCs w:val="22"/>
          <w:lang w:val="ka-GE"/>
        </w:rPr>
        <w:t xml:space="preserve">in 2017 </w:t>
      </w:r>
      <w:r w:rsidR="00F07D80" w:rsidRPr="002A1D45">
        <w:rPr>
          <w:rFonts w:ascii="Sylfaen" w:hAnsi="Sylfaen" w:cstheme="minorHAnsi"/>
          <w:szCs w:val="22"/>
          <w:lang w:val="ka-GE"/>
        </w:rPr>
        <w:t>covering more children (</w:t>
      </w:r>
      <w:r w:rsidR="00CD76A5" w:rsidRPr="002A1D45">
        <w:rPr>
          <w:rFonts w:ascii="Sylfaen" w:hAnsi="Sylfaen" w:cstheme="minorHAnsi"/>
          <w:szCs w:val="22"/>
          <w:lang w:val="ka-GE"/>
        </w:rPr>
        <w:t xml:space="preserve">36.6% </w:t>
      </w:r>
      <w:r w:rsidR="00A06043" w:rsidRPr="002A1D45">
        <w:rPr>
          <w:rFonts w:ascii="Sylfaen" w:hAnsi="Sylfaen" w:cstheme="minorHAnsi"/>
          <w:szCs w:val="22"/>
          <w:lang w:val="ka-GE"/>
        </w:rPr>
        <w:t>of recepients were</w:t>
      </w:r>
      <w:r w:rsidR="00CD76A5" w:rsidRPr="002A1D45">
        <w:rPr>
          <w:rFonts w:ascii="Sylfaen" w:hAnsi="Sylfaen" w:cstheme="minorHAnsi"/>
          <w:szCs w:val="22"/>
          <w:lang w:val="ka-GE"/>
        </w:rPr>
        <w:t xml:space="preserve"> children</w:t>
      </w:r>
      <w:r w:rsidRPr="002A1D45">
        <w:rPr>
          <w:rFonts w:ascii="Sylfaen" w:hAnsi="Sylfaen" w:cstheme="minorHAnsi"/>
          <w:szCs w:val="22"/>
          <w:lang w:val="ka-GE"/>
        </w:rPr>
        <w:t xml:space="preserve"> in 2017)</w:t>
      </w:r>
      <w:r w:rsidR="00CD76A5" w:rsidRPr="002A1D45">
        <w:rPr>
          <w:rFonts w:ascii="Sylfaen" w:hAnsi="Sylfaen" w:cstheme="minorHAnsi"/>
          <w:szCs w:val="22"/>
          <w:lang w:val="ka-GE"/>
        </w:rPr>
        <w:t>.</w:t>
      </w:r>
    </w:p>
    <w:p w:rsidR="00BD2F60" w:rsidRPr="002A1D45" w:rsidRDefault="00F05159" w:rsidP="00AB516D">
      <w:pPr>
        <w:jc w:val="both"/>
        <w:rPr>
          <w:rFonts w:ascii="Sylfaen" w:hAnsi="Sylfaen" w:cstheme="minorHAnsi"/>
          <w:szCs w:val="22"/>
          <w:lang w:val="ka-GE"/>
        </w:rPr>
      </w:pPr>
      <w:r w:rsidRPr="002A1D45">
        <w:rPr>
          <w:rFonts w:ascii="Sylfaen" w:hAnsi="Sylfaen"/>
          <w:lang w:val="ka-GE"/>
        </w:rPr>
        <w:t>Since July 2016</w:t>
      </w:r>
      <w:r w:rsidR="0037035B" w:rsidRPr="002A1D45">
        <w:rPr>
          <w:rFonts w:ascii="Sylfaen" w:hAnsi="Sylfaen"/>
          <w:lang w:val="ka-GE"/>
        </w:rPr>
        <w:t>,</w:t>
      </w:r>
      <w:r w:rsidRPr="002A1D45">
        <w:rPr>
          <w:rFonts w:ascii="Sylfaen" w:hAnsi="Sylfaen"/>
          <w:lang w:val="ka-GE"/>
        </w:rPr>
        <w:t xml:space="preserve"> t</w:t>
      </w:r>
      <w:r w:rsidR="0060425B" w:rsidRPr="002A1D45">
        <w:rPr>
          <w:rFonts w:ascii="Sylfaen" w:hAnsi="Sylfaen"/>
          <w:lang w:val="ka-GE"/>
        </w:rPr>
        <w:t xml:space="preserve">he </w:t>
      </w:r>
      <w:r w:rsidR="004E5377" w:rsidRPr="002A1D45">
        <w:rPr>
          <w:rFonts w:ascii="Sylfaen" w:hAnsi="Sylfaen"/>
          <w:lang w:val="ka-GE"/>
        </w:rPr>
        <w:t xml:space="preserve">amount of age pension, </w:t>
      </w:r>
      <w:r w:rsidR="00F07D80" w:rsidRPr="002A1D45">
        <w:rPr>
          <w:rFonts w:ascii="Sylfaen" w:hAnsi="Sylfaen" w:cstheme="minorHAnsi"/>
          <w:szCs w:val="22"/>
          <w:lang w:val="ka-GE"/>
        </w:rPr>
        <w:t>social package</w:t>
      </w:r>
      <w:r w:rsidR="004E5377" w:rsidRPr="002A1D45">
        <w:rPr>
          <w:rFonts w:ascii="Sylfaen" w:hAnsi="Sylfaen" w:cstheme="minorHAnsi"/>
          <w:szCs w:val="22"/>
          <w:lang w:val="ka-GE"/>
        </w:rPr>
        <w:t xml:space="preserve"> for people with severe disability status and</w:t>
      </w:r>
      <w:r w:rsidR="00FB1584" w:rsidRPr="002A1D45">
        <w:rPr>
          <w:rFonts w:ascii="Sylfaen" w:hAnsi="Sylfaen" w:cstheme="minorHAnsi"/>
          <w:szCs w:val="22"/>
          <w:lang w:val="ka-GE"/>
        </w:rPr>
        <w:t xml:space="preserve"> </w:t>
      </w:r>
      <w:r w:rsidR="004E5377" w:rsidRPr="002A1D45">
        <w:rPr>
          <w:rFonts w:ascii="Sylfaen" w:hAnsi="Sylfaen" w:cstheme="minorHAnsi"/>
          <w:szCs w:val="22"/>
          <w:lang w:val="ka-GE"/>
        </w:rPr>
        <w:t xml:space="preserve">children with disabilities </w:t>
      </w:r>
      <w:r w:rsidR="004E5377" w:rsidRPr="002A1D45">
        <w:rPr>
          <w:rFonts w:ascii="Sylfaen" w:hAnsi="Sylfaen"/>
          <w:lang w:val="ka-GE"/>
        </w:rPr>
        <w:t>has</w:t>
      </w:r>
      <w:r w:rsidR="0060425B" w:rsidRPr="002A1D45">
        <w:rPr>
          <w:rFonts w:ascii="Sylfaen" w:hAnsi="Sylfaen"/>
          <w:lang w:val="ka-GE"/>
        </w:rPr>
        <w:t xml:space="preserve"> increased </w:t>
      </w:r>
      <w:r w:rsidR="00BD2F60" w:rsidRPr="002A1D45">
        <w:rPr>
          <w:rFonts w:ascii="Sylfaen" w:hAnsi="Sylfaen"/>
          <w:lang w:val="ka-GE"/>
        </w:rPr>
        <w:t>up to 180 GEL</w:t>
      </w:r>
      <w:r w:rsidRPr="002A1D45">
        <w:rPr>
          <w:rFonts w:ascii="Sylfaen" w:hAnsi="Sylfaen"/>
          <w:lang w:val="ka-GE"/>
        </w:rPr>
        <w:t>.</w:t>
      </w:r>
      <w:r w:rsidR="00BD2F60" w:rsidRPr="002A1D45">
        <w:rPr>
          <w:rFonts w:ascii="Sylfaen" w:hAnsi="Sylfaen" w:cstheme="minorHAnsi"/>
          <w:szCs w:val="22"/>
          <w:lang w:val="ka-GE"/>
        </w:rPr>
        <w:t xml:space="preserve"> </w:t>
      </w:r>
    </w:p>
    <w:p w:rsidR="003855B9" w:rsidRPr="002A1D45" w:rsidRDefault="0037035B" w:rsidP="002A1D45">
      <w:pPr>
        <w:jc w:val="both"/>
        <w:rPr>
          <w:rFonts w:ascii="Sylfaen" w:hAnsi="Sylfaen"/>
          <w:lang w:val="ka-GE"/>
        </w:rPr>
      </w:pPr>
      <w:r w:rsidRPr="002A1D45">
        <w:rPr>
          <w:rFonts w:ascii="Sylfaen" w:hAnsi="Sylfaen"/>
          <w:lang w:val="ka-GE"/>
        </w:rPr>
        <w:t>A</w:t>
      </w:r>
      <w:r w:rsidR="002F70FB" w:rsidRPr="002A1D45">
        <w:rPr>
          <w:rFonts w:ascii="Sylfaen" w:hAnsi="Sylfaen"/>
          <w:lang w:val="ka-GE"/>
        </w:rPr>
        <w:t xml:space="preserve">ccording to the </w:t>
      </w:r>
      <w:r w:rsidR="00343F01" w:rsidRPr="002A1D45">
        <w:rPr>
          <w:rFonts w:ascii="Sylfaen" w:hAnsi="Sylfaen"/>
          <w:lang w:val="ka-GE"/>
        </w:rPr>
        <w:t xml:space="preserve">Georgian </w:t>
      </w:r>
      <w:r w:rsidR="002F70FB" w:rsidRPr="002A1D45">
        <w:rPr>
          <w:rFonts w:ascii="Sylfaen" w:hAnsi="Sylfaen"/>
          <w:lang w:val="ka-GE"/>
        </w:rPr>
        <w:t>law of "the development of mountainous regions", the Ministry</w:t>
      </w:r>
      <w:r w:rsidR="00343F01" w:rsidRPr="002A1D45">
        <w:rPr>
          <w:rFonts w:ascii="Sylfaen" w:hAnsi="Sylfaen"/>
          <w:lang w:val="ka-GE"/>
        </w:rPr>
        <w:t xml:space="preserve"> of Labour, Health and Social Affairs of Georgia</w:t>
      </w:r>
      <w:r w:rsidR="002F70FB" w:rsidRPr="002A1D45">
        <w:rPr>
          <w:rFonts w:ascii="Sylfaen" w:hAnsi="Sylfaen"/>
          <w:lang w:val="ka-GE"/>
        </w:rPr>
        <w:t xml:space="preserve"> </w:t>
      </w:r>
      <w:r w:rsidR="00F07D80" w:rsidRPr="002A1D45">
        <w:rPr>
          <w:rFonts w:ascii="Sylfaen" w:hAnsi="Sylfaen"/>
          <w:lang w:val="ka-GE"/>
        </w:rPr>
        <w:t>carries</w:t>
      </w:r>
      <w:r w:rsidR="002F70FB" w:rsidRPr="002A1D45">
        <w:rPr>
          <w:rFonts w:ascii="Sylfaen" w:hAnsi="Sylfaen"/>
          <w:lang w:val="ka-GE"/>
        </w:rPr>
        <w:t xml:space="preserve"> out a number of benefits </w:t>
      </w:r>
      <w:r w:rsidR="00343F01" w:rsidRPr="002A1D45">
        <w:rPr>
          <w:rFonts w:ascii="Sylfaen" w:hAnsi="Sylfaen"/>
          <w:lang w:val="ka-GE"/>
        </w:rPr>
        <w:t>for the perso</w:t>
      </w:r>
      <w:r w:rsidR="002F70FB" w:rsidRPr="002A1D45">
        <w:rPr>
          <w:rFonts w:ascii="Sylfaen" w:hAnsi="Sylfaen"/>
          <w:lang w:val="ka-GE"/>
        </w:rPr>
        <w:t>n</w:t>
      </w:r>
      <w:r w:rsidR="00343F01" w:rsidRPr="002A1D45">
        <w:rPr>
          <w:rFonts w:ascii="Sylfaen" w:hAnsi="Sylfaen"/>
          <w:lang w:val="ka-GE"/>
        </w:rPr>
        <w:t>s</w:t>
      </w:r>
      <w:r w:rsidR="002F70FB" w:rsidRPr="002A1D45">
        <w:rPr>
          <w:rFonts w:ascii="Sylfaen" w:hAnsi="Sylfaen"/>
          <w:lang w:val="ka-GE"/>
        </w:rPr>
        <w:t xml:space="preserve"> l</w:t>
      </w:r>
      <w:r w:rsidR="00CB28F6" w:rsidRPr="002A1D45">
        <w:rPr>
          <w:rFonts w:ascii="Sylfaen" w:hAnsi="Sylfaen"/>
          <w:lang w:val="ka-GE"/>
        </w:rPr>
        <w:t>i</w:t>
      </w:r>
      <w:r w:rsidR="000678A2" w:rsidRPr="002A1D45">
        <w:rPr>
          <w:rFonts w:ascii="Sylfaen" w:hAnsi="Sylfaen"/>
          <w:lang w:val="ka-GE"/>
        </w:rPr>
        <w:t xml:space="preserve">ving in the mountainous areas: </w:t>
      </w:r>
      <w:r w:rsidR="002F70FB" w:rsidRPr="002A1D45">
        <w:rPr>
          <w:rFonts w:ascii="Sylfaen" w:hAnsi="Sylfaen"/>
          <w:lang w:val="ka-GE"/>
        </w:rPr>
        <w:t xml:space="preserve">20% of the pension supplement for pensioners living in the mountainous areas, also 20% supplement for </w:t>
      </w:r>
      <w:r w:rsidR="00343F01" w:rsidRPr="002A1D45">
        <w:rPr>
          <w:rFonts w:ascii="Sylfaen" w:hAnsi="Sylfaen"/>
          <w:lang w:val="ka-GE"/>
        </w:rPr>
        <w:t>perso</w:t>
      </w:r>
      <w:r w:rsidR="002F70FB" w:rsidRPr="002A1D45">
        <w:rPr>
          <w:rFonts w:ascii="Sylfaen" w:hAnsi="Sylfaen"/>
          <w:lang w:val="ka-GE"/>
        </w:rPr>
        <w:t>n</w:t>
      </w:r>
      <w:r w:rsidR="00343F01" w:rsidRPr="002A1D45">
        <w:rPr>
          <w:rFonts w:ascii="Sylfaen" w:hAnsi="Sylfaen"/>
          <w:lang w:val="ka-GE"/>
        </w:rPr>
        <w:t>s</w:t>
      </w:r>
      <w:r w:rsidR="002F70FB" w:rsidRPr="002A1D45">
        <w:rPr>
          <w:rFonts w:ascii="Sylfaen" w:hAnsi="Sylfaen"/>
          <w:lang w:val="ka-GE"/>
        </w:rPr>
        <w:t xml:space="preserve"> receiving social package.</w:t>
      </w:r>
      <w:r w:rsidR="00FD4E1D" w:rsidRPr="002A1D45">
        <w:rPr>
          <w:rFonts w:ascii="Sylfaen" w:hAnsi="Sylfaen"/>
          <w:lang w:val="ka-GE"/>
        </w:rPr>
        <w:t xml:space="preserve"> </w:t>
      </w:r>
      <w:r w:rsidR="003855B9" w:rsidRPr="002A1D45">
        <w:rPr>
          <w:rFonts w:ascii="Sylfaen" w:hAnsi="Sylfaen"/>
          <w:lang w:val="ka-GE"/>
        </w:rPr>
        <w:t>According to the Georgian law on “Development of Mountainous Regions”, children born after January 1, 2016 also gain the right to receive the monetary social assistance, whose one of the parents has permanent resident status of living in mountainous region. Payment for the first and the second child consists of 100 Gel per month for one year duration, on the third and following child – 200 Gel for 2 years.</w:t>
      </w:r>
    </w:p>
    <w:p w:rsidR="00FD4E1D" w:rsidRPr="002A1D45" w:rsidRDefault="00FD4E1D" w:rsidP="00AB516D">
      <w:pPr>
        <w:jc w:val="both"/>
        <w:rPr>
          <w:rFonts w:ascii="Sylfaen" w:hAnsi="Sylfaen"/>
          <w:lang w:val="ka-GE"/>
        </w:rPr>
      </w:pPr>
      <w:r w:rsidRPr="002A1D45">
        <w:rPr>
          <w:rFonts w:ascii="Sylfaen" w:hAnsi="Sylfaen"/>
          <w:lang w:val="ka-GE"/>
        </w:rPr>
        <w:t xml:space="preserve">The </w:t>
      </w:r>
      <w:r w:rsidR="004E5377" w:rsidRPr="002A1D45">
        <w:rPr>
          <w:rFonts w:ascii="Sylfaen" w:hAnsi="Sylfaen"/>
          <w:lang w:val="ka-GE"/>
        </w:rPr>
        <w:t>changes of the targeted social assistance system were</w:t>
      </w:r>
      <w:r w:rsidR="000678A2" w:rsidRPr="002A1D45">
        <w:rPr>
          <w:rFonts w:ascii="Sylfaen" w:hAnsi="Sylfaen"/>
          <w:lang w:val="ka-GE"/>
        </w:rPr>
        <w:t xml:space="preserve"> conducted with the </w:t>
      </w:r>
      <w:r w:rsidR="008A476A" w:rsidRPr="002A1D45">
        <w:rPr>
          <w:rFonts w:ascii="Sylfaen" w:hAnsi="Sylfaen"/>
          <w:lang w:val="ka-GE"/>
        </w:rPr>
        <w:t>support</w:t>
      </w:r>
      <w:r w:rsidR="000678A2" w:rsidRPr="002A1D45">
        <w:rPr>
          <w:rFonts w:ascii="Sylfaen" w:hAnsi="Sylfaen"/>
          <w:lang w:val="ka-GE"/>
        </w:rPr>
        <w:t xml:space="preserve"> of World Bank and </w:t>
      </w:r>
      <w:r w:rsidR="004E5377" w:rsidRPr="002A1D45">
        <w:rPr>
          <w:rFonts w:ascii="Sylfaen" w:hAnsi="Sylfaen"/>
          <w:lang w:val="ka-GE"/>
        </w:rPr>
        <w:t>UNICEF</w:t>
      </w:r>
      <w:r w:rsidR="000678A2" w:rsidRPr="002A1D45">
        <w:rPr>
          <w:rFonts w:ascii="Sylfaen" w:hAnsi="Sylfaen"/>
          <w:lang w:val="ka-GE"/>
        </w:rPr>
        <w:t xml:space="preserve"> in 2015</w:t>
      </w:r>
      <w:r w:rsidRPr="002A1D45">
        <w:rPr>
          <w:rFonts w:ascii="Sylfaen" w:hAnsi="Sylfaen"/>
          <w:lang w:val="ka-GE"/>
        </w:rPr>
        <w:t xml:space="preserve">. The results of the survey </w:t>
      </w:r>
      <w:r w:rsidR="000678A2" w:rsidRPr="002A1D45">
        <w:rPr>
          <w:rFonts w:ascii="Sylfaen" w:hAnsi="Sylfaen"/>
          <w:lang w:val="ka-GE"/>
        </w:rPr>
        <w:t xml:space="preserve">on </w:t>
      </w:r>
      <w:r w:rsidRPr="002A1D45">
        <w:rPr>
          <w:rFonts w:ascii="Sylfaen" w:hAnsi="Sylfaen"/>
          <w:lang w:val="ka-GE"/>
        </w:rPr>
        <w:t>the welfare of the population carried out by UNICEF in 2015 are notable</w:t>
      </w:r>
      <w:r w:rsidR="000678A2" w:rsidRPr="002A1D45">
        <w:rPr>
          <w:rFonts w:ascii="Sylfaen" w:hAnsi="Sylfaen"/>
          <w:lang w:val="ka-GE"/>
        </w:rPr>
        <w:t xml:space="preserve">. The </w:t>
      </w:r>
      <w:r w:rsidR="008A476A" w:rsidRPr="002A1D45">
        <w:rPr>
          <w:rFonts w:ascii="Sylfaen" w:hAnsi="Sylfaen"/>
          <w:lang w:val="ka-GE"/>
        </w:rPr>
        <w:t>extreme poverty in children has</w:t>
      </w:r>
      <w:r w:rsidRPr="002A1D45">
        <w:rPr>
          <w:rFonts w:ascii="Sylfaen" w:hAnsi="Sylfaen"/>
          <w:lang w:val="ka-GE"/>
        </w:rPr>
        <w:t xml:space="preserve"> decreased </w:t>
      </w:r>
      <w:r w:rsidR="008A476A" w:rsidRPr="002A1D45">
        <w:rPr>
          <w:rFonts w:ascii="Sylfaen" w:hAnsi="Sylfaen"/>
          <w:lang w:val="ka-GE"/>
        </w:rPr>
        <w:t>to</w:t>
      </w:r>
      <w:r w:rsidRPr="002A1D45">
        <w:rPr>
          <w:rFonts w:ascii="Sylfaen" w:hAnsi="Sylfaen"/>
          <w:lang w:val="ka-GE"/>
        </w:rPr>
        <w:t xml:space="preserve"> 2.5% from 6%</w:t>
      </w:r>
      <w:r w:rsidR="008A476A" w:rsidRPr="002A1D45">
        <w:rPr>
          <w:rFonts w:ascii="Sylfaen" w:hAnsi="Sylfaen"/>
          <w:lang w:val="ka-GE"/>
        </w:rPr>
        <w:t>,</w:t>
      </w:r>
      <w:r w:rsidRPr="002A1D45">
        <w:rPr>
          <w:rFonts w:ascii="Sylfaen" w:hAnsi="Sylfaen"/>
          <w:lang w:val="ka-GE"/>
        </w:rPr>
        <w:t xml:space="preserve"> also the extreme poverty of the population </w:t>
      </w:r>
      <w:r w:rsidR="008A476A" w:rsidRPr="002A1D45">
        <w:rPr>
          <w:rFonts w:ascii="Sylfaen" w:hAnsi="Sylfaen"/>
          <w:lang w:val="ka-GE"/>
        </w:rPr>
        <w:t>has</w:t>
      </w:r>
      <w:r w:rsidR="00576D33" w:rsidRPr="002A1D45">
        <w:rPr>
          <w:rFonts w:ascii="Sylfaen" w:hAnsi="Sylfaen"/>
          <w:lang w:val="ka-GE"/>
        </w:rPr>
        <w:t xml:space="preserve"> decreased from 3.9% to 2.1%.  </w:t>
      </w:r>
    </w:p>
    <w:p w:rsidR="001141FE" w:rsidRPr="002A1D45" w:rsidRDefault="00955A6E" w:rsidP="00AB516D">
      <w:pPr>
        <w:jc w:val="both"/>
        <w:rPr>
          <w:rFonts w:ascii="Sylfaen" w:hAnsi="Sylfaen"/>
          <w:lang w:val="ka-GE"/>
        </w:rPr>
      </w:pPr>
      <w:r w:rsidRPr="002A1D45">
        <w:rPr>
          <w:rFonts w:ascii="Sylfaen" w:hAnsi="Sylfaen"/>
          <w:lang w:val="ka-GE"/>
        </w:rPr>
        <w:t>It should be noted</w:t>
      </w:r>
      <w:r w:rsidR="00343F01" w:rsidRPr="002A1D45">
        <w:rPr>
          <w:rFonts w:ascii="Sylfaen" w:hAnsi="Sylfaen"/>
          <w:lang w:val="ka-GE"/>
        </w:rPr>
        <w:t>,</w:t>
      </w:r>
      <w:r w:rsidR="000678A2" w:rsidRPr="002A1D45">
        <w:rPr>
          <w:rFonts w:ascii="Sylfaen" w:hAnsi="Sylfaen"/>
          <w:lang w:val="ka-GE"/>
        </w:rPr>
        <w:t xml:space="preserve"> that social transfers, such as age pensions and </w:t>
      </w:r>
      <w:r w:rsidRPr="002A1D45">
        <w:rPr>
          <w:rFonts w:ascii="Sylfaen" w:hAnsi="Sylfaen"/>
          <w:lang w:val="ka-GE"/>
        </w:rPr>
        <w:t>target</w:t>
      </w:r>
      <w:r w:rsidR="000678A2" w:rsidRPr="002A1D45">
        <w:rPr>
          <w:rFonts w:ascii="Sylfaen" w:hAnsi="Sylfaen"/>
          <w:lang w:val="ka-GE"/>
        </w:rPr>
        <w:t>ed</w:t>
      </w:r>
      <w:r w:rsidRPr="002A1D45">
        <w:rPr>
          <w:rFonts w:ascii="Sylfaen" w:hAnsi="Sylfaen"/>
          <w:lang w:val="ka-GE"/>
        </w:rPr>
        <w:t xml:space="preserve"> social assistance have a great impact on poverty reduction. As it is mentioned in </w:t>
      </w:r>
      <w:r w:rsidR="004E5377" w:rsidRPr="002A1D45">
        <w:rPr>
          <w:rFonts w:ascii="Sylfaen" w:hAnsi="Sylfaen"/>
          <w:lang w:val="ka-GE"/>
        </w:rPr>
        <w:t>UNICEF</w:t>
      </w:r>
      <w:r w:rsidR="008602B8" w:rsidRPr="002A1D45">
        <w:rPr>
          <w:rFonts w:ascii="Sylfaen" w:hAnsi="Sylfaen"/>
          <w:lang w:val="ka-GE"/>
        </w:rPr>
        <w:t xml:space="preserve"> </w:t>
      </w:r>
      <w:r w:rsidRPr="002A1D45">
        <w:rPr>
          <w:rFonts w:ascii="Sylfaen" w:hAnsi="Sylfaen"/>
          <w:lang w:val="ka-GE"/>
        </w:rPr>
        <w:t>s</w:t>
      </w:r>
      <w:r w:rsidR="000678A2" w:rsidRPr="002A1D45">
        <w:rPr>
          <w:rFonts w:ascii="Sylfaen" w:hAnsi="Sylfaen"/>
          <w:lang w:val="ka-GE"/>
        </w:rPr>
        <w:t>urvey</w:t>
      </w:r>
      <w:r w:rsidRPr="002A1D45">
        <w:rPr>
          <w:rFonts w:ascii="Sylfaen" w:hAnsi="Sylfaen"/>
          <w:lang w:val="ka-GE"/>
        </w:rPr>
        <w:t xml:space="preserve"> on the welfare of population, </w:t>
      </w:r>
      <w:r w:rsidR="00DF6B72" w:rsidRPr="002A1D45">
        <w:rPr>
          <w:rFonts w:ascii="Sylfaen" w:hAnsi="Sylfaen"/>
          <w:lang w:val="ka-GE"/>
        </w:rPr>
        <w:t xml:space="preserve">"if you withdraw the pension </w:t>
      </w:r>
      <w:r w:rsidR="00A54211" w:rsidRPr="002A1D45">
        <w:rPr>
          <w:rFonts w:ascii="Sylfaen" w:hAnsi="Sylfaen"/>
          <w:lang w:val="ka-GE"/>
        </w:rPr>
        <w:t xml:space="preserve">income </w:t>
      </w:r>
      <w:r w:rsidR="00DF6B72" w:rsidRPr="002A1D45">
        <w:rPr>
          <w:rFonts w:ascii="Sylfaen" w:hAnsi="Sylfaen"/>
          <w:lang w:val="ka-GE"/>
        </w:rPr>
        <w:t>from the household consumption index, the number of pensioners and children in extreme poverty will be increased substantially</w:t>
      </w:r>
      <w:r w:rsidR="001A30CA" w:rsidRPr="002A1D45">
        <w:rPr>
          <w:rFonts w:ascii="Sylfaen" w:hAnsi="Sylfaen"/>
          <w:lang w:val="ka-GE"/>
        </w:rPr>
        <w:t xml:space="preserve">: in case of pensioners </w:t>
      </w:r>
      <w:r w:rsidR="00FB1584" w:rsidRPr="002A1D45">
        <w:rPr>
          <w:rFonts w:ascii="Sylfaen" w:hAnsi="Sylfaen"/>
          <w:lang w:val="ka-GE"/>
        </w:rPr>
        <w:t xml:space="preserve">- </w:t>
      </w:r>
      <w:r w:rsidR="001A30CA" w:rsidRPr="002A1D45">
        <w:rPr>
          <w:rFonts w:ascii="Sylfaen" w:hAnsi="Sylfaen"/>
          <w:lang w:val="ka-GE"/>
        </w:rPr>
        <w:t xml:space="preserve">from 1.7% to 26.2%, </w:t>
      </w:r>
      <w:r w:rsidR="00082F1D" w:rsidRPr="002A1D45">
        <w:rPr>
          <w:rFonts w:ascii="Sylfaen" w:hAnsi="Sylfaen"/>
          <w:lang w:val="ka-GE"/>
        </w:rPr>
        <w:t xml:space="preserve">but in case of children </w:t>
      </w:r>
      <w:r w:rsidR="00FB1584" w:rsidRPr="002A1D45">
        <w:rPr>
          <w:rFonts w:ascii="Sylfaen" w:hAnsi="Sylfaen"/>
          <w:lang w:val="ka-GE"/>
        </w:rPr>
        <w:t xml:space="preserve">- </w:t>
      </w:r>
      <w:r w:rsidR="0015093D" w:rsidRPr="002A1D45">
        <w:rPr>
          <w:rFonts w:ascii="Sylfaen" w:hAnsi="Sylfaen"/>
          <w:lang w:val="ka-GE"/>
        </w:rPr>
        <w:t>from 2.5% to 7.5%.”</w:t>
      </w:r>
      <w:r w:rsidR="00DF6B72" w:rsidRPr="002A1D45">
        <w:rPr>
          <w:rFonts w:ascii="Sylfaen" w:hAnsi="Sylfaen"/>
          <w:lang w:val="ka-GE"/>
        </w:rPr>
        <w:t xml:space="preserve"> </w:t>
      </w:r>
    </w:p>
    <w:p w:rsidR="00722300" w:rsidRPr="002A1D45" w:rsidRDefault="006821DB" w:rsidP="00AB516D">
      <w:pPr>
        <w:jc w:val="both"/>
        <w:rPr>
          <w:rFonts w:ascii="Sylfaen" w:hAnsi="Sylfaen"/>
          <w:lang w:val="ka-GE"/>
        </w:rPr>
      </w:pPr>
      <w:r w:rsidRPr="002A1D45">
        <w:rPr>
          <w:rFonts w:ascii="Sylfaen" w:hAnsi="Sylfaen"/>
          <w:lang w:val="ka-GE"/>
        </w:rPr>
        <w:lastRenderedPageBreak/>
        <w:t>It is also important</w:t>
      </w:r>
      <w:r w:rsidR="00614C93" w:rsidRPr="002A1D45">
        <w:rPr>
          <w:rFonts w:ascii="Sylfaen" w:hAnsi="Sylfaen"/>
          <w:lang w:val="ka-GE"/>
        </w:rPr>
        <w:t>,</w:t>
      </w:r>
      <w:r w:rsidRPr="002A1D45">
        <w:rPr>
          <w:rFonts w:ascii="Sylfaen" w:hAnsi="Sylfaen"/>
          <w:lang w:val="ka-GE"/>
        </w:rPr>
        <w:t xml:space="preserve"> that if TSA income will be subtracted from household consumption index, the poverty rate will be increased. The </w:t>
      </w:r>
      <w:r w:rsidR="00A54211" w:rsidRPr="002A1D45">
        <w:rPr>
          <w:rFonts w:ascii="Sylfaen" w:hAnsi="Sylfaen"/>
          <w:lang w:val="ka-GE"/>
        </w:rPr>
        <w:t>proportion</w:t>
      </w:r>
      <w:r w:rsidRPr="002A1D45">
        <w:rPr>
          <w:rFonts w:ascii="Sylfaen" w:hAnsi="Sylfaen"/>
          <w:lang w:val="ka-GE"/>
        </w:rPr>
        <w:t xml:space="preserve"> of children living in extreme poverty </w:t>
      </w:r>
      <w:r w:rsidR="008A476A" w:rsidRPr="002A1D45">
        <w:rPr>
          <w:rFonts w:ascii="Sylfaen" w:hAnsi="Sylfaen"/>
          <w:lang w:val="ka-GE"/>
        </w:rPr>
        <w:t>without social transfers as targeted social assistance would</w:t>
      </w:r>
      <w:r w:rsidRPr="002A1D45">
        <w:rPr>
          <w:rFonts w:ascii="Sylfaen" w:hAnsi="Sylfaen"/>
          <w:lang w:val="ka-GE"/>
        </w:rPr>
        <w:t xml:space="preserve"> be increased from 2.5% to 8,9%, while pensioners </w:t>
      </w:r>
      <w:r w:rsidR="00A54211" w:rsidRPr="002A1D45">
        <w:rPr>
          <w:rFonts w:ascii="Sylfaen" w:hAnsi="Sylfaen"/>
          <w:lang w:val="ka-GE"/>
        </w:rPr>
        <w:t>proportion</w:t>
      </w:r>
      <w:r w:rsidR="00614C93" w:rsidRPr="002A1D45">
        <w:rPr>
          <w:rFonts w:ascii="Sylfaen" w:hAnsi="Sylfaen"/>
          <w:lang w:val="ka-GE"/>
        </w:rPr>
        <w:t xml:space="preserve"> will be increa</w:t>
      </w:r>
      <w:r w:rsidRPr="002A1D45">
        <w:rPr>
          <w:rFonts w:ascii="Sylfaen" w:hAnsi="Sylfaen"/>
          <w:lang w:val="ka-GE"/>
        </w:rPr>
        <w:t>sed from 1.7% to 4,7%.</w:t>
      </w:r>
    </w:p>
    <w:p w:rsidR="00F53FC1" w:rsidRPr="002A1D45" w:rsidRDefault="00F53FC1" w:rsidP="00F53FC1">
      <w:pPr>
        <w:jc w:val="both"/>
        <w:rPr>
          <w:rFonts w:ascii="Sylfaen" w:hAnsi="Sylfaen" w:cstheme="minorHAnsi"/>
          <w:b/>
          <w:sz w:val="24"/>
          <w:szCs w:val="24"/>
          <w:lang w:val="ka-GE"/>
        </w:rPr>
      </w:pPr>
      <w:r w:rsidRPr="002A1D45">
        <w:rPr>
          <w:rFonts w:ascii="Sylfaen" w:hAnsi="Sylfaen" w:cstheme="minorHAnsi"/>
          <w:b/>
          <w:sz w:val="24"/>
          <w:szCs w:val="24"/>
          <w:lang w:val="ka-GE"/>
        </w:rPr>
        <w:t>The third Review and Appraisal of the Madrid Plan of Action on Ageing</w:t>
      </w:r>
    </w:p>
    <w:p w:rsidR="00F53FC1" w:rsidRPr="002A1D45" w:rsidRDefault="00F53FC1" w:rsidP="00F53FC1">
      <w:pPr>
        <w:jc w:val="both"/>
        <w:rPr>
          <w:rFonts w:ascii="Sylfaen" w:hAnsi="Sylfaen"/>
          <w:lang w:val="ka-GE"/>
        </w:rPr>
      </w:pPr>
      <w:r w:rsidRPr="002A1D45">
        <w:rPr>
          <w:rFonts w:ascii="Sylfaen" w:hAnsi="Sylfaen"/>
          <w:lang w:val="ka-GE"/>
        </w:rPr>
        <w:t>In 2002, countries adopted the Madrid International Plan of Action on Ageing as the first international strategic document responding to population ageing.</w:t>
      </w:r>
    </w:p>
    <w:p w:rsidR="00F53FC1" w:rsidRPr="002A1D45" w:rsidRDefault="00F53FC1" w:rsidP="00F53FC1">
      <w:pPr>
        <w:jc w:val="both"/>
        <w:rPr>
          <w:rFonts w:ascii="Sylfaen" w:hAnsi="Sylfaen"/>
          <w:lang w:val="ka-GE"/>
        </w:rPr>
      </w:pPr>
      <w:r w:rsidRPr="002A1D45">
        <w:rPr>
          <w:rFonts w:ascii="Sylfaen" w:hAnsi="Sylfaen"/>
          <w:lang w:val="ka-GE"/>
        </w:rPr>
        <w:t>In 2007 created working group of Ageing under UN Economic Commission for Europe</w:t>
      </w:r>
      <w:r w:rsidR="00906A79">
        <w:rPr>
          <w:rFonts w:ascii="Sylfaen" w:hAnsi="Sylfaen"/>
        </w:rPr>
        <w:t xml:space="preserve"> was created</w:t>
      </w:r>
      <w:r w:rsidRPr="002A1D45">
        <w:rPr>
          <w:rFonts w:ascii="Sylfaen" w:hAnsi="Sylfaen"/>
          <w:lang w:val="ka-GE"/>
        </w:rPr>
        <w:t>. Georgia is a member of this working</w:t>
      </w:r>
      <w:r w:rsidR="00906A79">
        <w:rPr>
          <w:rFonts w:ascii="Sylfaen" w:hAnsi="Sylfaen"/>
        </w:rPr>
        <w:t xml:space="preserve"> group</w:t>
      </w:r>
      <w:r w:rsidRPr="002A1D45">
        <w:rPr>
          <w:rFonts w:ascii="Sylfaen" w:hAnsi="Sylfaen"/>
          <w:lang w:val="ka-GE"/>
        </w:rPr>
        <w:t xml:space="preserve">. Within UNECE, member States have been exchanging </w:t>
      </w:r>
      <w:r w:rsidR="00906A79">
        <w:rPr>
          <w:rFonts w:ascii="Sylfaen" w:hAnsi="Sylfaen"/>
        </w:rPr>
        <w:t xml:space="preserve">information </w:t>
      </w:r>
      <w:r w:rsidRPr="002A1D45">
        <w:rPr>
          <w:rFonts w:ascii="Sylfaen" w:hAnsi="Sylfaen"/>
          <w:lang w:val="ka-GE"/>
        </w:rPr>
        <w:t xml:space="preserve">about ways to adjust their policy frameworks in different areas according to the MIPAA/RIS principles. </w:t>
      </w:r>
    </w:p>
    <w:p w:rsidR="00F53FC1" w:rsidRPr="002A1D45" w:rsidRDefault="00F53FC1" w:rsidP="00F53FC1">
      <w:pPr>
        <w:jc w:val="both"/>
        <w:rPr>
          <w:rFonts w:ascii="Sylfaen" w:hAnsi="Sylfaen"/>
          <w:lang w:val="ka-GE"/>
        </w:rPr>
      </w:pPr>
      <w:r w:rsidRPr="002A1D45">
        <w:rPr>
          <w:rFonts w:ascii="Sylfaen" w:hAnsi="Sylfaen"/>
          <w:lang w:val="ka-GE"/>
        </w:rPr>
        <w:t xml:space="preserve">The Government of Georgia first expressed interest in having a Road Map for Mainstreaming Ageing prepared by UNECE at the 4th meeting of the Working Group on Ageing in November 2011. The official letter of request was handed over by the Ministry of Labour Health and Social Affairs (MOLHSA) in 2013. </w:t>
      </w:r>
    </w:p>
    <w:p w:rsidR="00F53FC1" w:rsidRPr="002A1D45" w:rsidRDefault="00F53FC1" w:rsidP="00F53FC1">
      <w:pPr>
        <w:jc w:val="both"/>
        <w:rPr>
          <w:rFonts w:ascii="Sylfaen" w:hAnsi="Sylfaen"/>
          <w:lang w:val="ka-GE"/>
        </w:rPr>
      </w:pPr>
      <w:r w:rsidRPr="002A1D45">
        <w:rPr>
          <w:rFonts w:ascii="Sylfaen" w:hAnsi="Sylfaen"/>
          <w:lang w:val="ka-GE"/>
        </w:rPr>
        <w:t>The Road Map for Mainstreaming Ageing in Georgia was prepared in 2015 by the Population Unit of the United Nations Economic Commission for Europe (UNECE), in partnership with the Government of Georgia, represented by the Ministry of Labour, Health and Social Affairs (MOLHSA), and with support from the UNFPA Country Office.</w:t>
      </w:r>
    </w:p>
    <w:p w:rsidR="00F53FC1" w:rsidRPr="002A1D45" w:rsidRDefault="00F53FC1" w:rsidP="00F53FC1">
      <w:pPr>
        <w:jc w:val="both"/>
        <w:rPr>
          <w:rFonts w:ascii="Sylfaen" w:hAnsi="Sylfaen"/>
          <w:lang w:val="ka-GE"/>
        </w:rPr>
      </w:pPr>
      <w:r w:rsidRPr="002A1D45">
        <w:rPr>
          <w:rFonts w:ascii="Sylfaen" w:hAnsi="Sylfaen"/>
          <w:lang w:val="ka-GE"/>
        </w:rPr>
        <w:t>In 2016, Parliament of Georgia adopted Concept of state policy on aging in Georgia. In 2017 Government of Georgia adopted multi-sectoral action plan on ageing for 2017-2018.</w:t>
      </w:r>
    </w:p>
    <w:p w:rsidR="00F53FC1" w:rsidRPr="002A1D45" w:rsidRDefault="00F53FC1" w:rsidP="00F53FC1">
      <w:pPr>
        <w:jc w:val="both"/>
        <w:rPr>
          <w:rFonts w:ascii="Sylfaen" w:hAnsi="Sylfaen"/>
          <w:lang w:val="ka-GE"/>
        </w:rPr>
      </w:pPr>
      <w:r w:rsidRPr="002A1D45">
        <w:rPr>
          <w:rFonts w:ascii="Sylfaen" w:hAnsi="Sylfaen"/>
          <w:lang w:val="ka-GE"/>
        </w:rPr>
        <w:t>In 2017 UNFPA prepared analytical report - Ageing and older persons in Georgia: An overview based on the 2014 census.</w:t>
      </w:r>
    </w:p>
    <w:p w:rsidR="002A1D45" w:rsidRPr="002A1D45" w:rsidRDefault="00F53FC1" w:rsidP="002A1D45">
      <w:pPr>
        <w:spacing w:after="0"/>
        <w:jc w:val="both"/>
        <w:rPr>
          <w:rFonts w:ascii="Sylfaen" w:hAnsi="Sylfaen"/>
          <w:b/>
          <w:lang w:val="ka-GE"/>
        </w:rPr>
      </w:pPr>
      <w:r w:rsidRPr="002A1D45">
        <w:rPr>
          <w:rFonts w:ascii="Sylfaen" w:hAnsi="Sylfaen"/>
          <w:b/>
          <w:lang w:val="ka-GE"/>
        </w:rPr>
        <w:t>The demography of ageing</w:t>
      </w:r>
    </w:p>
    <w:p w:rsidR="002A1D45" w:rsidRPr="002A1D45" w:rsidRDefault="002A1D45" w:rsidP="002A1D45">
      <w:pPr>
        <w:spacing w:after="0"/>
        <w:jc w:val="both"/>
        <w:rPr>
          <w:rFonts w:asciiTheme="minorHAnsi" w:hAnsiTheme="minorHAnsi" w:cstheme="minorHAnsi"/>
          <w:b/>
          <w:szCs w:val="22"/>
        </w:rPr>
      </w:pPr>
    </w:p>
    <w:p w:rsidR="00F53FC1" w:rsidRPr="002A1D45" w:rsidRDefault="00F53FC1" w:rsidP="002A1D45">
      <w:pPr>
        <w:pStyle w:val="ListParagraph"/>
        <w:numPr>
          <w:ilvl w:val="0"/>
          <w:numId w:val="1"/>
        </w:numPr>
        <w:spacing w:line="276" w:lineRule="auto"/>
        <w:jc w:val="both"/>
        <w:rPr>
          <w:rFonts w:ascii="Sylfaen" w:eastAsia="Calibri" w:hAnsi="Sylfaen"/>
          <w:sz w:val="22"/>
          <w:szCs w:val="20"/>
          <w:lang w:val="ka-GE"/>
        </w:rPr>
      </w:pPr>
      <w:r w:rsidRPr="002A1D45">
        <w:rPr>
          <w:rFonts w:ascii="Sylfaen" w:eastAsia="Calibri" w:hAnsi="Sylfaen"/>
          <w:sz w:val="22"/>
          <w:szCs w:val="20"/>
          <w:lang w:val="ka-GE"/>
        </w:rPr>
        <w:t xml:space="preserve">The share of old-age people in the total population was 8.8 percent in 1989 and 13.3 percent in 2002; 14.3 in 2014. UN projections suggest that the share of persons 65 and older will reach </w:t>
      </w:r>
      <w:bookmarkStart w:id="0" w:name="_Hlk483658155"/>
      <w:r w:rsidRPr="002A1D45">
        <w:rPr>
          <w:rFonts w:ascii="Sylfaen" w:eastAsia="Calibri" w:hAnsi="Sylfaen"/>
          <w:sz w:val="22"/>
          <w:szCs w:val="20"/>
          <w:lang w:val="ka-GE"/>
        </w:rPr>
        <w:t>18.9 percent in 2030 (732 thousand persons) and further increase to 25.3 percent – one in four persons – in 2050 (880 thousand persons)</w:t>
      </w:r>
      <w:bookmarkEnd w:id="0"/>
      <w:r w:rsidRPr="002A1D45">
        <w:rPr>
          <w:rFonts w:ascii="Sylfaen" w:eastAsia="Calibri" w:hAnsi="Sylfaen"/>
          <w:sz w:val="22"/>
          <w:szCs w:val="20"/>
          <w:lang w:val="ka-GE"/>
        </w:rPr>
        <w:t xml:space="preserve">. </w:t>
      </w:r>
      <w:bookmarkStart w:id="1" w:name="_Hlk483562256"/>
      <w:r w:rsidRPr="002A1D45">
        <w:rPr>
          <w:rFonts w:ascii="Sylfaen" w:eastAsia="Calibri" w:hAnsi="Sylfaen"/>
          <w:sz w:val="22"/>
          <w:szCs w:val="20"/>
          <w:lang w:val="ka-GE"/>
        </w:rPr>
        <w:t>The oldest old populat</w:t>
      </w:r>
      <w:bookmarkStart w:id="2" w:name="_GoBack"/>
      <w:bookmarkEnd w:id="2"/>
      <w:r w:rsidRPr="002A1D45">
        <w:rPr>
          <w:rFonts w:ascii="Sylfaen" w:eastAsia="Calibri" w:hAnsi="Sylfaen"/>
          <w:sz w:val="22"/>
          <w:szCs w:val="20"/>
          <w:lang w:val="ka-GE"/>
        </w:rPr>
        <w:t>ion will more than double to 260 thousand persons in 2050 Official national projections should be made on the basis of the 2014 census.</w:t>
      </w:r>
    </w:p>
    <w:p w:rsidR="00F53FC1" w:rsidRPr="002A1D45" w:rsidRDefault="00F53FC1" w:rsidP="002A1D45">
      <w:pPr>
        <w:pStyle w:val="ListParagraph"/>
        <w:numPr>
          <w:ilvl w:val="0"/>
          <w:numId w:val="1"/>
        </w:numPr>
        <w:spacing w:line="276" w:lineRule="auto"/>
        <w:jc w:val="both"/>
        <w:rPr>
          <w:rFonts w:ascii="Sylfaen" w:eastAsia="Calibri" w:hAnsi="Sylfaen"/>
          <w:sz w:val="22"/>
          <w:szCs w:val="20"/>
          <w:lang w:val="ka-GE"/>
        </w:rPr>
      </w:pPr>
      <w:r w:rsidRPr="002A1D45">
        <w:rPr>
          <w:rFonts w:ascii="Sylfaen" w:eastAsia="Calibri" w:hAnsi="Sylfaen"/>
          <w:sz w:val="22"/>
          <w:szCs w:val="20"/>
          <w:lang w:val="ka-GE"/>
        </w:rPr>
        <w:t xml:space="preserve">The 2014 census found an old-age dependency ratio of 21.3, meaning that for every one older person, there are about five persons in the working age. This ratio is expected to increase to 29.7 in 2030 and 42.8 in 2050. For the development of the total dependency ratio, population ageing </w:t>
      </w:r>
      <w:r w:rsidRPr="002A1D45">
        <w:rPr>
          <w:rFonts w:ascii="Sylfaen" w:eastAsia="Calibri" w:hAnsi="Sylfaen"/>
          <w:sz w:val="22"/>
          <w:szCs w:val="20"/>
          <w:lang w:val="ka-GE"/>
        </w:rPr>
        <w:lastRenderedPageBreak/>
        <w:t>more than compensates for the effect of dejuvination. As a consequence, the total dependency ratio is expected to increase from 49.0 in 2014 to 57.0 in 2030 and 69.6 in 2050.</w:t>
      </w:r>
    </w:p>
    <w:p w:rsidR="00F53FC1" w:rsidRPr="002A1D45" w:rsidRDefault="00F53FC1" w:rsidP="00F53FC1">
      <w:pPr>
        <w:pStyle w:val="ListParagraph"/>
        <w:numPr>
          <w:ilvl w:val="0"/>
          <w:numId w:val="1"/>
        </w:numPr>
        <w:spacing w:line="276" w:lineRule="auto"/>
        <w:jc w:val="both"/>
        <w:rPr>
          <w:rFonts w:ascii="Sylfaen" w:eastAsia="Calibri" w:hAnsi="Sylfaen"/>
          <w:sz w:val="22"/>
          <w:szCs w:val="20"/>
          <w:lang w:val="ka-GE"/>
        </w:rPr>
      </w:pPr>
      <w:bookmarkStart w:id="3" w:name="_Hlk483660074"/>
      <w:r w:rsidRPr="002A1D45">
        <w:rPr>
          <w:rFonts w:ascii="Sylfaen" w:eastAsia="Calibri" w:hAnsi="Sylfaen"/>
          <w:sz w:val="22"/>
          <w:szCs w:val="20"/>
          <w:lang w:val="ka-GE"/>
        </w:rPr>
        <w:t xml:space="preserve">The number of years that a person who reaches age 65 can expect to live – the life expectancy at age 65 – is </w:t>
      </w:r>
      <w:bookmarkStart w:id="4" w:name="_Hlk483662545"/>
      <w:r w:rsidRPr="002A1D45">
        <w:rPr>
          <w:rFonts w:ascii="Sylfaen" w:eastAsia="Calibri" w:hAnsi="Sylfaen"/>
          <w:sz w:val="22"/>
          <w:szCs w:val="20"/>
          <w:lang w:val="ka-GE"/>
        </w:rPr>
        <w:t xml:space="preserve">13.0 years for men and 16.4 years for </w:t>
      </w:r>
      <w:bookmarkEnd w:id="4"/>
      <w:r w:rsidRPr="002A1D45">
        <w:rPr>
          <w:rFonts w:ascii="Sylfaen" w:eastAsia="Calibri" w:hAnsi="Sylfaen"/>
          <w:sz w:val="22"/>
          <w:szCs w:val="20"/>
          <w:lang w:val="ka-GE"/>
        </w:rPr>
        <w:t>women. For the EU-28 countries, the life expectancy at age 65 is 5 years longer</w:t>
      </w:r>
      <w:bookmarkEnd w:id="3"/>
      <w:r w:rsidRPr="002A1D45">
        <w:rPr>
          <w:rFonts w:ascii="Sylfaen" w:eastAsia="Calibri" w:hAnsi="Sylfaen"/>
          <w:sz w:val="22"/>
          <w:szCs w:val="20"/>
          <w:lang w:val="ka-GE"/>
        </w:rPr>
        <w:t>.</w:t>
      </w:r>
    </w:p>
    <w:p w:rsidR="00F53FC1" w:rsidRPr="002A1D45" w:rsidRDefault="00F53FC1" w:rsidP="00F53FC1">
      <w:pPr>
        <w:pStyle w:val="ListParagraph"/>
        <w:numPr>
          <w:ilvl w:val="0"/>
          <w:numId w:val="1"/>
        </w:numPr>
        <w:spacing w:line="276" w:lineRule="auto"/>
        <w:jc w:val="both"/>
        <w:rPr>
          <w:rFonts w:ascii="Sylfaen" w:eastAsia="Calibri" w:hAnsi="Sylfaen"/>
          <w:sz w:val="22"/>
          <w:szCs w:val="20"/>
          <w:lang w:val="ka-GE"/>
        </w:rPr>
      </w:pPr>
      <w:r w:rsidRPr="002A1D45">
        <w:rPr>
          <w:rFonts w:ascii="Sylfaen" w:eastAsia="Calibri" w:hAnsi="Sylfaen"/>
          <w:sz w:val="22"/>
          <w:szCs w:val="20"/>
          <w:lang w:val="ka-GE"/>
        </w:rPr>
        <w:t>Mainly due to longer life expectancy, women far outnumber men in the population 65 years and over: for every 100 women in this age group, there are only 61 men. This sex ratio is 47 for the oldest-old, aged 80 and over.</w:t>
      </w:r>
    </w:p>
    <w:p w:rsidR="002A1D45" w:rsidRDefault="002A1D45" w:rsidP="00F53FC1">
      <w:pPr>
        <w:spacing w:after="120" w:line="288" w:lineRule="auto"/>
        <w:ind w:left="210" w:hanging="210"/>
        <w:jc w:val="both"/>
        <w:rPr>
          <w:rFonts w:ascii="Sylfaen" w:hAnsi="Sylfaen"/>
          <w:b/>
        </w:rPr>
      </w:pPr>
    </w:p>
    <w:p w:rsidR="00F53FC1" w:rsidRPr="002A1D45" w:rsidRDefault="00F53FC1" w:rsidP="00F53FC1">
      <w:pPr>
        <w:spacing w:after="120" w:line="288" w:lineRule="auto"/>
        <w:ind w:left="210" w:hanging="210"/>
        <w:jc w:val="both"/>
        <w:rPr>
          <w:rFonts w:ascii="Sylfaen" w:hAnsi="Sylfaen"/>
          <w:b/>
          <w:lang w:val="ka-GE"/>
        </w:rPr>
      </w:pPr>
      <w:r w:rsidRPr="002A1D45">
        <w:rPr>
          <w:rFonts w:ascii="Sylfaen" w:hAnsi="Sylfaen"/>
          <w:b/>
          <w:lang w:val="ka-GE"/>
        </w:rPr>
        <w:t>Economic activity, livelihoods and material wellbeing</w:t>
      </w:r>
    </w:p>
    <w:p w:rsidR="00F53FC1" w:rsidRPr="002A1D45" w:rsidRDefault="00F53FC1" w:rsidP="00F53FC1">
      <w:pPr>
        <w:pStyle w:val="ListParagraph"/>
        <w:numPr>
          <w:ilvl w:val="0"/>
          <w:numId w:val="1"/>
        </w:numPr>
        <w:spacing w:line="276" w:lineRule="auto"/>
        <w:jc w:val="both"/>
        <w:rPr>
          <w:rFonts w:ascii="Sylfaen" w:eastAsia="Calibri" w:hAnsi="Sylfaen"/>
          <w:sz w:val="22"/>
          <w:szCs w:val="20"/>
          <w:lang w:val="ka-GE"/>
        </w:rPr>
      </w:pPr>
      <w:r w:rsidRPr="002A1D45">
        <w:rPr>
          <w:rFonts w:ascii="Sylfaen" w:eastAsia="Calibri" w:hAnsi="Sylfaen"/>
          <w:sz w:val="22"/>
          <w:szCs w:val="20"/>
          <w:lang w:val="ka-GE"/>
        </w:rPr>
        <w:t xml:space="preserve">Many older people remain economically active, even up to high ages. The labour force participation rate of the population 65 and over is 48.4 percent, implying that </w:t>
      </w:r>
      <w:bookmarkStart w:id="5" w:name="_Hlk483660170"/>
      <w:r w:rsidRPr="002A1D45">
        <w:rPr>
          <w:rFonts w:ascii="Sylfaen" w:eastAsia="Calibri" w:hAnsi="Sylfaen"/>
          <w:sz w:val="22"/>
          <w:szCs w:val="20"/>
          <w:lang w:val="ka-GE"/>
        </w:rPr>
        <w:t>almost half of the older people (246 thousand persons) are active on the labour market</w:t>
      </w:r>
      <w:bookmarkEnd w:id="5"/>
      <w:r w:rsidRPr="002A1D45">
        <w:rPr>
          <w:rFonts w:ascii="Sylfaen" w:eastAsia="Calibri" w:hAnsi="Sylfaen"/>
          <w:sz w:val="22"/>
          <w:szCs w:val="20"/>
          <w:lang w:val="ka-GE"/>
        </w:rPr>
        <w:t>. Among the oldest old of 80 years and over, this is still 39.3 percent. Virtually all of the economically active old people – 97.4 percent – are actually working.</w:t>
      </w:r>
    </w:p>
    <w:p w:rsidR="00F53FC1" w:rsidRPr="002A1D45" w:rsidRDefault="00F53FC1" w:rsidP="00F53FC1">
      <w:pPr>
        <w:pStyle w:val="ListParagraph"/>
        <w:numPr>
          <w:ilvl w:val="0"/>
          <w:numId w:val="1"/>
        </w:numPr>
        <w:spacing w:line="276" w:lineRule="auto"/>
        <w:jc w:val="both"/>
        <w:rPr>
          <w:rFonts w:ascii="Sylfaen" w:eastAsia="Calibri" w:hAnsi="Sylfaen"/>
          <w:sz w:val="22"/>
          <w:szCs w:val="20"/>
          <w:lang w:val="ka-GE"/>
        </w:rPr>
      </w:pPr>
      <w:r w:rsidRPr="002A1D45">
        <w:rPr>
          <w:rFonts w:ascii="Sylfaen" w:eastAsia="Calibri" w:hAnsi="Sylfaen"/>
          <w:sz w:val="22"/>
          <w:szCs w:val="20"/>
          <w:lang w:val="ka-GE"/>
        </w:rPr>
        <w:t>Older men are significantly more often active on the labour market than older women: 64.5 and 38.4 percent, respectively.</w:t>
      </w:r>
    </w:p>
    <w:p w:rsidR="00F53FC1" w:rsidRPr="002A1D45" w:rsidRDefault="00F53FC1" w:rsidP="00F53FC1">
      <w:pPr>
        <w:pStyle w:val="ListParagraph"/>
        <w:numPr>
          <w:ilvl w:val="0"/>
          <w:numId w:val="1"/>
        </w:numPr>
        <w:spacing w:line="276" w:lineRule="auto"/>
        <w:jc w:val="both"/>
        <w:rPr>
          <w:rFonts w:ascii="Sylfaen" w:eastAsia="Calibri" w:hAnsi="Sylfaen"/>
          <w:sz w:val="22"/>
          <w:szCs w:val="20"/>
          <w:lang w:val="ka-GE"/>
        </w:rPr>
      </w:pPr>
      <w:r w:rsidRPr="002A1D45">
        <w:rPr>
          <w:rFonts w:ascii="Sylfaen" w:eastAsia="Calibri" w:hAnsi="Sylfaen"/>
          <w:sz w:val="22"/>
          <w:szCs w:val="20"/>
          <w:lang w:val="ka-GE"/>
        </w:rPr>
        <w:t xml:space="preserve">The large majority of working old – 85.1 percent, compared to 41.1 percent in the primary working ages 15 to 64 – are employed in the agriculture sector and a similar 84.8 percent have an occupation as farmers, almost all of whom are subsistence farmers. The fact that agriculture is one of the least productive sectors in the country implies that older workers are stuck in </w:t>
      </w:r>
      <w:bookmarkStart w:id="6" w:name="_Hlk483660207"/>
      <w:r w:rsidRPr="002A1D45">
        <w:rPr>
          <w:rFonts w:ascii="Sylfaen" w:eastAsia="Calibri" w:hAnsi="Sylfaen"/>
          <w:sz w:val="22"/>
          <w:szCs w:val="20"/>
          <w:lang w:val="ka-GE"/>
        </w:rPr>
        <w:t xml:space="preserve">marginal, low productivity </w:t>
      </w:r>
      <w:bookmarkEnd w:id="6"/>
      <w:r w:rsidRPr="002A1D45">
        <w:rPr>
          <w:rFonts w:ascii="Sylfaen" w:eastAsia="Calibri" w:hAnsi="Sylfaen"/>
          <w:sz w:val="22"/>
          <w:szCs w:val="20"/>
          <w:lang w:val="ka-GE"/>
        </w:rPr>
        <w:t>employment.</w:t>
      </w:r>
    </w:p>
    <w:p w:rsidR="00F53FC1" w:rsidRPr="002A1D45" w:rsidRDefault="00F53FC1" w:rsidP="002A1D45">
      <w:pPr>
        <w:pStyle w:val="ListParagraph"/>
        <w:spacing w:line="276" w:lineRule="auto"/>
        <w:ind w:left="360"/>
        <w:jc w:val="both"/>
        <w:rPr>
          <w:rFonts w:ascii="Sylfaen" w:eastAsia="Calibri" w:hAnsi="Sylfaen"/>
          <w:b/>
          <w:sz w:val="22"/>
          <w:szCs w:val="20"/>
          <w:lang w:val="ka-GE"/>
        </w:rPr>
      </w:pPr>
    </w:p>
    <w:bookmarkEnd w:id="1"/>
    <w:p w:rsidR="00F53FC1" w:rsidRPr="002A1D45" w:rsidRDefault="00F53FC1" w:rsidP="002A1D45">
      <w:pPr>
        <w:pStyle w:val="ListParagraph"/>
        <w:spacing w:line="276" w:lineRule="auto"/>
        <w:ind w:left="360"/>
        <w:jc w:val="both"/>
        <w:rPr>
          <w:rFonts w:ascii="Sylfaen" w:eastAsia="Calibri" w:hAnsi="Sylfaen"/>
          <w:b/>
          <w:sz w:val="22"/>
          <w:szCs w:val="20"/>
          <w:lang w:val="ka-GE"/>
        </w:rPr>
      </w:pPr>
      <w:r w:rsidRPr="002A1D45">
        <w:rPr>
          <w:rFonts w:ascii="Sylfaen" w:eastAsia="Calibri" w:hAnsi="Sylfaen"/>
          <w:b/>
          <w:sz w:val="22"/>
          <w:szCs w:val="20"/>
          <w:lang w:val="ka-GE"/>
        </w:rPr>
        <w:t>Health</w:t>
      </w:r>
    </w:p>
    <w:p w:rsidR="00F53FC1" w:rsidRPr="002A1D45" w:rsidRDefault="00F53FC1" w:rsidP="00F53FC1">
      <w:pPr>
        <w:pStyle w:val="ListParagraph"/>
        <w:numPr>
          <w:ilvl w:val="0"/>
          <w:numId w:val="1"/>
        </w:numPr>
        <w:spacing w:line="276" w:lineRule="auto"/>
        <w:jc w:val="both"/>
        <w:rPr>
          <w:rFonts w:ascii="Sylfaen" w:eastAsia="Calibri" w:hAnsi="Sylfaen"/>
          <w:sz w:val="22"/>
          <w:szCs w:val="20"/>
          <w:lang w:val="ka-GE"/>
        </w:rPr>
      </w:pPr>
      <w:bookmarkStart w:id="7" w:name="_Hlk483660726"/>
      <w:r w:rsidRPr="002A1D45">
        <w:rPr>
          <w:rFonts w:ascii="Sylfaen" w:eastAsia="Calibri" w:hAnsi="Sylfaen"/>
          <w:sz w:val="22"/>
          <w:szCs w:val="20"/>
          <w:lang w:val="ka-GE"/>
        </w:rPr>
        <w:t>The introduction of the Universal Health Care programme in 2013 implied a major reduction in the private costs for health care expenditure born by older people. However, for around one third private expenditures remain the main source of funding. Especially for medicine purchases – an important expenditure category for older people and usually not covered by health care insurances – 96 percent of the older population rely on the household budget.</w:t>
      </w:r>
      <w:bookmarkEnd w:id="7"/>
    </w:p>
    <w:p w:rsidR="00F53FC1" w:rsidRPr="002A1D45" w:rsidRDefault="00F53FC1" w:rsidP="00F53FC1">
      <w:pPr>
        <w:pStyle w:val="ListParagraph"/>
        <w:numPr>
          <w:ilvl w:val="0"/>
          <w:numId w:val="1"/>
        </w:numPr>
        <w:spacing w:line="276" w:lineRule="auto"/>
        <w:jc w:val="both"/>
        <w:rPr>
          <w:rFonts w:ascii="Sylfaen" w:eastAsia="Calibri" w:hAnsi="Sylfaen"/>
          <w:sz w:val="22"/>
          <w:szCs w:val="20"/>
          <w:lang w:val="ka-GE"/>
        </w:rPr>
      </w:pPr>
      <w:r w:rsidRPr="002A1D45">
        <w:rPr>
          <w:rFonts w:ascii="Sylfaen" w:eastAsia="Calibri" w:hAnsi="Sylfaen"/>
          <w:sz w:val="22"/>
          <w:szCs w:val="20"/>
          <w:lang w:val="ka-GE"/>
        </w:rPr>
        <w:t xml:space="preserve">A majority (57.6 percent) of persons aged 65 and over consider themselves unhealthy (in bad or very bad health) and only 9.8 percent think that they have good or very good health. These figures are in stark contrast to those of younger generations, of whom 14.4 percent rate their health as poor and 64.5 percent as good or very good. </w:t>
      </w:r>
      <w:bookmarkStart w:id="8" w:name="_Hlk483662415"/>
      <w:r w:rsidRPr="002A1D45">
        <w:rPr>
          <w:rFonts w:ascii="Sylfaen" w:eastAsia="Calibri" w:hAnsi="Sylfaen"/>
          <w:sz w:val="22"/>
          <w:szCs w:val="20"/>
          <w:lang w:val="ka-GE"/>
        </w:rPr>
        <w:t>Older women tend to rate their health more often as poor than older men.</w:t>
      </w:r>
      <w:bookmarkEnd w:id="8"/>
    </w:p>
    <w:p w:rsidR="00F53FC1" w:rsidRPr="0094272C" w:rsidRDefault="00F53FC1" w:rsidP="00F53FC1">
      <w:pPr>
        <w:jc w:val="both"/>
        <w:rPr>
          <w:rFonts w:ascii="Sylfaen" w:eastAsia="Sylfaen" w:hAnsi="Sylfaen"/>
          <w:sz w:val="24"/>
        </w:rPr>
      </w:pPr>
    </w:p>
    <w:p w:rsidR="00F53FC1" w:rsidRPr="002A1D45" w:rsidRDefault="00F53FC1" w:rsidP="002A1D45">
      <w:pPr>
        <w:pStyle w:val="NoSpacing"/>
        <w:jc w:val="both"/>
        <w:rPr>
          <w:rFonts w:asciiTheme="minorHAnsi" w:hAnsiTheme="minorHAnsi" w:cstheme="minorHAnsi"/>
          <w:lang w:val="en-US"/>
        </w:rPr>
      </w:pPr>
    </w:p>
    <w:p w:rsidR="00F53FC1" w:rsidRPr="002A1D45" w:rsidRDefault="00F53FC1" w:rsidP="00AB516D">
      <w:pPr>
        <w:jc w:val="both"/>
        <w:rPr>
          <w:rFonts w:asciiTheme="minorHAnsi" w:hAnsiTheme="minorHAnsi" w:cstheme="minorHAnsi"/>
          <w:szCs w:val="22"/>
        </w:rPr>
      </w:pPr>
    </w:p>
    <w:p w:rsidR="00AB516D" w:rsidRPr="002A1D45" w:rsidRDefault="00AB516D" w:rsidP="00AB516D">
      <w:pPr>
        <w:jc w:val="both"/>
        <w:rPr>
          <w:rFonts w:ascii="Sylfaen" w:hAnsi="Sylfaen" w:cstheme="minorHAnsi"/>
          <w:b/>
          <w:sz w:val="24"/>
          <w:szCs w:val="24"/>
          <w:lang w:val="ka-GE"/>
        </w:rPr>
      </w:pPr>
      <w:r w:rsidRPr="002A1D45">
        <w:rPr>
          <w:rFonts w:ascii="Sylfaen" w:hAnsi="Sylfaen" w:cstheme="minorHAnsi"/>
          <w:b/>
          <w:sz w:val="24"/>
          <w:szCs w:val="24"/>
          <w:lang w:val="ka-GE"/>
        </w:rPr>
        <w:lastRenderedPageBreak/>
        <w:t>Evidence-based approach to the mainstreaming of disability in the implementation, monitoring and evaluation of the Agenda 2030</w:t>
      </w:r>
    </w:p>
    <w:p w:rsidR="000306DC" w:rsidRPr="002A1D45" w:rsidRDefault="000306DC" w:rsidP="00AB516D">
      <w:pPr>
        <w:jc w:val="both"/>
        <w:rPr>
          <w:rFonts w:ascii="Sylfaen" w:hAnsi="Sylfaen"/>
          <w:lang w:val="ka-GE"/>
        </w:rPr>
      </w:pPr>
      <w:r w:rsidRPr="002A1D45">
        <w:rPr>
          <w:rFonts w:ascii="Sylfaen" w:hAnsi="Sylfaen"/>
          <w:lang w:val="ka-GE"/>
        </w:rPr>
        <w:t xml:space="preserve">To improve the social condition of persons with disabilities and ensure equal opportunities </w:t>
      </w:r>
      <w:r w:rsidR="00614C93" w:rsidRPr="002A1D45">
        <w:rPr>
          <w:rFonts w:ascii="Sylfaen" w:hAnsi="Sylfaen"/>
          <w:lang w:val="ka-GE"/>
        </w:rPr>
        <w:t>are</w:t>
      </w:r>
      <w:r w:rsidRPr="002A1D45">
        <w:rPr>
          <w:rFonts w:ascii="Sylfaen" w:hAnsi="Sylfaen"/>
          <w:lang w:val="ka-GE"/>
        </w:rPr>
        <w:t xml:space="preserve"> one of the prioritie</w:t>
      </w:r>
      <w:r w:rsidR="009F57BE" w:rsidRPr="002A1D45">
        <w:rPr>
          <w:rFonts w:ascii="Sylfaen" w:hAnsi="Sylfaen"/>
          <w:lang w:val="ka-GE"/>
        </w:rPr>
        <w:t>s for the Government of Georgia. This</w:t>
      </w:r>
      <w:r w:rsidRPr="002A1D45">
        <w:rPr>
          <w:rFonts w:ascii="Sylfaen" w:hAnsi="Sylfaen"/>
          <w:lang w:val="ka-GE"/>
        </w:rPr>
        <w:t xml:space="preserve"> is confirmed by the scope and effectiveness of the measures taken in recent years in this field: participation of persons with disabilities and their representative organizations in the social and economic life of the country is provided with the development of strategies, </w:t>
      </w:r>
      <w:r w:rsidR="004E5377" w:rsidRPr="002A1D45">
        <w:rPr>
          <w:rFonts w:ascii="Sylfaen" w:hAnsi="Sylfaen"/>
          <w:lang w:val="ka-GE"/>
        </w:rPr>
        <w:t xml:space="preserve">action </w:t>
      </w:r>
      <w:r w:rsidRPr="002A1D45">
        <w:rPr>
          <w:rFonts w:ascii="Sylfaen" w:hAnsi="Sylfaen"/>
          <w:lang w:val="ka-GE"/>
        </w:rPr>
        <w:t xml:space="preserve">plans, programs and activities. </w:t>
      </w:r>
    </w:p>
    <w:p w:rsidR="00235ADC" w:rsidRPr="002A1D45" w:rsidRDefault="00A95E3D" w:rsidP="002A1D45">
      <w:pPr>
        <w:jc w:val="both"/>
        <w:rPr>
          <w:rFonts w:ascii="Sylfaen" w:hAnsi="Sylfaen"/>
          <w:lang w:val="ka-GE"/>
        </w:rPr>
      </w:pPr>
      <w:r w:rsidRPr="002A1D45">
        <w:rPr>
          <w:rFonts w:ascii="Sylfaen" w:hAnsi="Sylfaen"/>
          <w:lang w:val="ka-GE"/>
        </w:rPr>
        <w:t xml:space="preserve">Development of social services is based on the principle of availability of quality services suitable for individual needs of beneficiaries, in </w:t>
      </w:r>
      <w:r w:rsidR="004E5377" w:rsidRPr="002A1D45">
        <w:rPr>
          <w:rFonts w:ascii="Sylfaen" w:hAnsi="Sylfaen"/>
          <w:lang w:val="ka-GE"/>
        </w:rPr>
        <w:t>particular</w:t>
      </w:r>
      <w:r w:rsidR="00C9587F" w:rsidRPr="002A1D45">
        <w:rPr>
          <w:rFonts w:ascii="Sylfaen" w:hAnsi="Sylfaen"/>
          <w:lang w:val="ka-GE"/>
        </w:rPr>
        <w:t>,</w:t>
      </w:r>
      <w:r w:rsidRPr="002A1D45">
        <w:rPr>
          <w:rFonts w:ascii="Sylfaen" w:hAnsi="Sylfaen"/>
          <w:lang w:val="ka-GE"/>
        </w:rPr>
        <w:t xml:space="preserve"> the services for persons with disabilities are planned and implemented according </w:t>
      </w:r>
      <w:r w:rsidR="00C9587F" w:rsidRPr="002A1D45">
        <w:rPr>
          <w:rFonts w:ascii="Sylfaen" w:hAnsi="Sylfaen"/>
          <w:lang w:val="ka-GE"/>
        </w:rPr>
        <w:t xml:space="preserve">the needs and priorities identified by the </w:t>
      </w:r>
      <w:r w:rsidR="00C3000C" w:rsidRPr="002A1D45">
        <w:rPr>
          <w:rFonts w:ascii="Sylfaen" w:hAnsi="Sylfaen"/>
          <w:lang w:val="ka-GE"/>
        </w:rPr>
        <w:t>LEPL “</w:t>
      </w:r>
      <w:r w:rsidR="00C9587F" w:rsidRPr="002A1D45">
        <w:rPr>
          <w:rFonts w:ascii="Sylfaen" w:hAnsi="Sylfaen"/>
          <w:lang w:val="ka-GE"/>
        </w:rPr>
        <w:t>Social Service Agency</w:t>
      </w:r>
      <w:r w:rsidR="00C3000C" w:rsidRPr="002A1D45">
        <w:rPr>
          <w:rFonts w:ascii="Sylfaen" w:hAnsi="Sylfaen"/>
          <w:lang w:val="ka-GE"/>
        </w:rPr>
        <w:t>”</w:t>
      </w:r>
      <w:r w:rsidR="00C9587F" w:rsidRPr="002A1D45">
        <w:rPr>
          <w:rFonts w:ascii="Sylfaen" w:hAnsi="Sylfaen"/>
          <w:lang w:val="ka-GE"/>
        </w:rPr>
        <w:t xml:space="preserve"> based on the </w:t>
      </w:r>
      <w:r w:rsidRPr="002A1D45">
        <w:rPr>
          <w:rFonts w:ascii="Sylfaen" w:hAnsi="Sylfaen"/>
          <w:lang w:val="ka-GE"/>
        </w:rPr>
        <w:t>state program “on social rehabilitation and child care”</w:t>
      </w:r>
      <w:r w:rsidR="00C9587F" w:rsidRPr="002A1D45">
        <w:rPr>
          <w:rFonts w:ascii="Sylfaen" w:hAnsi="Sylfaen"/>
          <w:lang w:val="ka-GE"/>
        </w:rPr>
        <w:t xml:space="preserve">. </w:t>
      </w:r>
      <w:r w:rsidR="00621BD9" w:rsidRPr="002A1D45">
        <w:rPr>
          <w:rFonts w:ascii="Sylfaen" w:hAnsi="Sylfaen"/>
          <w:lang w:val="ka-GE"/>
        </w:rPr>
        <w:t xml:space="preserve">The government implemented the state program </w:t>
      </w:r>
      <w:r w:rsidR="00C3000C" w:rsidRPr="002A1D45">
        <w:rPr>
          <w:rFonts w:ascii="Sylfaen" w:hAnsi="Sylfaen"/>
          <w:lang w:val="ka-GE"/>
        </w:rPr>
        <w:t>“</w:t>
      </w:r>
      <w:r w:rsidR="00621BD9" w:rsidRPr="002A1D45">
        <w:rPr>
          <w:rFonts w:ascii="Sylfaen" w:hAnsi="Sylfaen"/>
          <w:lang w:val="ka-GE"/>
        </w:rPr>
        <w:t xml:space="preserve">on social rehabilitation and child </w:t>
      </w:r>
      <w:r w:rsidR="004E5377" w:rsidRPr="002A1D45">
        <w:rPr>
          <w:rFonts w:ascii="Sylfaen" w:hAnsi="Sylfaen"/>
          <w:lang w:val="ka-GE"/>
        </w:rPr>
        <w:t>care</w:t>
      </w:r>
      <w:r w:rsidR="00C3000C" w:rsidRPr="002A1D45">
        <w:rPr>
          <w:rFonts w:ascii="Sylfaen" w:hAnsi="Sylfaen"/>
          <w:lang w:val="ka-GE"/>
        </w:rPr>
        <w:t>”</w:t>
      </w:r>
      <w:r w:rsidR="004E5377" w:rsidRPr="002A1D45">
        <w:rPr>
          <w:rFonts w:ascii="Sylfaen" w:hAnsi="Sylfaen"/>
          <w:lang w:val="ka-GE"/>
        </w:rPr>
        <w:t xml:space="preserve"> for</w:t>
      </w:r>
      <w:r w:rsidR="00621BD9" w:rsidRPr="002A1D45">
        <w:rPr>
          <w:rFonts w:ascii="Sylfaen" w:hAnsi="Sylfaen"/>
          <w:lang w:val="ka-GE"/>
        </w:rPr>
        <w:t xml:space="preserve"> </w:t>
      </w:r>
      <w:r w:rsidR="004E5377" w:rsidRPr="002A1D45">
        <w:rPr>
          <w:rFonts w:ascii="Sylfaen" w:hAnsi="Sylfaen"/>
          <w:lang w:val="ka-GE"/>
        </w:rPr>
        <w:t>persons</w:t>
      </w:r>
      <w:r w:rsidR="00621BD9" w:rsidRPr="002A1D45">
        <w:rPr>
          <w:rFonts w:ascii="Sylfaen" w:hAnsi="Sylfaen"/>
          <w:lang w:val="ka-GE"/>
        </w:rPr>
        <w:t xml:space="preserve"> with disabilities annually</w:t>
      </w:r>
      <w:r w:rsidR="004E5377" w:rsidRPr="002A1D45">
        <w:rPr>
          <w:rFonts w:ascii="Sylfaen" w:hAnsi="Sylfaen"/>
          <w:lang w:val="ka-GE"/>
        </w:rPr>
        <w:t>, providing</w:t>
      </w:r>
      <w:r w:rsidR="00621BD9" w:rsidRPr="002A1D45">
        <w:rPr>
          <w:rFonts w:ascii="Sylfaen" w:hAnsi="Sylfaen"/>
          <w:lang w:val="ka-GE"/>
        </w:rPr>
        <w:t xml:space="preserve"> different services for the beneficiaries.</w:t>
      </w:r>
    </w:p>
    <w:p w:rsidR="00B66A6C" w:rsidRPr="002A1D45" w:rsidRDefault="00B66A6C" w:rsidP="002A1D45">
      <w:pPr>
        <w:jc w:val="both"/>
        <w:rPr>
          <w:rFonts w:ascii="Sylfaen" w:hAnsi="Sylfaen"/>
          <w:lang w:val="ka-GE"/>
        </w:rPr>
      </w:pPr>
      <w:r w:rsidRPr="002A1D45">
        <w:rPr>
          <w:rFonts w:ascii="Sylfaen" w:hAnsi="Sylfaen"/>
          <w:lang w:val="ka-GE"/>
        </w:rPr>
        <w:t xml:space="preserve">The services offered by the state are available and operate without any restriction and exceptions. </w:t>
      </w:r>
      <w:r w:rsidR="00E427C8" w:rsidRPr="002A1D45">
        <w:rPr>
          <w:rFonts w:ascii="Sylfaen" w:hAnsi="Sylfaen"/>
          <w:lang w:val="ka-GE"/>
        </w:rPr>
        <w:t>In recent</w:t>
      </w:r>
      <w:r w:rsidRPr="002A1D45">
        <w:rPr>
          <w:rFonts w:ascii="Sylfaen" w:hAnsi="Sylfaen"/>
          <w:lang w:val="ka-GE"/>
        </w:rPr>
        <w:t xml:space="preserve"> years, </w:t>
      </w:r>
      <w:r w:rsidR="00E427C8" w:rsidRPr="002A1D45">
        <w:rPr>
          <w:rFonts w:ascii="Sylfaen" w:hAnsi="Sylfaen"/>
          <w:lang w:val="ka-GE"/>
        </w:rPr>
        <w:t>the new programs have</w:t>
      </w:r>
      <w:r w:rsidRPr="002A1D45">
        <w:rPr>
          <w:rFonts w:ascii="Sylfaen" w:hAnsi="Sylfaen"/>
          <w:lang w:val="ka-GE"/>
        </w:rPr>
        <w:t xml:space="preserve"> emerged in the state program:</w:t>
      </w:r>
      <w:r w:rsidR="00E427C8" w:rsidRPr="002A1D45">
        <w:rPr>
          <w:rFonts w:ascii="Sylfaen" w:hAnsi="Sylfaen"/>
          <w:lang w:val="ka-GE"/>
        </w:rPr>
        <w:t xml:space="preserve"> "subprogram on Urgent Assistance for Families in Crisis Conditions", </w:t>
      </w:r>
      <w:r w:rsidR="001A49B4" w:rsidRPr="002A1D45">
        <w:rPr>
          <w:rFonts w:ascii="Sylfaen" w:hAnsi="Sylfaen"/>
          <w:lang w:val="ka-GE"/>
        </w:rPr>
        <w:t xml:space="preserve">"subprogram on home care for children with severe and deep mental development </w:t>
      </w:r>
      <w:r w:rsidR="007E7560" w:rsidRPr="002A1D45">
        <w:rPr>
          <w:rFonts w:ascii="Sylfaen" w:hAnsi="Sylfaen"/>
          <w:lang w:val="ka-GE"/>
        </w:rPr>
        <w:t>delay</w:t>
      </w:r>
      <w:r w:rsidR="008A476A" w:rsidRPr="002A1D45">
        <w:rPr>
          <w:rFonts w:ascii="Sylfaen" w:hAnsi="Sylfaen"/>
          <w:lang w:val="ka-GE"/>
        </w:rPr>
        <w:t>s</w:t>
      </w:r>
      <w:r w:rsidR="001A49B4" w:rsidRPr="002A1D45">
        <w:rPr>
          <w:rFonts w:ascii="Sylfaen" w:hAnsi="Sylfaen"/>
          <w:lang w:val="ka-GE"/>
        </w:rPr>
        <w:t xml:space="preserve">", "subprogram of specialized family type services for children with severe disability or health problems”, the aim of this subprogram is to place children with severe disability or health problems from </w:t>
      </w:r>
      <w:r w:rsidR="008A476A" w:rsidRPr="002A1D45">
        <w:rPr>
          <w:rFonts w:ascii="Sylfaen" w:hAnsi="Sylfaen"/>
          <w:lang w:val="ka-GE"/>
        </w:rPr>
        <w:t>big type institutions</w:t>
      </w:r>
      <w:r w:rsidR="001A49B4" w:rsidRPr="002A1D45">
        <w:rPr>
          <w:rFonts w:ascii="Sylfaen" w:hAnsi="Sylfaen"/>
          <w:lang w:val="ka-GE"/>
        </w:rPr>
        <w:t xml:space="preserve"> into specialized family type home.  </w:t>
      </w:r>
    </w:p>
    <w:p w:rsidR="00C622D9" w:rsidRPr="002A1D45" w:rsidRDefault="00974CF9" w:rsidP="002A1D45">
      <w:pPr>
        <w:jc w:val="both"/>
        <w:rPr>
          <w:rFonts w:ascii="Sylfaen" w:hAnsi="Sylfaen"/>
          <w:lang w:val="ka-GE"/>
        </w:rPr>
      </w:pPr>
      <w:r w:rsidRPr="002A1D45">
        <w:rPr>
          <w:rFonts w:ascii="Sylfaen" w:hAnsi="Sylfaen"/>
          <w:lang w:val="ka-GE"/>
        </w:rPr>
        <w:t xml:space="preserve">The new component has been added to the "subprogram of community organizations" since 2017 - component of providing family-type independent living support services for </w:t>
      </w:r>
      <w:r w:rsidR="0026757E" w:rsidRPr="002A1D45">
        <w:rPr>
          <w:rFonts w:ascii="Sylfaen" w:hAnsi="Sylfaen"/>
          <w:lang w:val="ka-GE"/>
        </w:rPr>
        <w:t xml:space="preserve">persons with </w:t>
      </w:r>
      <w:r w:rsidR="004E5377" w:rsidRPr="002A1D45">
        <w:rPr>
          <w:rFonts w:ascii="Sylfaen" w:hAnsi="Sylfaen"/>
          <w:lang w:val="ka-GE"/>
        </w:rPr>
        <w:t>disabilities</w:t>
      </w:r>
      <w:r w:rsidR="0026757E" w:rsidRPr="002A1D45">
        <w:rPr>
          <w:rFonts w:ascii="Sylfaen" w:hAnsi="Sylfaen"/>
          <w:lang w:val="ka-GE"/>
        </w:rPr>
        <w:t xml:space="preserve">. </w:t>
      </w:r>
    </w:p>
    <w:p w:rsidR="008B6FBE" w:rsidRPr="002A1D45" w:rsidRDefault="00382F9F" w:rsidP="002A1D45">
      <w:pPr>
        <w:jc w:val="both"/>
        <w:rPr>
          <w:rFonts w:ascii="Sylfaen" w:hAnsi="Sylfaen"/>
          <w:lang w:val="ka-GE"/>
        </w:rPr>
      </w:pPr>
      <w:r w:rsidRPr="002A1D45">
        <w:rPr>
          <w:rFonts w:ascii="Sylfaen" w:hAnsi="Sylfaen"/>
          <w:lang w:val="ka-GE"/>
        </w:rPr>
        <w:t>The program budget has been increased in recent years</w:t>
      </w:r>
      <w:r w:rsidR="00A63B8C" w:rsidRPr="002A1D45">
        <w:rPr>
          <w:rFonts w:ascii="Sylfaen" w:hAnsi="Sylfaen"/>
          <w:lang w:val="ka-GE"/>
        </w:rPr>
        <w:t xml:space="preserve"> substantially</w:t>
      </w:r>
      <w:r w:rsidRPr="002A1D45">
        <w:rPr>
          <w:rFonts w:ascii="Sylfaen" w:hAnsi="Sylfaen"/>
          <w:lang w:val="ka-GE"/>
        </w:rPr>
        <w:t>: the program budget was 17 401 000 GEL in 2012, in 2018 – 28 200 000 GEL. In addition, the quality and efficiency of subprogram measures for target</w:t>
      </w:r>
      <w:r w:rsidR="00A63B8C" w:rsidRPr="002A1D45">
        <w:rPr>
          <w:rFonts w:ascii="Sylfaen" w:hAnsi="Sylfaen"/>
          <w:lang w:val="ka-GE"/>
        </w:rPr>
        <w:t>ed</w:t>
      </w:r>
      <w:r w:rsidRPr="002A1D45">
        <w:rPr>
          <w:rFonts w:ascii="Sylfaen" w:hAnsi="Sylfaen"/>
          <w:lang w:val="ka-GE"/>
        </w:rPr>
        <w:t xml:space="preserve"> groups are enhanced and improved.</w:t>
      </w:r>
    </w:p>
    <w:p w:rsidR="00A63B8C" w:rsidRPr="002A1D45" w:rsidRDefault="00A029B7" w:rsidP="002A1D45">
      <w:pPr>
        <w:jc w:val="both"/>
        <w:rPr>
          <w:rFonts w:ascii="Sylfaen" w:hAnsi="Sylfaen"/>
          <w:lang w:val="ka-GE"/>
        </w:rPr>
      </w:pPr>
      <w:r w:rsidRPr="002A1D45">
        <w:rPr>
          <w:rFonts w:ascii="Sylfaen" w:hAnsi="Sylfaen"/>
          <w:lang w:val="ka-GE"/>
        </w:rPr>
        <w:t>On 26 December 2013</w:t>
      </w:r>
      <w:r w:rsidR="00A63B8C" w:rsidRPr="002A1D45">
        <w:rPr>
          <w:rFonts w:ascii="Sylfaen" w:hAnsi="Sylfaen"/>
          <w:lang w:val="ka-GE"/>
        </w:rPr>
        <w:t>,</w:t>
      </w:r>
      <w:r w:rsidRPr="002A1D45">
        <w:rPr>
          <w:rFonts w:ascii="Sylfaen" w:hAnsi="Sylfaen"/>
          <w:lang w:val="ka-GE"/>
        </w:rPr>
        <w:t xml:space="preserve"> the Parliament of Georgia ratified the Convention on the Rights of Persons with </w:t>
      </w:r>
      <w:r w:rsidR="004E5377" w:rsidRPr="002A1D45">
        <w:rPr>
          <w:rFonts w:ascii="Sylfaen" w:hAnsi="Sylfaen"/>
          <w:lang w:val="ka-GE"/>
        </w:rPr>
        <w:t>Disabilities;</w:t>
      </w:r>
      <w:r w:rsidRPr="002A1D45">
        <w:rPr>
          <w:rFonts w:ascii="Sylfaen" w:hAnsi="Sylfaen"/>
          <w:lang w:val="ka-GE"/>
        </w:rPr>
        <w:t xml:space="preserve"> the Convention is in force </w:t>
      </w:r>
      <w:r w:rsidR="00A63B8C" w:rsidRPr="002A1D45">
        <w:rPr>
          <w:rFonts w:ascii="Sylfaen" w:hAnsi="Sylfaen"/>
          <w:lang w:val="ka-GE"/>
        </w:rPr>
        <w:t>since</w:t>
      </w:r>
      <w:r w:rsidRPr="002A1D45">
        <w:rPr>
          <w:rFonts w:ascii="Sylfaen" w:hAnsi="Sylfaen"/>
          <w:lang w:val="ka-GE"/>
        </w:rPr>
        <w:t xml:space="preserve"> 12 April 2014. </w:t>
      </w:r>
    </w:p>
    <w:p w:rsidR="007C185C" w:rsidRPr="002A1D45" w:rsidRDefault="00A63B8C" w:rsidP="002A1D45">
      <w:pPr>
        <w:jc w:val="both"/>
        <w:rPr>
          <w:rFonts w:ascii="Sylfaen" w:hAnsi="Sylfaen"/>
          <w:lang w:val="ka-GE"/>
        </w:rPr>
      </w:pPr>
      <w:r w:rsidRPr="002A1D45">
        <w:rPr>
          <w:rFonts w:ascii="Sylfaen" w:hAnsi="Sylfaen"/>
          <w:lang w:val="ka-GE"/>
        </w:rPr>
        <w:t xml:space="preserve">The Government of Georgia prepared the first report on the realization of the requirements of the Convention </w:t>
      </w:r>
      <w:r w:rsidR="003E7FDB" w:rsidRPr="002A1D45">
        <w:rPr>
          <w:rFonts w:ascii="Sylfaen" w:hAnsi="Sylfaen"/>
          <w:lang w:val="ka-GE"/>
        </w:rPr>
        <w:t>to submit to the UN Committee on the Rights of Persons with Disabilities based on</w:t>
      </w:r>
      <w:r w:rsidRPr="002A1D45">
        <w:rPr>
          <w:rFonts w:ascii="Sylfaen" w:hAnsi="Sylfaen"/>
          <w:lang w:val="ka-GE"/>
        </w:rPr>
        <w:t xml:space="preserve"> the provisions of Article 35 of </w:t>
      </w:r>
      <w:r w:rsidR="003E7FDB" w:rsidRPr="002A1D45">
        <w:rPr>
          <w:rFonts w:ascii="Sylfaen" w:hAnsi="Sylfaen"/>
          <w:lang w:val="ka-GE"/>
        </w:rPr>
        <w:t>the Convention</w:t>
      </w:r>
      <w:r w:rsidR="00936A43" w:rsidRPr="002A1D45">
        <w:rPr>
          <w:rFonts w:ascii="Sylfaen" w:hAnsi="Sylfaen"/>
          <w:lang w:val="ka-GE"/>
        </w:rPr>
        <w:t xml:space="preserve"> two years </w:t>
      </w:r>
      <w:r w:rsidR="003E7FDB" w:rsidRPr="002A1D45">
        <w:rPr>
          <w:rFonts w:ascii="Sylfaen" w:hAnsi="Sylfaen"/>
          <w:lang w:val="ka-GE"/>
        </w:rPr>
        <w:t xml:space="preserve">later after </w:t>
      </w:r>
      <w:r w:rsidR="00936A43" w:rsidRPr="002A1D45">
        <w:rPr>
          <w:rFonts w:ascii="Sylfaen" w:hAnsi="Sylfaen"/>
          <w:lang w:val="ka-GE"/>
        </w:rPr>
        <w:t>the entry into force of the Convention</w:t>
      </w:r>
      <w:r w:rsidR="003E7FDB" w:rsidRPr="002A1D45">
        <w:rPr>
          <w:rFonts w:ascii="Sylfaen" w:hAnsi="Sylfaen"/>
          <w:lang w:val="ka-GE"/>
        </w:rPr>
        <w:t>,</w:t>
      </w:r>
      <w:r w:rsidR="00936A43" w:rsidRPr="002A1D45">
        <w:rPr>
          <w:rFonts w:ascii="Sylfaen" w:hAnsi="Sylfaen"/>
          <w:lang w:val="ka-GE"/>
        </w:rPr>
        <w:t xml:space="preserve"> in the frames of inter-Agency Task group, coordinated by the Secretariat of the Human Rights Administrati</w:t>
      </w:r>
      <w:r w:rsidR="003E7FDB" w:rsidRPr="002A1D45">
        <w:rPr>
          <w:rFonts w:ascii="Sylfaen" w:hAnsi="Sylfaen"/>
          <w:lang w:val="ka-GE"/>
        </w:rPr>
        <w:t>on of the Government of Georgia</w:t>
      </w:r>
      <w:r w:rsidR="00936A43" w:rsidRPr="002A1D45">
        <w:rPr>
          <w:rFonts w:ascii="Sylfaen" w:hAnsi="Sylfaen"/>
          <w:lang w:val="ka-GE"/>
        </w:rPr>
        <w:t xml:space="preserve">. The main goal </w:t>
      </w:r>
      <w:r w:rsidR="003E7FDB" w:rsidRPr="002A1D45">
        <w:rPr>
          <w:rFonts w:ascii="Sylfaen" w:hAnsi="Sylfaen"/>
          <w:lang w:val="ka-GE"/>
        </w:rPr>
        <w:t>was</w:t>
      </w:r>
      <w:r w:rsidR="00936A43" w:rsidRPr="002A1D45">
        <w:rPr>
          <w:rFonts w:ascii="Sylfaen" w:hAnsi="Sylfaen"/>
          <w:lang w:val="ka-GE"/>
        </w:rPr>
        <w:t xml:space="preserve"> to provide detailed information to the UN Committee on the Rights of Persons with Disabilities in relation to the existing situation of the rights of persons with disabilities in </w:t>
      </w:r>
      <w:r w:rsidR="004E5377" w:rsidRPr="002A1D45">
        <w:rPr>
          <w:rFonts w:ascii="Sylfaen" w:hAnsi="Sylfaen"/>
          <w:lang w:val="ka-GE"/>
        </w:rPr>
        <w:t>Georgia and</w:t>
      </w:r>
      <w:r w:rsidR="00936A43" w:rsidRPr="002A1D45">
        <w:rPr>
          <w:rFonts w:ascii="Sylfaen" w:hAnsi="Sylfaen"/>
          <w:lang w:val="ka-GE"/>
        </w:rPr>
        <w:t xml:space="preserve"> steps taken by the government.</w:t>
      </w:r>
    </w:p>
    <w:p w:rsidR="00EA3BE9" w:rsidRPr="002A1D45" w:rsidRDefault="00EA3BE9" w:rsidP="002A1D45">
      <w:pPr>
        <w:jc w:val="both"/>
        <w:rPr>
          <w:rFonts w:ascii="Sylfaen" w:hAnsi="Sylfaen"/>
          <w:lang w:val="ka-GE"/>
        </w:rPr>
      </w:pPr>
    </w:p>
    <w:p w:rsidR="00D817F6" w:rsidRPr="002A1D45" w:rsidRDefault="00D54DC0" w:rsidP="002A1D45">
      <w:pPr>
        <w:jc w:val="both"/>
        <w:rPr>
          <w:rFonts w:ascii="Sylfaen" w:hAnsi="Sylfaen"/>
          <w:lang w:val="ka-GE"/>
        </w:rPr>
      </w:pPr>
      <w:r w:rsidRPr="002A1D45">
        <w:rPr>
          <w:rFonts w:ascii="Sylfaen" w:hAnsi="Sylfaen"/>
          <w:lang w:val="ka-GE"/>
        </w:rPr>
        <w:t>Georgia</w:t>
      </w:r>
      <w:r w:rsidR="00EA3BE9" w:rsidRPr="002A1D45">
        <w:rPr>
          <w:rFonts w:ascii="Sylfaen" w:hAnsi="Sylfaen"/>
          <w:lang w:val="ka-GE"/>
        </w:rPr>
        <w:t xml:space="preserve"> </w:t>
      </w:r>
      <w:r w:rsidRPr="002A1D45">
        <w:rPr>
          <w:rFonts w:ascii="Sylfaen" w:hAnsi="Sylfaen"/>
          <w:lang w:val="ka-GE"/>
        </w:rPr>
        <w:t xml:space="preserve">was one of the first </w:t>
      </w:r>
      <w:r w:rsidR="004E5377" w:rsidRPr="002A1D45">
        <w:rPr>
          <w:rFonts w:ascii="Sylfaen" w:hAnsi="Sylfaen"/>
          <w:lang w:val="ka-GE"/>
        </w:rPr>
        <w:t>countries</w:t>
      </w:r>
      <w:r w:rsidRPr="002A1D45">
        <w:rPr>
          <w:rFonts w:ascii="Sylfaen" w:hAnsi="Sylfaen"/>
          <w:lang w:val="ka-GE"/>
        </w:rPr>
        <w:t xml:space="preserve">, which implemented this reform </w:t>
      </w:r>
      <w:r w:rsidR="00EA3BE9" w:rsidRPr="002A1D45">
        <w:rPr>
          <w:rFonts w:ascii="Sylfaen" w:hAnsi="Sylfaen"/>
          <w:lang w:val="ka-GE"/>
        </w:rPr>
        <w:t>together with many developed and advanced countries</w:t>
      </w:r>
      <w:r w:rsidRPr="002A1D45">
        <w:rPr>
          <w:rFonts w:ascii="Sylfaen" w:hAnsi="Sylfaen"/>
          <w:lang w:val="ka-GE"/>
        </w:rPr>
        <w:t xml:space="preserve">. </w:t>
      </w:r>
    </w:p>
    <w:p w:rsidR="00F73D6C" w:rsidRPr="002A1D45" w:rsidRDefault="00B32417" w:rsidP="002A1D45">
      <w:pPr>
        <w:jc w:val="both"/>
        <w:rPr>
          <w:rFonts w:ascii="Sylfaen" w:hAnsi="Sylfaen"/>
          <w:lang w:val="ka-GE"/>
        </w:rPr>
      </w:pPr>
      <w:r w:rsidRPr="002A1D45">
        <w:rPr>
          <w:rFonts w:ascii="Sylfaen" w:hAnsi="Sylfaen"/>
          <w:lang w:val="ka-GE"/>
        </w:rPr>
        <w:t xml:space="preserve">According to October 8, 2014 Decision of the Constitutional Court of Georgia, existing legislative regulations, which limit legal capacity of a person with disabilities for the reason of mental illness, were found unconstitutional. </w:t>
      </w:r>
      <w:r w:rsidR="00B46F87" w:rsidRPr="002A1D45">
        <w:rPr>
          <w:rFonts w:ascii="Sylfaen" w:hAnsi="Sylfaen"/>
          <w:lang w:val="ka-GE"/>
        </w:rPr>
        <w:t xml:space="preserve">This was the basement of the systemic reform of the legal capacity system. </w:t>
      </w:r>
    </w:p>
    <w:p w:rsidR="00B46F87" w:rsidRPr="002A1D45" w:rsidRDefault="00B46F87" w:rsidP="002A1D45">
      <w:pPr>
        <w:jc w:val="both"/>
        <w:rPr>
          <w:rFonts w:ascii="Sylfaen" w:hAnsi="Sylfaen"/>
          <w:lang w:val="ka-GE"/>
        </w:rPr>
      </w:pPr>
      <w:r w:rsidRPr="002A1D45">
        <w:rPr>
          <w:rFonts w:ascii="Sylfaen" w:hAnsi="Sylfaen"/>
          <w:lang w:val="ka-GE"/>
        </w:rPr>
        <w:t>As a result of the reform, instead of legally incapable person, a new concept of “a person with psychosocial needs” (</w:t>
      </w:r>
      <w:r w:rsidR="004E5377" w:rsidRPr="002A1D45">
        <w:rPr>
          <w:rFonts w:ascii="Sylfaen" w:hAnsi="Sylfaen"/>
          <w:lang w:val="ka-GE"/>
        </w:rPr>
        <w:t>recipient</w:t>
      </w:r>
      <w:r w:rsidRPr="002A1D45">
        <w:rPr>
          <w:rFonts w:ascii="Sylfaen" w:hAnsi="Sylfaen"/>
          <w:lang w:val="ka-GE"/>
        </w:rPr>
        <w:t xml:space="preserve"> of support) and supporter concepts were introduced in Georgian legislation.</w:t>
      </w:r>
    </w:p>
    <w:p w:rsidR="00B46F87" w:rsidRPr="002A1D45" w:rsidRDefault="00B46F87" w:rsidP="002A1D45">
      <w:pPr>
        <w:jc w:val="both"/>
        <w:rPr>
          <w:rFonts w:ascii="Sylfaen" w:hAnsi="Sylfaen"/>
          <w:lang w:val="ka-GE"/>
        </w:rPr>
      </w:pPr>
      <w:r w:rsidRPr="002A1D45">
        <w:rPr>
          <w:rFonts w:ascii="Sylfaen" w:hAnsi="Sylfaen"/>
          <w:lang w:val="ka-GE"/>
        </w:rPr>
        <w:t>According to the amendments</w:t>
      </w:r>
      <w:r w:rsidR="003E7FDB" w:rsidRPr="002A1D45">
        <w:rPr>
          <w:rFonts w:ascii="Sylfaen" w:hAnsi="Sylfaen"/>
          <w:lang w:val="ka-GE"/>
        </w:rPr>
        <w:t>,</w:t>
      </w:r>
      <w:r w:rsidRPr="002A1D45">
        <w:rPr>
          <w:rFonts w:ascii="Sylfaen" w:hAnsi="Sylfaen"/>
          <w:lang w:val="ka-GE"/>
        </w:rPr>
        <w:t xml:space="preserve"> </w:t>
      </w:r>
      <w:r w:rsidR="00C622D9" w:rsidRPr="002A1D45">
        <w:rPr>
          <w:rFonts w:ascii="Sylfaen" w:hAnsi="Sylfaen"/>
          <w:lang w:val="ka-GE"/>
        </w:rPr>
        <w:t>people with mental disabilities</w:t>
      </w:r>
      <w:r w:rsidRPr="002A1D45">
        <w:rPr>
          <w:rFonts w:ascii="Sylfaen" w:hAnsi="Sylfaen"/>
          <w:lang w:val="ka-GE"/>
        </w:rPr>
        <w:t xml:space="preserve">, who were considered to be incapable based only a medical diagnosis and accordingly had restricted civil rights (including legal </w:t>
      </w:r>
      <w:r w:rsidR="004E5377" w:rsidRPr="002A1D45">
        <w:rPr>
          <w:rFonts w:ascii="Sylfaen" w:hAnsi="Sylfaen"/>
          <w:lang w:val="ka-GE"/>
        </w:rPr>
        <w:t>recognition</w:t>
      </w:r>
      <w:r w:rsidRPr="002A1D45">
        <w:rPr>
          <w:rFonts w:ascii="Sylfaen" w:hAnsi="Sylfaen"/>
          <w:lang w:val="ka-GE"/>
        </w:rPr>
        <w:t>, right to participate in elections</w:t>
      </w:r>
      <w:r w:rsidR="005E646A" w:rsidRPr="002A1D45">
        <w:rPr>
          <w:rFonts w:ascii="Sylfaen" w:hAnsi="Sylfaen"/>
          <w:lang w:val="ka-GE"/>
        </w:rPr>
        <w:t xml:space="preserve">, ownership, finance, property management, etc.) after psychosocial examination and through the introduction of supportive mechanisms are able to defend and develop their own rights in </w:t>
      </w:r>
      <w:r w:rsidR="003E7FDB" w:rsidRPr="002A1D45">
        <w:rPr>
          <w:rFonts w:ascii="Sylfaen" w:hAnsi="Sylfaen"/>
          <w:lang w:val="ka-GE"/>
        </w:rPr>
        <w:t>different</w:t>
      </w:r>
      <w:r w:rsidR="005E646A" w:rsidRPr="002A1D45">
        <w:rPr>
          <w:rFonts w:ascii="Sylfaen" w:hAnsi="Sylfaen"/>
          <w:lang w:val="ka-GE"/>
        </w:rPr>
        <w:t xml:space="preserve"> areas of social life.</w:t>
      </w:r>
    </w:p>
    <w:p w:rsidR="007C185C" w:rsidRPr="002A1D45" w:rsidRDefault="00BD27E6" w:rsidP="002A1D45">
      <w:pPr>
        <w:jc w:val="both"/>
        <w:rPr>
          <w:rFonts w:ascii="Sylfaen" w:hAnsi="Sylfaen"/>
          <w:lang w:val="ka-GE"/>
        </w:rPr>
      </w:pPr>
      <w:r w:rsidRPr="002A1D45">
        <w:rPr>
          <w:rFonts w:ascii="Sylfaen" w:hAnsi="Sylfaen"/>
          <w:lang w:val="ka-GE"/>
        </w:rPr>
        <w:t>Based on the principles of the Convention, Georgia shall undertake a fundamental reform of the system of granting the status to the persons with disabilities and create mechanism instead of medical model of medical-social expertise, which will be in relation to social model’s principles</w:t>
      </w:r>
      <w:r w:rsidR="004C34D9" w:rsidRPr="002A1D45">
        <w:rPr>
          <w:rFonts w:ascii="Sylfaen" w:hAnsi="Sylfaen"/>
          <w:lang w:val="ka-GE"/>
        </w:rPr>
        <w:t xml:space="preserve"> providing individual functional assessment and delivery of improved services and increased benefits based on the needs.</w:t>
      </w:r>
    </w:p>
    <w:p w:rsidR="004C34D9" w:rsidRPr="002A1D45" w:rsidRDefault="004C34D9" w:rsidP="002A1D45">
      <w:pPr>
        <w:jc w:val="both"/>
        <w:rPr>
          <w:rFonts w:ascii="Sylfaen" w:hAnsi="Sylfaen"/>
          <w:lang w:val="ka-GE"/>
        </w:rPr>
      </w:pPr>
      <w:r w:rsidRPr="002A1D45">
        <w:rPr>
          <w:rFonts w:ascii="Sylfaen" w:hAnsi="Sylfaen"/>
          <w:lang w:val="ka-GE"/>
        </w:rPr>
        <w:t>For this reason, a working group is created by the assistance of UNICEF</w:t>
      </w:r>
      <w:r w:rsidR="00DC1AD6" w:rsidRPr="002A1D45">
        <w:rPr>
          <w:rFonts w:ascii="Sylfaen" w:hAnsi="Sylfaen"/>
          <w:lang w:val="ka-GE"/>
        </w:rPr>
        <w:t xml:space="preserve"> and as a result of the active and productive work, the model should be piloted and the next stage of the transition to a new model of granting a person disability status should be implemented in the nearest future.</w:t>
      </w:r>
    </w:p>
    <w:p w:rsidR="00F53FC1" w:rsidRDefault="00F53FC1" w:rsidP="007C185C">
      <w:pPr>
        <w:pStyle w:val="NoSpacing"/>
        <w:jc w:val="both"/>
        <w:rPr>
          <w:rFonts w:asciiTheme="minorHAnsi" w:hAnsiTheme="minorHAnsi" w:cstheme="minorHAnsi"/>
          <w:lang w:val="en"/>
        </w:rPr>
      </w:pPr>
    </w:p>
    <w:p w:rsidR="007C185C" w:rsidRPr="00FB1584" w:rsidRDefault="007C185C" w:rsidP="007C185C">
      <w:pPr>
        <w:pStyle w:val="NoSpacing"/>
        <w:jc w:val="both"/>
        <w:rPr>
          <w:rFonts w:asciiTheme="minorHAnsi" w:hAnsiTheme="minorHAnsi" w:cstheme="minorHAnsi"/>
        </w:rPr>
      </w:pPr>
    </w:p>
    <w:sectPr w:rsidR="007C185C" w:rsidRPr="00FB1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832F1"/>
    <w:multiLevelType w:val="hybridMultilevel"/>
    <w:tmpl w:val="ECE4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DB3A31"/>
    <w:multiLevelType w:val="hybridMultilevel"/>
    <w:tmpl w:val="6E1C8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785E0A"/>
    <w:multiLevelType w:val="hybridMultilevel"/>
    <w:tmpl w:val="EE828370"/>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036700B"/>
    <w:multiLevelType w:val="hybridMultilevel"/>
    <w:tmpl w:val="6B24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897F19"/>
    <w:multiLevelType w:val="hybridMultilevel"/>
    <w:tmpl w:val="9068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85C"/>
    <w:rsid w:val="000306DC"/>
    <w:rsid w:val="000444B2"/>
    <w:rsid w:val="000678A2"/>
    <w:rsid w:val="00082F1D"/>
    <w:rsid w:val="000D6ED6"/>
    <w:rsid w:val="001138BB"/>
    <w:rsid w:val="001141FE"/>
    <w:rsid w:val="0015093D"/>
    <w:rsid w:val="00186091"/>
    <w:rsid w:val="001A30CA"/>
    <w:rsid w:val="001A49B4"/>
    <w:rsid w:val="00231FC9"/>
    <w:rsid w:val="00235ADC"/>
    <w:rsid w:val="0026757E"/>
    <w:rsid w:val="002772E8"/>
    <w:rsid w:val="002A1D45"/>
    <w:rsid w:val="002F70FB"/>
    <w:rsid w:val="00343F01"/>
    <w:rsid w:val="0037035B"/>
    <w:rsid w:val="00382F9F"/>
    <w:rsid w:val="003855B9"/>
    <w:rsid w:val="003A4989"/>
    <w:rsid w:val="003B5CCA"/>
    <w:rsid w:val="003C2EC2"/>
    <w:rsid w:val="003E7FDB"/>
    <w:rsid w:val="00412589"/>
    <w:rsid w:val="0047618F"/>
    <w:rsid w:val="004C34D9"/>
    <w:rsid w:val="004E5377"/>
    <w:rsid w:val="00526EAF"/>
    <w:rsid w:val="00560AD8"/>
    <w:rsid w:val="00576D33"/>
    <w:rsid w:val="005E646A"/>
    <w:rsid w:val="0060425B"/>
    <w:rsid w:val="00614C93"/>
    <w:rsid w:val="00621BD9"/>
    <w:rsid w:val="006821DB"/>
    <w:rsid w:val="006D40BC"/>
    <w:rsid w:val="00722300"/>
    <w:rsid w:val="0075765E"/>
    <w:rsid w:val="007C185C"/>
    <w:rsid w:val="007E1676"/>
    <w:rsid w:val="007E7560"/>
    <w:rsid w:val="00812EBD"/>
    <w:rsid w:val="008602B8"/>
    <w:rsid w:val="00873531"/>
    <w:rsid w:val="00892244"/>
    <w:rsid w:val="008A476A"/>
    <w:rsid w:val="008B6FBE"/>
    <w:rsid w:val="008D086F"/>
    <w:rsid w:val="00906A79"/>
    <w:rsid w:val="00936A43"/>
    <w:rsid w:val="00955A6E"/>
    <w:rsid w:val="00974CF9"/>
    <w:rsid w:val="009F57BE"/>
    <w:rsid w:val="00A029B7"/>
    <w:rsid w:val="00A06043"/>
    <w:rsid w:val="00A06162"/>
    <w:rsid w:val="00A329E2"/>
    <w:rsid w:val="00A54211"/>
    <w:rsid w:val="00A63B8C"/>
    <w:rsid w:val="00A95E3D"/>
    <w:rsid w:val="00AA2E0A"/>
    <w:rsid w:val="00AB516D"/>
    <w:rsid w:val="00B32417"/>
    <w:rsid w:val="00B46F87"/>
    <w:rsid w:val="00B66A6C"/>
    <w:rsid w:val="00BD27E6"/>
    <w:rsid w:val="00BD2F60"/>
    <w:rsid w:val="00C11C9D"/>
    <w:rsid w:val="00C3000C"/>
    <w:rsid w:val="00C622D9"/>
    <w:rsid w:val="00C9587F"/>
    <w:rsid w:val="00CA3A2C"/>
    <w:rsid w:val="00CB28F6"/>
    <w:rsid w:val="00CD3EB4"/>
    <w:rsid w:val="00CD76A5"/>
    <w:rsid w:val="00CE3339"/>
    <w:rsid w:val="00D512DE"/>
    <w:rsid w:val="00D54DC0"/>
    <w:rsid w:val="00D817F6"/>
    <w:rsid w:val="00DC1AD6"/>
    <w:rsid w:val="00DF6B72"/>
    <w:rsid w:val="00E427C8"/>
    <w:rsid w:val="00EA3450"/>
    <w:rsid w:val="00EA3BE9"/>
    <w:rsid w:val="00F05159"/>
    <w:rsid w:val="00F07D80"/>
    <w:rsid w:val="00F142CD"/>
    <w:rsid w:val="00F325B7"/>
    <w:rsid w:val="00F53FC1"/>
    <w:rsid w:val="00F73D6C"/>
    <w:rsid w:val="00FB1584"/>
    <w:rsid w:val="00FD4E1D"/>
    <w:rsid w:val="00FE5D25"/>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85C"/>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C185C"/>
    <w:pPr>
      <w:spacing w:after="0" w:line="240" w:lineRule="auto"/>
    </w:pPr>
    <w:rPr>
      <w:rFonts w:ascii="Calibri" w:eastAsia="Calibri" w:hAnsi="Calibri" w:cs="Times New Roman"/>
      <w:lang w:val="x-none" w:eastAsia="x-none"/>
    </w:rPr>
  </w:style>
  <w:style w:type="character" w:customStyle="1" w:styleId="NoSpacingChar">
    <w:name w:val="No Spacing Char"/>
    <w:basedOn w:val="DefaultParagraphFont"/>
    <w:link w:val="NoSpacing"/>
    <w:uiPriority w:val="1"/>
    <w:rsid w:val="007C185C"/>
    <w:rPr>
      <w:rFonts w:ascii="Calibri" w:eastAsia="Calibri" w:hAnsi="Calibri" w:cs="Times New Roman"/>
      <w:lang w:val="x-none" w:eastAsia="x-none"/>
    </w:rPr>
  </w:style>
  <w:style w:type="table" w:styleId="TableGrid">
    <w:name w:val="Table Grid"/>
    <w:basedOn w:val="TableNormal"/>
    <w:uiPriority w:val="59"/>
    <w:rsid w:val="00AB5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3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450"/>
    <w:rPr>
      <w:rFonts w:ascii="Tahoma" w:eastAsia="Calibri" w:hAnsi="Tahoma" w:cs="Tahoma"/>
      <w:sz w:val="16"/>
      <w:szCs w:val="16"/>
    </w:rPr>
  </w:style>
  <w:style w:type="character" w:customStyle="1" w:styleId="alt-edited">
    <w:name w:val="alt-edited"/>
    <w:basedOn w:val="DefaultParagraphFont"/>
    <w:rsid w:val="003A4989"/>
  </w:style>
  <w:style w:type="character" w:customStyle="1" w:styleId="shorttext">
    <w:name w:val="short_text"/>
    <w:basedOn w:val="DefaultParagraphFont"/>
    <w:rsid w:val="002772E8"/>
  </w:style>
  <w:style w:type="paragraph" w:styleId="ListParagraph">
    <w:name w:val="List Paragraph"/>
    <w:basedOn w:val="Normal"/>
    <w:uiPriority w:val="34"/>
    <w:qFormat/>
    <w:rsid w:val="00F53FC1"/>
    <w:pPr>
      <w:spacing w:after="0" w:line="240" w:lineRule="auto"/>
      <w:ind w:left="720"/>
      <w:contextualSpacing/>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85C"/>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C185C"/>
    <w:pPr>
      <w:spacing w:after="0" w:line="240" w:lineRule="auto"/>
    </w:pPr>
    <w:rPr>
      <w:rFonts w:ascii="Calibri" w:eastAsia="Calibri" w:hAnsi="Calibri" w:cs="Times New Roman"/>
      <w:lang w:val="x-none" w:eastAsia="x-none"/>
    </w:rPr>
  </w:style>
  <w:style w:type="character" w:customStyle="1" w:styleId="NoSpacingChar">
    <w:name w:val="No Spacing Char"/>
    <w:basedOn w:val="DefaultParagraphFont"/>
    <w:link w:val="NoSpacing"/>
    <w:uiPriority w:val="1"/>
    <w:rsid w:val="007C185C"/>
    <w:rPr>
      <w:rFonts w:ascii="Calibri" w:eastAsia="Calibri" w:hAnsi="Calibri" w:cs="Times New Roman"/>
      <w:lang w:val="x-none" w:eastAsia="x-none"/>
    </w:rPr>
  </w:style>
  <w:style w:type="table" w:styleId="TableGrid">
    <w:name w:val="Table Grid"/>
    <w:basedOn w:val="TableNormal"/>
    <w:uiPriority w:val="59"/>
    <w:rsid w:val="00AB5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3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450"/>
    <w:rPr>
      <w:rFonts w:ascii="Tahoma" w:eastAsia="Calibri" w:hAnsi="Tahoma" w:cs="Tahoma"/>
      <w:sz w:val="16"/>
      <w:szCs w:val="16"/>
    </w:rPr>
  </w:style>
  <w:style w:type="character" w:customStyle="1" w:styleId="alt-edited">
    <w:name w:val="alt-edited"/>
    <w:basedOn w:val="DefaultParagraphFont"/>
    <w:rsid w:val="003A4989"/>
  </w:style>
  <w:style w:type="character" w:customStyle="1" w:styleId="shorttext">
    <w:name w:val="short_text"/>
    <w:basedOn w:val="DefaultParagraphFont"/>
    <w:rsid w:val="002772E8"/>
  </w:style>
  <w:style w:type="paragraph" w:styleId="ListParagraph">
    <w:name w:val="List Paragraph"/>
    <w:basedOn w:val="Normal"/>
    <w:uiPriority w:val="34"/>
    <w:qFormat/>
    <w:rsid w:val="00F53FC1"/>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71436">
      <w:bodyDiv w:val="1"/>
      <w:marLeft w:val="0"/>
      <w:marRight w:val="0"/>
      <w:marTop w:val="0"/>
      <w:marBottom w:val="0"/>
      <w:divBdr>
        <w:top w:val="none" w:sz="0" w:space="0" w:color="auto"/>
        <w:left w:val="none" w:sz="0" w:space="0" w:color="auto"/>
        <w:bottom w:val="none" w:sz="0" w:space="0" w:color="auto"/>
        <w:right w:val="none" w:sz="0" w:space="0" w:color="auto"/>
      </w:divBdr>
      <w:divsChild>
        <w:div w:id="202984415">
          <w:marLeft w:val="0"/>
          <w:marRight w:val="0"/>
          <w:marTop w:val="0"/>
          <w:marBottom w:val="0"/>
          <w:divBdr>
            <w:top w:val="none" w:sz="0" w:space="0" w:color="auto"/>
            <w:left w:val="none" w:sz="0" w:space="0" w:color="auto"/>
            <w:bottom w:val="none" w:sz="0" w:space="0" w:color="auto"/>
            <w:right w:val="none" w:sz="0" w:space="0" w:color="auto"/>
          </w:divBdr>
        </w:div>
        <w:div w:id="1037849812">
          <w:marLeft w:val="0"/>
          <w:marRight w:val="0"/>
          <w:marTop w:val="0"/>
          <w:marBottom w:val="0"/>
          <w:divBdr>
            <w:top w:val="none" w:sz="0" w:space="0" w:color="auto"/>
            <w:left w:val="none" w:sz="0" w:space="0" w:color="auto"/>
            <w:bottom w:val="none" w:sz="0" w:space="0" w:color="auto"/>
            <w:right w:val="none" w:sz="0" w:space="0" w:color="auto"/>
          </w:divBdr>
        </w:div>
        <w:div w:id="1826777160">
          <w:marLeft w:val="0"/>
          <w:marRight w:val="0"/>
          <w:marTop w:val="0"/>
          <w:marBottom w:val="0"/>
          <w:divBdr>
            <w:top w:val="none" w:sz="0" w:space="0" w:color="auto"/>
            <w:left w:val="none" w:sz="0" w:space="0" w:color="auto"/>
            <w:bottom w:val="none" w:sz="0" w:space="0" w:color="auto"/>
            <w:right w:val="none" w:sz="0" w:space="0" w:color="auto"/>
          </w:divBdr>
        </w:div>
        <w:div w:id="1074468760">
          <w:marLeft w:val="0"/>
          <w:marRight w:val="0"/>
          <w:marTop w:val="0"/>
          <w:marBottom w:val="0"/>
          <w:divBdr>
            <w:top w:val="none" w:sz="0" w:space="0" w:color="auto"/>
            <w:left w:val="none" w:sz="0" w:space="0" w:color="auto"/>
            <w:bottom w:val="none" w:sz="0" w:space="0" w:color="auto"/>
            <w:right w:val="none" w:sz="0" w:space="0" w:color="auto"/>
          </w:divBdr>
        </w:div>
        <w:div w:id="609044734">
          <w:marLeft w:val="0"/>
          <w:marRight w:val="0"/>
          <w:marTop w:val="0"/>
          <w:marBottom w:val="0"/>
          <w:divBdr>
            <w:top w:val="none" w:sz="0" w:space="0" w:color="auto"/>
            <w:left w:val="none" w:sz="0" w:space="0" w:color="auto"/>
            <w:bottom w:val="none" w:sz="0" w:space="0" w:color="auto"/>
            <w:right w:val="none" w:sz="0" w:space="0" w:color="auto"/>
          </w:divBdr>
        </w:div>
        <w:div w:id="1209029643">
          <w:marLeft w:val="0"/>
          <w:marRight w:val="0"/>
          <w:marTop w:val="0"/>
          <w:marBottom w:val="0"/>
          <w:divBdr>
            <w:top w:val="none" w:sz="0" w:space="0" w:color="auto"/>
            <w:left w:val="none" w:sz="0" w:space="0" w:color="auto"/>
            <w:bottom w:val="none" w:sz="0" w:space="0" w:color="auto"/>
            <w:right w:val="none" w:sz="0" w:space="0" w:color="auto"/>
          </w:divBdr>
        </w:div>
        <w:div w:id="974792876">
          <w:marLeft w:val="0"/>
          <w:marRight w:val="0"/>
          <w:marTop w:val="0"/>
          <w:marBottom w:val="0"/>
          <w:divBdr>
            <w:top w:val="none" w:sz="0" w:space="0" w:color="auto"/>
            <w:left w:val="none" w:sz="0" w:space="0" w:color="auto"/>
            <w:bottom w:val="none" w:sz="0" w:space="0" w:color="auto"/>
            <w:right w:val="none" w:sz="0" w:space="0" w:color="auto"/>
          </w:divBdr>
        </w:div>
        <w:div w:id="1515727589">
          <w:marLeft w:val="0"/>
          <w:marRight w:val="0"/>
          <w:marTop w:val="0"/>
          <w:marBottom w:val="0"/>
          <w:divBdr>
            <w:top w:val="none" w:sz="0" w:space="0" w:color="auto"/>
            <w:left w:val="none" w:sz="0" w:space="0" w:color="auto"/>
            <w:bottom w:val="none" w:sz="0" w:space="0" w:color="auto"/>
            <w:right w:val="none" w:sz="0" w:space="0" w:color="auto"/>
          </w:divBdr>
        </w:div>
        <w:div w:id="418449381">
          <w:marLeft w:val="0"/>
          <w:marRight w:val="0"/>
          <w:marTop w:val="0"/>
          <w:marBottom w:val="0"/>
          <w:divBdr>
            <w:top w:val="none" w:sz="0" w:space="0" w:color="auto"/>
            <w:left w:val="none" w:sz="0" w:space="0" w:color="auto"/>
            <w:bottom w:val="none" w:sz="0" w:space="0" w:color="auto"/>
            <w:right w:val="none" w:sz="0" w:space="0" w:color="auto"/>
          </w:divBdr>
        </w:div>
        <w:div w:id="1786458176">
          <w:marLeft w:val="0"/>
          <w:marRight w:val="0"/>
          <w:marTop w:val="0"/>
          <w:marBottom w:val="0"/>
          <w:divBdr>
            <w:top w:val="none" w:sz="0" w:space="0" w:color="auto"/>
            <w:left w:val="none" w:sz="0" w:space="0" w:color="auto"/>
            <w:bottom w:val="none" w:sz="0" w:space="0" w:color="auto"/>
            <w:right w:val="none" w:sz="0" w:space="0" w:color="auto"/>
          </w:divBdr>
        </w:div>
        <w:div w:id="444621137">
          <w:marLeft w:val="0"/>
          <w:marRight w:val="0"/>
          <w:marTop w:val="0"/>
          <w:marBottom w:val="0"/>
          <w:divBdr>
            <w:top w:val="none" w:sz="0" w:space="0" w:color="auto"/>
            <w:left w:val="none" w:sz="0" w:space="0" w:color="auto"/>
            <w:bottom w:val="none" w:sz="0" w:space="0" w:color="auto"/>
            <w:right w:val="none" w:sz="0" w:space="0" w:color="auto"/>
          </w:divBdr>
        </w:div>
        <w:div w:id="230695712">
          <w:marLeft w:val="0"/>
          <w:marRight w:val="0"/>
          <w:marTop w:val="0"/>
          <w:marBottom w:val="0"/>
          <w:divBdr>
            <w:top w:val="none" w:sz="0" w:space="0" w:color="auto"/>
            <w:left w:val="none" w:sz="0" w:space="0" w:color="auto"/>
            <w:bottom w:val="none" w:sz="0" w:space="0" w:color="auto"/>
            <w:right w:val="none" w:sz="0" w:space="0" w:color="auto"/>
          </w:divBdr>
        </w:div>
        <w:div w:id="167912333">
          <w:marLeft w:val="0"/>
          <w:marRight w:val="0"/>
          <w:marTop w:val="0"/>
          <w:marBottom w:val="0"/>
          <w:divBdr>
            <w:top w:val="none" w:sz="0" w:space="0" w:color="auto"/>
            <w:left w:val="none" w:sz="0" w:space="0" w:color="auto"/>
            <w:bottom w:val="none" w:sz="0" w:space="0" w:color="auto"/>
            <w:right w:val="none" w:sz="0" w:space="0" w:color="auto"/>
          </w:divBdr>
        </w:div>
        <w:div w:id="1991667152">
          <w:marLeft w:val="0"/>
          <w:marRight w:val="0"/>
          <w:marTop w:val="0"/>
          <w:marBottom w:val="0"/>
          <w:divBdr>
            <w:top w:val="none" w:sz="0" w:space="0" w:color="auto"/>
            <w:left w:val="none" w:sz="0" w:space="0" w:color="auto"/>
            <w:bottom w:val="none" w:sz="0" w:space="0" w:color="auto"/>
            <w:right w:val="none" w:sz="0" w:space="0" w:color="auto"/>
          </w:divBdr>
        </w:div>
        <w:div w:id="2014910847">
          <w:marLeft w:val="0"/>
          <w:marRight w:val="0"/>
          <w:marTop w:val="0"/>
          <w:marBottom w:val="0"/>
          <w:divBdr>
            <w:top w:val="none" w:sz="0" w:space="0" w:color="auto"/>
            <w:left w:val="none" w:sz="0" w:space="0" w:color="auto"/>
            <w:bottom w:val="none" w:sz="0" w:space="0" w:color="auto"/>
            <w:right w:val="none" w:sz="0" w:space="0" w:color="auto"/>
          </w:divBdr>
        </w:div>
        <w:div w:id="977106009">
          <w:marLeft w:val="0"/>
          <w:marRight w:val="0"/>
          <w:marTop w:val="0"/>
          <w:marBottom w:val="0"/>
          <w:divBdr>
            <w:top w:val="none" w:sz="0" w:space="0" w:color="auto"/>
            <w:left w:val="none" w:sz="0" w:space="0" w:color="auto"/>
            <w:bottom w:val="none" w:sz="0" w:space="0" w:color="auto"/>
            <w:right w:val="none" w:sz="0" w:space="0" w:color="auto"/>
          </w:divBdr>
        </w:div>
        <w:div w:id="767040658">
          <w:marLeft w:val="0"/>
          <w:marRight w:val="0"/>
          <w:marTop w:val="0"/>
          <w:marBottom w:val="0"/>
          <w:divBdr>
            <w:top w:val="none" w:sz="0" w:space="0" w:color="auto"/>
            <w:left w:val="none" w:sz="0" w:space="0" w:color="auto"/>
            <w:bottom w:val="none" w:sz="0" w:space="0" w:color="auto"/>
            <w:right w:val="none" w:sz="0" w:space="0" w:color="auto"/>
          </w:divBdr>
        </w:div>
        <w:div w:id="793017143">
          <w:marLeft w:val="0"/>
          <w:marRight w:val="0"/>
          <w:marTop w:val="0"/>
          <w:marBottom w:val="0"/>
          <w:divBdr>
            <w:top w:val="none" w:sz="0" w:space="0" w:color="auto"/>
            <w:left w:val="none" w:sz="0" w:space="0" w:color="auto"/>
            <w:bottom w:val="none" w:sz="0" w:space="0" w:color="auto"/>
            <w:right w:val="none" w:sz="0" w:space="0" w:color="auto"/>
          </w:divBdr>
        </w:div>
      </w:divsChild>
    </w:div>
    <w:div w:id="1295138872">
      <w:bodyDiv w:val="1"/>
      <w:marLeft w:val="0"/>
      <w:marRight w:val="0"/>
      <w:marTop w:val="0"/>
      <w:marBottom w:val="0"/>
      <w:divBdr>
        <w:top w:val="none" w:sz="0" w:space="0" w:color="auto"/>
        <w:left w:val="none" w:sz="0" w:space="0" w:color="auto"/>
        <w:bottom w:val="none" w:sz="0" w:space="0" w:color="auto"/>
        <w:right w:val="none" w:sz="0" w:space="0" w:color="auto"/>
      </w:divBdr>
      <w:divsChild>
        <w:div w:id="1015307130">
          <w:marLeft w:val="0"/>
          <w:marRight w:val="0"/>
          <w:marTop w:val="0"/>
          <w:marBottom w:val="0"/>
          <w:divBdr>
            <w:top w:val="none" w:sz="0" w:space="0" w:color="auto"/>
            <w:left w:val="none" w:sz="0" w:space="0" w:color="auto"/>
            <w:bottom w:val="none" w:sz="0" w:space="0" w:color="auto"/>
            <w:right w:val="none" w:sz="0" w:space="0" w:color="auto"/>
          </w:divBdr>
        </w:div>
        <w:div w:id="80029187">
          <w:marLeft w:val="0"/>
          <w:marRight w:val="0"/>
          <w:marTop w:val="0"/>
          <w:marBottom w:val="0"/>
          <w:divBdr>
            <w:top w:val="none" w:sz="0" w:space="0" w:color="auto"/>
            <w:left w:val="none" w:sz="0" w:space="0" w:color="auto"/>
            <w:bottom w:val="none" w:sz="0" w:space="0" w:color="auto"/>
            <w:right w:val="none" w:sz="0" w:space="0" w:color="auto"/>
          </w:divBdr>
        </w:div>
        <w:div w:id="1315645900">
          <w:marLeft w:val="0"/>
          <w:marRight w:val="0"/>
          <w:marTop w:val="0"/>
          <w:marBottom w:val="0"/>
          <w:divBdr>
            <w:top w:val="none" w:sz="0" w:space="0" w:color="auto"/>
            <w:left w:val="none" w:sz="0" w:space="0" w:color="auto"/>
            <w:bottom w:val="none" w:sz="0" w:space="0" w:color="auto"/>
            <w:right w:val="none" w:sz="0" w:space="0" w:color="auto"/>
          </w:divBdr>
        </w:div>
        <w:div w:id="227767351">
          <w:marLeft w:val="0"/>
          <w:marRight w:val="0"/>
          <w:marTop w:val="0"/>
          <w:marBottom w:val="0"/>
          <w:divBdr>
            <w:top w:val="none" w:sz="0" w:space="0" w:color="auto"/>
            <w:left w:val="none" w:sz="0" w:space="0" w:color="auto"/>
            <w:bottom w:val="none" w:sz="0" w:space="0" w:color="auto"/>
            <w:right w:val="none" w:sz="0" w:space="0" w:color="auto"/>
          </w:divBdr>
        </w:div>
        <w:div w:id="315231719">
          <w:marLeft w:val="0"/>
          <w:marRight w:val="0"/>
          <w:marTop w:val="0"/>
          <w:marBottom w:val="0"/>
          <w:divBdr>
            <w:top w:val="none" w:sz="0" w:space="0" w:color="auto"/>
            <w:left w:val="none" w:sz="0" w:space="0" w:color="auto"/>
            <w:bottom w:val="none" w:sz="0" w:space="0" w:color="auto"/>
            <w:right w:val="none" w:sz="0" w:space="0" w:color="auto"/>
          </w:divBdr>
        </w:div>
        <w:div w:id="1734113242">
          <w:marLeft w:val="0"/>
          <w:marRight w:val="0"/>
          <w:marTop w:val="0"/>
          <w:marBottom w:val="0"/>
          <w:divBdr>
            <w:top w:val="none" w:sz="0" w:space="0" w:color="auto"/>
            <w:left w:val="none" w:sz="0" w:space="0" w:color="auto"/>
            <w:bottom w:val="none" w:sz="0" w:space="0" w:color="auto"/>
            <w:right w:val="none" w:sz="0" w:space="0" w:color="auto"/>
          </w:divBdr>
        </w:div>
        <w:div w:id="165363582">
          <w:marLeft w:val="0"/>
          <w:marRight w:val="0"/>
          <w:marTop w:val="0"/>
          <w:marBottom w:val="0"/>
          <w:divBdr>
            <w:top w:val="none" w:sz="0" w:space="0" w:color="auto"/>
            <w:left w:val="none" w:sz="0" w:space="0" w:color="auto"/>
            <w:bottom w:val="none" w:sz="0" w:space="0" w:color="auto"/>
            <w:right w:val="none" w:sz="0" w:space="0" w:color="auto"/>
          </w:divBdr>
        </w:div>
        <w:div w:id="1781103095">
          <w:marLeft w:val="0"/>
          <w:marRight w:val="0"/>
          <w:marTop w:val="0"/>
          <w:marBottom w:val="0"/>
          <w:divBdr>
            <w:top w:val="none" w:sz="0" w:space="0" w:color="auto"/>
            <w:left w:val="none" w:sz="0" w:space="0" w:color="auto"/>
            <w:bottom w:val="none" w:sz="0" w:space="0" w:color="auto"/>
            <w:right w:val="none" w:sz="0" w:space="0" w:color="auto"/>
          </w:divBdr>
        </w:div>
        <w:div w:id="482357669">
          <w:marLeft w:val="0"/>
          <w:marRight w:val="0"/>
          <w:marTop w:val="0"/>
          <w:marBottom w:val="0"/>
          <w:divBdr>
            <w:top w:val="none" w:sz="0" w:space="0" w:color="auto"/>
            <w:left w:val="none" w:sz="0" w:space="0" w:color="auto"/>
            <w:bottom w:val="none" w:sz="0" w:space="0" w:color="auto"/>
            <w:right w:val="none" w:sz="0" w:space="0" w:color="auto"/>
          </w:divBdr>
        </w:div>
        <w:div w:id="534855873">
          <w:marLeft w:val="0"/>
          <w:marRight w:val="0"/>
          <w:marTop w:val="0"/>
          <w:marBottom w:val="0"/>
          <w:divBdr>
            <w:top w:val="none" w:sz="0" w:space="0" w:color="auto"/>
            <w:left w:val="none" w:sz="0" w:space="0" w:color="auto"/>
            <w:bottom w:val="none" w:sz="0" w:space="0" w:color="auto"/>
            <w:right w:val="none" w:sz="0" w:space="0" w:color="auto"/>
          </w:divBdr>
        </w:div>
        <w:div w:id="1237860335">
          <w:marLeft w:val="0"/>
          <w:marRight w:val="0"/>
          <w:marTop w:val="0"/>
          <w:marBottom w:val="0"/>
          <w:divBdr>
            <w:top w:val="none" w:sz="0" w:space="0" w:color="auto"/>
            <w:left w:val="none" w:sz="0" w:space="0" w:color="auto"/>
            <w:bottom w:val="none" w:sz="0" w:space="0" w:color="auto"/>
            <w:right w:val="none" w:sz="0" w:space="0" w:color="auto"/>
          </w:divBdr>
        </w:div>
        <w:div w:id="1198544177">
          <w:marLeft w:val="0"/>
          <w:marRight w:val="0"/>
          <w:marTop w:val="0"/>
          <w:marBottom w:val="0"/>
          <w:divBdr>
            <w:top w:val="none" w:sz="0" w:space="0" w:color="auto"/>
            <w:left w:val="none" w:sz="0" w:space="0" w:color="auto"/>
            <w:bottom w:val="none" w:sz="0" w:space="0" w:color="auto"/>
            <w:right w:val="none" w:sz="0" w:space="0" w:color="auto"/>
          </w:divBdr>
        </w:div>
        <w:div w:id="1601647176">
          <w:marLeft w:val="0"/>
          <w:marRight w:val="0"/>
          <w:marTop w:val="0"/>
          <w:marBottom w:val="0"/>
          <w:divBdr>
            <w:top w:val="none" w:sz="0" w:space="0" w:color="auto"/>
            <w:left w:val="none" w:sz="0" w:space="0" w:color="auto"/>
            <w:bottom w:val="none" w:sz="0" w:space="0" w:color="auto"/>
            <w:right w:val="none" w:sz="0" w:space="0" w:color="auto"/>
          </w:divBdr>
        </w:div>
        <w:div w:id="428501381">
          <w:marLeft w:val="0"/>
          <w:marRight w:val="0"/>
          <w:marTop w:val="0"/>
          <w:marBottom w:val="0"/>
          <w:divBdr>
            <w:top w:val="none" w:sz="0" w:space="0" w:color="auto"/>
            <w:left w:val="none" w:sz="0" w:space="0" w:color="auto"/>
            <w:bottom w:val="none" w:sz="0" w:space="0" w:color="auto"/>
            <w:right w:val="none" w:sz="0" w:space="0" w:color="auto"/>
          </w:divBdr>
        </w:div>
        <w:div w:id="1080518098">
          <w:marLeft w:val="0"/>
          <w:marRight w:val="0"/>
          <w:marTop w:val="0"/>
          <w:marBottom w:val="0"/>
          <w:divBdr>
            <w:top w:val="none" w:sz="0" w:space="0" w:color="auto"/>
            <w:left w:val="none" w:sz="0" w:space="0" w:color="auto"/>
            <w:bottom w:val="none" w:sz="0" w:space="0" w:color="auto"/>
            <w:right w:val="none" w:sz="0" w:space="0" w:color="auto"/>
          </w:divBdr>
        </w:div>
        <w:div w:id="1041591318">
          <w:marLeft w:val="0"/>
          <w:marRight w:val="0"/>
          <w:marTop w:val="0"/>
          <w:marBottom w:val="0"/>
          <w:divBdr>
            <w:top w:val="none" w:sz="0" w:space="0" w:color="auto"/>
            <w:left w:val="none" w:sz="0" w:space="0" w:color="auto"/>
            <w:bottom w:val="none" w:sz="0" w:space="0" w:color="auto"/>
            <w:right w:val="none" w:sz="0" w:space="0" w:color="auto"/>
          </w:divBdr>
        </w:div>
        <w:div w:id="651907097">
          <w:marLeft w:val="0"/>
          <w:marRight w:val="0"/>
          <w:marTop w:val="0"/>
          <w:marBottom w:val="0"/>
          <w:divBdr>
            <w:top w:val="none" w:sz="0" w:space="0" w:color="auto"/>
            <w:left w:val="none" w:sz="0" w:space="0" w:color="auto"/>
            <w:bottom w:val="none" w:sz="0" w:space="0" w:color="auto"/>
            <w:right w:val="none" w:sz="0" w:space="0" w:color="auto"/>
          </w:divBdr>
        </w:div>
        <w:div w:id="1748184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Mariana Mkurnali</cp:lastModifiedBy>
  <cp:revision>4</cp:revision>
  <cp:lastPrinted>2018-01-15T13:10:00Z</cp:lastPrinted>
  <dcterms:created xsi:type="dcterms:W3CDTF">2018-01-16T14:52:00Z</dcterms:created>
  <dcterms:modified xsi:type="dcterms:W3CDTF">2018-01-17T11:06:00Z</dcterms:modified>
</cp:coreProperties>
</file>