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101F8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101F8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101F8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101F8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01F8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01F8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806392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AD66C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101F8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101F8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39074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390749" w:rsidRPr="00101F8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390749" w:rsidRPr="00101F8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180883">
              <w:rPr>
                <w:rFonts w:ascii="Sylfaen" w:hAnsi="Sylfaen"/>
                <w:sz w:val="24"/>
                <w:szCs w:val="24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11185A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390749" w:rsidP="00180883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180883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01F8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95539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101F8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806392">
              <w:rPr>
                <w:rFonts w:ascii="Sylfaen" w:eastAsia="MS Gothic" w:hAnsi="Sylfaen"/>
                <w:sz w:val="24"/>
                <w:szCs w:val="24"/>
                <w:lang w:val="ka-GE"/>
              </w:rPr>
              <w:t>00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806392">
              <w:rPr>
                <w:rFonts w:ascii="Sylfaen" w:eastAsia="MS Gothic" w:hAnsi="Sylfaen"/>
                <w:sz w:val="24"/>
                <w:szCs w:val="24"/>
                <w:lang w:val="ka-GE"/>
              </w:rPr>
              <w:t>00</w:t>
            </w:r>
          </w:p>
          <w:p w:rsidR="008B4641" w:rsidRPr="00101F8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101F8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5A16E9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1100 ლარი</w:t>
            </w:r>
          </w:p>
        </w:tc>
      </w:tr>
      <w:tr w:rsidR="008B4641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F67286" w:rsidP="00F67286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>;,,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მომსახურების, ,,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lastRenderedPageBreak/>
              <w:t>მიერ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01F8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01F8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left="720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უწყებათაშორისი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:</w:t>
            </w:r>
          </w:p>
          <w:p w:rsidR="009F0090" w:rsidRPr="00101F88" w:rsidRDefault="009F0090" w:rsidP="009F009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9F0090" w:rsidRPr="00101F88" w:rsidRDefault="009F0090" w:rsidP="009F009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>;</w:t>
            </w:r>
          </w:p>
          <w:p w:rsidR="009F0090" w:rsidRPr="00101F88" w:rsidRDefault="009F0090" w:rsidP="00C43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განმცხადებლისგან სათანადო 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</w:t>
            </w:r>
          </w:p>
          <w:p w:rsidR="009F0090" w:rsidRPr="00101F88" w:rsidRDefault="009F0090" w:rsidP="00C43E7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b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8F4868">
            <w:pPr>
              <w:pStyle w:val="ListParagraph"/>
              <w:spacing w:line="360" w:lineRule="auto"/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8F48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მუდმივი </w:t>
            </w: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წარმოება </w:t>
            </w:r>
            <w:r w:rsidR="008F4868">
              <w:rPr>
                <w:rFonts w:ascii="Sylfaen" w:hAnsi="Sylfaen" w:cs="Sylfaen"/>
                <w:sz w:val="24"/>
                <w:szCs w:val="24"/>
                <w:lang w:val="ka-GE"/>
              </w:rPr>
              <w:t>მიმართვების ადმინისტრირების მოდულში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 (პერიოდული)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F0090" w:rsidRPr="00101F8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მარეგულირებელი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ცოდნა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ცოდნის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მართვა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-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გამოყენება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ძირითადი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lastRenderedPageBreak/>
              <w:t>ფუნქციების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შესრულებისას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შინაგანაწესის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დაცვა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დაკისრებული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ფუნქცია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-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მოვალეობების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მიმართ</w:t>
            </w:r>
            <w:proofErr w:type="spellEnd"/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C43E7A">
            <w:pPr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იურიდიული</w:t>
            </w:r>
            <w:proofErr w:type="spellEnd"/>
            <w:r w:rsidRPr="00101F8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E038A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Times New Roman" w:hAnsi="Sylfaen"/>
                <w:sz w:val="24"/>
                <w:szCs w:val="24"/>
                <w:lang w:val="ka-GE"/>
              </w:rPr>
              <w:t>არასამთავრობო ორგანიზაციები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9F0090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9F0090" w:rsidRPr="00101F8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090" w:rsidRPr="00101F88" w:rsidRDefault="00AA69E6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</w:t>
            </w:r>
          </w:p>
        </w:tc>
      </w:tr>
    </w:tbl>
    <w:p w:rsidR="005D776B" w:rsidRPr="00101F8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  <w:r w:rsidRPr="00101F88">
        <w:rPr>
          <w:rFonts w:ascii="Sylfaen" w:hAnsi="Sylfaen"/>
          <w:b/>
          <w:szCs w:val="24"/>
          <w:lang w:val="ka-GE"/>
        </w:rPr>
        <w:tab/>
      </w:r>
    </w:p>
    <w:p w:rsidR="0074698E" w:rsidRPr="00101F8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101F8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101F8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101F8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101F8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101F8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101F8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101F8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101F8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493D9A" w:rsidP="00493D9A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493D9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101F8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101F8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01F8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101F8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101F8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6F1747" w:rsidP="0090074D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  <w:r w:rsidR="0090074D"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8639C3"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-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დაცვის საკითხები, საზოგადოებრივი ჯანდაცვა, სამედიცინო სფერო.</w:t>
            </w:r>
          </w:p>
        </w:tc>
      </w:tr>
      <w:tr w:rsidR="007275E6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01F8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101F8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01F8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6F7B8F" w:rsidRPr="00101F8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   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</w:p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პაციენტის უფლებების დაცვის შესახებ;</w:t>
            </w:r>
          </w:p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საექიმო საქმიანობის შესახებ.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F7B8F" w:rsidRPr="00101F8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   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lastRenderedPageBreak/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;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>   - ,,201</w:t>
            </w:r>
            <w:r w:rsidR="00A73D99">
              <w:rPr>
                <w:rFonts w:ascii="Sylfaen" w:hAnsi="Sylfaen"/>
                <w:sz w:val="24"/>
                <w:szCs w:val="24"/>
              </w:rPr>
              <w:t xml:space="preserve">9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A73D99">
              <w:rPr>
                <w:rFonts w:ascii="Sylfaen" w:hAnsi="Sylfaen"/>
                <w:sz w:val="24"/>
                <w:szCs w:val="24"/>
              </w:rPr>
              <w:t xml:space="preserve">8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73D99">
              <w:rPr>
                <w:rFonts w:ascii="Sylfaen" w:hAnsi="Sylfaen"/>
                <w:sz w:val="24"/>
                <w:szCs w:val="24"/>
              </w:rPr>
              <w:t xml:space="preserve">31 </w:t>
            </w:r>
            <w:r w:rsidR="00A73D99">
              <w:rPr>
                <w:rFonts w:ascii="Sylfaen" w:hAnsi="Sylfaen"/>
                <w:sz w:val="24"/>
                <w:szCs w:val="24"/>
                <w:lang w:val="ka-GE"/>
              </w:rPr>
              <w:t xml:space="preserve">დეკემბრის </w:t>
            </w:r>
            <w:r w:rsidR="00A73D99">
              <w:rPr>
                <w:rFonts w:ascii="Sylfaen" w:hAnsi="Sylfaen"/>
                <w:sz w:val="24"/>
                <w:szCs w:val="24"/>
                <w:lang w:val="ru-RU"/>
              </w:rPr>
              <w:t xml:space="preserve">№ 693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101F8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.</w:t>
            </w:r>
            <w:r w:rsidRPr="00101F8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8F4868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შრომის,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101F8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101F8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6F7B8F" w:rsidRPr="00101F88" w:rsidRDefault="006F7B8F" w:rsidP="006F7B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,,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01F88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101F8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6F7B8F" w:rsidRPr="00101F88" w:rsidRDefault="006F7B8F" w:rsidP="00A73D9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lastRenderedPageBreak/>
              <w:t>ფარგლებში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A73D99">
              <w:rPr>
                <w:rFonts w:ascii="Sylfaen" w:hAnsi="Sylfaen"/>
                <w:sz w:val="24"/>
                <w:szCs w:val="24"/>
                <w:lang w:val="ru-RU"/>
              </w:rPr>
              <w:t>9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73D99">
              <w:rPr>
                <w:rFonts w:ascii="Sylfaen" w:hAnsi="Sylfaen"/>
                <w:sz w:val="24"/>
                <w:szCs w:val="24"/>
                <w:lang w:val="ru-RU"/>
              </w:rPr>
              <w:t xml:space="preserve">22 </w:t>
            </w:r>
            <w:r w:rsidR="00A73D99">
              <w:rPr>
                <w:rFonts w:ascii="Sylfaen" w:hAnsi="Sylfaen"/>
                <w:sz w:val="24"/>
                <w:szCs w:val="24"/>
                <w:lang w:val="ka-GE"/>
              </w:rPr>
              <w:t>თებერვლის</w:t>
            </w:r>
            <w:r w:rsidR="00A73D99">
              <w:rPr>
                <w:rFonts w:ascii="Sylfaen" w:hAnsi="Sylfaen"/>
                <w:sz w:val="24"/>
                <w:szCs w:val="24"/>
              </w:rPr>
              <w:t xml:space="preserve"> №01-</w:t>
            </w:r>
            <w:r w:rsidR="00A73D99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101F8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101F8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6F7B8F" w:rsidRPr="00101F8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F7B8F" w:rsidRPr="00101F88" w:rsidRDefault="006F7B8F" w:rsidP="006F7B8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D276F" w:rsidRPr="00101F8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7D276F" w:rsidRPr="00101F8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7D276F" w:rsidRPr="00101F8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7D276F" w:rsidRPr="00101F88" w:rsidRDefault="007D276F" w:rsidP="007D276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7D276F" w:rsidRPr="00101F88" w:rsidRDefault="007D276F" w:rsidP="00A507B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ინტერნეტი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7D276F" w:rsidRPr="00101F8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276F" w:rsidRPr="00101F88" w:rsidRDefault="007D276F" w:rsidP="007D276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93007" w:rsidRPr="00101F8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ქართული  (მშობლიური)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ინგლისური   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sz w:val="24"/>
                <w:szCs w:val="24"/>
              </w:rPr>
              <w:t>A1</w:t>
            </w:r>
          </w:p>
          <w:p w:rsidR="00893007" w:rsidRPr="00101F88" w:rsidRDefault="00893007" w:rsidP="00893007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  რუსული  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101F8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893007" w:rsidRPr="00101F8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93007" w:rsidRPr="00101F88" w:rsidRDefault="00893007" w:rsidP="0089300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93007" w:rsidRPr="00101F8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101F8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93007" w:rsidRPr="00101F8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სამუშაო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93007" w:rsidRPr="00101F8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1E3FE8" w:rsidP="001E3FE8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101F8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101F8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1E3FE8" w:rsidP="00893007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93007" w:rsidRPr="00101F8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685C91" w:rsidP="00893007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685C91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101F8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101F8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93007" w:rsidRPr="00101F8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4F55EF" w:rsidP="00893007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4F55EF" w:rsidP="0089300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007" w:rsidRPr="00101F88" w:rsidRDefault="00893007" w:rsidP="0089300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101F8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101F8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93007" w:rsidRPr="00101F8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69E6" w:rsidRPr="00101F88" w:rsidRDefault="003A69E6" w:rsidP="003A69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A69E6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93007" w:rsidRPr="00101F88" w:rsidRDefault="003A69E6" w:rsidP="003A69E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01F8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101F8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101F8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101F8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101F8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101F8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101F8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101F8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101F8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11185A" w:rsidRDefault="0011185A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11185A" w:rsidRPr="00101F88" w:rsidRDefault="0011185A" w:rsidP="0011185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101F88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101F8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11185A">
        <w:rPr>
          <w:rFonts w:ascii="Sylfaen" w:eastAsia="Calibri" w:hAnsi="Sylfaen"/>
          <w:bCs/>
          <w:sz w:val="24"/>
          <w:szCs w:val="24"/>
          <w:lang w:val="ka-GE"/>
        </w:rPr>
        <w:t>____</w:t>
      </w:r>
      <w:r w:rsidRPr="0011185A">
        <w:rPr>
          <w:rFonts w:ascii="Sylfaen" w:eastAsia="Calibri" w:hAnsi="Sylfaen"/>
          <w:bCs/>
          <w:sz w:val="24"/>
          <w:szCs w:val="24"/>
          <w:lang w:val="ka-GE"/>
        </w:rPr>
        <w:t>ხათუნა ჯანაშია</w:t>
      </w:r>
      <w:r w:rsidRPr="0011185A">
        <w:rPr>
          <w:rFonts w:ascii="Sylfaen" w:eastAsia="Calibri" w:hAnsi="Sylfaen"/>
          <w:bCs/>
          <w:sz w:val="24"/>
          <w:szCs w:val="24"/>
          <w:lang w:val="ka-GE"/>
        </w:rPr>
        <w:t>______________________</w:t>
      </w:r>
      <w:bookmarkEnd w:id="0"/>
    </w:p>
    <w:p w:rsidR="0011185A" w:rsidRPr="00101F88" w:rsidRDefault="0011185A" w:rsidP="0011185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101F8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11185A" w:rsidRPr="00101F88" w:rsidRDefault="0011185A" w:rsidP="00FE1C08">
      <w:pPr>
        <w:spacing w:before="240" w:after="0"/>
        <w:rPr>
          <w:rFonts w:ascii="Sylfaen" w:hAnsi="Sylfaen"/>
          <w:sz w:val="24"/>
          <w:szCs w:val="24"/>
        </w:rPr>
      </w:pPr>
      <w:r w:rsidRPr="00101F8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11185A" w:rsidRPr="00101F8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B0D"/>
    <w:multiLevelType w:val="hybridMultilevel"/>
    <w:tmpl w:val="22FEAB90"/>
    <w:lvl w:ilvl="0" w:tplc="15D01B92">
      <w:start w:val="4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01F88"/>
    <w:rsid w:val="0011185A"/>
    <w:rsid w:val="00127851"/>
    <w:rsid w:val="00140295"/>
    <w:rsid w:val="0014563E"/>
    <w:rsid w:val="00155873"/>
    <w:rsid w:val="0016142B"/>
    <w:rsid w:val="001639C2"/>
    <w:rsid w:val="00180883"/>
    <w:rsid w:val="001E3FE8"/>
    <w:rsid w:val="001F5341"/>
    <w:rsid w:val="002041EC"/>
    <w:rsid w:val="003050A0"/>
    <w:rsid w:val="00332E5E"/>
    <w:rsid w:val="00340A2C"/>
    <w:rsid w:val="00341D75"/>
    <w:rsid w:val="00390749"/>
    <w:rsid w:val="003A5F01"/>
    <w:rsid w:val="003A69E6"/>
    <w:rsid w:val="003B257E"/>
    <w:rsid w:val="003C05E0"/>
    <w:rsid w:val="00410BC1"/>
    <w:rsid w:val="004460B4"/>
    <w:rsid w:val="004666A2"/>
    <w:rsid w:val="00493D9A"/>
    <w:rsid w:val="004A14D0"/>
    <w:rsid w:val="004A6D77"/>
    <w:rsid w:val="004B5F77"/>
    <w:rsid w:val="004F55EF"/>
    <w:rsid w:val="00531671"/>
    <w:rsid w:val="005A16E9"/>
    <w:rsid w:val="005C32E9"/>
    <w:rsid w:val="005D35CF"/>
    <w:rsid w:val="005D5CDB"/>
    <w:rsid w:val="005D776B"/>
    <w:rsid w:val="00685C91"/>
    <w:rsid w:val="006A06CE"/>
    <w:rsid w:val="006C54B7"/>
    <w:rsid w:val="006F1747"/>
    <w:rsid w:val="006F7B8F"/>
    <w:rsid w:val="007275E6"/>
    <w:rsid w:val="0074698E"/>
    <w:rsid w:val="00765DB6"/>
    <w:rsid w:val="00776486"/>
    <w:rsid w:val="00790C3C"/>
    <w:rsid w:val="007D276F"/>
    <w:rsid w:val="00806392"/>
    <w:rsid w:val="00861CD0"/>
    <w:rsid w:val="008639C3"/>
    <w:rsid w:val="00884ED7"/>
    <w:rsid w:val="00893007"/>
    <w:rsid w:val="008B4641"/>
    <w:rsid w:val="008D2B69"/>
    <w:rsid w:val="008F4868"/>
    <w:rsid w:val="0090074D"/>
    <w:rsid w:val="009110BB"/>
    <w:rsid w:val="009534ED"/>
    <w:rsid w:val="0095539B"/>
    <w:rsid w:val="00962D44"/>
    <w:rsid w:val="009722EE"/>
    <w:rsid w:val="009856E3"/>
    <w:rsid w:val="009E42F5"/>
    <w:rsid w:val="009F0090"/>
    <w:rsid w:val="00A1618E"/>
    <w:rsid w:val="00A246A4"/>
    <w:rsid w:val="00A507BB"/>
    <w:rsid w:val="00A73D99"/>
    <w:rsid w:val="00AA69E6"/>
    <w:rsid w:val="00AC1DDE"/>
    <w:rsid w:val="00AD66C6"/>
    <w:rsid w:val="00B313DF"/>
    <w:rsid w:val="00B56A23"/>
    <w:rsid w:val="00CE7DB0"/>
    <w:rsid w:val="00D1703E"/>
    <w:rsid w:val="00D17C78"/>
    <w:rsid w:val="00DB3C17"/>
    <w:rsid w:val="00E035B4"/>
    <w:rsid w:val="00E038A4"/>
    <w:rsid w:val="00E05CF9"/>
    <w:rsid w:val="00E1292D"/>
    <w:rsid w:val="00E423BA"/>
    <w:rsid w:val="00E73C5C"/>
    <w:rsid w:val="00E8550E"/>
    <w:rsid w:val="00EA3706"/>
    <w:rsid w:val="00EE5D2A"/>
    <w:rsid w:val="00EF279F"/>
    <w:rsid w:val="00F12B90"/>
    <w:rsid w:val="00F330D3"/>
    <w:rsid w:val="00F67286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46FDDFA"/>
  <w15:docId w15:val="{F4EDEA47-D3F2-424F-B4AC-5ABAA110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19C0-B713-47DA-BCC0-AC2E177C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84</cp:revision>
  <dcterms:created xsi:type="dcterms:W3CDTF">2015-05-22T17:38:00Z</dcterms:created>
  <dcterms:modified xsi:type="dcterms:W3CDTF">2019-07-02T06:18:00Z</dcterms:modified>
</cp:coreProperties>
</file>