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04D2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ინფორმაციულ-ანალიტიკური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62DB5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ინფორმაციული მართვის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9F7B7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ნანა კალანდია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4497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ინფორმაციული მართვის სამმართველოს მთავარი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6302645E" wp14:editId="6DD145EF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1074CF39" wp14:editId="6C3E78AC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497D" w:rsidP="0074497D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  <w:r w:rsidR="009B4002">
              <w:rPr>
                <w:rFonts w:ascii="Sylfaen" w:hAnsi="Sylfaen"/>
                <w:lang w:val="ka-GE"/>
              </w:rPr>
              <w:t>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570EA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0EAB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4D27" w:rsidRDefault="00604D27" w:rsidP="00604D27">
            <w:pPr>
              <w:spacing w:after="0"/>
              <w:rPr>
                <w:rFonts w:ascii="Sylfaen" w:hAnsi="Sylfaen" w:cs="Sylfaen"/>
                <w:lang w:val="ka-GE"/>
              </w:rPr>
            </w:pPr>
            <w:proofErr w:type="spellStart"/>
            <w:r w:rsidRPr="00954E12">
              <w:rPr>
                <w:rFonts w:ascii="Sylfaen" w:hAnsi="Sylfaen" w:cs="Sylfaen"/>
              </w:rPr>
              <w:t>სააგენტოს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მიერ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განხორციელებული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საქმიანობის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ანალიზის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და </w:t>
            </w:r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ინფორმაციულ-ანალიტიკური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სისტემის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ორგანიზაცი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</w:p>
          <w:p w:rsidR="00570EAB" w:rsidRPr="00604D27" w:rsidRDefault="00570EAB" w:rsidP="00604D2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570EA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70EAB" w:rsidRPr="00570EAB" w:rsidRDefault="00570EAB" w:rsidP="00570EAB">
            <w:pPr>
              <w:spacing w:line="360" w:lineRule="auto"/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</w:pPr>
            <w:proofErr w:type="spellStart"/>
            <w:r w:rsidRPr="00954E12">
              <w:rPr>
                <w:rFonts w:ascii="Sylfaen" w:hAnsi="Sylfaen" w:cs="Sylfaen"/>
              </w:rPr>
              <w:t>სააგენტოს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ინფორმაციულ-ანალიტიკური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სისტემის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ორგანიზაციის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lastRenderedPageBreak/>
              <w:t>კოორდინაცია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0EAB" w:rsidRPr="00A553CD" w:rsidRDefault="00570EA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570EA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70EAB" w:rsidRPr="00570EAB" w:rsidRDefault="009F7B70" w:rsidP="00570EAB">
            <w:pPr>
              <w:spacing w:line="360" w:lineRule="auto"/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  <w:lastRenderedPageBreak/>
              <w:t xml:space="preserve">დეპარტამენტის კომპეტენციის ფადლებში, </w:t>
            </w:r>
            <w:r w:rsidR="00570EAB" w:rsidRPr="00EC50A9"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  <w:t>სააგენტოს საქმიანობის შედეგების შესახებ ინფორმაციის  მომზადება და სააგენტოს ხელმძღვანელობისთვის წარდგენა (</w:t>
            </w:r>
            <w:r w:rsidR="002766A4"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  <w:t>პერიოდულად</w:t>
            </w:r>
            <w:bookmarkStart w:id="1" w:name="_GoBack"/>
            <w:bookmarkEnd w:id="1"/>
            <w:r w:rsidR="00570EAB" w:rsidRPr="00EC50A9"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0EAB" w:rsidRPr="00A553CD" w:rsidRDefault="00570EA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70EA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70EAB" w:rsidRPr="00EC50A9" w:rsidRDefault="00570EAB" w:rsidP="00C3490B">
            <w:pPr>
              <w:rPr>
                <w:rFonts w:ascii="Sylfaen" w:hAnsi="Sylfaen"/>
                <w:lang w:val="ka-GE"/>
              </w:rPr>
            </w:pPr>
            <w:r w:rsidRPr="00EC50A9">
              <w:rPr>
                <w:rFonts w:ascii="Sylfaen" w:hAnsi="Sylfaen"/>
                <w:lang w:val="ka-GE"/>
              </w:rPr>
              <w:t>სამმართველოში შემოსულ ცალკეულ კორესპონდეციაზე პასუხის მომზადება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0EAB" w:rsidRPr="00A553CD" w:rsidRDefault="00570EA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3A10C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10CC" w:rsidRPr="00A553CD" w:rsidRDefault="00570EAB" w:rsidP="00166788">
            <w:pPr>
              <w:rPr>
                <w:rFonts w:ascii="Sylfaen" w:hAnsi="Sylfaen"/>
                <w:lang w:val="ka-GE"/>
              </w:rPr>
            </w:pPr>
            <w:r w:rsidRPr="00A553CD">
              <w:rPr>
                <w:rFonts w:ascii="Sylfaen" w:hAnsi="Sylfaen"/>
                <w:lang w:val="ka-GE"/>
              </w:rPr>
              <w:t>ხელმძღვანელის მიერ</w:t>
            </w:r>
            <w:r w:rsidRPr="00A553CD">
              <w:rPr>
                <w:rFonts w:ascii="Sylfaen" w:hAnsi="Sylfaen"/>
              </w:rPr>
              <w:t>,</w:t>
            </w:r>
            <w:r w:rsidRPr="00A553CD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A553CD">
              <w:rPr>
                <w:rFonts w:ascii="Sylfaen" w:hAnsi="Sylfaen"/>
              </w:rPr>
              <w:t xml:space="preserve"> </w:t>
            </w:r>
            <w:r w:rsidRPr="00A553CD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644E18" w:rsidRDefault="00CC02D4">
      <w:pPr>
        <w:rPr>
          <w:rFonts w:ascii="Sylfaen" w:hAnsi="Sylfaen"/>
          <w:b/>
          <w:lang w:val="ka-GE"/>
        </w:rPr>
      </w:pPr>
    </w:p>
    <w:sectPr w:rsidR="00CC02D4" w:rsidRPr="00644E18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4736C"/>
    <w:multiLevelType w:val="hybridMultilevel"/>
    <w:tmpl w:val="84B4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60755F4"/>
    <w:multiLevelType w:val="multilevel"/>
    <w:tmpl w:val="6A90B728"/>
    <w:styleLink w:val="List2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8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E5DBF"/>
    <w:rsid w:val="000F7F4D"/>
    <w:rsid w:val="0011776C"/>
    <w:rsid w:val="00127851"/>
    <w:rsid w:val="00140295"/>
    <w:rsid w:val="0014563E"/>
    <w:rsid w:val="0017419C"/>
    <w:rsid w:val="001748AA"/>
    <w:rsid w:val="0018731D"/>
    <w:rsid w:val="00190865"/>
    <w:rsid w:val="001A225F"/>
    <w:rsid w:val="001F16E4"/>
    <w:rsid w:val="002041EC"/>
    <w:rsid w:val="0027643E"/>
    <w:rsid w:val="002766A4"/>
    <w:rsid w:val="002A7662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449AC"/>
    <w:rsid w:val="004666A2"/>
    <w:rsid w:val="00467DCF"/>
    <w:rsid w:val="005114E7"/>
    <w:rsid w:val="00570EAB"/>
    <w:rsid w:val="00587C28"/>
    <w:rsid w:val="005D35CF"/>
    <w:rsid w:val="005D776B"/>
    <w:rsid w:val="00604D27"/>
    <w:rsid w:val="00644E18"/>
    <w:rsid w:val="00662DB5"/>
    <w:rsid w:val="00675C76"/>
    <w:rsid w:val="006A344A"/>
    <w:rsid w:val="006B5E05"/>
    <w:rsid w:val="006C54B7"/>
    <w:rsid w:val="007273B4"/>
    <w:rsid w:val="007275E6"/>
    <w:rsid w:val="0074497D"/>
    <w:rsid w:val="0074698E"/>
    <w:rsid w:val="00755446"/>
    <w:rsid w:val="00763CFD"/>
    <w:rsid w:val="00765DB6"/>
    <w:rsid w:val="00776486"/>
    <w:rsid w:val="00790C3C"/>
    <w:rsid w:val="007B1A31"/>
    <w:rsid w:val="007C0207"/>
    <w:rsid w:val="007E40B2"/>
    <w:rsid w:val="008C69C2"/>
    <w:rsid w:val="008D2B69"/>
    <w:rsid w:val="009110BB"/>
    <w:rsid w:val="00946A68"/>
    <w:rsid w:val="00962D44"/>
    <w:rsid w:val="009722EE"/>
    <w:rsid w:val="009759CB"/>
    <w:rsid w:val="009856E3"/>
    <w:rsid w:val="009A02B9"/>
    <w:rsid w:val="009B4002"/>
    <w:rsid w:val="009C1CDC"/>
    <w:rsid w:val="009E42F5"/>
    <w:rsid w:val="009F7B70"/>
    <w:rsid w:val="00A246A4"/>
    <w:rsid w:val="00A553CD"/>
    <w:rsid w:val="00AB0A72"/>
    <w:rsid w:val="00B1786B"/>
    <w:rsid w:val="00B20FDD"/>
    <w:rsid w:val="00B313DF"/>
    <w:rsid w:val="00B364C8"/>
    <w:rsid w:val="00BA7050"/>
    <w:rsid w:val="00BB1D54"/>
    <w:rsid w:val="00C62D4D"/>
    <w:rsid w:val="00CC02D4"/>
    <w:rsid w:val="00CC749D"/>
    <w:rsid w:val="00CF51DD"/>
    <w:rsid w:val="00D42B92"/>
    <w:rsid w:val="00DB3C17"/>
    <w:rsid w:val="00DF2FAE"/>
    <w:rsid w:val="00E035B4"/>
    <w:rsid w:val="00E05CF9"/>
    <w:rsid w:val="00E51447"/>
    <w:rsid w:val="00E73C5C"/>
    <w:rsid w:val="00E8550E"/>
    <w:rsid w:val="00EA3706"/>
    <w:rsid w:val="00EE0E3A"/>
    <w:rsid w:val="00F07C95"/>
    <w:rsid w:val="00F25463"/>
    <w:rsid w:val="00F330D3"/>
    <w:rsid w:val="00F55FF6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00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B4002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numbering" w:customStyle="1" w:styleId="List21">
    <w:name w:val="List 21"/>
    <w:basedOn w:val="NoList"/>
    <w:rsid w:val="009B4002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00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B4002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numbering" w:customStyle="1" w:styleId="List21">
    <w:name w:val="List 21"/>
    <w:basedOn w:val="NoList"/>
    <w:rsid w:val="009B400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Liana Melikidze</cp:lastModifiedBy>
  <cp:revision>3</cp:revision>
  <cp:lastPrinted>2016-04-06T06:47:00Z</cp:lastPrinted>
  <dcterms:created xsi:type="dcterms:W3CDTF">2019-07-01T06:51:00Z</dcterms:created>
  <dcterms:modified xsi:type="dcterms:W3CDTF">2019-07-01T07:03:00Z</dcterms:modified>
</cp:coreProperties>
</file>