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1E" w:rsidRDefault="000047F2" w:rsidP="00C7381E">
      <w:pPr>
        <w:spacing w:before="240"/>
        <w:ind w:firstLine="720"/>
        <w:jc w:val="right"/>
        <w:rPr>
          <w:rFonts w:ascii="Sylfaen" w:hAnsi="Sylfaen" w:cs="Sylfaen"/>
          <w:b/>
          <w:sz w:val="20"/>
          <w:szCs w:val="20"/>
        </w:rPr>
      </w:pPr>
      <w:bookmarkStart w:id="0" w:name="_GoBack"/>
      <w:r>
        <w:rPr>
          <w:rFonts w:ascii="Sylfaen" w:hAnsi="Sylfaen" w:cs="Sylfaen"/>
          <w:b/>
          <w:sz w:val="20"/>
          <w:szCs w:val="20"/>
        </w:rPr>
        <w:t xml:space="preserve">N2 </w:t>
      </w:r>
      <w:r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C7381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bookmarkEnd w:id="0"/>
    <w:p w:rsidR="000047F2" w:rsidRPr="000047F2" w:rsidRDefault="000047F2" w:rsidP="000047F2">
      <w:pPr>
        <w:spacing w:before="240"/>
        <w:ind w:firstLine="72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ჯანმრთელობის დაცვის სხვა სახელმწიფო პროგრამები</w:t>
      </w:r>
    </w:p>
    <w:p w:rsidR="000047F2" w:rsidRDefault="000047F2" w:rsidP="000047F2">
      <w:pPr>
        <w:spacing w:before="24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368DA">
        <w:rPr>
          <w:rFonts w:ascii="Sylfaen" w:hAnsi="Sylfaen" w:cs="Sylfaen"/>
          <w:sz w:val="20"/>
          <w:szCs w:val="20"/>
          <w:lang w:val="ka-GE"/>
        </w:rPr>
        <w:t>ყოველწლიურად განახლებადი</w:t>
      </w:r>
      <w:r w:rsidRPr="005368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5368DA">
        <w:rPr>
          <w:rFonts w:ascii="Sylfaen" w:hAnsi="Sylfaen" w:cs="Sylfaen"/>
          <w:sz w:val="20"/>
          <w:szCs w:val="20"/>
          <w:lang w:val="ka-GE"/>
        </w:rPr>
        <w:t>სხვა ჯანდაცვის პროგრამების (დღეს მდგომარეობით მოქმედებს საქართველოს</w:t>
      </w:r>
      <w:r w:rsidRPr="005368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მთავრობის 2017 წლის 28 დეკემბრის N592 დადენილებით დამტკიცებული </w:t>
      </w:r>
      <w:r w:rsidRPr="005368DA">
        <w:rPr>
          <w:sz w:val="20"/>
          <w:szCs w:val="20"/>
        </w:rPr>
        <w:t>„2018 </w:t>
      </w:r>
      <w:proofErr w:type="spellStart"/>
      <w:r w:rsidRPr="005368DA">
        <w:rPr>
          <w:rFonts w:ascii="Sylfaen" w:hAnsi="Sylfaen" w:cs="Sylfaen"/>
          <w:sz w:val="20"/>
          <w:szCs w:val="20"/>
        </w:rPr>
        <w:t>წლის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პროგრამები</w:t>
      </w:r>
      <w:proofErr w:type="spellEnd"/>
      <w:r w:rsidRPr="005368DA">
        <w:rPr>
          <w:rFonts w:ascii="Sylfaen" w:hAnsi="Sylfaen" w:cs="Sylfaen"/>
          <w:sz w:val="20"/>
          <w:szCs w:val="20"/>
          <w:lang w:val="ka-GE"/>
        </w:rPr>
        <w:t xml:space="preserve">“) ფარგლებში პირის მოსარგებლედ ცნობა ასევე დამოკიდებულია </w:t>
      </w:r>
      <w:r w:rsidRPr="00C7381E">
        <w:rPr>
          <w:rFonts w:ascii="Sylfaen" w:hAnsi="Sylfaen" w:cs="Sylfaen"/>
          <w:sz w:val="20"/>
          <w:szCs w:val="20"/>
          <w:lang w:val="ka-GE"/>
        </w:rPr>
        <w:t>პირის</w:t>
      </w:r>
      <w:r w:rsidRPr="00C7381E">
        <w:rPr>
          <w:sz w:val="20"/>
          <w:szCs w:val="20"/>
          <w:lang w:val="ka-GE"/>
        </w:rPr>
        <w:t xml:space="preserve"> </w:t>
      </w:r>
      <w:r w:rsidRPr="00C7381E">
        <w:rPr>
          <w:rFonts w:ascii="Sylfaen" w:hAnsi="Sylfaen" w:cs="Sylfaen"/>
          <w:sz w:val="20"/>
          <w:szCs w:val="20"/>
          <w:lang w:val="ka-GE"/>
        </w:rPr>
        <w:t>იდენტიფიცირებაზე</w:t>
      </w:r>
      <w:r w:rsidRPr="00C7381E">
        <w:rPr>
          <w:sz w:val="20"/>
          <w:szCs w:val="20"/>
          <w:lang w:val="ka-GE"/>
        </w:rPr>
        <w:t xml:space="preserve">, </w:t>
      </w:r>
      <w:r w:rsidRPr="00C7381E">
        <w:rPr>
          <w:rFonts w:ascii="Sylfaen" w:hAnsi="Sylfaen" w:cs="Sylfaen"/>
          <w:sz w:val="20"/>
          <w:szCs w:val="20"/>
          <w:lang w:val="ka-GE"/>
        </w:rPr>
        <w:t>მათ</w:t>
      </w:r>
      <w:r w:rsidRPr="00C7381E">
        <w:rPr>
          <w:sz w:val="20"/>
          <w:szCs w:val="20"/>
          <w:lang w:val="ka-GE"/>
        </w:rPr>
        <w:t xml:space="preserve"> </w:t>
      </w:r>
      <w:r w:rsidRPr="00C7381E">
        <w:rPr>
          <w:rFonts w:ascii="Sylfaen" w:hAnsi="Sylfaen" w:cs="Sylfaen"/>
          <w:sz w:val="20"/>
          <w:szCs w:val="20"/>
          <w:lang w:val="ka-GE"/>
        </w:rPr>
        <w:t>შორის,</w:t>
      </w:r>
      <w:r w:rsidRPr="005368DA">
        <w:rPr>
          <w:sz w:val="20"/>
          <w:szCs w:val="20"/>
          <w:lang w:val="ka-GE"/>
        </w:rPr>
        <w:t xml:space="preserve"> </w:t>
      </w:r>
      <w:r w:rsidRPr="005368DA">
        <w:rPr>
          <w:rFonts w:ascii="Sylfaen" w:hAnsi="Sylfaen" w:cs="Sylfaen"/>
          <w:sz w:val="20"/>
          <w:szCs w:val="20"/>
          <w:lang w:val="ka-GE"/>
        </w:rPr>
        <w:t>მოქალაქეობრივ</w:t>
      </w:r>
      <w:r w:rsidRPr="005368DA">
        <w:rPr>
          <w:sz w:val="20"/>
          <w:szCs w:val="20"/>
          <w:lang w:val="ka-GE"/>
        </w:rPr>
        <w:t xml:space="preserve"> </w:t>
      </w:r>
      <w:r w:rsidRPr="005368DA">
        <w:rPr>
          <w:rFonts w:ascii="Sylfaen" w:hAnsi="Sylfaen" w:cs="Sylfaen"/>
          <w:sz w:val="20"/>
          <w:szCs w:val="20"/>
          <w:lang w:val="ka-GE"/>
        </w:rPr>
        <w:t>სტატუსზე. საქართველოს</w:t>
      </w:r>
      <w:r w:rsidRPr="005368DA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მთავრობის 2017 წლის 28 დეკემბრის N592 დადენილებით დამტკიცებული </w:t>
      </w:r>
      <w:r w:rsidRPr="005368DA">
        <w:rPr>
          <w:sz w:val="20"/>
          <w:szCs w:val="20"/>
        </w:rPr>
        <w:t>„2018 </w:t>
      </w:r>
      <w:proofErr w:type="spellStart"/>
      <w:r w:rsidRPr="005368DA">
        <w:rPr>
          <w:rFonts w:ascii="Sylfaen" w:hAnsi="Sylfaen" w:cs="Sylfaen"/>
          <w:sz w:val="20"/>
          <w:szCs w:val="20"/>
        </w:rPr>
        <w:t>წლის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პროგრამები</w:t>
      </w:r>
      <w:proofErr w:type="spellEnd"/>
      <w:r w:rsidRPr="005368DA">
        <w:rPr>
          <w:rFonts w:ascii="Sylfaen" w:hAnsi="Sylfaen" w:cs="Sylfaen"/>
          <w:sz w:val="20"/>
          <w:szCs w:val="20"/>
          <w:lang w:val="ka-GE"/>
        </w:rPr>
        <w:t xml:space="preserve">ს“ მე-2 მუხლის პირველი პუნქტის თანახმად, </w:t>
      </w:r>
      <w:r w:rsidRPr="005368DA">
        <w:rPr>
          <w:sz w:val="20"/>
          <w:szCs w:val="20"/>
        </w:rPr>
        <w:t> </w:t>
      </w:r>
      <w:proofErr w:type="spellStart"/>
      <w:r w:rsidRPr="005368DA">
        <w:rPr>
          <w:rFonts w:ascii="Sylfaen" w:hAnsi="Sylfaen" w:cs="Sylfaen"/>
          <w:sz w:val="20"/>
          <w:szCs w:val="20"/>
        </w:rPr>
        <w:t>პროგრამების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მოსარგებლეები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არიან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მოქალაქეები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თუ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ცალკეული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პროგრამით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სხვა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რამ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არ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არის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5368DA">
        <w:rPr>
          <w:sz w:val="20"/>
          <w:szCs w:val="20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 ამავე</w:t>
      </w:r>
      <w:r w:rsidRPr="00770D24">
        <w:rPr>
          <w:rFonts w:ascii="Sylfaen" w:hAnsi="Sylfaen"/>
          <w:sz w:val="20"/>
          <w:szCs w:val="20"/>
          <w:lang w:val="ka-GE"/>
        </w:rPr>
        <w:t xml:space="preserve"> მუხლის მე-2 პუნქტის თანახმად,  პროგრამების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(მათ შორის, 18 წლამდე ასაკის ბავშვების შემთხვევაში - პირადი ნომერი ან დაბადების მოწმობა), პირადობის ნეიტრალური მოწმობის, ნეიტრალური სამგზავრო დოკუმენტის მქონე პირები, საქართველოში სტატუსის მქონე მოქალაქეობის არმქონე პირები, საქართველოში თავშესაფრის მაძიებელი პირები, ლტოლვილის ან ჰუმანიტარული სტატუსის მქონე პირები.  </w:t>
      </w:r>
    </w:p>
    <w:p w:rsidR="000047F2" w:rsidRPr="00770D24" w:rsidRDefault="000047F2" w:rsidP="000047F2">
      <w:pPr>
        <w:spacing w:before="24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770D24">
        <w:rPr>
          <w:rFonts w:ascii="Sylfaen" w:hAnsi="Sylfaen"/>
          <w:sz w:val="20"/>
          <w:szCs w:val="20"/>
          <w:lang w:val="ka-GE"/>
        </w:rPr>
        <w:t xml:space="preserve">შესაბამისად, </w:t>
      </w:r>
      <w:r>
        <w:rPr>
          <w:rFonts w:ascii="Sylfaen" w:hAnsi="Sylfaen"/>
          <w:sz w:val="20"/>
          <w:szCs w:val="20"/>
          <w:lang w:val="ka-GE"/>
        </w:rPr>
        <w:t xml:space="preserve">სააგენტოს, როგორც </w:t>
      </w:r>
      <w:r w:rsidRPr="00770D24">
        <w:rPr>
          <w:rFonts w:ascii="Sylfaen" w:hAnsi="Sylfaen"/>
          <w:sz w:val="20"/>
          <w:szCs w:val="20"/>
          <w:lang w:val="ka-GE"/>
        </w:rPr>
        <w:t>პროგრამის განმახორციელებლისთვის</w:t>
      </w:r>
      <w:r>
        <w:rPr>
          <w:rFonts w:ascii="Sylfaen" w:hAnsi="Sylfaen"/>
          <w:sz w:val="20"/>
          <w:szCs w:val="20"/>
          <w:lang w:val="ka-GE"/>
        </w:rPr>
        <w:t>,</w:t>
      </w:r>
      <w:r w:rsidRPr="00770D24">
        <w:rPr>
          <w:rFonts w:ascii="Sylfaen" w:hAnsi="Sylfaen"/>
          <w:sz w:val="20"/>
          <w:szCs w:val="20"/>
          <w:lang w:val="ka-GE"/>
        </w:rPr>
        <w:t xml:space="preserve"> მნიშვნელოვანია </w:t>
      </w:r>
      <w:r>
        <w:rPr>
          <w:rFonts w:ascii="Sylfaen" w:hAnsi="Sylfaen"/>
          <w:sz w:val="20"/>
          <w:szCs w:val="20"/>
          <w:lang w:val="ka-GE"/>
        </w:rPr>
        <w:t xml:space="preserve"> ინფორმაცია ფიზიკური პირის </w:t>
      </w:r>
      <w:r w:rsidRPr="00770D24">
        <w:rPr>
          <w:rFonts w:ascii="Sylfaen" w:hAnsi="Sylfaen"/>
          <w:sz w:val="20"/>
          <w:szCs w:val="20"/>
          <w:lang w:val="ka-GE"/>
        </w:rPr>
        <w:t>მოქალაქეობრივი სტატუსი</w:t>
      </w:r>
      <w:r>
        <w:rPr>
          <w:rFonts w:ascii="Sylfaen" w:hAnsi="Sylfaen"/>
          <w:sz w:val="20"/>
          <w:szCs w:val="20"/>
          <w:lang w:val="ka-GE"/>
        </w:rPr>
        <w:t xml:space="preserve">ს და </w:t>
      </w:r>
      <w:r w:rsidRPr="00770D24">
        <w:rPr>
          <w:rFonts w:ascii="Sylfaen" w:hAnsi="Sylfaen"/>
          <w:sz w:val="20"/>
          <w:szCs w:val="20"/>
          <w:lang w:val="ka-GE"/>
        </w:rPr>
        <w:t>მისი ცვლილების შესახებ (სტატუსის მინიჭების თარიღის/ დოკუმენტის გაცემის/გაუქმების თარიღის ჩვენებით).</w:t>
      </w:r>
    </w:p>
    <w:p w:rsidR="000047F2" w:rsidRPr="005368DA" w:rsidRDefault="000047F2" w:rsidP="000047F2">
      <w:pPr>
        <w:spacing w:before="240"/>
        <w:ind w:firstLine="720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5368DA">
        <w:rPr>
          <w:rFonts w:ascii="Sylfaen" w:hAnsi="Sylfaen"/>
          <w:color w:val="000000"/>
          <w:sz w:val="20"/>
          <w:szCs w:val="20"/>
        </w:rPr>
        <w:t>გარკვეული</w:t>
      </w:r>
      <w:proofErr w:type="spellEnd"/>
      <w:proofErr w:type="gram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პროგრამების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>/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კომპონენტების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ფარგლებში</w:t>
      </w:r>
      <w:proofErr w:type="spellEnd"/>
      <w:r>
        <w:rPr>
          <w:rFonts w:ascii="Sylfaen" w:hAnsi="Sylfaen"/>
          <w:color w:val="000000"/>
          <w:sz w:val="20"/>
          <w:szCs w:val="20"/>
          <w:lang w:val="ka-GE"/>
        </w:rPr>
        <w:t>,</w:t>
      </w:r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მოსარგებლეთა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ჯგუფს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მიეკუთვნება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კონკრეტულ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ქალაქსა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თუ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მუნიციპალიტეტებში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რეგისტრირებული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ან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შემოსაზღვრულ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არეალში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მცხოვრები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საქართველოს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მოქალაქე</w:t>
      </w:r>
      <w:proofErr w:type="spellEnd"/>
      <w:r w:rsidRPr="005368DA">
        <w:rPr>
          <w:rFonts w:ascii="Sylfaen" w:hAnsi="Sylfaen"/>
          <w:color w:val="000000"/>
          <w:sz w:val="20"/>
          <w:szCs w:val="20"/>
          <w:lang w:val="ka-GE"/>
        </w:rPr>
        <w:t xml:space="preserve"> (ი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ნკურაბელურ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პაციენტთა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პალიატიური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მზრუნველობ</w:t>
      </w:r>
      <w:proofErr w:type="spellEnd"/>
      <w:r w:rsidRPr="005368DA">
        <w:rPr>
          <w:rFonts w:ascii="Sylfaen" w:hAnsi="Sylfaen"/>
          <w:color w:val="000000"/>
          <w:sz w:val="20"/>
          <w:szCs w:val="20"/>
          <w:lang w:val="ka-GE"/>
        </w:rPr>
        <w:t>ის სახელმწიფო პროგრამა - დანართი N12</w:t>
      </w:r>
      <w:r w:rsidRPr="005368DA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ფსიქიკური</w:t>
      </w:r>
      <w:proofErr w:type="spellEnd"/>
      <w:r w:rsidRPr="005368DA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68DA">
        <w:rPr>
          <w:rFonts w:ascii="Sylfaen" w:hAnsi="Sylfaen"/>
          <w:color w:val="000000"/>
          <w:sz w:val="20"/>
          <w:szCs w:val="20"/>
        </w:rPr>
        <w:t>ჯანმრთელობ</w:t>
      </w:r>
      <w:proofErr w:type="spellEnd"/>
      <w:r w:rsidRPr="005368DA">
        <w:rPr>
          <w:rFonts w:ascii="Sylfaen" w:hAnsi="Sylfaen"/>
          <w:color w:val="000000"/>
          <w:sz w:val="20"/>
          <w:szCs w:val="20"/>
          <w:lang w:val="ka-GE"/>
        </w:rPr>
        <w:t>ის სახელმწიფო პროგრამა - დანართი N16)</w:t>
      </w:r>
      <w:r w:rsidRPr="005368DA">
        <w:rPr>
          <w:rFonts w:ascii="Sylfaen" w:hAnsi="Sylfaen"/>
          <w:color w:val="000000"/>
          <w:sz w:val="20"/>
          <w:szCs w:val="20"/>
        </w:rPr>
        <w:t> </w:t>
      </w:r>
      <w:r w:rsidRPr="005368DA">
        <w:rPr>
          <w:rFonts w:ascii="Sylfaen" w:hAnsi="Sylfaen"/>
          <w:color w:val="000000"/>
          <w:sz w:val="20"/>
          <w:szCs w:val="20"/>
          <w:lang w:val="ka-GE"/>
        </w:rPr>
        <w:t>. მაგალითად,</w:t>
      </w:r>
      <w:r w:rsidRPr="005368DA">
        <w:rPr>
          <w:rFonts w:ascii="Sylfaen" w:hAnsi="Sylfaen"/>
          <w:sz w:val="20"/>
          <w:szCs w:val="20"/>
          <w:lang w:val="ka-GE"/>
        </w:rPr>
        <w:t xml:space="preserve"> </w:t>
      </w:r>
      <w:r w:rsidRPr="005368DA">
        <w:rPr>
          <w:sz w:val="20"/>
          <w:szCs w:val="20"/>
        </w:rPr>
        <w:t>„</w:t>
      </w:r>
      <w:proofErr w:type="spellStart"/>
      <w:r w:rsidRPr="005368DA">
        <w:rPr>
          <w:rFonts w:ascii="Sylfaen" w:hAnsi="Sylfaen" w:cs="Sylfaen"/>
          <w:sz w:val="20"/>
          <w:szCs w:val="20"/>
        </w:rPr>
        <w:t>ინკურაბელურ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პაციენტთა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პალიატიური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მზრუნველობის</w:t>
      </w:r>
      <w:proofErr w:type="spellEnd"/>
      <w:r w:rsidRPr="005368DA">
        <w:rPr>
          <w:sz w:val="20"/>
          <w:szCs w:val="20"/>
        </w:rPr>
        <w:t xml:space="preserve">“ </w:t>
      </w:r>
      <w:proofErr w:type="spellStart"/>
      <w:r w:rsidRPr="005368DA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368DA">
        <w:rPr>
          <w:sz w:val="20"/>
          <w:szCs w:val="20"/>
        </w:rPr>
        <w:t xml:space="preserve"> „</w:t>
      </w:r>
      <w:proofErr w:type="spellStart"/>
      <w:r w:rsidRPr="005368DA">
        <w:rPr>
          <w:rFonts w:ascii="Sylfaen" w:hAnsi="Sylfaen" w:cs="Sylfaen"/>
          <w:sz w:val="20"/>
          <w:szCs w:val="20"/>
        </w:rPr>
        <w:t>ინკურაბელურ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პაციენტთა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ამბულატორიული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პალიატიური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მზრუნველობის</w:t>
      </w:r>
      <w:proofErr w:type="spellEnd"/>
      <w:r w:rsidRPr="005368DA">
        <w:rPr>
          <w:sz w:val="20"/>
          <w:szCs w:val="20"/>
        </w:rPr>
        <w:t xml:space="preserve">“ </w:t>
      </w:r>
      <w:proofErr w:type="spellStart"/>
      <w:r w:rsidRPr="005368DA">
        <w:rPr>
          <w:rFonts w:ascii="Sylfaen" w:hAnsi="Sylfaen" w:cs="Sylfaen"/>
          <w:sz w:val="20"/>
          <w:szCs w:val="20"/>
        </w:rPr>
        <w:t>კომპონენტის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მოსარგებლები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შეიძლება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იყვნენ</w:t>
      </w:r>
      <w:proofErr w:type="spellEnd"/>
      <w:r w:rsidRPr="005368DA">
        <w:rPr>
          <w:sz w:val="20"/>
          <w:szCs w:val="20"/>
        </w:rPr>
        <w:t xml:space="preserve"> </w:t>
      </w:r>
      <w:r w:rsidRPr="005368DA">
        <w:rPr>
          <w:rFonts w:ascii="Sylfaen" w:hAnsi="Sylfaen" w:cs="Sylfaen"/>
          <w:sz w:val="20"/>
          <w:szCs w:val="20"/>
        </w:rPr>
        <w:t>ქ</w:t>
      </w:r>
      <w:r w:rsidRPr="005368DA">
        <w:rPr>
          <w:sz w:val="20"/>
          <w:szCs w:val="20"/>
        </w:rPr>
        <w:t xml:space="preserve">. </w:t>
      </w:r>
      <w:proofErr w:type="spellStart"/>
      <w:proofErr w:type="gramStart"/>
      <w:r w:rsidRPr="005368DA">
        <w:rPr>
          <w:rFonts w:ascii="Sylfaen" w:hAnsi="Sylfaen" w:cs="Sylfaen"/>
          <w:sz w:val="20"/>
          <w:szCs w:val="20"/>
        </w:rPr>
        <w:t>თბილისის</w:t>
      </w:r>
      <w:proofErr w:type="spellEnd"/>
      <w:proofErr w:type="gramEnd"/>
      <w:r w:rsidRPr="005368DA">
        <w:rPr>
          <w:sz w:val="20"/>
          <w:szCs w:val="20"/>
        </w:rPr>
        <w:t xml:space="preserve">, </w:t>
      </w:r>
      <w:r w:rsidRPr="005368DA">
        <w:rPr>
          <w:rFonts w:ascii="Sylfaen" w:hAnsi="Sylfaen" w:cs="Sylfaen"/>
          <w:sz w:val="20"/>
          <w:szCs w:val="20"/>
        </w:rPr>
        <w:t>ქ</w:t>
      </w:r>
      <w:r w:rsidRPr="005368DA">
        <w:rPr>
          <w:sz w:val="20"/>
          <w:szCs w:val="20"/>
        </w:rPr>
        <w:t xml:space="preserve">. </w:t>
      </w:r>
      <w:proofErr w:type="spellStart"/>
      <w:r w:rsidRPr="005368DA">
        <w:rPr>
          <w:rFonts w:ascii="Sylfaen" w:hAnsi="Sylfaen" w:cs="Sylfaen"/>
          <w:sz w:val="20"/>
          <w:szCs w:val="20"/>
        </w:rPr>
        <w:t>ქუთაისის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თელავის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ზუგდიდის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ოზურგეთის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გორის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მუნიციპალიტეტებში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რეგისტრირებული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მოქალაქე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ინკურაბელური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პაციენტები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სიცოცხლის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დასასრულს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ესაჭიროებათ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სპეციალიზებული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პალიატიური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მზრუნველობა</w:t>
      </w:r>
      <w:proofErr w:type="spellEnd"/>
      <w:r w:rsidRPr="005368DA">
        <w:rPr>
          <w:rFonts w:ascii="Sylfaen" w:hAnsi="Sylfaen"/>
          <w:sz w:val="20"/>
          <w:szCs w:val="20"/>
          <w:lang w:val="ka-GE"/>
        </w:rPr>
        <w:t xml:space="preserve"> (პროგრამის დანართი N16, მე-2 მუხლის პირველი პუნქტის „ა“ ქვეპუნქტი).  შესაბამისად, რიგ შემთხვევაში</w:t>
      </w:r>
      <w:r>
        <w:rPr>
          <w:rFonts w:ascii="Sylfaen" w:hAnsi="Sylfaen"/>
          <w:sz w:val="20"/>
          <w:szCs w:val="20"/>
          <w:lang w:val="ka-GE"/>
        </w:rPr>
        <w:t>,</w:t>
      </w:r>
      <w:r w:rsidRPr="005368DA">
        <w:rPr>
          <w:rFonts w:ascii="Sylfaen" w:hAnsi="Sylfaen"/>
          <w:sz w:val="20"/>
          <w:szCs w:val="20"/>
          <w:lang w:val="ka-GE"/>
        </w:rPr>
        <w:t xml:space="preserve"> პროგრამის მოსარგებლის გამოვლენისას, </w:t>
      </w:r>
      <w:r>
        <w:rPr>
          <w:rFonts w:ascii="Sylfaen" w:hAnsi="Sylfaen"/>
          <w:sz w:val="20"/>
          <w:szCs w:val="20"/>
          <w:lang w:val="ka-GE"/>
        </w:rPr>
        <w:t xml:space="preserve">დამატებით, </w:t>
      </w:r>
      <w:r w:rsidRPr="005368DA">
        <w:rPr>
          <w:rFonts w:ascii="Sylfaen" w:hAnsi="Sylfaen"/>
          <w:sz w:val="20"/>
          <w:szCs w:val="20"/>
          <w:lang w:val="ka-GE"/>
        </w:rPr>
        <w:t xml:space="preserve">აუცილებელია  </w:t>
      </w:r>
      <w:r>
        <w:rPr>
          <w:rFonts w:ascii="Sylfaen" w:hAnsi="Sylfaen"/>
          <w:sz w:val="20"/>
          <w:szCs w:val="20"/>
          <w:lang w:val="ka-GE"/>
        </w:rPr>
        <w:t xml:space="preserve">ინფორმაცია </w:t>
      </w:r>
      <w:r w:rsidRPr="005368DA">
        <w:rPr>
          <w:rFonts w:ascii="Sylfaen" w:hAnsi="Sylfaen"/>
          <w:sz w:val="20"/>
          <w:szCs w:val="20"/>
          <w:lang w:val="ka-GE"/>
        </w:rPr>
        <w:t xml:space="preserve">პირის </w:t>
      </w:r>
      <w:r>
        <w:rPr>
          <w:rFonts w:ascii="Sylfaen" w:hAnsi="Sylfaen"/>
          <w:sz w:val="20"/>
          <w:szCs w:val="20"/>
          <w:lang w:val="ka-GE"/>
        </w:rPr>
        <w:t>რეგისტრაციის მისამართის შესახებ.</w:t>
      </w:r>
      <w:r w:rsidRPr="005368DA">
        <w:rPr>
          <w:rFonts w:ascii="Sylfaen" w:hAnsi="Sylfaen"/>
          <w:sz w:val="20"/>
          <w:szCs w:val="20"/>
          <w:lang w:val="ka-GE"/>
        </w:rPr>
        <w:t xml:space="preserve"> </w:t>
      </w:r>
    </w:p>
    <w:p w:rsidR="000047F2" w:rsidRPr="005368DA" w:rsidRDefault="000047F2" w:rsidP="000047F2">
      <w:pPr>
        <w:spacing w:before="24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368DA">
        <w:rPr>
          <w:rFonts w:ascii="Sylfaen" w:hAnsi="Sylfaen"/>
          <w:sz w:val="20"/>
          <w:szCs w:val="20"/>
          <w:lang w:val="ka-GE"/>
        </w:rPr>
        <w:t xml:space="preserve">პროგრამებში პირის მოსარგებლედ ცნობის გარდა, პერსონალური ინფორმაციის დამუშავება სააგენტოსთვის აუცილებელია პროგრამების ადმინისტრირების სხვა ეტაპებზეც, როგორიცაა </w:t>
      </w:r>
      <w:r w:rsidRPr="005368DA">
        <w:rPr>
          <w:rFonts w:ascii="Sylfaen" w:hAnsi="Sylfaen"/>
          <w:b/>
          <w:sz w:val="20"/>
          <w:szCs w:val="20"/>
          <w:lang w:val="ka-GE"/>
        </w:rPr>
        <w:t>ანგარიშგების ეტაპი,</w:t>
      </w:r>
      <w:r w:rsidRPr="005368DA">
        <w:rPr>
          <w:rFonts w:ascii="Sylfaen" w:hAnsi="Sylfaen"/>
          <w:sz w:val="20"/>
          <w:szCs w:val="20"/>
          <w:lang w:val="ka-GE"/>
        </w:rPr>
        <w:t xml:space="preserve"> როდესაც პროგრამის მიმწოდებელი, დადგენილი წესით</w:t>
      </w:r>
      <w:r>
        <w:rPr>
          <w:rFonts w:ascii="Sylfaen" w:hAnsi="Sylfaen"/>
          <w:sz w:val="20"/>
          <w:szCs w:val="20"/>
          <w:lang w:val="ka-GE"/>
        </w:rPr>
        <w:t>,</w:t>
      </w:r>
      <w:r w:rsidRPr="005368DA">
        <w:rPr>
          <w:rFonts w:ascii="Sylfaen" w:hAnsi="Sylfaen"/>
          <w:sz w:val="20"/>
          <w:szCs w:val="20"/>
          <w:lang w:val="ka-GE"/>
        </w:rPr>
        <w:t xml:space="preserve"> წარმოადგენს საანგარიშგებო დოკუმენტაციას (პროგრამის მე-14 მუხლი - ანგარიშის წარდგენა) სააგენტოში,  </w:t>
      </w:r>
      <w:r w:rsidRPr="005368DA">
        <w:rPr>
          <w:rFonts w:ascii="Sylfaen" w:hAnsi="Sylfaen"/>
          <w:b/>
          <w:sz w:val="20"/>
          <w:szCs w:val="20"/>
          <w:lang w:val="ka-GE"/>
        </w:rPr>
        <w:t>პროგრამის ზედამხედველობისას</w:t>
      </w:r>
      <w:r w:rsidRPr="005368DA">
        <w:rPr>
          <w:rFonts w:ascii="Sylfaen" w:hAnsi="Sylfaen"/>
          <w:sz w:val="20"/>
          <w:szCs w:val="20"/>
          <w:lang w:val="ka-GE"/>
        </w:rPr>
        <w:t xml:space="preserve"> (მე-10 მუხლი), </w:t>
      </w:r>
      <w:r w:rsidRPr="005368DA">
        <w:rPr>
          <w:rFonts w:ascii="Sylfaen" w:hAnsi="Sylfaen"/>
          <w:b/>
          <w:sz w:val="20"/>
          <w:szCs w:val="20"/>
          <w:lang w:val="ka-GE"/>
        </w:rPr>
        <w:t>მონიტორინგის ეტაპზე</w:t>
      </w:r>
      <w:r w:rsidRPr="005368DA">
        <w:rPr>
          <w:rFonts w:ascii="Sylfaen" w:hAnsi="Sylfaen"/>
          <w:sz w:val="20"/>
          <w:szCs w:val="20"/>
          <w:lang w:val="ka-GE"/>
        </w:rPr>
        <w:t xml:space="preserve"> (მე-13 მუხლი), 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პროგრამის მე-13 მუხლის თანახმად, სააგენტო უფლებამოსილია მოახდინოს  კლინიკის მიერ დაფიქსირებული ინფორმაციის მონიტორინგი შერჩევითი პრონციპით </w:t>
      </w:r>
      <w:r w:rsidRPr="005368DA">
        <w:rPr>
          <w:sz w:val="20"/>
          <w:szCs w:val="20"/>
        </w:rPr>
        <w:t>(</w:t>
      </w:r>
      <w:proofErr w:type="spellStart"/>
      <w:r w:rsidRPr="005368DA">
        <w:rPr>
          <w:rFonts w:ascii="Sylfaen" w:hAnsi="Sylfaen" w:cs="Sylfaen"/>
          <w:sz w:val="20"/>
          <w:szCs w:val="20"/>
        </w:rPr>
        <w:t>შეტყობინებისას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მიწოდებული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lastRenderedPageBreak/>
        <w:t>გადამოწმება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მიმწოდებლისაგან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მომსახურებასთან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დაკავშირებული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ინფორმაციისა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დოკუმენტაციის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მოთხოვნა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საჭიროებისამებრ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პაციენტთან</w:t>
      </w:r>
      <w:proofErr w:type="spellEnd"/>
      <w:r w:rsidRPr="005368DA">
        <w:rPr>
          <w:sz w:val="20"/>
          <w:szCs w:val="20"/>
        </w:rPr>
        <w:t xml:space="preserve">, </w:t>
      </w:r>
      <w:proofErr w:type="spellStart"/>
      <w:r w:rsidRPr="005368DA">
        <w:rPr>
          <w:rFonts w:ascii="Sylfaen" w:hAnsi="Sylfaen" w:cs="Sylfaen"/>
          <w:sz w:val="20"/>
          <w:szCs w:val="20"/>
        </w:rPr>
        <w:t>მისი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წევრებთან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შემთხვევასთან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სხვა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პირებთან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გასაუბრება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და</w:t>
      </w:r>
      <w:proofErr w:type="spellEnd"/>
      <w:r w:rsidRPr="005368DA">
        <w:rPr>
          <w:sz w:val="20"/>
          <w:szCs w:val="20"/>
        </w:rPr>
        <w:t xml:space="preserve"> </w:t>
      </w:r>
      <w:proofErr w:type="spellStart"/>
      <w:r w:rsidRPr="005368DA">
        <w:rPr>
          <w:rFonts w:ascii="Sylfaen" w:hAnsi="Sylfaen" w:cs="Sylfaen"/>
          <w:sz w:val="20"/>
          <w:szCs w:val="20"/>
        </w:rPr>
        <w:t>ა</w:t>
      </w:r>
      <w:r w:rsidRPr="005368DA">
        <w:rPr>
          <w:sz w:val="20"/>
          <w:szCs w:val="20"/>
        </w:rPr>
        <w:t>.</w:t>
      </w:r>
      <w:r w:rsidRPr="005368DA">
        <w:rPr>
          <w:rFonts w:ascii="Sylfaen" w:hAnsi="Sylfaen" w:cs="Sylfaen"/>
          <w:sz w:val="20"/>
          <w:szCs w:val="20"/>
        </w:rPr>
        <w:t>შ</w:t>
      </w:r>
      <w:proofErr w:type="spellEnd"/>
      <w:r w:rsidRPr="005368DA">
        <w:rPr>
          <w:sz w:val="20"/>
          <w:szCs w:val="20"/>
        </w:rPr>
        <w:t>.)</w:t>
      </w:r>
      <w:r w:rsidRPr="005368DA">
        <w:rPr>
          <w:rFonts w:ascii="Sylfaen" w:hAnsi="Sylfaen"/>
          <w:sz w:val="20"/>
          <w:szCs w:val="20"/>
          <w:lang w:val="ka-GE"/>
        </w:rPr>
        <w:t xml:space="preserve">. </w:t>
      </w:r>
      <w:r w:rsidRPr="005368DA">
        <w:rPr>
          <w:rFonts w:ascii="Sylfaen" w:hAnsi="Sylfaen"/>
          <w:b/>
          <w:sz w:val="20"/>
          <w:szCs w:val="20"/>
          <w:lang w:val="ka-GE"/>
        </w:rPr>
        <w:t>საანგარიშგებო დოკუმენტაციის ინსპექტირების</w:t>
      </w:r>
      <w:r w:rsidRPr="005368DA">
        <w:rPr>
          <w:rFonts w:ascii="Sylfaen" w:hAnsi="Sylfaen"/>
          <w:sz w:val="20"/>
          <w:szCs w:val="20"/>
          <w:lang w:val="ka-GE"/>
        </w:rPr>
        <w:t xml:space="preserve"> (მე-15 მუხლი) ეტაპზე, </w:t>
      </w:r>
      <w:r>
        <w:rPr>
          <w:rFonts w:ascii="Sylfaen" w:hAnsi="Sylfaen"/>
          <w:sz w:val="20"/>
          <w:szCs w:val="20"/>
          <w:lang w:val="ka-GE"/>
        </w:rPr>
        <w:t>ხორციელდება შემთხვევათა კლასიფიცირება: ექვემდებარება ანაზღაურებას ან არ ექვემდებარება ანაზრაურებას.</w:t>
      </w:r>
    </w:p>
    <w:p w:rsidR="000047F2" w:rsidRPr="005368DA" w:rsidRDefault="000047F2" w:rsidP="000047F2">
      <w:pPr>
        <w:spacing w:before="24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5368DA">
        <w:rPr>
          <w:rFonts w:ascii="Sylfaen" w:hAnsi="Sylfaen"/>
          <w:sz w:val="20"/>
          <w:szCs w:val="20"/>
          <w:lang w:val="ka-GE"/>
        </w:rPr>
        <w:t xml:space="preserve">ამავე პროგრამის მე-12 და მე-14  მუხლების თანახმად, </w:t>
      </w:r>
      <w:r w:rsidRPr="005368DA">
        <w:rPr>
          <w:rFonts w:ascii="Sylfaen" w:hAnsi="Sylfaen" w:cs="Sylfaen"/>
          <w:sz w:val="20"/>
          <w:szCs w:val="20"/>
          <w:lang w:val="ka-GE"/>
        </w:rPr>
        <w:t>პროგრამის მიმწოდებელი სამედიცინო დაწესებულება სპეციალური ელექტრონული პროგრამის საშუალებით, დადგენილი წესით და შემთხვევებში</w:t>
      </w:r>
      <w:r>
        <w:rPr>
          <w:rFonts w:ascii="Sylfaen" w:hAnsi="Sylfaen" w:cs="Sylfaen"/>
          <w:sz w:val="20"/>
          <w:szCs w:val="20"/>
          <w:lang w:val="ka-GE"/>
        </w:rPr>
        <w:t>,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  აფიქსირებს შეტყობინებას სამედიცინო შემთხვევის შესახებ. შემთხვევის დასრულების შემდეგ, გარკვეულ ვადაში, სამედიცინო დაწესებულება</w:t>
      </w:r>
      <w:r>
        <w:rPr>
          <w:rFonts w:ascii="Sylfaen" w:hAnsi="Sylfaen" w:cs="Sylfaen"/>
          <w:sz w:val="20"/>
          <w:szCs w:val="20"/>
          <w:lang w:val="ka-GE"/>
        </w:rPr>
        <w:t>.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 მომსახურების ანაზღაურების მიზნით</w:t>
      </w:r>
      <w:r>
        <w:rPr>
          <w:rFonts w:ascii="Sylfaen" w:hAnsi="Sylfaen" w:cs="Sylfaen"/>
          <w:sz w:val="20"/>
          <w:szCs w:val="20"/>
          <w:lang w:val="ka-GE"/>
        </w:rPr>
        <w:t>, სააგენტოს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 წარ</w:t>
      </w:r>
      <w:r>
        <w:rPr>
          <w:rFonts w:ascii="Sylfaen" w:hAnsi="Sylfaen" w:cs="Sylfaen"/>
          <w:sz w:val="20"/>
          <w:szCs w:val="20"/>
          <w:lang w:val="ka-GE"/>
        </w:rPr>
        <w:t>უ</w:t>
      </w:r>
      <w:r w:rsidRPr="005368DA">
        <w:rPr>
          <w:rFonts w:ascii="Sylfaen" w:hAnsi="Sylfaen" w:cs="Sylfaen"/>
          <w:sz w:val="20"/>
          <w:szCs w:val="20"/>
          <w:lang w:val="ka-GE"/>
        </w:rPr>
        <w:t>დგენს საანგარიშგებო დოკუმენტაციას</w:t>
      </w:r>
      <w:r>
        <w:rPr>
          <w:rFonts w:ascii="Sylfaen" w:hAnsi="Sylfaen" w:cs="Sylfaen"/>
          <w:sz w:val="20"/>
          <w:szCs w:val="20"/>
          <w:lang w:val="ka-GE"/>
        </w:rPr>
        <w:t>.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 როგორც სამედიცინო შემთხვევის შესახებ შეტობინება, ასევე წარმოდგენილი საანგარიშგებო დოკუმენტაცია მოიცავს მთელ რიგ პერსონალურ ინფორმაციას, რომლის სისწორეზეა დამოკიდებული შემთხვევის ანაზღაურების საკითხი და დაფიქსირებული ინფორმაციის დამუშავება (გადამოწმება/დაზუსტება)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70D24">
        <w:rPr>
          <w:rFonts w:ascii="Sylfaen" w:hAnsi="Sylfaen" w:cs="Sylfaen"/>
          <w:sz w:val="20"/>
          <w:szCs w:val="20"/>
          <w:lang w:val="ka-GE"/>
        </w:rPr>
        <w:t>ცალსახად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368DA">
        <w:rPr>
          <w:rFonts w:ascii="Sylfaen" w:hAnsi="Sylfaen" w:cs="Sylfaen"/>
          <w:sz w:val="20"/>
          <w:szCs w:val="20"/>
          <w:lang w:val="ka-GE"/>
        </w:rPr>
        <w:t xml:space="preserve">ემსახურება სამედიცინო მომსახურების ანაზღაურების მიზანს. </w:t>
      </w:r>
    </w:p>
    <w:p w:rsidR="0036523A" w:rsidRDefault="0036523A"/>
    <w:sectPr w:rsidR="003652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73"/>
    <w:rsid w:val="000047F2"/>
    <w:rsid w:val="00202373"/>
    <w:rsid w:val="0036523A"/>
    <w:rsid w:val="00C7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3</cp:revision>
  <dcterms:created xsi:type="dcterms:W3CDTF">2018-03-29T06:10:00Z</dcterms:created>
  <dcterms:modified xsi:type="dcterms:W3CDTF">2018-04-10T10:45:00Z</dcterms:modified>
</cp:coreProperties>
</file>