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F3" w:rsidRDefault="001B40F3" w:rsidP="001B40F3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1B40F3" w:rsidRDefault="001B40F3" w:rsidP="001B40F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05601C">
        <w:rPr>
          <w:rFonts w:ascii="Sylfaen" w:hAnsi="Sylfaen" w:cs="Sylfaen"/>
          <w:b/>
          <w:sz w:val="24"/>
          <w:szCs w:val="24"/>
          <w:lang w:val="ka-GE"/>
        </w:rPr>
        <w:t xml:space="preserve"> N6</w:t>
      </w:r>
    </w:p>
    <w:p w:rsidR="001B40F3" w:rsidRDefault="001B40F3" w:rsidP="001B40F3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1B40F3" w:rsidRPr="00233E0E" w:rsidRDefault="001B40F3" w:rsidP="001B40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1B40F3">
              <w:rPr>
                <w:rFonts w:ascii="Sylfaen" w:hAnsi="Sylfaen"/>
                <w:lang w:val="ka-GE"/>
              </w:rPr>
              <w:t>საყოველთაო ჯანმრთელობის დაცვის  სახელმწიფო პროგრამით მოსარგებლე</w:t>
            </w:r>
            <w:r>
              <w:rPr>
                <w:rFonts w:ascii="Sylfaen" w:hAnsi="Sylfaen"/>
                <w:lang w:val="ka-GE"/>
              </w:rPr>
              <w:t>ების მონაცემები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1B40F3" w:rsidRDefault="001B40F3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1B40F3" w:rsidRDefault="001B40F3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1B40F3" w:rsidRDefault="001B40F3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1B40F3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1B40F3" w:rsidRDefault="001B40F3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1B40F3" w:rsidRDefault="001B40F3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1B40F3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1B40F3" w:rsidRDefault="001B40F3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1B40F3" w:rsidRDefault="001B40F3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1B40F3" w:rsidRPr="00510723" w:rsidRDefault="001B40F3" w:rsidP="001B4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1B40F3">
              <w:rPr>
                <w:rFonts w:ascii="Sylfaen" w:hAnsi="Sylfaen"/>
                <w:b w:val="0"/>
                <w:lang w:val="ka-GE"/>
              </w:rPr>
              <w:t>საქართველოს მთავრობის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</w:t>
            </w:r>
            <w:r>
              <w:rPr>
                <w:rFonts w:ascii="Sylfaen" w:hAnsi="Sylfaen"/>
                <w:b w:val="0"/>
                <w:lang w:val="ka-GE"/>
              </w:rPr>
              <w:t>ა“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სამედიცინო მომსახურების/საქონლის მაძიებელი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1B40F3" w:rsidRDefault="001B40F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 მდგომარეობა, მიწოდებული სამედიცინო მომსახურება</w:t>
            </w:r>
            <w:r w:rsidR="0005601C">
              <w:rPr>
                <w:rFonts w:ascii="Sylfaen" w:hAnsi="Sylfaen"/>
                <w:b w:val="0"/>
                <w:lang w:val="ka-GE"/>
              </w:rPr>
              <w:t xml:space="preserve"> და მისი ღირებულება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1B40F3" w:rsidRDefault="001B40F3" w:rsidP="001B40F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lastRenderedPageBreak/>
              <w:t xml:space="preserve">მოსახლეობის </w:t>
            </w:r>
            <w:r>
              <w:rPr>
                <w:rFonts w:ascii="Sylfaen" w:hAnsi="Sylfaen"/>
                <w:b w:val="0"/>
                <w:lang w:val="ka-GE"/>
              </w:rPr>
              <w:t>პროგრამული სამედიცინო სერვისების ადმინისტრირება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1B40F3" w:rsidRPr="0051072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1B40F3" w:rsidRDefault="001B40F3" w:rsidP="00726BD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მონაცემთა სუბიექტის ინფორმირებული თანხმობით</w:t>
            </w:r>
            <w:r w:rsidR="00726BD5">
              <w:rPr>
                <w:rFonts w:ascii="Sylfaen" w:hAnsi="Sylfaen"/>
                <w:b w:val="0"/>
                <w:lang w:val="ka-GE"/>
              </w:rPr>
              <w:t xml:space="preserve"> ან კანონმდებლობის შე</w:t>
            </w:r>
            <w:bookmarkStart w:id="0" w:name="_GoBack"/>
            <w:bookmarkEnd w:id="0"/>
            <w:r w:rsidR="00726BD5">
              <w:rPr>
                <w:rFonts w:ascii="Sylfaen" w:hAnsi="Sylfaen"/>
                <w:b w:val="0"/>
                <w:lang w:val="ka-GE"/>
              </w:rPr>
              <w:t>საბამისად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1B40F3" w:rsidRPr="00DC1C2A" w:rsidRDefault="001B40F3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1B40F3" w:rsidRDefault="001B40F3" w:rsidP="001B40F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1B40F3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1B40F3" w:rsidRDefault="001B40F3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1B40F3" w:rsidRDefault="001B40F3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1B40F3" w:rsidRPr="00FC2704" w:rsidRDefault="001B40F3" w:rsidP="0005225E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ფუნქციონირებს პაროლების სისტემა </w:t>
            </w:r>
          </w:p>
        </w:tc>
      </w:tr>
    </w:tbl>
    <w:p w:rsidR="001B40F3" w:rsidRDefault="001B40F3" w:rsidP="001B40F3"/>
    <w:p w:rsidR="001B40F3" w:rsidRDefault="001B40F3" w:rsidP="001B40F3"/>
    <w:p w:rsidR="001B40F3" w:rsidRDefault="001B40F3" w:rsidP="001B40F3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2F"/>
    <w:rsid w:val="0005225E"/>
    <w:rsid w:val="0005601C"/>
    <w:rsid w:val="001B40F3"/>
    <w:rsid w:val="00726BD5"/>
    <w:rsid w:val="009E7E2F"/>
    <w:rsid w:val="00CA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40F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B40F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B40F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1B40F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1B40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4</cp:revision>
  <dcterms:created xsi:type="dcterms:W3CDTF">2014-07-30T09:28:00Z</dcterms:created>
  <dcterms:modified xsi:type="dcterms:W3CDTF">2015-09-10T07:29:00Z</dcterms:modified>
</cp:coreProperties>
</file>