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741DC"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2D2EE6">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 (ჯანმრთელობის დაცვის ერთიანი საინფორმაციო სისტემა)</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262D5B" w:rsidRDefault="00262D5B" w:rsidP="00262D5B">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021864" w:rsidRDefault="00021864" w:rsidP="00F82C6C">
            <w:pPr>
              <w:spacing w:line="360" w:lineRule="auto"/>
              <w:rPr>
                <w:rFonts w:ascii="Sylfaen" w:hAnsi="Sylfaen"/>
                <w:sz w:val="22"/>
                <w:szCs w:val="22"/>
                <w:lang w:val="ka-GE"/>
              </w:rPr>
            </w:pPr>
            <w:r>
              <w:rPr>
                <w:rFonts w:ascii="Sylfaen" w:hAnsi="Sylfaen"/>
                <w:sz w:val="22"/>
                <w:szCs w:val="22"/>
                <w:lang w:val="ka-GE"/>
              </w:rPr>
              <w:t>სერგო როსტიაშვილი</w:t>
            </w:r>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021864" w:rsidRDefault="00021864" w:rsidP="0014786F">
            <w:pPr>
              <w:spacing w:line="360" w:lineRule="auto"/>
              <w:rPr>
                <w:rFonts w:ascii="Sylfaen" w:hAnsi="Sylfaen"/>
                <w:sz w:val="22"/>
                <w:szCs w:val="22"/>
                <w:lang w:val="ka-GE"/>
              </w:rPr>
            </w:pPr>
            <w:r>
              <w:rPr>
                <w:rFonts w:ascii="Sylfaen" w:hAnsi="Sylfaen"/>
                <w:sz w:val="22"/>
                <w:szCs w:val="22"/>
                <w:lang w:val="ka-GE"/>
              </w:rPr>
              <w:t>598161432</w:t>
            </w:r>
          </w:p>
          <w:p w:rsidR="007F0075" w:rsidRPr="0014786F" w:rsidRDefault="00021864" w:rsidP="0014786F">
            <w:pPr>
              <w:spacing w:line="360" w:lineRule="auto"/>
              <w:rPr>
                <w:rFonts w:ascii="Sylfaen" w:hAnsi="Sylfaen"/>
                <w:sz w:val="22"/>
                <w:szCs w:val="22"/>
                <w:lang w:val="ka-GE"/>
              </w:rPr>
            </w:pPr>
            <w:r>
              <w:rPr>
                <w:rFonts w:ascii="Sylfaen" w:hAnsi="Sylfaen"/>
                <w:sz w:val="22"/>
                <w:szCs w:val="22"/>
                <w:lang w:val="en-US"/>
              </w:rPr>
              <w:t>srostiashvili</w:t>
            </w:r>
            <w:r w:rsidR="0014786F" w:rsidRPr="0014786F">
              <w:rPr>
                <w:rFonts w:ascii="Sylfaen" w:hAnsi="Sylfaen"/>
                <w:sz w:val="22"/>
                <w:szCs w:val="22"/>
                <w:lang w:val="ka-GE"/>
              </w:rPr>
              <w:t>@ssa.gov.ge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14786F"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765E8A" w:rsidP="00765E8A">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27719" w:rsidRDefault="00827719"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4B050F" w:rsidRDefault="004D2F8B" w:rsidP="00895C07">
            <w:pPr>
              <w:spacing w:line="360" w:lineRule="auto"/>
              <w:rPr>
                <w:rFonts w:ascii="Sylfaen" w:hAnsi="Sylfaen"/>
                <w:sz w:val="24"/>
                <w:szCs w:val="24"/>
                <w:lang w:val="ka-GE"/>
              </w:rPr>
            </w:pPr>
            <w:r w:rsidRPr="00F22384">
              <w:rPr>
                <w:sz w:val="24"/>
                <w:szCs w:val="24"/>
                <w:lang w:val="en-US"/>
              </w:rPr>
              <w:t xml:space="preserve"> </w:t>
            </w:r>
            <w:r w:rsidR="004B050F">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4B050F"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E02537" w:rsidRDefault="00E02537"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თვილისის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3133F" w:rsidRDefault="00F3133F" w:rsidP="00F3133F">
            <w:pPr>
              <w:rPr>
                <w:rFonts w:ascii="Sylfaen" w:hAnsi="Sylfaen"/>
                <w:lang w:val="ka-GE"/>
              </w:rPr>
            </w:pPr>
            <w:r w:rsidRPr="00F3133F">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უწყებათაშორისი სერვისების</w:t>
            </w:r>
            <w:r w:rsidR="000E18BF">
              <w:rPr>
                <w:rFonts w:ascii="Sylfaen" w:hAnsi="Sylfaen"/>
                <w:lang w:val="ka-GE"/>
              </w:rPr>
              <w:t xml:space="preserve"> შემუშავება და</w:t>
            </w:r>
            <w:r>
              <w:rPr>
                <w:rFonts w:ascii="Sylfaen" w:hAnsi="Sylfaen"/>
                <w:lang w:val="ka-GE"/>
              </w:rPr>
              <w:t xml:space="preserve"> გამართვა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პროგრამული უზრუნველყოფის მხარდაჭერა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B17C8" w:rsidRDefault="00BB17C8" w:rsidP="0048408A">
            <w:pPr>
              <w:rPr>
                <w:rFonts w:ascii="Sylfaen" w:hAnsi="Sylfaen"/>
                <w:lang w:val="ka-GE"/>
              </w:rPr>
            </w:pPr>
            <w:r>
              <w:rPr>
                <w:rFonts w:ascii="Sylfaen" w:hAnsi="Sylfaen"/>
                <w:lang w:val="ka-GE"/>
              </w:rPr>
              <w:t>ხელმძღვანელისგან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B17C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013DB">
              <w:rPr>
                <w:rFonts w:ascii="MS Gothic" w:eastAsia="MS Gothic" w:hAnsi="Wingdings" w:hint="eastAsia"/>
                <w:sz w:val="22"/>
                <w:szCs w:val="22"/>
              </w:rPr>
            </w:r>
            <w:r w:rsidR="00F013D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0E18BF" w:rsidRDefault="000E18BF" w:rsidP="008F523A">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lastRenderedPageBreak/>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 თბილისის მერია, </w:t>
            </w:r>
            <w:r w:rsidRPr="00E02537">
              <w:rPr>
                <w:rFonts w:ascii="Sylfaen" w:eastAsia="Arial Unicode MS" w:hAnsi="Sylfaen" w:cs="Arial Unicode MS"/>
                <w:sz w:val="24"/>
                <w:szCs w:val="24"/>
                <w:u w:color="000000"/>
                <w:bdr w:val="nil"/>
                <w:lang w:val="ka-GE"/>
              </w:rPr>
              <w:t>დაავადებათა კონტროლისა და საზოგადოებრივი ჯანმრთელობის ეროვნული ცენტრი</w:t>
            </w:r>
            <w:r>
              <w:rPr>
                <w:rFonts w:ascii="Sylfaen" w:eastAsia="Arial Unicode MS" w:hAnsi="Sylfaen" w:cs="Arial Unicode MS"/>
                <w:sz w:val="24"/>
                <w:szCs w:val="24"/>
                <w:u w:color="000000"/>
                <w:bdr w:val="nil"/>
                <w:lang w:val="ka-GE"/>
              </w:rPr>
              <w:t>,</w:t>
            </w:r>
            <w:r>
              <w:rPr>
                <w:rFonts w:ascii="Sylfaen" w:eastAsia="MS Gothic" w:hAnsi="Sylfaen"/>
                <w:sz w:val="22"/>
                <w:szCs w:val="22"/>
                <w:lang w:val="ka-GE"/>
              </w:rPr>
              <w:t xml:space="preserve"> </w:t>
            </w:r>
            <w:r w:rsidRPr="00E02537">
              <w:rPr>
                <w:rFonts w:ascii="Sylfaen" w:eastAsia="Arial Unicode MS" w:hAnsi="Sylfaen" w:cs="Arial Unicode MS"/>
                <w:sz w:val="24"/>
                <w:szCs w:val="24"/>
                <w:u w:color="000000"/>
                <w:bdr w:val="nil"/>
                <w:lang w:val="ka-GE"/>
              </w:rPr>
              <w:t>აჭარის ჯანრმთელობისა და სოციალური დაცვის სამინისტრო</w:t>
            </w:r>
            <w:r w:rsidR="008F523A">
              <w:rPr>
                <w:rFonts w:ascii="Sylfaen" w:eastAsia="Arial Unicode MS" w:hAnsi="Sylfaen" w:cs="Arial Unicode MS"/>
                <w:sz w:val="24"/>
                <w:szCs w:val="24"/>
                <w:u w:color="000000"/>
                <w:bdr w:val="nil"/>
                <w:lang w:val="ka-GE"/>
              </w:rPr>
              <w:t>, ნარკომანიისა და ფსიკილური ჯანმრთელობის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8F523A" w:rsidRDefault="008F523A" w:rsidP="006B0E75">
            <w:pPr>
              <w:rPr>
                <w:rFonts w:ascii="Sylfaen" w:eastAsia="Arial Unicode MS" w:hAnsi="Sylfaen" w:cs="Arial Unicode MS"/>
                <w:sz w:val="24"/>
                <w:szCs w:val="24"/>
                <w:u w:color="000000"/>
                <w:bdr w:val="nil"/>
                <w:lang w:val="ka-GE"/>
              </w:rPr>
            </w:pPr>
            <w:r w:rsidRPr="008F52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AC208F" w:rsidRDefault="00AC208F"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დექნოლოგიები</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920CB"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920CB"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AA3F2F"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p w:rsidR="00AA3F2F" w:rsidRPr="00B6350A" w:rsidRDefault="00AA3F2F"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F013DB"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F013DB"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02186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9931FD" w:rsidRDefault="009931FD" w:rsidP="00245F0D">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F013DB"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F013DB"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45F0D" w:rsidRDefault="00245F0D" w:rsidP="0023764F">
            <w:pPr>
              <w:jc w:val="center"/>
              <w:rPr>
                <w:rFonts w:ascii="Sylfaen" w:hAnsi="Sylfaen"/>
                <w:lang w:val="ka-GE"/>
              </w:rPr>
            </w:pPr>
          </w:p>
          <w:p w:rsidR="00B6350A" w:rsidRPr="00F22384" w:rsidRDefault="00B6350A" w:rsidP="00B6350A">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B6350A" w:rsidRPr="00F22384" w:rsidRDefault="00B6350A" w:rsidP="00B6350A">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B6350A" w:rsidRPr="00F22384" w:rsidRDefault="00B6350A" w:rsidP="00B6350A">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B6350A" w:rsidRPr="00F22384" w:rsidRDefault="00B6350A" w:rsidP="00B6350A">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B6350A" w:rsidRPr="00B6350A" w:rsidRDefault="00B6350A" w:rsidP="00F94AE4">
            <w:pPr>
              <w:pStyle w:val="ListParagraph"/>
              <w:numPr>
                <w:ilvl w:val="0"/>
                <w:numId w:val="19"/>
              </w:numPr>
              <w:autoSpaceDE w:val="0"/>
              <w:autoSpaceDN w:val="0"/>
              <w:adjustRightInd w:val="0"/>
              <w:rPr>
                <w:rFonts w:ascii="Sylfaen" w:hAnsi="Sylfaen"/>
                <w:sz w:val="24"/>
                <w:szCs w:val="24"/>
                <w:lang w:val="ka-GE"/>
              </w:rPr>
            </w:pPr>
            <w:r w:rsidRPr="00B6350A">
              <w:rPr>
                <w:rFonts w:ascii="Sylfaen" w:hAnsi="Sylfaen"/>
                <w:sz w:val="24"/>
                <w:szCs w:val="24"/>
                <w:lang w:val="ka-GE"/>
              </w:rPr>
              <w:t>ორიენტირებულია სიზუსტესა და დეტალე</w:t>
            </w:r>
            <w:r>
              <w:rPr>
                <w:rFonts w:ascii="Sylfaen" w:hAnsi="Sylfaen"/>
                <w:sz w:val="24"/>
                <w:szCs w:val="24"/>
                <w:lang w:val="ka-GE"/>
              </w:rPr>
              <w:t>ბზე</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7043F4" w:rsidRDefault="007043F4" w:rsidP="00C07404">
      <w:pPr>
        <w:pStyle w:val="BodyA"/>
        <w:tabs>
          <w:tab w:val="left" w:pos="1290"/>
        </w:tabs>
        <w:jc w:val="both"/>
        <w:rPr>
          <w:rFonts w:ascii="Sylfaen" w:hAnsi="Sylfaen"/>
          <w:b/>
          <w:color w:val="auto"/>
          <w:sz w:val="24"/>
          <w:szCs w:val="24"/>
          <w:lang w:val="ka-GE"/>
        </w:rPr>
      </w:pPr>
    </w:p>
    <w:p w:rsidR="007043F4" w:rsidRDefault="007043F4" w:rsidP="00C07404">
      <w:pPr>
        <w:pStyle w:val="BodyA"/>
        <w:tabs>
          <w:tab w:val="left" w:pos="1290"/>
        </w:tabs>
        <w:jc w:val="both"/>
        <w:rPr>
          <w:rFonts w:ascii="Sylfaen" w:hAnsi="Sylfaen"/>
          <w:b/>
          <w:color w:val="auto"/>
          <w:sz w:val="24"/>
          <w:szCs w:val="24"/>
          <w:lang w:val="ka-GE"/>
        </w:rPr>
      </w:pPr>
    </w:p>
    <w:p w:rsidR="007043F4" w:rsidRPr="00F22384" w:rsidRDefault="007043F4" w:rsidP="00C07404">
      <w:pPr>
        <w:pStyle w:val="BodyA"/>
        <w:tabs>
          <w:tab w:val="left" w:pos="1290"/>
        </w:tabs>
        <w:jc w:val="both"/>
        <w:rPr>
          <w:rFonts w:ascii="Sylfaen" w:hAnsi="Sylfaen"/>
          <w:b/>
          <w:color w:val="auto"/>
          <w:sz w:val="24"/>
          <w:szCs w:val="24"/>
          <w:lang w:val="ka-GE"/>
        </w:rPr>
      </w:pPr>
      <w:bookmarkStart w:id="1" w:name="_GoBack"/>
      <w:bookmarkEnd w:id="1"/>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013DB">
              <w:rPr>
                <w:rFonts w:eastAsia="MS Gothic"/>
                <w:sz w:val="24"/>
                <w:szCs w:val="24"/>
              </w:rPr>
            </w:r>
            <w:r w:rsidR="00F013D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DB" w:rsidRDefault="00F013DB" w:rsidP="0097333E">
      <w:r>
        <w:separator/>
      </w:r>
    </w:p>
  </w:endnote>
  <w:endnote w:type="continuationSeparator" w:id="0">
    <w:p w:rsidR="00F013DB" w:rsidRDefault="00F013DB"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F3133F" w:rsidRDefault="00F3133F">
        <w:pPr>
          <w:pStyle w:val="Footer"/>
          <w:jc w:val="right"/>
        </w:pPr>
        <w:r>
          <w:fldChar w:fldCharType="begin"/>
        </w:r>
        <w:r>
          <w:instrText xml:space="preserve"> PAGE   \* MERGEFORMAT </w:instrText>
        </w:r>
        <w:r>
          <w:fldChar w:fldCharType="separate"/>
        </w:r>
        <w:r w:rsidR="007043F4">
          <w:rPr>
            <w:noProof/>
          </w:rPr>
          <w:t>6</w:t>
        </w:r>
        <w:r>
          <w:rPr>
            <w:noProof/>
          </w:rPr>
          <w:fldChar w:fldCharType="end"/>
        </w:r>
      </w:p>
    </w:sdtContent>
  </w:sdt>
  <w:p w:rsidR="00F3133F" w:rsidRDefault="00F31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DB" w:rsidRDefault="00F013DB" w:rsidP="0097333E">
      <w:r>
        <w:separator/>
      </w:r>
    </w:p>
  </w:footnote>
  <w:footnote w:type="continuationSeparator" w:id="0">
    <w:p w:rsidR="00F013DB" w:rsidRDefault="00F013DB"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3F" w:rsidRPr="003B30E5" w:rsidRDefault="00F3133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133F" w:rsidRPr="00910F2D" w:rsidRDefault="00F3133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5"/>
  </w:num>
  <w:num w:numId="4">
    <w:abstractNumId w:val="13"/>
  </w:num>
  <w:num w:numId="5">
    <w:abstractNumId w:val="11"/>
  </w:num>
  <w:num w:numId="6">
    <w:abstractNumId w:val="24"/>
  </w:num>
  <w:num w:numId="7">
    <w:abstractNumId w:val="5"/>
  </w:num>
  <w:num w:numId="8">
    <w:abstractNumId w:val="2"/>
  </w:num>
  <w:num w:numId="9">
    <w:abstractNumId w:val="0"/>
  </w:num>
  <w:num w:numId="10">
    <w:abstractNumId w:val="19"/>
  </w:num>
  <w:num w:numId="11">
    <w:abstractNumId w:val="1"/>
  </w:num>
  <w:num w:numId="12">
    <w:abstractNumId w:val="9"/>
  </w:num>
  <w:num w:numId="13">
    <w:abstractNumId w:val="15"/>
  </w:num>
  <w:num w:numId="14">
    <w:abstractNumId w:val="23"/>
  </w:num>
  <w:num w:numId="15">
    <w:abstractNumId w:val="26"/>
  </w:num>
  <w:num w:numId="16">
    <w:abstractNumId w:val="21"/>
  </w:num>
  <w:num w:numId="17">
    <w:abstractNumId w:val="4"/>
  </w:num>
  <w:num w:numId="18">
    <w:abstractNumId w:val="14"/>
  </w:num>
  <w:num w:numId="19">
    <w:abstractNumId w:val="6"/>
  </w:num>
  <w:num w:numId="20">
    <w:abstractNumId w:val="8"/>
  </w:num>
  <w:num w:numId="21">
    <w:abstractNumId w:val="20"/>
  </w:num>
  <w:num w:numId="22">
    <w:abstractNumId w:val="22"/>
  </w:num>
  <w:num w:numId="23">
    <w:abstractNumId w:val="16"/>
  </w:num>
  <w:num w:numId="24">
    <w:abstractNumId w:val="17"/>
  </w:num>
  <w:num w:numId="25">
    <w:abstractNumId w:val="12"/>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1864"/>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18BF"/>
    <w:rsid w:val="000E3B28"/>
    <w:rsid w:val="000F2A99"/>
    <w:rsid w:val="000F50A9"/>
    <w:rsid w:val="001027E6"/>
    <w:rsid w:val="00103458"/>
    <w:rsid w:val="0010773F"/>
    <w:rsid w:val="00107DE5"/>
    <w:rsid w:val="00120946"/>
    <w:rsid w:val="001255B3"/>
    <w:rsid w:val="00143FF9"/>
    <w:rsid w:val="00147654"/>
    <w:rsid w:val="0014786F"/>
    <w:rsid w:val="00151A49"/>
    <w:rsid w:val="00156E4C"/>
    <w:rsid w:val="001640D6"/>
    <w:rsid w:val="00166D18"/>
    <w:rsid w:val="0018625C"/>
    <w:rsid w:val="00187FCA"/>
    <w:rsid w:val="001B1219"/>
    <w:rsid w:val="001B3CBC"/>
    <w:rsid w:val="001B602A"/>
    <w:rsid w:val="001C32A0"/>
    <w:rsid w:val="001C35FE"/>
    <w:rsid w:val="001E74E3"/>
    <w:rsid w:val="0020074C"/>
    <w:rsid w:val="0022010D"/>
    <w:rsid w:val="00226BBF"/>
    <w:rsid w:val="00233C60"/>
    <w:rsid w:val="00235C3A"/>
    <w:rsid w:val="0023764F"/>
    <w:rsid w:val="00243C42"/>
    <w:rsid w:val="00245F0D"/>
    <w:rsid w:val="002479EE"/>
    <w:rsid w:val="00261242"/>
    <w:rsid w:val="00262D5B"/>
    <w:rsid w:val="002703F8"/>
    <w:rsid w:val="002729A1"/>
    <w:rsid w:val="00273051"/>
    <w:rsid w:val="002846C9"/>
    <w:rsid w:val="00285857"/>
    <w:rsid w:val="002861A8"/>
    <w:rsid w:val="002B04B2"/>
    <w:rsid w:val="002B1B07"/>
    <w:rsid w:val="002B4448"/>
    <w:rsid w:val="002C1286"/>
    <w:rsid w:val="002D02CE"/>
    <w:rsid w:val="002D2EE6"/>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050F"/>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15D5"/>
    <w:rsid w:val="006C22DD"/>
    <w:rsid w:val="006C62D9"/>
    <w:rsid w:val="006D7544"/>
    <w:rsid w:val="006D7F91"/>
    <w:rsid w:val="006E525B"/>
    <w:rsid w:val="006E6D50"/>
    <w:rsid w:val="006E783E"/>
    <w:rsid w:val="00703CAF"/>
    <w:rsid w:val="007043F4"/>
    <w:rsid w:val="00712CB3"/>
    <w:rsid w:val="00742375"/>
    <w:rsid w:val="007447D9"/>
    <w:rsid w:val="0075031C"/>
    <w:rsid w:val="007649C2"/>
    <w:rsid w:val="00765E8A"/>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27719"/>
    <w:rsid w:val="00846A5C"/>
    <w:rsid w:val="008629E3"/>
    <w:rsid w:val="00886186"/>
    <w:rsid w:val="00890DE6"/>
    <w:rsid w:val="008937C6"/>
    <w:rsid w:val="00895C07"/>
    <w:rsid w:val="008967F8"/>
    <w:rsid w:val="00896B5A"/>
    <w:rsid w:val="008A42FE"/>
    <w:rsid w:val="008A72D4"/>
    <w:rsid w:val="008B514F"/>
    <w:rsid w:val="008D0B4F"/>
    <w:rsid w:val="008D55DC"/>
    <w:rsid w:val="008D582B"/>
    <w:rsid w:val="008F134F"/>
    <w:rsid w:val="008F523A"/>
    <w:rsid w:val="008F532B"/>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931FD"/>
    <w:rsid w:val="009A0F6B"/>
    <w:rsid w:val="009A3A96"/>
    <w:rsid w:val="009A5940"/>
    <w:rsid w:val="009B36CD"/>
    <w:rsid w:val="009B37F0"/>
    <w:rsid w:val="009B408C"/>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60A84"/>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B10B7F"/>
    <w:rsid w:val="00B3476F"/>
    <w:rsid w:val="00B35594"/>
    <w:rsid w:val="00B35980"/>
    <w:rsid w:val="00B35FCC"/>
    <w:rsid w:val="00B63154"/>
    <w:rsid w:val="00B6350A"/>
    <w:rsid w:val="00B6396C"/>
    <w:rsid w:val="00B819D2"/>
    <w:rsid w:val="00B90C0E"/>
    <w:rsid w:val="00B920CB"/>
    <w:rsid w:val="00B929E5"/>
    <w:rsid w:val="00B937A7"/>
    <w:rsid w:val="00BA4541"/>
    <w:rsid w:val="00BB17C8"/>
    <w:rsid w:val="00BB3DFA"/>
    <w:rsid w:val="00BB69A6"/>
    <w:rsid w:val="00BC2ED1"/>
    <w:rsid w:val="00BD08E3"/>
    <w:rsid w:val="00BD1E79"/>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67E0"/>
    <w:rsid w:val="00E12B4A"/>
    <w:rsid w:val="00E216AE"/>
    <w:rsid w:val="00E3136A"/>
    <w:rsid w:val="00E448F8"/>
    <w:rsid w:val="00E478C8"/>
    <w:rsid w:val="00E82D63"/>
    <w:rsid w:val="00E8443C"/>
    <w:rsid w:val="00E9093F"/>
    <w:rsid w:val="00EA5538"/>
    <w:rsid w:val="00EA725F"/>
    <w:rsid w:val="00EA76EF"/>
    <w:rsid w:val="00EC02DC"/>
    <w:rsid w:val="00F013DB"/>
    <w:rsid w:val="00F01EC3"/>
    <w:rsid w:val="00F14662"/>
    <w:rsid w:val="00F17655"/>
    <w:rsid w:val="00F20536"/>
    <w:rsid w:val="00F22384"/>
    <w:rsid w:val="00F3133F"/>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7"/>
        <o:r id="V:Rule3" type="connector" idref="#_x0000_s1026"/>
        <o:r id="V:Rule4" type="connector" idref="#_x0000_s1029"/>
      </o:rules>
    </o:shapelayout>
  </w:shapeDefaults>
  <w:decimalSymbol w:val="."/>
  <w:listSeparator w:val=","/>
  <w15:docId w15:val="{38C88369-A2C3-4E18-A777-3482C80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2C1C-023B-4CCE-9EE0-127CF499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7450</TotalTime>
  <Pages>10</Pages>
  <Words>1923</Words>
  <Characters>10967</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Tata</cp:lastModifiedBy>
  <cp:revision>30</cp:revision>
  <cp:lastPrinted>2016-03-29T13:14:00Z</cp:lastPrinted>
  <dcterms:created xsi:type="dcterms:W3CDTF">2016-02-05T14:16:00Z</dcterms:created>
  <dcterms:modified xsi:type="dcterms:W3CDTF">2016-05-03T13:28:00Z</dcterms:modified>
</cp:coreProperties>
</file>