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7438FE"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0" w:name="Check2"/>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7438F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7438F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95C0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438FE"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438FE"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438FE"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7438F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7438F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438F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438FE"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2A72FC" w:rsidP="00B6396C">
            <w:pPr>
              <w:spacing w:before="120"/>
              <w:rPr>
                <w:rFonts w:ascii="Sylfaen" w:eastAsia="MS Gothic" w:hAnsi="Sylfaen"/>
                <w:sz w:val="24"/>
                <w:szCs w:val="24"/>
                <w:lang w:val="ka-GE"/>
              </w:rPr>
            </w:pPr>
            <w:r>
              <w:rPr>
                <w:rFonts w:ascii="Sylfaen" w:eastAsia="MS Gothic" w:hAnsi="Sylfaen"/>
                <w:sz w:val="24"/>
                <w:szCs w:val="24"/>
                <w:lang w:val="ka-GE"/>
              </w:rPr>
              <w:t>ინფორმ</w:t>
            </w:r>
            <w:r>
              <w:rPr>
                <w:rFonts w:ascii="Sylfaen" w:eastAsia="MS Gothic" w:hAnsi="Sylfaen"/>
                <w:sz w:val="24"/>
                <w:szCs w:val="24"/>
                <w:lang w:val="de-AT"/>
              </w:rPr>
              <w:t>ა</w:t>
            </w:r>
            <w:r>
              <w:rPr>
                <w:rFonts w:ascii="Sylfaen" w:eastAsia="MS Gothic" w:hAnsi="Sylfaen"/>
                <w:sz w:val="24"/>
                <w:szCs w:val="24"/>
                <w:lang w:val="ka-GE"/>
              </w:rPr>
              <w:t>ც</w:t>
            </w:r>
            <w:r>
              <w:rPr>
                <w:rFonts w:ascii="Sylfaen" w:eastAsia="MS Gothic" w:hAnsi="Sylfaen"/>
                <w:sz w:val="24"/>
                <w:szCs w:val="24"/>
                <w:lang w:val="de-AT"/>
              </w:rPr>
              <w:t>იული</w:t>
            </w:r>
            <w:r w:rsidR="00EA0536">
              <w:rPr>
                <w:rFonts w:ascii="Sylfaen" w:eastAsia="MS Gothic" w:hAnsi="Sylfaen"/>
                <w:sz w:val="24"/>
                <w:szCs w:val="24"/>
                <w:lang w:val="ka-GE"/>
              </w:rPr>
              <w:t xml:space="preserve"> ტექნოლოგიები</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438FE"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438FE">
              <w:rPr>
                <w:rFonts w:eastAsia="MS Gothic"/>
                <w:sz w:val="24"/>
                <w:szCs w:val="24"/>
              </w:rPr>
            </w:r>
            <w:r w:rsidR="007438FE">
              <w:rPr>
                <w:rFonts w:eastAsia="MS Gothic"/>
                <w:sz w:val="24"/>
                <w:szCs w:val="24"/>
              </w:rPr>
              <w:fldChar w:fldCharType="separate"/>
            </w:r>
            <w:r w:rsidR="007438FE"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438FE"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580A4B" w:rsidRPr="00580A4B" w:rsidRDefault="00557D30" w:rsidP="00557D30">
            <w:pPr>
              <w:spacing w:before="120"/>
              <w:rPr>
                <w:rFonts w:ascii="Sylfaen" w:hAnsi="Sylfaen" w:cs="Sylfaen"/>
                <w:color w:val="000000"/>
                <w:shd w:val="clear" w:color="auto" w:fill="FFFFFF"/>
              </w:rPr>
            </w:pPr>
            <w:r>
              <w:rPr>
                <w:rFonts w:ascii="Sylfaen" w:hAnsi="Sylfaen"/>
                <w:sz w:val="24"/>
                <w:szCs w:val="24"/>
                <w:lang w:val="ka-GE"/>
              </w:rPr>
              <w:t>„პერსონალური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87786F" w:rsidRDefault="0087786F" w:rsidP="00B6396C">
            <w:pPr>
              <w:spacing w:before="120"/>
              <w:rPr>
                <w:rFonts w:ascii="Sylfaen" w:hAnsi="Sylfaen"/>
                <w:sz w:val="24"/>
                <w:szCs w:val="24"/>
                <w:lang w:val="ka-GE"/>
              </w:rPr>
            </w:pPr>
            <w:r w:rsidRPr="0087786F">
              <w:rPr>
                <w:rFonts w:ascii="Sylfaen" w:hAnsi="Sylfaen"/>
                <w:sz w:val="24"/>
                <w:szCs w:val="24"/>
                <w:lang w:val="ka-GE"/>
              </w:rPr>
              <w:t>საქართველოს შრომის კოდექსი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87786F" w:rsidRDefault="0087786F" w:rsidP="00B6396C">
            <w:pPr>
              <w:spacing w:before="120"/>
              <w:rPr>
                <w:rFonts w:ascii="Sylfaen" w:hAnsi="Sylfaen"/>
                <w:sz w:val="24"/>
                <w:szCs w:val="24"/>
                <w:lang w:val="ka-GE"/>
              </w:rPr>
            </w:pPr>
            <w:r w:rsidRPr="0087786F">
              <w:rPr>
                <w:rFonts w:ascii="Sylfaen" w:hAnsi="Sylfaen"/>
                <w:sz w:val="24"/>
                <w:szCs w:val="24"/>
                <w:lang w:val="ka-GE"/>
              </w:rPr>
              <w:t>„საქმისწარმოების ერთიანი წესების“ დამტკიცებისა და ამოქმედების შესახებ“</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EA0536" w:rsidP="00B6396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EA0536" w:rsidRDefault="00EA0536" w:rsidP="00B6396C">
            <w:pPr>
              <w:spacing w:before="120"/>
              <w:rPr>
                <w:rFonts w:ascii="Sylfaen" w:hAnsi="Sylfaen"/>
                <w:sz w:val="24"/>
                <w:szCs w:val="24"/>
                <w:lang w:val="ka-GE"/>
              </w:rPr>
            </w:pPr>
            <w:r>
              <w:rPr>
                <w:rFonts w:ascii="Sylfaen" w:hAnsi="Sylfaen"/>
                <w:sz w:val="24"/>
                <w:szCs w:val="24"/>
                <w:lang w:val="ka-GE"/>
              </w:rPr>
              <w:t xml:space="preserve">მონაცემთა </w:t>
            </w:r>
            <w:r w:rsidR="00580A4B">
              <w:rPr>
                <w:rFonts w:ascii="Sylfaen" w:hAnsi="Sylfaen"/>
                <w:sz w:val="24"/>
                <w:szCs w:val="24"/>
                <w:lang w:val="ka-GE"/>
              </w:rPr>
              <w:t>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438FE">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7438FE">
              <w:rPr>
                <w:rFonts w:eastAsia="MS Gothic"/>
                <w:sz w:val="24"/>
                <w:szCs w:val="24"/>
              </w:rPr>
            </w:r>
            <w:r w:rsidR="007438FE">
              <w:rPr>
                <w:rFonts w:eastAsia="MS Gothic"/>
                <w:sz w:val="24"/>
                <w:szCs w:val="24"/>
              </w:rPr>
              <w:fldChar w:fldCharType="separate"/>
            </w:r>
            <w:r w:rsidR="007438FE">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438FE">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7438FE">
              <w:rPr>
                <w:rFonts w:eastAsia="MS Gothic"/>
                <w:sz w:val="24"/>
                <w:szCs w:val="24"/>
              </w:rPr>
            </w:r>
            <w:r w:rsidR="007438FE">
              <w:rPr>
                <w:rFonts w:eastAsia="MS Gothic"/>
                <w:sz w:val="24"/>
                <w:szCs w:val="24"/>
              </w:rPr>
              <w:fldChar w:fldCharType="separate"/>
            </w:r>
            <w:r w:rsidR="007438FE">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438FE">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7438FE">
              <w:rPr>
                <w:rFonts w:eastAsia="MS Gothic"/>
                <w:sz w:val="24"/>
                <w:szCs w:val="24"/>
              </w:rPr>
            </w:r>
            <w:r w:rsidR="007438FE">
              <w:rPr>
                <w:rFonts w:eastAsia="MS Gothic"/>
                <w:sz w:val="24"/>
                <w:szCs w:val="24"/>
              </w:rPr>
              <w:fldChar w:fldCharType="separate"/>
            </w:r>
            <w:r w:rsidR="007438FE">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438FE">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7438FE">
              <w:rPr>
                <w:rFonts w:eastAsia="MS Gothic"/>
                <w:sz w:val="24"/>
                <w:szCs w:val="24"/>
              </w:rPr>
            </w:r>
            <w:r w:rsidR="007438FE">
              <w:rPr>
                <w:rFonts w:eastAsia="MS Gothic"/>
                <w:sz w:val="24"/>
                <w:szCs w:val="24"/>
              </w:rPr>
              <w:fldChar w:fldCharType="separate"/>
            </w:r>
            <w:r w:rsidR="007438FE">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438FE">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7438FE">
              <w:rPr>
                <w:rFonts w:eastAsia="MS Gothic"/>
                <w:sz w:val="24"/>
                <w:szCs w:val="24"/>
              </w:rPr>
            </w:r>
            <w:r w:rsidR="007438FE">
              <w:rPr>
                <w:rFonts w:eastAsia="MS Gothic"/>
                <w:sz w:val="24"/>
                <w:szCs w:val="24"/>
              </w:rPr>
              <w:fldChar w:fldCharType="separate"/>
            </w:r>
            <w:r w:rsidR="007438FE">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80A4B">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438FE"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438FE">
              <w:rPr>
                <w:rFonts w:eastAsia="MS Gothic"/>
                <w:sz w:val="24"/>
                <w:szCs w:val="24"/>
              </w:rPr>
            </w:r>
            <w:r w:rsidR="007438FE">
              <w:rPr>
                <w:rFonts w:eastAsia="MS Gothic"/>
                <w:sz w:val="24"/>
                <w:szCs w:val="24"/>
              </w:rPr>
              <w:fldChar w:fldCharType="separate"/>
            </w:r>
            <w:r w:rsidR="007438FE"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438FE"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438FE">
              <w:rPr>
                <w:rFonts w:eastAsia="MS Gothic"/>
                <w:sz w:val="24"/>
                <w:szCs w:val="24"/>
              </w:rPr>
            </w:r>
            <w:r w:rsidR="007438FE">
              <w:rPr>
                <w:rFonts w:eastAsia="MS Gothic"/>
                <w:sz w:val="24"/>
                <w:szCs w:val="24"/>
              </w:rPr>
              <w:fldChar w:fldCharType="separate"/>
            </w:r>
            <w:r w:rsidR="007438FE"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438FE"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438FE">
              <w:rPr>
                <w:rFonts w:eastAsia="MS Gothic"/>
                <w:sz w:val="24"/>
                <w:szCs w:val="24"/>
              </w:rPr>
            </w:r>
            <w:r w:rsidR="007438FE">
              <w:rPr>
                <w:rFonts w:eastAsia="MS Gothic"/>
                <w:sz w:val="24"/>
                <w:szCs w:val="24"/>
              </w:rPr>
              <w:fldChar w:fldCharType="separate"/>
            </w:r>
            <w:r w:rsidR="007438FE"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438FE"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438FE">
              <w:rPr>
                <w:rFonts w:eastAsia="MS Gothic"/>
                <w:sz w:val="24"/>
                <w:szCs w:val="24"/>
              </w:rPr>
            </w:r>
            <w:r w:rsidR="007438FE">
              <w:rPr>
                <w:rFonts w:eastAsia="MS Gothic"/>
                <w:sz w:val="24"/>
                <w:szCs w:val="24"/>
              </w:rPr>
              <w:fldChar w:fldCharType="separate"/>
            </w:r>
            <w:r w:rsidR="007438FE"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438FE"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438FE">
              <w:rPr>
                <w:rFonts w:eastAsia="MS Gothic"/>
                <w:sz w:val="24"/>
                <w:szCs w:val="24"/>
              </w:rPr>
            </w:r>
            <w:r w:rsidR="007438FE">
              <w:rPr>
                <w:rFonts w:eastAsia="MS Gothic"/>
                <w:sz w:val="24"/>
                <w:szCs w:val="24"/>
              </w:rPr>
              <w:fldChar w:fldCharType="separate"/>
            </w:r>
            <w:r w:rsidR="007438FE"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535097" w:rsidRDefault="00245F0D" w:rsidP="00245F0D">
            <w:pPr>
              <w:spacing w:before="120"/>
              <w:ind w:left="-21" w:hanging="90"/>
              <w:rPr>
                <w:rFonts w:eastAsia="MS Gothic"/>
                <w:sz w:val="24"/>
                <w:szCs w:val="24"/>
                <w:lang w:val="de-AT"/>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7786F">
              <w:rPr>
                <w:rFonts w:ascii="Sylfaen" w:hAnsi="Sylfaen"/>
                <w:sz w:val="24"/>
                <w:szCs w:val="24"/>
                <w:lang w:val="ka-GE"/>
              </w:rPr>
              <w:t>მონაცემთა ბაზები</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580A4B" w:rsidP="00245F0D">
            <w:pPr>
              <w:spacing w:before="120"/>
              <w:rPr>
                <w:rFonts w:ascii="Sylfaen" w:hAnsi="Sylfaen"/>
                <w:b/>
                <w:sz w:val="24"/>
                <w:szCs w:val="24"/>
                <w:lang w:val="ka-GE"/>
              </w:rPr>
            </w:pPr>
            <w:r>
              <w:rPr>
                <w:rFonts w:ascii="Sylfaen" w:hAnsi="Sylfaen"/>
                <w:b/>
                <w:sz w:val="24"/>
                <w:szCs w:val="24"/>
                <w:lang w:val="ka-GE"/>
              </w:rPr>
              <w:t>ქართული</w:t>
            </w:r>
            <w:r w:rsidR="00535097">
              <w:rPr>
                <w:rFonts w:ascii="Sylfaen" w:hAnsi="Sylfaen"/>
                <w:b/>
                <w:sz w:val="24"/>
                <w:szCs w:val="24"/>
                <w:lang w:val="de-AT"/>
              </w:rPr>
              <w:t xml:space="preserve"> </w:t>
            </w:r>
            <w:r w:rsidR="00535097">
              <w:t xml:space="preserve"> </w:t>
            </w:r>
            <w:r w:rsidR="00535097" w:rsidRPr="00535097">
              <w:rPr>
                <w:rFonts w:ascii="Sylfaen" w:hAnsi="Sylfaen"/>
                <w:b/>
                <w:sz w:val="24"/>
                <w:szCs w:val="24"/>
                <w:lang w:val="de-AT"/>
              </w:rPr>
              <w:t>C2</w:t>
            </w:r>
          </w:p>
          <w:p w:rsidR="003D0666" w:rsidRPr="00580A4B" w:rsidRDefault="003D0666" w:rsidP="003D0666">
            <w:pPr>
              <w:spacing w:before="120"/>
              <w:rPr>
                <w:rFonts w:ascii="Sylfaen" w:hAnsi="Sylfaen"/>
                <w:b/>
                <w:sz w:val="24"/>
                <w:szCs w:val="24"/>
                <w:lang w:val="en-US"/>
              </w:rPr>
            </w:pPr>
            <w:r>
              <w:rPr>
                <w:rFonts w:ascii="Sylfaen" w:hAnsi="Sylfaen"/>
                <w:b/>
                <w:sz w:val="24"/>
                <w:szCs w:val="24"/>
                <w:lang w:val="ka-GE"/>
              </w:rPr>
              <w:t xml:space="preserve">ინგლისური - </w:t>
            </w:r>
            <w:r w:rsidR="00535097">
              <w:rPr>
                <w:rFonts w:ascii="Sylfaen" w:hAnsi="Sylfaen"/>
                <w:b/>
                <w:sz w:val="24"/>
                <w:szCs w:val="24"/>
                <w:lang w:val="en-US"/>
              </w:rPr>
              <w:t xml:space="preserve"> B1</w:t>
            </w:r>
          </w:p>
          <w:p w:rsidR="00580A4B" w:rsidRPr="00580A4B" w:rsidRDefault="00580A4B" w:rsidP="00245F0D">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580A4B" w:rsidRDefault="00580A4B" w:rsidP="00245F0D">
            <w:pPr>
              <w:spacing w:before="120"/>
              <w:rPr>
                <w:rFonts w:ascii="Sylfaen" w:hAnsi="Sylfaen"/>
                <w:b/>
                <w:sz w:val="24"/>
                <w:szCs w:val="24"/>
                <w:lang w:val="en-US"/>
              </w:rPr>
            </w:pPr>
            <w:r>
              <w:rPr>
                <w:rFonts w:ascii="Sylfaen" w:hAnsi="Sylfaen"/>
                <w:b/>
                <w:sz w:val="24"/>
                <w:szCs w:val="24"/>
                <w:lang w:val="ka-GE"/>
              </w:rPr>
              <w:t xml:space="preserve">რუსული </w:t>
            </w:r>
            <w:r>
              <w:rPr>
                <w:rFonts w:ascii="Sylfaen" w:hAnsi="Sylfaen"/>
                <w:b/>
                <w:sz w:val="24"/>
                <w:szCs w:val="24"/>
                <w:lang w:val="en-US"/>
              </w:rPr>
              <w:t xml:space="preserve"> </w:t>
            </w:r>
            <w:r>
              <w:rPr>
                <w:rFonts w:ascii="Sylfaen" w:hAnsi="Sylfaen"/>
                <w:b/>
                <w:sz w:val="24"/>
                <w:szCs w:val="24"/>
                <w:lang w:val="ka-GE"/>
              </w:rPr>
              <w:t xml:space="preserve">- </w:t>
            </w:r>
            <w:r w:rsidR="00F4026E">
              <w:rPr>
                <w:rFonts w:ascii="Sylfaen" w:hAnsi="Sylfaen"/>
                <w:b/>
                <w:sz w:val="24"/>
                <w:szCs w:val="24"/>
                <w:lang w:val="en-US"/>
              </w:rPr>
              <w:t>B2</w:t>
            </w:r>
          </w:p>
          <w:p w:rsidR="00535097" w:rsidRPr="00535097" w:rsidRDefault="00535097" w:rsidP="00535097">
            <w:pPr>
              <w:spacing w:before="120"/>
              <w:rPr>
                <w:rFonts w:ascii="Sylfaen" w:hAnsi="Sylfaen"/>
                <w:b/>
                <w:sz w:val="24"/>
                <w:szCs w:val="24"/>
                <w:lang w:val="en-US"/>
              </w:rPr>
            </w:pPr>
            <w:r>
              <w:rPr>
                <w:rFonts w:ascii="Sylfaen" w:hAnsi="Sylfaen"/>
                <w:b/>
                <w:sz w:val="24"/>
                <w:szCs w:val="24"/>
                <w:lang w:val="ka-GE"/>
              </w:rPr>
              <w:t xml:space="preserve">ინგლისური - </w:t>
            </w:r>
            <w:r>
              <w:rPr>
                <w:rFonts w:ascii="Sylfaen" w:hAnsi="Sylfaen"/>
                <w:b/>
                <w:sz w:val="24"/>
                <w:szCs w:val="24"/>
                <w:lang w:val="en-US"/>
              </w:rPr>
              <w:t xml:space="preserve"> B2</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438FE"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7438FE" w:rsidP="0087786F">
            <w:pPr>
              <w:spacing w:before="120"/>
              <w:rPr>
                <w:rFonts w:ascii="Sylfaen" w:hAnsi="Sylfaen"/>
                <w:sz w:val="24"/>
                <w:szCs w:val="24"/>
                <w:lang w:val="ka-GE"/>
              </w:rPr>
            </w:pPr>
            <w:r w:rsidRPr="007438FE">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87786F">
              <w:rPr>
                <w:rFonts w:ascii="Sylfaen" w:eastAsia="MS Gothic" w:hAnsi="Sylfaen"/>
                <w:sz w:val="24"/>
                <w:szCs w:val="24"/>
                <w:lang w:val="de-AT"/>
              </w:rPr>
              <w:t>2</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438FE"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7438FE" w:rsidP="00DE5305">
            <w:pPr>
              <w:spacing w:before="120"/>
              <w:rPr>
                <w:rFonts w:ascii="Sylfaen" w:eastAsia="MS Gothic" w:hAnsi="Sylfaen"/>
                <w:sz w:val="24"/>
                <w:szCs w:val="24"/>
                <w:lang w:val="ka-GE"/>
              </w:rPr>
            </w:pPr>
            <w:r w:rsidRPr="007438FE">
              <w:rPr>
                <w:rFonts w:eastAsia="MS Gothic"/>
                <w:noProof/>
                <w:sz w:val="24"/>
                <w:szCs w:val="24"/>
                <w:lang w:val="ka-GE" w:eastAsia="ka-GE"/>
              </w:rPr>
              <w:pict>
                <v:shape id="_x0000_s1027" type="#_x0000_t32" style="position:absolute;margin-left:22.15pt;margin-top:17.35pt;width:52.6pt;height:0;z-index:251659264"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2A72FC" w:rsidRDefault="004943FC" w:rsidP="002A72FC">
            <w:pPr>
              <w:spacing w:before="120"/>
              <w:rPr>
                <w:rFonts w:ascii="Sylfaen" w:eastAsia="MS Gothic" w:hAnsi="Sylfaen"/>
                <w:sz w:val="24"/>
                <w:szCs w:val="24"/>
                <w:lang w:val="de-AT"/>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2A72FC">
              <w:rPr>
                <w:rFonts w:ascii="Sylfaen" w:eastAsia="MS Gothic" w:hAnsi="Sylfaen"/>
                <w:sz w:val="24"/>
                <w:szCs w:val="24"/>
                <w:lang w:val="ka-GE"/>
              </w:rPr>
              <w:t>ინფორმ</w:t>
            </w:r>
            <w:r w:rsidR="002A72FC">
              <w:rPr>
                <w:rFonts w:ascii="Sylfaen" w:eastAsia="MS Gothic" w:hAnsi="Sylfaen"/>
                <w:sz w:val="24"/>
                <w:szCs w:val="24"/>
                <w:lang w:val="de-AT"/>
              </w:rPr>
              <w:t>ა</w:t>
            </w:r>
            <w:r w:rsidR="002A72FC">
              <w:rPr>
                <w:rFonts w:ascii="Sylfaen" w:eastAsia="MS Gothic" w:hAnsi="Sylfaen"/>
                <w:sz w:val="24"/>
                <w:szCs w:val="24"/>
                <w:lang w:val="ka-GE"/>
              </w:rPr>
              <w:t>ც</w:t>
            </w:r>
            <w:r w:rsidR="002A72FC">
              <w:rPr>
                <w:rFonts w:ascii="Sylfaen" w:eastAsia="MS Gothic" w:hAnsi="Sylfaen"/>
                <w:sz w:val="24"/>
                <w:szCs w:val="24"/>
                <w:lang w:val="de-AT"/>
              </w:rPr>
              <w:t>იული</w:t>
            </w:r>
            <w:r w:rsidR="002A72FC">
              <w:rPr>
                <w:rFonts w:ascii="Sylfaen" w:eastAsia="MS Gothic" w:hAnsi="Sylfaen"/>
                <w:sz w:val="24"/>
                <w:szCs w:val="24"/>
                <w:lang w:val="ka-GE"/>
              </w:rPr>
              <w:t xml:space="preserve"> ტექნოლოგიები</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7438FE" w:rsidP="00245F0D">
            <w:pPr>
              <w:spacing w:before="120"/>
              <w:rPr>
                <w:rFonts w:ascii="Sylfaen" w:eastAsia="MS Gothic" w:hAnsi="Sylfaen"/>
                <w:sz w:val="24"/>
                <w:szCs w:val="24"/>
                <w:lang w:val="ka-GE"/>
              </w:rPr>
            </w:pPr>
            <w:r w:rsidRPr="007438FE">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7438FE" w:rsidP="00DE5305">
            <w:pPr>
              <w:spacing w:before="120"/>
              <w:rPr>
                <w:rFonts w:ascii="Sylfaen" w:eastAsia="MS Gothic" w:hAnsi="Sylfaen" w:cs="Sylfaen"/>
                <w:sz w:val="24"/>
                <w:szCs w:val="24"/>
              </w:rPr>
            </w:pPr>
            <w:r w:rsidRPr="007438FE">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535097" w:rsidRPr="00F22384" w:rsidRDefault="00535097" w:rsidP="00535097">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535097" w:rsidRPr="00F22384" w:rsidRDefault="00535097" w:rsidP="0053509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535097" w:rsidRPr="0087786F" w:rsidRDefault="00535097" w:rsidP="0053509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87786F" w:rsidRPr="00F22384" w:rsidRDefault="0087786F" w:rsidP="0087786F">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535097" w:rsidRPr="00F22384" w:rsidRDefault="00535097" w:rsidP="00535097">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535097" w:rsidRPr="00F22384" w:rsidRDefault="00535097" w:rsidP="00535097">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535097" w:rsidRPr="0087786F" w:rsidRDefault="00535097" w:rsidP="00535097">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87786F" w:rsidRPr="00F22384" w:rsidRDefault="0087786F" w:rsidP="0087786F">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87786F" w:rsidRPr="002A72FC" w:rsidRDefault="0087786F" w:rsidP="0087786F">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2A72FC" w:rsidRPr="00F22384" w:rsidRDefault="002A72FC" w:rsidP="002A72FC">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0C03BE">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438FE"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438FE"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438FE"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headerReference w:type="default" r:id="rId8"/>
      <w:footerReference w:type="default" r:id="rId9"/>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26F" w:rsidRDefault="0031026F" w:rsidP="0097333E">
      <w:r>
        <w:separator/>
      </w:r>
    </w:p>
  </w:endnote>
  <w:endnote w:type="continuationSeparator" w:id="0">
    <w:p w:rsidR="0031026F" w:rsidRDefault="0031026F"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9C75BB" w:rsidRDefault="007438FE">
        <w:pPr>
          <w:pStyle w:val="Footer"/>
          <w:jc w:val="right"/>
        </w:pPr>
        <w:r>
          <w:fldChar w:fldCharType="begin"/>
        </w:r>
        <w:r w:rsidR="009C75BB">
          <w:instrText xml:space="preserve"> PAGE   \* MERGEFORMAT </w:instrText>
        </w:r>
        <w:r>
          <w:fldChar w:fldCharType="separate"/>
        </w:r>
        <w:r w:rsidR="002A72FC">
          <w:rPr>
            <w:noProof/>
          </w:rPr>
          <w:t>3</w:t>
        </w:r>
        <w:r>
          <w:rPr>
            <w:noProof/>
          </w:rPr>
          <w:fldChar w:fldCharType="end"/>
        </w:r>
      </w:p>
    </w:sdtContent>
  </w:sdt>
  <w:p w:rsidR="009C75BB" w:rsidRDefault="009C7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26F" w:rsidRDefault="0031026F" w:rsidP="0097333E">
      <w:r>
        <w:separator/>
      </w:r>
    </w:p>
  </w:footnote>
  <w:footnote w:type="continuationSeparator" w:id="0">
    <w:p w:rsidR="0031026F" w:rsidRDefault="0031026F"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BB" w:rsidRPr="003B30E5" w:rsidRDefault="009C75BB"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9C75BB" w:rsidRPr="00910F2D" w:rsidRDefault="009C75BB"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A154F"/>
    <w:multiLevelType w:val="multilevel"/>
    <w:tmpl w:val="3A8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3"/>
  </w:num>
  <w:num w:numId="5">
    <w:abstractNumId w:val="11"/>
  </w:num>
  <w:num w:numId="6">
    <w:abstractNumId w:val="25"/>
  </w:num>
  <w:num w:numId="7">
    <w:abstractNumId w:val="5"/>
  </w:num>
  <w:num w:numId="8">
    <w:abstractNumId w:val="2"/>
  </w:num>
  <w:num w:numId="9">
    <w:abstractNumId w:val="0"/>
  </w:num>
  <w:num w:numId="10">
    <w:abstractNumId w:val="20"/>
  </w:num>
  <w:num w:numId="11">
    <w:abstractNumId w:val="1"/>
  </w:num>
  <w:num w:numId="12">
    <w:abstractNumId w:val="9"/>
  </w:num>
  <w:num w:numId="13">
    <w:abstractNumId w:val="15"/>
  </w:num>
  <w:num w:numId="14">
    <w:abstractNumId w:val="24"/>
  </w:num>
  <w:num w:numId="15">
    <w:abstractNumId w:val="27"/>
  </w:num>
  <w:num w:numId="16">
    <w:abstractNumId w:val="22"/>
  </w:num>
  <w:num w:numId="17">
    <w:abstractNumId w:val="4"/>
  </w:num>
  <w:num w:numId="18">
    <w:abstractNumId w:val="14"/>
  </w:num>
  <w:num w:numId="19">
    <w:abstractNumId w:val="6"/>
  </w:num>
  <w:num w:numId="20">
    <w:abstractNumId w:val="8"/>
  </w:num>
  <w:num w:numId="21">
    <w:abstractNumId w:val="21"/>
  </w:num>
  <w:num w:numId="22">
    <w:abstractNumId w:val="23"/>
  </w:num>
  <w:num w:numId="23">
    <w:abstractNumId w:val="16"/>
  </w:num>
  <w:num w:numId="24">
    <w:abstractNumId w:val="18"/>
  </w:num>
  <w:num w:numId="25">
    <w:abstractNumId w:val="12"/>
  </w:num>
  <w:num w:numId="26">
    <w:abstractNumId w:val="19"/>
  </w:num>
  <w:num w:numId="27">
    <w:abstractNumId w:val="1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0B97"/>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C03BE"/>
    <w:rsid w:val="000D3CBE"/>
    <w:rsid w:val="000D489E"/>
    <w:rsid w:val="000D50B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4534"/>
    <w:rsid w:val="00235C3A"/>
    <w:rsid w:val="0023764F"/>
    <w:rsid w:val="00243C42"/>
    <w:rsid w:val="00245F0D"/>
    <w:rsid w:val="002479EE"/>
    <w:rsid w:val="00261242"/>
    <w:rsid w:val="002703F8"/>
    <w:rsid w:val="002729A1"/>
    <w:rsid w:val="00273051"/>
    <w:rsid w:val="002846C9"/>
    <w:rsid w:val="00285857"/>
    <w:rsid w:val="002861A8"/>
    <w:rsid w:val="002A72FC"/>
    <w:rsid w:val="002B04B2"/>
    <w:rsid w:val="002B1B07"/>
    <w:rsid w:val="002B4448"/>
    <w:rsid w:val="002C1286"/>
    <w:rsid w:val="002D02CE"/>
    <w:rsid w:val="002D47E5"/>
    <w:rsid w:val="002E279A"/>
    <w:rsid w:val="002E4191"/>
    <w:rsid w:val="002E610A"/>
    <w:rsid w:val="002E683E"/>
    <w:rsid w:val="00301613"/>
    <w:rsid w:val="0031026F"/>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D0666"/>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21D29"/>
    <w:rsid w:val="00533855"/>
    <w:rsid w:val="00535097"/>
    <w:rsid w:val="005457C7"/>
    <w:rsid w:val="00546627"/>
    <w:rsid w:val="00546D9D"/>
    <w:rsid w:val="005559C0"/>
    <w:rsid w:val="00557D30"/>
    <w:rsid w:val="00580A4B"/>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049B"/>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38FE"/>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7786F"/>
    <w:rsid w:val="00886186"/>
    <w:rsid w:val="00890DE6"/>
    <w:rsid w:val="008937C6"/>
    <w:rsid w:val="00895C07"/>
    <w:rsid w:val="008967F8"/>
    <w:rsid w:val="00896B5A"/>
    <w:rsid w:val="008A42FE"/>
    <w:rsid w:val="008A72D4"/>
    <w:rsid w:val="008A77AF"/>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1568"/>
    <w:rsid w:val="009C2D6D"/>
    <w:rsid w:val="009C70BA"/>
    <w:rsid w:val="009C75BB"/>
    <w:rsid w:val="009D396E"/>
    <w:rsid w:val="009D5AF8"/>
    <w:rsid w:val="009D5CC7"/>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AD63DC"/>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B70B0"/>
    <w:rsid w:val="00BC2ED1"/>
    <w:rsid w:val="00BD08E3"/>
    <w:rsid w:val="00BD67E6"/>
    <w:rsid w:val="00BE2E68"/>
    <w:rsid w:val="00BE7F74"/>
    <w:rsid w:val="00BF73D3"/>
    <w:rsid w:val="00C009E1"/>
    <w:rsid w:val="00C022AE"/>
    <w:rsid w:val="00C07404"/>
    <w:rsid w:val="00C078FD"/>
    <w:rsid w:val="00C11AAF"/>
    <w:rsid w:val="00C11F9F"/>
    <w:rsid w:val="00C16271"/>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0536"/>
    <w:rsid w:val="00EA5538"/>
    <w:rsid w:val="00EA725F"/>
    <w:rsid w:val="00EA76EF"/>
    <w:rsid w:val="00EC02DC"/>
    <w:rsid w:val="00F01EC3"/>
    <w:rsid w:val="00F14662"/>
    <w:rsid w:val="00F16024"/>
    <w:rsid w:val="00F17655"/>
    <w:rsid w:val="00F20536"/>
    <w:rsid w:val="00F22384"/>
    <w:rsid w:val="00F33539"/>
    <w:rsid w:val="00F37B41"/>
    <w:rsid w:val="00F4026E"/>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28"/>
        <o:r id="V:Rule6" type="connector" idref="#_x0000_s1026"/>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semiHidden/>
    <w:unhideWhenUsed/>
    <w:rsid w:val="00C16271"/>
    <w:rPr>
      <w:color w:val="0000FF"/>
      <w:u w:val="single"/>
    </w:rPr>
  </w:style>
</w:styles>
</file>

<file path=word/webSettings.xml><?xml version="1.0" encoding="utf-8"?>
<w:webSettings xmlns:r="http://schemas.openxmlformats.org/officeDocument/2006/relationships" xmlns:w="http://schemas.openxmlformats.org/wordprocessingml/2006/main">
  <w:divs>
    <w:div w:id="957182025">
      <w:bodyDiv w:val="1"/>
      <w:marLeft w:val="0"/>
      <w:marRight w:val="0"/>
      <w:marTop w:val="0"/>
      <w:marBottom w:val="0"/>
      <w:divBdr>
        <w:top w:val="none" w:sz="0" w:space="0" w:color="auto"/>
        <w:left w:val="none" w:sz="0" w:space="0" w:color="auto"/>
        <w:bottom w:val="none" w:sz="0" w:space="0" w:color="auto"/>
        <w:right w:val="none" w:sz="0" w:space="0" w:color="auto"/>
      </w:divBdr>
    </w:div>
    <w:div w:id="983780682">
      <w:bodyDiv w:val="1"/>
      <w:marLeft w:val="0"/>
      <w:marRight w:val="0"/>
      <w:marTop w:val="0"/>
      <w:marBottom w:val="0"/>
      <w:divBdr>
        <w:top w:val="none" w:sz="0" w:space="0" w:color="auto"/>
        <w:left w:val="none" w:sz="0" w:space="0" w:color="auto"/>
        <w:bottom w:val="none" w:sz="0" w:space="0" w:color="auto"/>
        <w:right w:val="none" w:sz="0" w:space="0" w:color="auto"/>
      </w:divBdr>
    </w:div>
    <w:div w:id="9930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2D8C-A09D-4C60-9442-9DF5F0B1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7473</TotalTime>
  <Pages>7</Pages>
  <Words>1473</Words>
  <Characters>8399</Characters>
  <Application>Microsoft Office Word</Application>
  <DocSecurity>0</DocSecurity>
  <Lines>69</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12</cp:revision>
  <cp:lastPrinted>2016-03-29T13:14:00Z</cp:lastPrinted>
  <dcterms:created xsi:type="dcterms:W3CDTF">2016-02-05T14:16:00Z</dcterms:created>
  <dcterms:modified xsi:type="dcterms:W3CDTF">2016-05-13T10:25:00Z</dcterms:modified>
</cp:coreProperties>
</file>