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4F" w:rsidRPr="00193EE7" w:rsidRDefault="00A57B85" w:rsidP="009E0086">
      <w:pPr>
        <w:jc w:val="center"/>
        <w:rPr>
          <w:b/>
          <w:sz w:val="24"/>
          <w:szCs w:val="24"/>
          <w:lang w:val="ka-GE"/>
        </w:rPr>
      </w:pPr>
      <w:r w:rsidRPr="00193EE7">
        <w:rPr>
          <w:b/>
          <w:sz w:val="24"/>
          <w:szCs w:val="24"/>
          <w:lang w:val="ka-GE"/>
        </w:rPr>
        <w:t xml:space="preserve">,,სპეციალურ კონტროლს დაქვემდებარებულ ცალკეულ ნივთიერებებზე, რომლებიც არ ექვემდებარებიან საერთაშორისო კონტროლს და </w:t>
      </w:r>
      <w:r w:rsidR="00D7599B">
        <w:rPr>
          <w:b/>
          <w:sz w:val="24"/>
          <w:szCs w:val="24"/>
          <w:lang w:val="ka-GE"/>
        </w:rPr>
        <w:t>ს</w:t>
      </w:r>
      <w:r w:rsidRPr="00193EE7">
        <w:rPr>
          <w:b/>
          <w:sz w:val="24"/>
          <w:szCs w:val="24"/>
          <w:lang w:val="ka-GE"/>
        </w:rPr>
        <w:t>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საჭიროების შემთხვევაში ქვეყნის შიდა კვოტის განსაზღვრის მიზანშეწონილობის თაობაზე წინადადებებისა და რეკომენდაციების შემუშავების მიზნით“ შექმნილი საბჭოს</w:t>
      </w:r>
    </w:p>
    <w:p w:rsidR="00A57B85" w:rsidRPr="00193EE7" w:rsidRDefault="00A57B85" w:rsidP="00A57B85">
      <w:pPr>
        <w:jc w:val="both"/>
        <w:rPr>
          <w:sz w:val="24"/>
          <w:szCs w:val="24"/>
          <w:lang w:val="ka-GE"/>
        </w:rPr>
      </w:pPr>
      <w:r w:rsidRPr="00193EE7">
        <w:rPr>
          <w:sz w:val="24"/>
          <w:szCs w:val="24"/>
          <w:lang w:val="ka-GE"/>
        </w:rPr>
        <w:t xml:space="preserve">     2017 წლის 12 აპრილის №1 სხდომის მიერ მიღებულ იქნა შემდეგი გადაწყვეტილებები:</w:t>
      </w:r>
    </w:p>
    <w:p w:rsidR="00A57B85" w:rsidRPr="00193EE7" w:rsidRDefault="00A57B85" w:rsidP="00A57B85">
      <w:pPr>
        <w:jc w:val="both"/>
        <w:rPr>
          <w:sz w:val="24"/>
          <w:szCs w:val="24"/>
          <w:lang w:val="ka-GE"/>
        </w:rPr>
      </w:pPr>
      <w:r w:rsidRPr="00193EE7">
        <w:rPr>
          <w:sz w:val="24"/>
          <w:szCs w:val="24"/>
          <w:lang w:val="ka-GE"/>
        </w:rPr>
        <w:t xml:space="preserve"> </w:t>
      </w:r>
    </w:p>
    <w:p w:rsidR="00A57B85" w:rsidRPr="00193EE7" w:rsidRDefault="00A57B85" w:rsidP="00A57B8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ka-GE"/>
        </w:rPr>
      </w:pPr>
      <w:r w:rsidRPr="00193EE7">
        <w:rPr>
          <w:rFonts w:cs="Sylfaen"/>
          <w:b/>
          <w:sz w:val="24"/>
          <w:szCs w:val="24"/>
          <w:lang w:val="ka-GE"/>
        </w:rPr>
        <w:t>გაბაპენტინს</w:t>
      </w:r>
      <w:r w:rsidRPr="00193EE7">
        <w:rPr>
          <w:b/>
          <w:sz w:val="24"/>
          <w:szCs w:val="24"/>
          <w:lang w:val="ka-GE"/>
        </w:rPr>
        <w:t xml:space="preserve">, </w:t>
      </w:r>
      <w:r w:rsidRPr="00193EE7">
        <w:rPr>
          <w:rFonts w:cs="Sylfaen"/>
          <w:b/>
          <w:sz w:val="24"/>
          <w:szCs w:val="24"/>
          <w:lang w:val="ka-GE"/>
        </w:rPr>
        <w:t>ბაკლოფენს</w:t>
      </w:r>
      <w:r w:rsidRPr="00193EE7">
        <w:rPr>
          <w:b/>
          <w:sz w:val="24"/>
          <w:szCs w:val="24"/>
          <w:lang w:val="ka-GE"/>
        </w:rPr>
        <w:t xml:space="preserve">, </w:t>
      </w:r>
      <w:r w:rsidRPr="00193EE7">
        <w:rPr>
          <w:rFonts w:cs="Sylfaen"/>
          <w:b/>
          <w:sz w:val="24"/>
          <w:szCs w:val="24"/>
          <w:lang w:val="ka-GE"/>
        </w:rPr>
        <w:t>ზოპიკლონს</w:t>
      </w:r>
      <w:r w:rsidRPr="00193EE7">
        <w:rPr>
          <w:b/>
          <w:sz w:val="24"/>
          <w:szCs w:val="24"/>
          <w:lang w:val="ka-GE"/>
        </w:rPr>
        <w:t xml:space="preserve">, </w:t>
      </w:r>
      <w:r w:rsidRPr="00193EE7">
        <w:rPr>
          <w:rFonts w:cs="Sylfaen"/>
          <w:b/>
          <w:sz w:val="24"/>
          <w:szCs w:val="24"/>
          <w:lang w:val="ka-GE"/>
        </w:rPr>
        <w:t>ზალეპლონს</w:t>
      </w:r>
      <w:r w:rsidRPr="00193EE7">
        <w:rPr>
          <w:b/>
          <w:sz w:val="24"/>
          <w:szCs w:val="24"/>
          <w:lang w:val="ka-GE"/>
        </w:rPr>
        <w:t xml:space="preserve">, </w:t>
      </w:r>
      <w:r w:rsidRPr="00193EE7">
        <w:rPr>
          <w:rFonts w:cs="Sylfaen"/>
          <w:b/>
          <w:sz w:val="24"/>
          <w:szCs w:val="24"/>
          <w:lang w:val="ka-GE"/>
        </w:rPr>
        <w:t>ტროპიკამიდსა</w:t>
      </w:r>
      <w:r w:rsidRPr="00193EE7">
        <w:rPr>
          <w:b/>
          <w:sz w:val="24"/>
          <w:szCs w:val="24"/>
          <w:lang w:val="ka-GE"/>
        </w:rPr>
        <w:t xml:space="preserve"> </w:t>
      </w:r>
      <w:r w:rsidRPr="00193EE7">
        <w:rPr>
          <w:rFonts w:cs="Sylfaen"/>
          <w:b/>
          <w:sz w:val="24"/>
          <w:szCs w:val="24"/>
          <w:lang w:val="ka-GE"/>
        </w:rPr>
        <w:t>და</w:t>
      </w:r>
      <w:r w:rsidRPr="00193EE7">
        <w:rPr>
          <w:b/>
          <w:sz w:val="24"/>
          <w:szCs w:val="24"/>
          <w:lang w:val="ka-GE"/>
        </w:rPr>
        <w:t xml:space="preserve"> </w:t>
      </w:r>
      <w:r w:rsidRPr="00193EE7">
        <w:rPr>
          <w:rFonts w:cs="Sylfaen"/>
          <w:b/>
          <w:sz w:val="24"/>
          <w:szCs w:val="24"/>
          <w:lang w:val="ka-GE"/>
        </w:rPr>
        <w:t>დექსტრომეტორფანზე</w:t>
      </w:r>
      <w:r w:rsidRPr="00193EE7">
        <w:rPr>
          <w:b/>
          <w:sz w:val="24"/>
          <w:szCs w:val="24"/>
          <w:lang w:val="ka-GE"/>
        </w:rPr>
        <w:t xml:space="preserve"> დადგინდეს </w:t>
      </w:r>
      <w:r w:rsidR="009E0086" w:rsidRPr="00193EE7">
        <w:rPr>
          <w:b/>
          <w:sz w:val="24"/>
          <w:szCs w:val="24"/>
          <w:lang w:val="ka-GE"/>
        </w:rPr>
        <w:t xml:space="preserve">ქვეყნის </w:t>
      </w:r>
      <w:r w:rsidRPr="00193EE7">
        <w:rPr>
          <w:b/>
          <w:sz w:val="24"/>
          <w:szCs w:val="24"/>
          <w:lang w:val="ka-GE"/>
        </w:rPr>
        <w:t>შიდა კვოტა;</w:t>
      </w:r>
    </w:p>
    <w:p w:rsidR="009E0086" w:rsidRPr="00193EE7" w:rsidRDefault="009E0086" w:rsidP="009E0086">
      <w:pPr>
        <w:pStyle w:val="ListParagraph"/>
        <w:spacing w:after="0" w:line="240" w:lineRule="auto"/>
        <w:jc w:val="both"/>
        <w:rPr>
          <w:sz w:val="24"/>
          <w:szCs w:val="24"/>
          <w:lang w:val="ka-GE"/>
        </w:rPr>
      </w:pPr>
    </w:p>
    <w:p w:rsidR="009E0086" w:rsidRPr="00193EE7" w:rsidRDefault="009E0086" w:rsidP="00A57B8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  <w:lang w:val="ka-GE"/>
        </w:rPr>
      </w:pPr>
      <w:r w:rsidRPr="00193EE7">
        <w:rPr>
          <w:sz w:val="24"/>
          <w:szCs w:val="24"/>
          <w:lang w:val="ka-GE"/>
        </w:rPr>
        <w:t xml:space="preserve"> </w:t>
      </w:r>
      <w:r w:rsidRPr="00193EE7">
        <w:rPr>
          <w:b/>
          <w:sz w:val="24"/>
          <w:szCs w:val="24"/>
          <w:lang w:val="ka-GE"/>
        </w:rPr>
        <w:t xml:space="preserve">შიდა </w:t>
      </w:r>
      <w:r w:rsidR="00D7599B">
        <w:rPr>
          <w:b/>
          <w:sz w:val="24"/>
          <w:szCs w:val="24"/>
          <w:lang w:val="ka-GE"/>
        </w:rPr>
        <w:t>კვოტები</w:t>
      </w:r>
      <w:r w:rsidRPr="00193EE7">
        <w:rPr>
          <w:b/>
          <w:sz w:val="24"/>
          <w:szCs w:val="24"/>
          <w:lang w:val="ka-GE"/>
        </w:rPr>
        <w:t xml:space="preserve"> განისაზღვროს შემდეგი ოდენობით: </w:t>
      </w:r>
    </w:p>
    <w:p w:rsidR="009E0086" w:rsidRPr="00193EE7" w:rsidRDefault="009E0086" w:rsidP="009E0086">
      <w:pPr>
        <w:pStyle w:val="ListParagraph"/>
        <w:rPr>
          <w:sz w:val="24"/>
          <w:szCs w:val="24"/>
          <w:lang w:val="ka-GE"/>
        </w:rPr>
      </w:pPr>
    </w:p>
    <w:p w:rsidR="009E0086" w:rsidRPr="00193EE7" w:rsidRDefault="009E0086" w:rsidP="009E0086">
      <w:pPr>
        <w:pStyle w:val="ListParagraph"/>
        <w:spacing w:after="0" w:line="240" w:lineRule="auto"/>
        <w:rPr>
          <w:sz w:val="24"/>
          <w:szCs w:val="24"/>
          <w:lang w:val="ka-GE"/>
        </w:rPr>
      </w:pPr>
      <w:r w:rsidRPr="00193EE7">
        <w:rPr>
          <w:b/>
          <w:bCs/>
          <w:sz w:val="24"/>
          <w:szCs w:val="24"/>
          <w:lang w:val="ka-GE"/>
        </w:rPr>
        <w:t>ზალეპლონი</w:t>
      </w:r>
      <w:r w:rsidR="00193EE7">
        <w:rPr>
          <w:b/>
          <w:bCs/>
          <w:sz w:val="24"/>
          <w:szCs w:val="24"/>
          <w:lang w:val="ka-GE"/>
        </w:rPr>
        <w:t xml:space="preserve">სათვის </w:t>
      </w:r>
      <w:r w:rsidRPr="00193EE7">
        <w:rPr>
          <w:b/>
          <w:bCs/>
          <w:sz w:val="24"/>
          <w:szCs w:val="24"/>
          <w:lang w:val="ka-GE"/>
        </w:rPr>
        <w:t xml:space="preserve"> - 1050  გრამი</w:t>
      </w:r>
    </w:p>
    <w:p w:rsidR="009E0086" w:rsidRPr="00193EE7" w:rsidRDefault="009E0086" w:rsidP="009E0086">
      <w:pPr>
        <w:spacing w:after="0" w:line="240" w:lineRule="auto"/>
        <w:ind w:left="360"/>
        <w:rPr>
          <w:b/>
          <w:bCs/>
          <w:sz w:val="24"/>
          <w:szCs w:val="24"/>
          <w:lang w:val="ka-GE"/>
        </w:rPr>
      </w:pPr>
      <w:r w:rsidRPr="00193EE7">
        <w:rPr>
          <w:b/>
          <w:bCs/>
          <w:sz w:val="24"/>
          <w:szCs w:val="24"/>
          <w:lang w:val="ka-GE"/>
        </w:rPr>
        <w:t xml:space="preserve">      ზოპიკლონი</w:t>
      </w:r>
      <w:r w:rsidR="00193EE7">
        <w:rPr>
          <w:b/>
          <w:bCs/>
          <w:sz w:val="24"/>
          <w:szCs w:val="24"/>
          <w:lang w:val="ka-GE"/>
        </w:rPr>
        <w:t xml:space="preserve">სათვის </w:t>
      </w:r>
      <w:r w:rsidRPr="00193EE7">
        <w:rPr>
          <w:b/>
          <w:bCs/>
          <w:sz w:val="24"/>
          <w:szCs w:val="24"/>
          <w:lang w:val="ka-GE"/>
        </w:rPr>
        <w:t xml:space="preserve"> - 3 000  გრამი</w:t>
      </w:r>
    </w:p>
    <w:p w:rsidR="009E0086" w:rsidRPr="00193EE7" w:rsidRDefault="009E0086" w:rsidP="009E0086">
      <w:pPr>
        <w:spacing w:after="0" w:line="240" w:lineRule="auto"/>
        <w:ind w:left="360"/>
        <w:rPr>
          <w:b/>
          <w:bCs/>
          <w:sz w:val="24"/>
          <w:szCs w:val="24"/>
          <w:lang w:val="ka-GE"/>
        </w:rPr>
      </w:pPr>
      <w:r w:rsidRPr="00193EE7">
        <w:rPr>
          <w:b/>
          <w:bCs/>
          <w:sz w:val="24"/>
          <w:szCs w:val="24"/>
          <w:lang w:val="ka-GE"/>
        </w:rPr>
        <w:t xml:space="preserve">      ბაკლოფენი</w:t>
      </w:r>
      <w:r w:rsidR="00193EE7">
        <w:rPr>
          <w:b/>
          <w:bCs/>
          <w:sz w:val="24"/>
          <w:szCs w:val="24"/>
          <w:lang w:val="ka-GE"/>
        </w:rPr>
        <w:t xml:space="preserve">სათვის </w:t>
      </w:r>
      <w:r w:rsidRPr="00193EE7">
        <w:rPr>
          <w:b/>
          <w:bCs/>
          <w:sz w:val="24"/>
          <w:szCs w:val="24"/>
          <w:lang w:val="ka-GE"/>
        </w:rPr>
        <w:t xml:space="preserve"> - 68 765 გრამი</w:t>
      </w:r>
    </w:p>
    <w:p w:rsidR="009E0086" w:rsidRPr="00193EE7" w:rsidRDefault="009E0086" w:rsidP="009E0086">
      <w:pPr>
        <w:spacing w:after="0" w:line="240" w:lineRule="auto"/>
        <w:ind w:left="360"/>
        <w:rPr>
          <w:sz w:val="24"/>
          <w:szCs w:val="24"/>
        </w:rPr>
      </w:pPr>
      <w:r w:rsidRPr="00193EE7">
        <w:rPr>
          <w:b/>
          <w:bCs/>
          <w:sz w:val="24"/>
          <w:szCs w:val="24"/>
          <w:lang w:val="ka-GE"/>
        </w:rPr>
        <w:t xml:space="preserve">      გაბაპენტინი</w:t>
      </w:r>
      <w:r w:rsidR="00193EE7">
        <w:rPr>
          <w:b/>
          <w:bCs/>
          <w:sz w:val="24"/>
          <w:szCs w:val="24"/>
          <w:lang w:val="ka-GE"/>
        </w:rPr>
        <w:t>სათვის</w:t>
      </w:r>
      <w:r w:rsidRPr="00193EE7">
        <w:rPr>
          <w:b/>
          <w:bCs/>
          <w:sz w:val="24"/>
          <w:szCs w:val="24"/>
          <w:lang w:val="ka-GE"/>
        </w:rPr>
        <w:t xml:space="preserve"> -  1 029 380 გრამი</w:t>
      </w:r>
    </w:p>
    <w:p w:rsidR="009E0086" w:rsidRPr="00193EE7" w:rsidRDefault="009E0086" w:rsidP="009E0086">
      <w:pPr>
        <w:spacing w:after="0" w:line="240" w:lineRule="auto"/>
        <w:ind w:left="360"/>
        <w:rPr>
          <w:b/>
          <w:bCs/>
          <w:sz w:val="24"/>
          <w:szCs w:val="24"/>
          <w:lang w:val="ka-GE"/>
        </w:rPr>
      </w:pPr>
      <w:r w:rsidRPr="00193EE7">
        <w:rPr>
          <w:b/>
          <w:bCs/>
          <w:sz w:val="24"/>
          <w:szCs w:val="24"/>
          <w:lang w:val="ka-GE"/>
        </w:rPr>
        <w:t xml:space="preserve">      ტროპიკამიდისათვის</w:t>
      </w:r>
      <w:r w:rsidR="00193EE7">
        <w:rPr>
          <w:b/>
          <w:bCs/>
          <w:sz w:val="24"/>
          <w:szCs w:val="24"/>
          <w:lang w:val="ka-GE"/>
        </w:rPr>
        <w:t xml:space="preserve"> -</w:t>
      </w:r>
      <w:r w:rsidRPr="00193EE7">
        <w:rPr>
          <w:b/>
          <w:bCs/>
          <w:sz w:val="24"/>
          <w:szCs w:val="24"/>
          <w:lang w:val="ka-GE"/>
        </w:rPr>
        <w:t xml:space="preserve"> 300  გრამი </w:t>
      </w:r>
    </w:p>
    <w:p w:rsidR="009E0086" w:rsidRPr="00193EE7" w:rsidRDefault="009E0086" w:rsidP="009E0086">
      <w:pPr>
        <w:spacing w:after="0" w:line="240" w:lineRule="auto"/>
        <w:ind w:left="360"/>
        <w:rPr>
          <w:b/>
          <w:bCs/>
          <w:sz w:val="24"/>
          <w:szCs w:val="24"/>
          <w:lang w:val="ka-GE"/>
        </w:rPr>
      </w:pPr>
      <w:r w:rsidRPr="00193EE7">
        <w:rPr>
          <w:b/>
          <w:bCs/>
          <w:sz w:val="24"/>
          <w:szCs w:val="24"/>
          <w:lang w:val="ka-GE"/>
        </w:rPr>
        <w:t xml:space="preserve">      დექსტრომეტორფანისათვის- 3 000 გრამი</w:t>
      </w:r>
    </w:p>
    <w:p w:rsidR="009E0086" w:rsidRPr="00193EE7" w:rsidRDefault="009E0086" w:rsidP="009E0086">
      <w:pPr>
        <w:pStyle w:val="ListParagraph"/>
        <w:spacing w:after="0" w:line="240" w:lineRule="auto"/>
        <w:jc w:val="both"/>
        <w:rPr>
          <w:sz w:val="24"/>
          <w:szCs w:val="24"/>
          <w:lang w:val="ka-GE"/>
        </w:rPr>
      </w:pPr>
    </w:p>
    <w:p w:rsidR="009E0086" w:rsidRPr="00193EE7" w:rsidRDefault="009E0086" w:rsidP="009E0086">
      <w:pPr>
        <w:pStyle w:val="ListParagraph"/>
        <w:rPr>
          <w:sz w:val="24"/>
          <w:szCs w:val="24"/>
          <w:lang w:val="ka-GE"/>
        </w:rPr>
      </w:pPr>
    </w:p>
    <w:p w:rsidR="009E0086" w:rsidRPr="00193EE7" w:rsidRDefault="009E0086" w:rsidP="009E00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93EE7">
        <w:rPr>
          <w:b/>
          <w:bCs/>
          <w:sz w:val="24"/>
          <w:szCs w:val="24"/>
          <w:lang w:val="ka-GE"/>
        </w:rPr>
        <w:t xml:space="preserve">2017 წელს, კანონით დადგენილ ვადებში, იმპორტი გამოცხადდეს მთლიან წლიურ </w:t>
      </w:r>
      <w:r w:rsidR="00D7599B">
        <w:rPr>
          <w:b/>
          <w:bCs/>
          <w:sz w:val="24"/>
          <w:szCs w:val="24"/>
          <w:lang w:val="ka-GE"/>
        </w:rPr>
        <w:t xml:space="preserve">შიდა </w:t>
      </w:r>
      <w:r w:rsidRPr="00193EE7">
        <w:rPr>
          <w:b/>
          <w:bCs/>
          <w:sz w:val="24"/>
          <w:szCs w:val="24"/>
          <w:lang w:val="ka-GE"/>
        </w:rPr>
        <w:t>კვოტაზე, ამასთან, იმპორტის გამოცხადებისას გათვალისწინებულ იქნას ამ დროისათვის ქვეყანაში არსებული ნაშთები/მარაგები</w:t>
      </w:r>
      <w:r w:rsidR="00605FCC">
        <w:rPr>
          <w:b/>
          <w:bCs/>
          <w:sz w:val="24"/>
          <w:szCs w:val="24"/>
          <w:lang w:val="ka-GE"/>
        </w:rPr>
        <w:t>;</w:t>
      </w:r>
    </w:p>
    <w:p w:rsidR="009E0086" w:rsidRPr="00193EE7" w:rsidRDefault="009E0086" w:rsidP="009E0086">
      <w:pPr>
        <w:spacing w:after="0" w:line="240" w:lineRule="auto"/>
        <w:ind w:left="360"/>
        <w:rPr>
          <w:sz w:val="24"/>
          <w:szCs w:val="24"/>
          <w:lang w:val="ka-GE"/>
        </w:rPr>
      </w:pPr>
    </w:p>
    <w:p w:rsidR="009E0086" w:rsidRPr="00193EE7" w:rsidRDefault="009E0086" w:rsidP="009E008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  <w:lang w:val="ka-GE"/>
        </w:rPr>
      </w:pPr>
      <w:r w:rsidRPr="00193EE7">
        <w:rPr>
          <w:b/>
          <w:bCs/>
          <w:sz w:val="24"/>
          <w:szCs w:val="24"/>
          <w:lang w:val="ka-GE"/>
        </w:rPr>
        <w:t xml:space="preserve">მოწონებულ იქნას  </w:t>
      </w:r>
      <w:r w:rsidRPr="00193EE7">
        <w:rPr>
          <w:rFonts w:eastAsia="Sylfaen"/>
          <w:b/>
          <w:sz w:val="24"/>
          <w:szCs w:val="24"/>
          <w:lang w:val="ka-GE"/>
        </w:rPr>
        <w:t>რეკომენდაცია იმპორტიორთა შერჩევის კრიტერიუმებთან და მათ შორის</w:t>
      </w:r>
      <w:r w:rsidR="00605FCC">
        <w:rPr>
          <w:rFonts w:eastAsia="Sylfaen"/>
          <w:b/>
          <w:sz w:val="24"/>
          <w:szCs w:val="24"/>
          <w:lang w:val="ka-GE"/>
        </w:rPr>
        <w:t>,</w:t>
      </w:r>
      <w:r w:rsidRPr="00193EE7">
        <w:rPr>
          <w:rFonts w:eastAsia="Sylfaen"/>
          <w:b/>
          <w:sz w:val="24"/>
          <w:szCs w:val="24"/>
          <w:lang w:val="ka-GE"/>
        </w:rPr>
        <w:t xml:space="preserve"> კვოტების სამართლიანად გადანაწილებასთან დაკავშირებით.</w:t>
      </w:r>
    </w:p>
    <w:p w:rsidR="00193EE7" w:rsidRPr="00193EE7" w:rsidRDefault="00193EE7" w:rsidP="009E0086">
      <w:pPr>
        <w:pStyle w:val="ListParagraph"/>
        <w:rPr>
          <w:b/>
          <w:bCs/>
          <w:sz w:val="24"/>
          <w:szCs w:val="24"/>
          <w:lang w:val="ka-GE"/>
        </w:rPr>
      </w:pPr>
    </w:p>
    <w:p w:rsidR="009E0086" w:rsidRPr="00193EE7" w:rsidRDefault="009E0086" w:rsidP="009E0086">
      <w:pPr>
        <w:pStyle w:val="ListParagraph"/>
        <w:spacing w:after="0" w:line="240" w:lineRule="auto"/>
        <w:rPr>
          <w:b/>
          <w:bCs/>
          <w:sz w:val="24"/>
          <w:szCs w:val="24"/>
          <w:lang w:val="ka-GE"/>
        </w:rPr>
      </w:pPr>
    </w:p>
    <w:p w:rsidR="00193EE7" w:rsidRPr="00193EE7" w:rsidRDefault="00193EE7" w:rsidP="00193EE7">
      <w:pPr>
        <w:spacing w:after="0" w:line="240" w:lineRule="auto"/>
        <w:rPr>
          <w:b/>
          <w:bCs/>
          <w:sz w:val="24"/>
          <w:szCs w:val="24"/>
          <w:lang w:val="ka-GE"/>
        </w:rPr>
      </w:pPr>
      <w:r w:rsidRPr="00193EE7">
        <w:rPr>
          <w:b/>
          <w:bCs/>
          <w:sz w:val="24"/>
          <w:szCs w:val="24"/>
          <w:lang w:val="ka-GE"/>
        </w:rPr>
        <w:t xml:space="preserve">საბჭოს თავმჯდომარე                                                                საბჭოს თანათავმჯდომარე     </w:t>
      </w:r>
    </w:p>
    <w:p w:rsidR="00193EE7" w:rsidRPr="00193EE7" w:rsidRDefault="00193EE7" w:rsidP="009E0086">
      <w:pPr>
        <w:pStyle w:val="ListParagraph"/>
        <w:spacing w:after="0" w:line="240" w:lineRule="auto"/>
        <w:rPr>
          <w:b/>
          <w:bCs/>
          <w:sz w:val="24"/>
          <w:szCs w:val="24"/>
          <w:lang w:val="ka-GE"/>
        </w:rPr>
      </w:pPr>
    </w:p>
    <w:p w:rsidR="009E0086" w:rsidRPr="00193EE7" w:rsidRDefault="009E0086" w:rsidP="009E0086">
      <w:pPr>
        <w:rPr>
          <w:b/>
          <w:sz w:val="24"/>
          <w:szCs w:val="24"/>
          <w:lang w:val="ka-GE"/>
        </w:rPr>
      </w:pPr>
      <w:r w:rsidRPr="00193EE7">
        <w:rPr>
          <w:rFonts w:cs="Sylfaen"/>
          <w:b/>
          <w:sz w:val="24"/>
          <w:szCs w:val="24"/>
          <w:lang w:val="ka-GE"/>
        </w:rPr>
        <w:t>საქართველოს</w:t>
      </w:r>
      <w:r w:rsidRPr="00193EE7">
        <w:rPr>
          <w:b/>
          <w:sz w:val="24"/>
          <w:szCs w:val="24"/>
          <w:lang w:val="ka-GE"/>
        </w:rPr>
        <w:t xml:space="preserve"> </w:t>
      </w:r>
      <w:r w:rsidRPr="00193EE7">
        <w:rPr>
          <w:rFonts w:cs="Sylfaen"/>
          <w:b/>
          <w:sz w:val="24"/>
          <w:szCs w:val="24"/>
          <w:lang w:val="ka-GE"/>
        </w:rPr>
        <w:t>შრომის</w:t>
      </w:r>
      <w:r w:rsidRPr="00193EE7">
        <w:rPr>
          <w:b/>
          <w:sz w:val="24"/>
          <w:szCs w:val="24"/>
          <w:lang w:val="ka-GE"/>
        </w:rPr>
        <w:t xml:space="preserve">, </w:t>
      </w:r>
      <w:r w:rsidRPr="00193EE7">
        <w:rPr>
          <w:rFonts w:cs="Sylfaen"/>
          <w:b/>
          <w:sz w:val="24"/>
          <w:szCs w:val="24"/>
          <w:lang w:val="ka-GE"/>
        </w:rPr>
        <w:t>ჯანმრთელობისა</w:t>
      </w:r>
      <w:r w:rsidRPr="00193EE7">
        <w:rPr>
          <w:b/>
          <w:sz w:val="24"/>
          <w:szCs w:val="24"/>
          <w:lang w:val="ka-GE"/>
        </w:rPr>
        <w:t xml:space="preserve">                                  </w:t>
      </w:r>
      <w:r w:rsidRPr="00193EE7">
        <w:rPr>
          <w:rFonts w:cs="Sylfaen"/>
          <w:b/>
          <w:sz w:val="24"/>
          <w:szCs w:val="24"/>
          <w:lang w:val="ka-GE"/>
        </w:rPr>
        <w:t>საქართველოს</w:t>
      </w:r>
      <w:r w:rsidRPr="00193EE7">
        <w:rPr>
          <w:b/>
          <w:sz w:val="24"/>
          <w:szCs w:val="24"/>
          <w:lang w:val="ka-GE"/>
        </w:rPr>
        <w:t xml:space="preserve"> </w:t>
      </w:r>
      <w:r w:rsidRPr="00193EE7">
        <w:rPr>
          <w:rFonts w:cs="Sylfaen"/>
          <w:b/>
          <w:sz w:val="24"/>
          <w:szCs w:val="24"/>
          <w:lang w:val="ka-GE"/>
        </w:rPr>
        <w:t>შინაგან</w:t>
      </w:r>
    </w:p>
    <w:p w:rsidR="009E0086" w:rsidRPr="00193EE7" w:rsidRDefault="009E0086" w:rsidP="009E0086">
      <w:pPr>
        <w:pStyle w:val="ListParagraph"/>
        <w:ind w:left="0"/>
        <w:rPr>
          <w:b/>
          <w:sz w:val="24"/>
          <w:szCs w:val="24"/>
          <w:lang w:val="ka-GE"/>
        </w:rPr>
      </w:pPr>
      <w:r w:rsidRPr="00193EE7">
        <w:rPr>
          <w:b/>
          <w:sz w:val="24"/>
          <w:szCs w:val="24"/>
          <w:lang w:val="ka-GE"/>
        </w:rPr>
        <w:t>და სოციალური დაცვის მინისტრი                                              საქმეთა მინისტრი</w:t>
      </w:r>
    </w:p>
    <w:p w:rsidR="009E0086" w:rsidRPr="00193EE7" w:rsidRDefault="009E0086" w:rsidP="009E0086">
      <w:pPr>
        <w:pStyle w:val="ListParagraph"/>
        <w:spacing w:after="0" w:line="240" w:lineRule="auto"/>
        <w:jc w:val="both"/>
        <w:rPr>
          <w:b/>
          <w:sz w:val="24"/>
          <w:szCs w:val="24"/>
          <w:lang w:val="ka-GE"/>
        </w:rPr>
      </w:pPr>
    </w:p>
    <w:p w:rsidR="00A57B85" w:rsidRPr="00193EE7" w:rsidRDefault="00A57B85" w:rsidP="009E0086">
      <w:pPr>
        <w:pStyle w:val="ListParagraph"/>
        <w:jc w:val="both"/>
        <w:rPr>
          <w:sz w:val="24"/>
          <w:szCs w:val="24"/>
          <w:lang w:val="ka-GE"/>
        </w:rPr>
      </w:pPr>
    </w:p>
    <w:p w:rsidR="00193EE7" w:rsidRPr="00193EE7" w:rsidRDefault="00193EE7" w:rsidP="009E0086">
      <w:pPr>
        <w:pStyle w:val="ListParagraph"/>
        <w:jc w:val="both"/>
        <w:rPr>
          <w:sz w:val="24"/>
          <w:szCs w:val="24"/>
          <w:lang w:val="ka-GE"/>
        </w:rPr>
      </w:pPr>
    </w:p>
    <w:p w:rsidR="00193EE7" w:rsidRPr="00605FCC" w:rsidRDefault="00193EE7" w:rsidP="00605FCC">
      <w:pPr>
        <w:pStyle w:val="ListParagraph"/>
        <w:jc w:val="both"/>
        <w:rPr>
          <w:sz w:val="24"/>
          <w:szCs w:val="24"/>
          <w:lang w:val="ka-GE"/>
        </w:rPr>
      </w:pPr>
      <w:r w:rsidRPr="00193EE7">
        <w:rPr>
          <w:sz w:val="24"/>
          <w:szCs w:val="24"/>
          <w:lang w:val="ka-GE"/>
        </w:rPr>
        <w:t xml:space="preserve">დავით სერგეენკო                                                                     გიორგი </w:t>
      </w:r>
      <w:r w:rsidR="00C821E1">
        <w:rPr>
          <w:sz w:val="24"/>
          <w:szCs w:val="24"/>
          <w:lang w:val="ka-GE"/>
        </w:rPr>
        <w:t>მღებრიშვილი</w:t>
      </w:r>
      <w:bookmarkStart w:id="0" w:name="_GoBack"/>
      <w:bookmarkEnd w:id="0"/>
    </w:p>
    <w:sectPr w:rsidR="00193EE7" w:rsidRPr="00605FCC" w:rsidSect="00AC0C01">
      <w:pgSz w:w="12240" w:h="15840"/>
      <w:pgMar w:top="1134" w:right="850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B0" w:rsidRDefault="001378B0" w:rsidP="00605FCC">
      <w:pPr>
        <w:spacing w:after="0" w:line="240" w:lineRule="auto"/>
      </w:pPr>
      <w:r>
        <w:separator/>
      </w:r>
    </w:p>
  </w:endnote>
  <w:endnote w:type="continuationSeparator" w:id="0">
    <w:p w:rsidR="001378B0" w:rsidRDefault="001378B0" w:rsidP="0060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B0" w:rsidRDefault="001378B0" w:rsidP="00605FCC">
      <w:pPr>
        <w:spacing w:after="0" w:line="240" w:lineRule="auto"/>
      </w:pPr>
      <w:r>
        <w:separator/>
      </w:r>
    </w:p>
  </w:footnote>
  <w:footnote w:type="continuationSeparator" w:id="0">
    <w:p w:rsidR="001378B0" w:rsidRDefault="001378B0" w:rsidP="00605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668F"/>
    <w:multiLevelType w:val="hybridMultilevel"/>
    <w:tmpl w:val="57920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52A53"/>
    <w:multiLevelType w:val="hybridMultilevel"/>
    <w:tmpl w:val="A7AAC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85"/>
    <w:rsid w:val="001378B0"/>
    <w:rsid w:val="00193EE7"/>
    <w:rsid w:val="002D1C4F"/>
    <w:rsid w:val="00605FCC"/>
    <w:rsid w:val="009E0086"/>
    <w:rsid w:val="00A57B85"/>
    <w:rsid w:val="00AC0C01"/>
    <w:rsid w:val="00C821E1"/>
    <w:rsid w:val="00D7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5FC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FCC"/>
  </w:style>
  <w:style w:type="paragraph" w:styleId="Footer">
    <w:name w:val="footer"/>
    <w:basedOn w:val="Normal"/>
    <w:link w:val="FooterChar"/>
    <w:uiPriority w:val="99"/>
    <w:unhideWhenUsed/>
    <w:rsid w:val="00605FC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5FC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FCC"/>
  </w:style>
  <w:style w:type="paragraph" w:styleId="Footer">
    <w:name w:val="footer"/>
    <w:basedOn w:val="Normal"/>
    <w:link w:val="FooterChar"/>
    <w:uiPriority w:val="99"/>
    <w:unhideWhenUsed/>
    <w:rsid w:val="00605FC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Darakhvelidze</dc:creator>
  <cp:lastModifiedBy>Mariam Darakhvelidze</cp:lastModifiedBy>
  <cp:revision>5</cp:revision>
  <cp:lastPrinted>2017-04-12T05:32:00Z</cp:lastPrinted>
  <dcterms:created xsi:type="dcterms:W3CDTF">2017-04-11T13:38:00Z</dcterms:created>
  <dcterms:modified xsi:type="dcterms:W3CDTF">2017-04-12T05:32:00Z</dcterms:modified>
</cp:coreProperties>
</file>