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999" w:rsidRPr="00D2032B" w:rsidRDefault="0016071B" w:rsidP="00D2032B">
      <w:pPr>
        <w:jc w:val="both"/>
        <w:rPr>
          <w:b/>
          <w:i/>
          <w:sz w:val="24"/>
          <w:szCs w:val="24"/>
        </w:rPr>
      </w:pPr>
      <w:r w:rsidRPr="00D2032B">
        <w:rPr>
          <w:b/>
          <w:i/>
          <w:sz w:val="24"/>
          <w:szCs w:val="24"/>
        </w:rPr>
        <w:t xml:space="preserve">წითელა, წითურა, ყბაყურას საწინააღმდეგო კომბინირებული ვაქცინა </w:t>
      </w:r>
      <w:r w:rsidR="008C6999" w:rsidRPr="00D2032B">
        <w:rPr>
          <w:b/>
          <w:i/>
          <w:sz w:val="24"/>
          <w:szCs w:val="24"/>
        </w:rPr>
        <w:t xml:space="preserve"> (</w:t>
      </w:r>
      <w:r w:rsidR="00D25F82">
        <w:rPr>
          <w:b/>
          <w:i/>
          <w:sz w:val="24"/>
          <w:szCs w:val="24"/>
          <w:lang w:val="en-US"/>
        </w:rPr>
        <w:t xml:space="preserve">MMR, </w:t>
      </w:r>
      <w:proofErr w:type="spellStart"/>
      <w:r w:rsidR="008C6999" w:rsidRPr="00D2032B">
        <w:rPr>
          <w:b/>
          <w:i/>
          <w:sz w:val="24"/>
          <w:szCs w:val="24"/>
          <w:lang w:val="en-US"/>
        </w:rPr>
        <w:t>Gl</w:t>
      </w:r>
      <w:proofErr w:type="spellEnd"/>
      <w:r w:rsidR="008C6999" w:rsidRPr="00D2032B">
        <w:rPr>
          <w:b/>
          <w:i/>
          <w:sz w:val="24"/>
          <w:szCs w:val="24"/>
        </w:rPr>
        <w:t xml:space="preserve">axosmithkline, </w:t>
      </w:r>
      <w:r w:rsidR="00D25F82">
        <w:rPr>
          <w:b/>
          <w:i/>
          <w:sz w:val="24"/>
          <w:szCs w:val="24"/>
          <w:lang w:val="en-US"/>
        </w:rPr>
        <w:t>Belgium</w:t>
      </w:r>
      <w:r w:rsidR="008C6999" w:rsidRPr="00D2032B">
        <w:rPr>
          <w:b/>
          <w:i/>
          <w:sz w:val="24"/>
          <w:szCs w:val="24"/>
        </w:rPr>
        <w:t>)</w:t>
      </w:r>
    </w:p>
    <w:p w:rsidR="00F45295" w:rsidRDefault="008C6999" w:rsidP="00D2032B">
      <w:pPr>
        <w:jc w:val="both"/>
      </w:pPr>
      <w:r>
        <w:t xml:space="preserve">ვაქცინაციის </w:t>
      </w:r>
      <w:r w:rsidR="0016071B" w:rsidRPr="0016071B">
        <w:t>კურსი არის ორდოზიანი და  ტარდება 12 თვის და 5 წლის ასაკში. არავაქცინირებული ბავშვი უნდა  აიცრას  წწყ ვაქცინის 2 დოზით. აცრებს შორის დასაშვები მინიმალური ინტერვალია  4 კვირა,  რეკომენდებული - 3 - 5 წელი.</w:t>
      </w:r>
      <w:r w:rsidR="00D25F82">
        <w:t xml:space="preserve"> </w:t>
      </w:r>
      <w:r w:rsidR="0016071B">
        <w:t>წწყ - ვაქცინა შეიცავს წითელას (შტამი Schwarz), წითურას (შტამი Wistar RA-27/3) და ყბაყურას (შტამი RIT4385 მიღებულია Jeryl Lynn შტამისაგან) ცოცხალ, ატენუირებულ ვირუსებს.  ვაქცინა გამოდის ფხვნილის სახით, გამხსნელად გამოიყენება მხოლოდ მწარმოებლის მიერ კონკრეტულ ვაქცინასთან ერთად მოწოდებული გამხსნელი.  ვაქცინა და გამხსნელი შერევისას უნდა იყოს ერთნაირი ტემპერატურის.  ერთი საინექციო დოზა შეადგენს 0,5 მლ, აცრა კეთდება ღრმად კანქვეშ,  მხრის შუა მესამედის გარე ზედაპირზე.</w:t>
      </w:r>
      <w:r w:rsidR="00437232">
        <w:t xml:space="preserve"> </w:t>
      </w:r>
      <w:r w:rsidR="0016071B">
        <w:t>აღდგენილი/გახსნილი ვაქცინის გამოყენება დასაშვებია მისი აღდგენიდან მხოლოდ 6 საათის განმავლობაში. ვაქცინა ინახება +2</w:t>
      </w:r>
      <w:r w:rsidR="0016071B" w:rsidRPr="008C6999">
        <w:rPr>
          <w:vertAlign w:val="superscript"/>
        </w:rPr>
        <w:t>0</w:t>
      </w:r>
      <w:r w:rsidR="0016071B">
        <w:t>C - +8</w:t>
      </w:r>
      <w:r w:rsidR="0016071B" w:rsidRPr="008C6999">
        <w:rPr>
          <w:vertAlign w:val="superscript"/>
        </w:rPr>
        <w:t>0</w:t>
      </w:r>
      <w:r w:rsidR="0016071B">
        <w:t>C ტემპერატურაზე.</w:t>
      </w:r>
    </w:p>
    <w:p w:rsidR="00437232" w:rsidRPr="00353FB8" w:rsidRDefault="00437232" w:rsidP="00D2032B">
      <w:pPr>
        <w:jc w:val="both"/>
        <w:rPr>
          <w:i/>
        </w:rPr>
      </w:pPr>
      <w:r w:rsidRPr="00437232">
        <w:rPr>
          <w:b/>
          <w:i/>
        </w:rPr>
        <w:t xml:space="preserve">ეპიდემიური ჩვენებით აცრების რისკის ჯგუფები   </w:t>
      </w:r>
      <w:r w:rsidR="00B400B3" w:rsidRPr="00B400B3">
        <w:rPr>
          <w:i/>
        </w:rPr>
        <w:t xml:space="preserve">(ერთჯერადი ვაქცინაცია ეპიდჩვენებით, </w:t>
      </w:r>
      <w:r w:rsidR="00353FB8">
        <w:rPr>
          <w:i/>
        </w:rPr>
        <w:t>მინიმალური ასაკი 9 თვე, მაქსიმალური  - ნებისმიერი)</w:t>
      </w:r>
    </w:p>
    <w:p w:rsidR="00437232" w:rsidRDefault="00437232" w:rsidP="00437232">
      <w:pPr>
        <w:jc w:val="both"/>
      </w:pPr>
      <w:r>
        <w:t>წითელა  - აუცრელი და/ან  არასრულად  აცრილი პირი, სამედიცინო პერსონალი, მოსწავლეები, სტუდენტები, სკოლამდელი დაწესებულებების აღსაზრდელები და პერსონალი, პედაგოგები, არავაქცინირებული კონტაქტები, სამხედროები და სხვა სპეციალური კონტინგენტი.</w:t>
      </w:r>
    </w:p>
    <w:p w:rsidR="00437232" w:rsidRPr="00437232" w:rsidRDefault="00437232" w:rsidP="00437232">
      <w:pPr>
        <w:jc w:val="both"/>
        <w:rPr>
          <w:b/>
          <w:i/>
        </w:rPr>
      </w:pPr>
      <w:r w:rsidRPr="00437232">
        <w:rPr>
          <w:b/>
          <w:i/>
        </w:rPr>
        <w:t>ვაქცინის ეფექტურობა</w:t>
      </w:r>
    </w:p>
    <w:p w:rsidR="00437232" w:rsidRDefault="00437232" w:rsidP="00437232">
      <w:pPr>
        <w:jc w:val="both"/>
      </w:pPr>
      <w:r>
        <w:t>ვაქცინა ძალზე უსაფრთხო და ეფექტურია - ორი დოზის მიღების შემდეგ დამცველობითი ეფექტი  97% -ს აღწევს, ერთი დოზის მიღების შემთხვევაში - 93%-ს.</w:t>
      </w:r>
    </w:p>
    <w:p w:rsidR="0016071B" w:rsidRPr="00D2032B" w:rsidRDefault="0016071B" w:rsidP="00D2032B">
      <w:pPr>
        <w:jc w:val="both"/>
        <w:rPr>
          <w:i/>
        </w:rPr>
      </w:pPr>
      <w:r w:rsidRPr="00D2032B">
        <w:rPr>
          <w:i/>
        </w:rPr>
        <w:t xml:space="preserve"> </w:t>
      </w:r>
      <w:r w:rsidRPr="00D2032B">
        <w:rPr>
          <w:b/>
          <w:i/>
        </w:rPr>
        <w:t>წწყ   (MMR)</w:t>
      </w:r>
      <w:r w:rsidRPr="00D2032B">
        <w:rPr>
          <w:b/>
          <w:i/>
        </w:rPr>
        <w:tab/>
        <w:t>უკუჩვენება:</w:t>
      </w:r>
    </w:p>
    <w:p w:rsidR="0016071B" w:rsidRDefault="0016071B" w:rsidP="00D2032B">
      <w:pPr>
        <w:jc w:val="both"/>
      </w:pPr>
      <w:r>
        <w:t>•</w:t>
      </w:r>
      <w:r>
        <w:tab/>
        <w:t>მძიმე ალერგიული რეაქცია ვაქცინის წინა დოზაზე ან ვაქცინის  კომპონენტზე;</w:t>
      </w:r>
    </w:p>
    <w:p w:rsidR="0016071B" w:rsidRDefault="0016071B" w:rsidP="00D2032B">
      <w:pPr>
        <w:jc w:val="both"/>
      </w:pPr>
      <w:r>
        <w:t>•</w:t>
      </w:r>
      <w:r>
        <w:tab/>
        <w:t>კვერცხის ცილაზე ანაფილაქსიური რეაქციის არსებობისას აცრა ტარდება ქათმის ფიბრობლასტით ან ადამიანის დიპლოიდურ უჯრედებზე დამზადებული ვაქცინებით;</w:t>
      </w:r>
      <w:r>
        <w:rPr>
          <w:lang w:val="en-US"/>
        </w:rPr>
        <w:t xml:space="preserve">  </w:t>
      </w:r>
      <w:r w:rsidR="008C6999">
        <w:t>(</w:t>
      </w:r>
      <w:r w:rsidR="00D61C50">
        <w:rPr>
          <w:i/>
        </w:rPr>
        <w:t xml:space="preserve">კონკრეტული </w:t>
      </w:r>
      <w:r w:rsidRPr="008C6999">
        <w:rPr>
          <w:i/>
        </w:rPr>
        <w:t>ვაქცინა  დამზადებული</w:t>
      </w:r>
      <w:r w:rsidR="008C6999" w:rsidRPr="008C6999">
        <w:rPr>
          <w:i/>
        </w:rPr>
        <w:t xml:space="preserve">ა </w:t>
      </w:r>
      <w:r w:rsidRPr="008C6999">
        <w:rPr>
          <w:i/>
        </w:rPr>
        <w:t>ქათმის ფიბრობლასტზე</w:t>
      </w:r>
      <w:r w:rsidR="00D61C50">
        <w:rPr>
          <w:i/>
        </w:rPr>
        <w:t xml:space="preserve"> </w:t>
      </w:r>
      <w:r w:rsidR="008C6999" w:rsidRPr="008C6999">
        <w:rPr>
          <w:i/>
        </w:rPr>
        <w:t>და</w:t>
      </w:r>
      <w:bookmarkStart w:id="0" w:name="_GoBack"/>
      <w:bookmarkEnd w:id="0"/>
      <w:r w:rsidRPr="008C6999">
        <w:rPr>
          <w:i/>
        </w:rPr>
        <w:t xml:space="preserve">  ადამიანის დიპლოიდურ უჯრედებზე</w:t>
      </w:r>
      <w:r w:rsidR="008C6999" w:rsidRPr="008C6999">
        <w:rPr>
          <w:i/>
        </w:rPr>
        <w:t>)</w:t>
      </w:r>
      <w:r w:rsidRPr="0016071B">
        <w:t xml:space="preserve"> </w:t>
      </w:r>
      <w:r>
        <w:t xml:space="preserve">  </w:t>
      </w:r>
    </w:p>
    <w:p w:rsidR="0016071B" w:rsidRDefault="0016071B" w:rsidP="00D2032B">
      <w:pPr>
        <w:jc w:val="both"/>
      </w:pPr>
      <w:r>
        <w:t>•</w:t>
      </w:r>
      <w:r>
        <w:tab/>
        <w:t>იმუნოდეფიციტები (მაგ. ჰემატოლოგიური და სისმსივნური წარმონაქმნები, ხანგრძლივი იმუნოსუპრესიული მკურნალობა ან მძიმე სიმპტომური აივ ინფექცია/შიდსი);</w:t>
      </w:r>
    </w:p>
    <w:p w:rsidR="0016071B" w:rsidRDefault="0016071B" w:rsidP="00D2032B">
      <w:pPr>
        <w:jc w:val="both"/>
      </w:pPr>
      <w:r>
        <w:t>•</w:t>
      </w:r>
      <w:r>
        <w:tab/>
        <w:t>ორსულობა;</w:t>
      </w:r>
    </w:p>
    <w:p w:rsidR="0016071B" w:rsidRDefault="0016071B" w:rsidP="00D2032B">
      <w:pPr>
        <w:jc w:val="both"/>
      </w:pPr>
      <w:r>
        <w:t>•</w:t>
      </w:r>
      <w:r>
        <w:tab/>
        <w:t xml:space="preserve">არაგანკურნებული აქტიური ტუბერკულოზი; </w:t>
      </w:r>
    </w:p>
    <w:p w:rsidR="0016071B" w:rsidRDefault="0016071B" w:rsidP="00D2032B">
      <w:pPr>
        <w:jc w:val="both"/>
      </w:pPr>
      <w:r>
        <w:t>გაფრთხილება:</w:t>
      </w:r>
    </w:p>
    <w:p w:rsidR="0016071B" w:rsidRDefault="0016071B" w:rsidP="00D2032B">
      <w:pPr>
        <w:jc w:val="both"/>
      </w:pPr>
      <w:r>
        <w:t>•</w:t>
      </w:r>
      <w:r>
        <w:tab/>
        <w:t xml:space="preserve">ანტისხეულების შემცველი სისხლის პროდუქტების ბოლო გადასხმიდან ინტერვალი &lt;11 თვე (სპეციფიური ინტერვალი დამოკიდებულია გადასხმულ პროდუქტზე); </w:t>
      </w:r>
    </w:p>
    <w:p w:rsidR="0016071B" w:rsidRDefault="0016071B" w:rsidP="00D2032B">
      <w:pPr>
        <w:jc w:val="both"/>
      </w:pPr>
      <w:r>
        <w:t>•</w:t>
      </w:r>
      <w:r>
        <w:tab/>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p>
    <w:p w:rsidR="008C6999" w:rsidRPr="00D2032B" w:rsidRDefault="008C6999" w:rsidP="00D2032B">
      <w:pPr>
        <w:jc w:val="both"/>
        <w:rPr>
          <w:b/>
          <w:i/>
        </w:rPr>
      </w:pPr>
      <w:r w:rsidRPr="00D2032B">
        <w:rPr>
          <w:b/>
          <w:i/>
        </w:rPr>
        <w:lastRenderedPageBreak/>
        <w:t xml:space="preserve"> დაავადებები და მდგომარეობები („ცრუ უკუჩვენებები“), რომლებიც არ წარმოადგენენ აცრების უკუჩვენებას:</w:t>
      </w:r>
    </w:p>
    <w:p w:rsidR="008C6999" w:rsidRDefault="008C6999" w:rsidP="00D2032B">
      <w:pPr>
        <w:jc w:val="both"/>
      </w:pPr>
      <w:r>
        <w:t>ა) მცირედ ან ზომიერად გამოხატული ადგილობრივი რეაქცია ვაქცინის წინა დოზაზე;</w:t>
      </w:r>
    </w:p>
    <w:p w:rsidR="008C6999" w:rsidRDefault="008C6999" w:rsidP="00D2032B">
      <w:pPr>
        <w:jc w:val="both"/>
      </w:pPr>
      <w:r>
        <w:t>ბ) პერინატალური ენცეფალოპათია;</w:t>
      </w:r>
    </w:p>
    <w:p w:rsidR="008C6999" w:rsidRDefault="008C6999" w:rsidP="00D2032B">
      <w:pPr>
        <w:jc w:val="both"/>
      </w:pPr>
      <w:r>
        <w:t>გ) სტაბილური ნევროლოგიური მდგომარეობა  (მათ შორის ცერებრული დამბლა, განვითარების და/ან გონებრივი ჩამორჩენილობა, კონტროლირებადი კრუნჩხვები);</w:t>
      </w:r>
    </w:p>
    <w:p w:rsidR="008C6999" w:rsidRDefault="008C6999" w:rsidP="00D2032B">
      <w:pPr>
        <w:jc w:val="both"/>
      </w:pPr>
      <w:r>
        <w:t>დ) ანემია;</w:t>
      </w:r>
    </w:p>
    <w:p w:rsidR="008C6999" w:rsidRDefault="008C6999" w:rsidP="00D2032B">
      <w:pPr>
        <w:jc w:val="both"/>
      </w:pPr>
      <w:r>
        <w:t>ე) ქრონიკული ტონზილიტი, ოტიტი;</w:t>
      </w:r>
    </w:p>
    <w:p w:rsidR="008C6999" w:rsidRDefault="008C6999" w:rsidP="00D2032B">
      <w:pPr>
        <w:jc w:val="both"/>
      </w:pPr>
      <w:r>
        <w:t>ვ) თიმუსის ჩრდილის გადიდება;</w:t>
      </w:r>
    </w:p>
    <w:p w:rsidR="008C6999" w:rsidRDefault="008C6999" w:rsidP="00D2032B">
      <w:pPr>
        <w:jc w:val="both"/>
      </w:pPr>
      <w:r>
        <w:t>ზ) ალერგია (გამონაკლისია მძიმე ალერგიული რეაქცია ვაქცინის წინა დოზაზე ან მის კომპონენტზე), ასთმა, პოლინოზი, ეკზემა, დიათეზი;</w:t>
      </w:r>
    </w:p>
    <w:p w:rsidR="008C6999" w:rsidRDefault="008C6999" w:rsidP="00D2032B">
      <w:pPr>
        <w:jc w:val="both"/>
      </w:pPr>
      <w:r>
        <w:t>თ) განვითარების მანკები, ფერმენტოპათია;</w:t>
      </w:r>
    </w:p>
    <w:p w:rsidR="008C6999" w:rsidRDefault="008C6999" w:rsidP="00D2032B">
      <w:pPr>
        <w:jc w:val="both"/>
      </w:pPr>
      <w:r>
        <w:t>ი) დისბაქტერიოზი;</w:t>
      </w:r>
    </w:p>
    <w:p w:rsidR="008C6999" w:rsidRDefault="008C6999" w:rsidP="00D2032B">
      <w:pPr>
        <w:jc w:val="both"/>
      </w:pPr>
      <w:r>
        <w:t>კ) ადგილობრივად გამოყენების სტეროიდები, ანტიმიკრობული პრეპარატები;</w:t>
      </w:r>
    </w:p>
    <w:p w:rsidR="008C6999" w:rsidRDefault="008C6999" w:rsidP="00D2032B">
      <w:pPr>
        <w:jc w:val="both"/>
      </w:pPr>
      <w:r>
        <w:t>ლ) ჰიპოტროფია;</w:t>
      </w:r>
    </w:p>
    <w:p w:rsidR="008C6999" w:rsidRDefault="008C6999" w:rsidP="00D2032B">
      <w:pPr>
        <w:jc w:val="both"/>
      </w:pPr>
      <w:r>
        <w:t>მ) დიარეა (ინტოქსიკაციის გარეშე);</w:t>
      </w:r>
    </w:p>
    <w:p w:rsidR="008C6999" w:rsidRDefault="008C6999" w:rsidP="00D2032B">
      <w:pPr>
        <w:jc w:val="both"/>
      </w:pPr>
      <w:r>
        <w:t>ნ) ინფიცირებულ პირთან კონტაქტი და/ან გადატანილი  ინფექციური  დაავადება ახლო წარსულში;</w:t>
      </w:r>
    </w:p>
    <w:p w:rsidR="008C6999" w:rsidRDefault="008C6999" w:rsidP="00D2032B">
      <w:pPr>
        <w:jc w:val="both"/>
      </w:pPr>
      <w:r>
        <w:t>ო) დღენაკლულობა და/ან მცირე წონა (&gt;2000 გრ);</w:t>
      </w:r>
    </w:p>
    <w:p w:rsidR="008C6999" w:rsidRDefault="008C6999" w:rsidP="00D2032B">
      <w:pPr>
        <w:jc w:val="both"/>
      </w:pPr>
      <w:r>
        <w:t>პ) სეფსისი ანამნეზში;</w:t>
      </w:r>
    </w:p>
    <w:p w:rsidR="008C6999" w:rsidRDefault="008C6999" w:rsidP="00D2032B">
      <w:pPr>
        <w:jc w:val="both"/>
      </w:pPr>
      <w:r>
        <w:t>ჟ) აუტოიმუნური დაავადება (წითელი მგლურა, რევმატიული ართრიტი);</w:t>
      </w:r>
    </w:p>
    <w:p w:rsidR="008C6999" w:rsidRDefault="008C6999" w:rsidP="00D2032B">
      <w:pPr>
        <w:jc w:val="both"/>
      </w:pPr>
      <w:r>
        <w:t>რ) ახალშობილთა ჰემოლიზური დაავადება;</w:t>
      </w:r>
    </w:p>
    <w:p w:rsidR="008C6999" w:rsidRDefault="008C6999" w:rsidP="00D2032B">
      <w:pPr>
        <w:jc w:val="both"/>
      </w:pPr>
      <w:r>
        <w:t>ს) კონტროლირებადი ეპილეფსია;</w:t>
      </w:r>
    </w:p>
    <w:p w:rsidR="008C6999" w:rsidRDefault="008C6999" w:rsidP="00D2032B">
      <w:pPr>
        <w:jc w:val="both"/>
      </w:pPr>
      <w:r>
        <w:t>ტ) დედის და/ან სხვა ახლო კონტაქტების ორსულობა;</w:t>
      </w:r>
    </w:p>
    <w:p w:rsidR="008C6999" w:rsidRDefault="008C6999" w:rsidP="00D2032B">
      <w:pPr>
        <w:jc w:val="both"/>
      </w:pPr>
      <w:r>
        <w:t>უ) ბუნებრივი და/ან ხელოვნური კვება;</w:t>
      </w:r>
    </w:p>
    <w:p w:rsidR="008C6999" w:rsidRDefault="008C6999" w:rsidP="00D2032B">
      <w:pPr>
        <w:jc w:val="both"/>
      </w:pPr>
      <w:r>
        <w:t>ფ) რეციპიენტის რეპროდუქციული ასაკი.</w:t>
      </w:r>
    </w:p>
    <w:p w:rsidR="00D2032B" w:rsidRPr="00D2032B" w:rsidRDefault="00D2032B" w:rsidP="00D2032B">
      <w:pPr>
        <w:jc w:val="both"/>
        <w:rPr>
          <w:b/>
          <w:i/>
        </w:rPr>
      </w:pPr>
      <w:r w:rsidRPr="00D2032B">
        <w:rPr>
          <w:b/>
          <w:i/>
        </w:rPr>
        <w:t>ვაქცინის ეფექტურობა</w:t>
      </w:r>
    </w:p>
    <w:p w:rsidR="00D2032B" w:rsidRDefault="00D2032B" w:rsidP="00D2032B">
      <w:pPr>
        <w:jc w:val="both"/>
      </w:pPr>
      <w:r>
        <w:t>ვაქცინა ძალზე უსაფრთხო და ეფექტურია - ორი დოზის მიღების შემდეგ</w:t>
      </w:r>
      <w:r w:rsidR="00A13609">
        <w:t xml:space="preserve"> დამცველობითი ეფექტი </w:t>
      </w:r>
      <w:r>
        <w:t xml:space="preserve"> 97% -ს აღწევს</w:t>
      </w:r>
      <w:r w:rsidR="00A13609">
        <w:t>,</w:t>
      </w:r>
      <w:r>
        <w:t xml:space="preserve"> ერთი დოზის მიღების შემთხვევაში - 93%-ს</w:t>
      </w:r>
    </w:p>
    <w:sectPr w:rsidR="00D20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1B"/>
    <w:rsid w:val="0016071B"/>
    <w:rsid w:val="002437EB"/>
    <w:rsid w:val="00353FB8"/>
    <w:rsid w:val="00437232"/>
    <w:rsid w:val="008C6999"/>
    <w:rsid w:val="00A13609"/>
    <w:rsid w:val="00B400B3"/>
    <w:rsid w:val="00D2032B"/>
    <w:rsid w:val="00D25F82"/>
    <w:rsid w:val="00D61C50"/>
    <w:rsid w:val="00F4529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5EAC8-7ECD-4F6F-A419-970F78D0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Jabidze</dc:creator>
  <cp:keywords/>
  <dc:description/>
  <cp:lastModifiedBy>Lia Jabidze</cp:lastModifiedBy>
  <cp:revision>8</cp:revision>
  <dcterms:created xsi:type="dcterms:W3CDTF">2018-02-01T12:20:00Z</dcterms:created>
  <dcterms:modified xsi:type="dcterms:W3CDTF">2018-02-01T13:06:00Z</dcterms:modified>
</cp:coreProperties>
</file>