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8D" w:rsidRPr="00A959F0" w:rsidRDefault="005028BD" w:rsidP="004B109C">
      <w:pPr>
        <w:pStyle w:val="Heading1"/>
        <w:tabs>
          <w:tab w:val="left" w:pos="9825"/>
        </w:tabs>
        <w:ind w:firstLine="0"/>
        <w:rPr>
          <w:rFonts w:ascii="Sylfaen" w:hAnsi="Sylfaen" w:cs="Arial"/>
          <w:color w:val="FF0000"/>
          <w:sz w:val="24"/>
          <w:szCs w:val="24"/>
          <w:lang w:val="ka-GE"/>
        </w:rPr>
      </w:pPr>
      <w:r>
        <w:rPr>
          <w:rFonts w:ascii="Sylfaen" w:hAnsi="Sylfaen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875030</wp:posOffset>
                </wp:positionV>
                <wp:extent cx="6864985" cy="635"/>
                <wp:effectExtent l="13335" t="15875" r="17780" b="1206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985" cy="635"/>
                        </a:xfrm>
                        <a:prstGeom prst="curvedConnector3">
                          <a:avLst>
                            <a:gd name="adj1" fmla="val 0"/>
                          </a:avLst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" o:spid="_x0000_s1026" type="#_x0000_t38" style="position:absolute;margin-left:0;margin-top:68.9pt;width:540.55pt;height:.0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" strokecolor="gray" strokeweight="1.5pt">
                <w10:wrap anchorx="page" anchory="margin"/>
              </v:shape>
            </w:pict>
          </mc:Fallback>
        </mc:AlternateContent>
      </w:r>
      <w:r>
        <w:rPr>
          <w:rFonts w:ascii="Sylfaen" w:hAnsi="Sylfaen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276225</wp:posOffset>
                </wp:positionV>
                <wp:extent cx="4762500" cy="361950"/>
                <wp:effectExtent l="0" t="0" r="0" b="6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149" w:rsidRPr="00183AB1" w:rsidRDefault="003C5149" w:rsidP="0002068D">
                            <w:pPr>
                              <w:spacing w:line="480" w:lineRule="auto"/>
                              <w:jc w:val="center"/>
                              <w:rPr>
                                <w:rFonts w:ascii="Sylfaen" w:hAnsi="Sylfaen"/>
                                <w:b/>
                                <w:color w:val="FF0000"/>
                                <w:sz w:val="32"/>
                                <w:szCs w:val="3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FF0000"/>
                                <w:sz w:val="32"/>
                                <w:szCs w:val="32"/>
                                <w:lang w:val="ka-GE"/>
                              </w:rPr>
                              <w:t>სტატისტიკის ეროვნული სამსახური (საქსტატი)</w:t>
                            </w:r>
                          </w:p>
                          <w:p w:rsidR="003C5149" w:rsidRDefault="003C5149" w:rsidP="000206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4.4pt;margin-top:21.75pt;width:3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jB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" stroked="f">
                <v:textbox>
                  <w:txbxContent>
                    <w:p w:rsidR="003C5149" w:rsidRPr="00183AB1" w:rsidRDefault="003C5149" w:rsidP="0002068D">
                      <w:pPr>
                        <w:spacing w:line="480" w:lineRule="auto"/>
                        <w:jc w:val="center"/>
                        <w:rPr>
                          <w:rFonts w:ascii="Sylfaen" w:hAnsi="Sylfaen"/>
                          <w:b/>
                          <w:color w:val="FF0000"/>
                          <w:sz w:val="32"/>
                          <w:szCs w:val="3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color w:val="FF0000"/>
                          <w:sz w:val="32"/>
                          <w:szCs w:val="32"/>
                          <w:lang w:val="ka-GE"/>
                        </w:rPr>
                        <w:t>სტატისტიკის ეროვნული სამსახური (საქსტატი)</w:t>
                      </w:r>
                    </w:p>
                    <w:p w:rsidR="003C5149" w:rsidRDefault="003C5149" w:rsidP="000206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2068D" w:rsidRPr="00A959F0">
        <w:rPr>
          <w:rFonts w:ascii="Sylfaen" w:hAnsi="Sylfaen" w:cs="Arial"/>
          <w:noProof/>
          <w:color w:val="FF0000"/>
          <w:sz w:val="24"/>
          <w:szCs w:val="24"/>
        </w:rPr>
        <w:drawing>
          <wp:inline distT="0" distB="0" distL="0" distR="0">
            <wp:extent cx="1362075" cy="895350"/>
            <wp:effectExtent l="19050" t="0" r="9525" b="0"/>
            <wp:docPr id="8" name="Picture 4" descr="lo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68D">
        <w:rPr>
          <w:rFonts w:ascii="Sylfaen" w:hAnsi="Sylfaen" w:cs="Arial"/>
          <w:color w:val="FF0000"/>
          <w:sz w:val="24"/>
          <w:szCs w:val="24"/>
          <w:lang w:val="ka-GE"/>
        </w:rPr>
        <w:tab/>
      </w:r>
    </w:p>
    <w:p w:rsidR="0002068D" w:rsidRPr="00664A44" w:rsidRDefault="00B13B5A" w:rsidP="004B109C">
      <w:pPr>
        <w:pStyle w:val="Heading1"/>
        <w:ind w:firstLine="0"/>
        <w:jc w:val="right"/>
        <w:rPr>
          <w:rFonts w:ascii="Sylfaen" w:hAnsi="Sylfaen"/>
          <w:color w:val="7F7F7F"/>
          <w:sz w:val="20"/>
        </w:rPr>
      </w:pPr>
      <w:r>
        <w:rPr>
          <w:rFonts w:ascii="Sylfaen" w:hAnsi="Sylfaen"/>
          <w:color w:val="7F7F7F"/>
          <w:sz w:val="20"/>
          <w:lang w:val="ka-GE"/>
        </w:rPr>
        <w:t>31</w:t>
      </w:r>
      <w:r w:rsidR="0002068D" w:rsidRPr="00A17A69">
        <w:rPr>
          <w:color w:val="7F7F7F"/>
          <w:sz w:val="20"/>
        </w:rPr>
        <w:t>.0</w:t>
      </w:r>
      <w:r w:rsidR="0002068D" w:rsidRPr="00A17A69">
        <w:rPr>
          <w:color w:val="7F7F7F"/>
          <w:sz w:val="20"/>
          <w:lang w:val="ka-GE"/>
        </w:rPr>
        <w:t>3</w:t>
      </w:r>
      <w:r w:rsidR="0002068D" w:rsidRPr="00A17A69">
        <w:rPr>
          <w:color w:val="7F7F7F"/>
          <w:sz w:val="20"/>
        </w:rPr>
        <w:t>.</w:t>
      </w:r>
      <w:r w:rsidR="00985A33" w:rsidRPr="00A17A69">
        <w:rPr>
          <w:color w:val="7F7F7F"/>
          <w:sz w:val="20"/>
        </w:rPr>
        <w:t>201</w:t>
      </w:r>
      <w:r w:rsidR="00985A33">
        <w:rPr>
          <w:rFonts w:ascii="Sylfaen" w:hAnsi="Sylfaen"/>
          <w:color w:val="7F7F7F"/>
          <w:sz w:val="20"/>
        </w:rPr>
        <w:t>7</w:t>
      </w:r>
    </w:p>
    <w:p w:rsidR="00D445DE" w:rsidRPr="00E60783" w:rsidRDefault="00B70505" w:rsidP="004B109C">
      <w:pPr>
        <w:spacing w:after="0"/>
        <w:ind w:firstLine="709"/>
        <w:jc w:val="center"/>
        <w:rPr>
          <w:rFonts w:ascii="Sylfaen" w:eastAsia="Times New Roman" w:hAnsi="Sylfaen" w:cs="Sylfaen"/>
          <w:b/>
          <w:sz w:val="28"/>
          <w:szCs w:val="28"/>
          <w:lang w:val="ka-GE"/>
        </w:rPr>
      </w:pPr>
      <w:r>
        <w:rPr>
          <w:rFonts w:ascii="Sylfaen" w:eastAsia="Times New Roman" w:hAnsi="Sylfaen" w:cs="Times New Roman"/>
          <w:b/>
          <w:sz w:val="28"/>
          <w:szCs w:val="28"/>
        </w:rPr>
        <w:t>201</w:t>
      </w:r>
      <w:r w:rsidR="00985A33">
        <w:rPr>
          <w:rFonts w:ascii="Sylfaen" w:eastAsia="Times New Roman" w:hAnsi="Sylfaen" w:cs="Times New Roman"/>
          <w:b/>
          <w:sz w:val="28"/>
          <w:szCs w:val="28"/>
        </w:rPr>
        <w:t>6</w:t>
      </w:r>
      <w:r w:rsidRPr="005C1B0A">
        <w:rPr>
          <w:rFonts w:ascii="Sylfaen" w:eastAsia="Times New Roman" w:hAnsi="Sylfaen" w:cs="Times New Roman"/>
          <w:b/>
          <w:sz w:val="28"/>
          <w:szCs w:val="28"/>
        </w:rPr>
        <w:t xml:space="preserve"> </w:t>
      </w:r>
      <w:r w:rsidR="00D445DE" w:rsidRPr="005C1B0A">
        <w:rPr>
          <w:rFonts w:ascii="Sylfaen" w:eastAsia="Times New Roman" w:hAnsi="Sylfaen" w:cs="Sylfaen"/>
          <w:b/>
          <w:sz w:val="28"/>
          <w:szCs w:val="28"/>
        </w:rPr>
        <w:t>წლის</w:t>
      </w:r>
      <w:r w:rsidR="00D445DE" w:rsidRPr="005C1B0A">
        <w:rPr>
          <w:rFonts w:ascii="Sylfaen" w:eastAsia="Times New Roman" w:hAnsi="Sylfaen" w:cs="AcadMtavr"/>
          <w:b/>
          <w:sz w:val="28"/>
          <w:szCs w:val="28"/>
        </w:rPr>
        <w:t xml:space="preserve"> </w:t>
      </w:r>
      <w:r w:rsidR="00D445DE" w:rsidRPr="005C1B0A">
        <w:rPr>
          <w:rFonts w:ascii="Sylfaen" w:eastAsia="Times New Roman" w:hAnsi="Sylfaen" w:cs="Sylfaen"/>
          <w:b/>
          <w:sz w:val="28"/>
          <w:szCs w:val="28"/>
        </w:rPr>
        <w:t>ძირითადი</w:t>
      </w:r>
      <w:r w:rsidR="00D445DE" w:rsidRPr="005C1B0A">
        <w:rPr>
          <w:rFonts w:ascii="Sylfaen" w:eastAsia="Times New Roman" w:hAnsi="Sylfaen" w:cs="AcadMtavr"/>
          <w:b/>
          <w:sz w:val="28"/>
          <w:szCs w:val="28"/>
        </w:rPr>
        <w:t xml:space="preserve"> </w:t>
      </w:r>
      <w:r w:rsidR="00D445DE" w:rsidRPr="005C1B0A">
        <w:rPr>
          <w:rFonts w:ascii="Sylfaen" w:eastAsia="Times New Roman" w:hAnsi="Sylfaen" w:cs="Sylfaen"/>
          <w:b/>
          <w:sz w:val="28"/>
          <w:szCs w:val="28"/>
        </w:rPr>
        <w:t>დემოგრაფიული</w:t>
      </w:r>
      <w:r w:rsidR="00D445DE" w:rsidRPr="005C1B0A">
        <w:rPr>
          <w:rFonts w:ascii="Sylfaen" w:eastAsia="Times New Roman" w:hAnsi="Sylfaen" w:cs="AcadMtavr"/>
          <w:b/>
          <w:sz w:val="28"/>
          <w:szCs w:val="28"/>
        </w:rPr>
        <w:t xml:space="preserve"> </w:t>
      </w:r>
      <w:r w:rsidR="00D445DE" w:rsidRPr="005C1B0A">
        <w:rPr>
          <w:rFonts w:ascii="Sylfaen" w:eastAsia="Times New Roman" w:hAnsi="Sylfaen" w:cs="Sylfaen"/>
          <w:b/>
          <w:sz w:val="28"/>
          <w:szCs w:val="28"/>
        </w:rPr>
        <w:t>მაჩვენებლები</w:t>
      </w:r>
    </w:p>
    <w:p w:rsidR="005670D3" w:rsidRDefault="005670D3" w:rsidP="004B109C">
      <w:pPr>
        <w:spacing w:after="0"/>
        <w:ind w:firstLine="709"/>
        <w:jc w:val="both"/>
        <w:rPr>
          <w:rFonts w:ascii="Sylfaen" w:eastAsia="Times New Roman" w:hAnsi="Sylfaen" w:cs="Sylfaen"/>
          <w:b/>
        </w:rPr>
      </w:pPr>
    </w:p>
    <w:p w:rsidR="00E60783" w:rsidRDefault="00D445DE" w:rsidP="004B109C">
      <w:pPr>
        <w:spacing w:after="0"/>
        <w:ind w:firstLine="709"/>
        <w:jc w:val="both"/>
        <w:rPr>
          <w:rFonts w:ascii="Sylfaen" w:eastAsia="Times New Roman" w:hAnsi="Sylfaen" w:cs="Sylfaen"/>
          <w:b/>
          <w:lang w:val="ka-GE"/>
        </w:rPr>
      </w:pPr>
      <w:r w:rsidRPr="0074463F">
        <w:rPr>
          <w:rFonts w:ascii="Sylfaen" w:eastAsia="Times New Roman" w:hAnsi="Sylfaen" w:cs="Sylfaen"/>
          <w:b/>
        </w:rPr>
        <w:t>შობადობა</w:t>
      </w:r>
    </w:p>
    <w:p w:rsidR="00E739D4" w:rsidRPr="00E739D4" w:rsidRDefault="00E739D4" w:rsidP="004B109C">
      <w:pPr>
        <w:spacing w:after="0"/>
        <w:ind w:firstLine="709"/>
        <w:jc w:val="both"/>
        <w:rPr>
          <w:rFonts w:ascii="Sylfaen" w:eastAsia="Times New Roman" w:hAnsi="Sylfaen" w:cs="Sylfaen"/>
          <w:b/>
          <w:lang w:val="ka-GE"/>
        </w:rPr>
      </w:pPr>
    </w:p>
    <w:p w:rsidR="00315D35" w:rsidRPr="007D492C" w:rsidRDefault="00985A33" w:rsidP="00315D35">
      <w:pPr>
        <w:spacing w:after="0"/>
        <w:ind w:firstLine="709"/>
        <w:jc w:val="both"/>
        <w:rPr>
          <w:rFonts w:ascii="Sylfaen" w:eastAsia="Times New Roman" w:hAnsi="Sylfaen" w:cs="AcadMtavr"/>
          <w:lang w:val="ka-GE"/>
        </w:rPr>
      </w:pPr>
      <w:r w:rsidRPr="00315D35">
        <w:rPr>
          <w:rFonts w:ascii="Sylfaen" w:eastAsia="Times New Roman" w:hAnsi="Sylfaen" w:cs="Times New Roman"/>
        </w:rPr>
        <w:t>201</w:t>
      </w:r>
      <w:r>
        <w:rPr>
          <w:rFonts w:ascii="Sylfaen" w:eastAsia="Times New Roman" w:hAnsi="Sylfaen" w:cs="Times New Roman"/>
        </w:rPr>
        <w:t>6</w:t>
      </w:r>
      <w:r w:rsidRPr="00315D35">
        <w:rPr>
          <w:rFonts w:ascii="Sylfaen" w:eastAsia="Times New Roman" w:hAnsi="Sylfaen" w:cs="Times New Roman"/>
        </w:rPr>
        <w:t xml:space="preserve"> </w:t>
      </w:r>
      <w:r w:rsidR="00D445DE" w:rsidRPr="00315D35">
        <w:rPr>
          <w:rFonts w:ascii="Sylfaen" w:eastAsia="Times New Roman" w:hAnsi="Sylfaen" w:cs="Sylfaen"/>
        </w:rPr>
        <w:t>წელს</w:t>
      </w:r>
      <w:r w:rsidR="00D445DE" w:rsidRPr="00315D35">
        <w:rPr>
          <w:rFonts w:ascii="Sylfaen" w:eastAsia="Times New Roman" w:hAnsi="Sylfaen" w:cs="AcadMtavr"/>
        </w:rPr>
        <w:t xml:space="preserve"> </w:t>
      </w:r>
      <w:r w:rsidR="0077102F" w:rsidRPr="00315D35">
        <w:rPr>
          <w:rFonts w:ascii="Sylfaen" w:eastAsia="Times New Roman" w:hAnsi="Sylfaen" w:cs="Sylfaen"/>
        </w:rPr>
        <w:t>ცოცხლა</w:t>
      </w:r>
      <w:r w:rsidR="0077102F" w:rsidRPr="00315D35">
        <w:rPr>
          <w:rFonts w:ascii="Sylfaen" w:eastAsia="Times New Roman" w:hAnsi="Sylfaen" w:cs="Sylfaen"/>
          <w:lang w:val="ka-GE"/>
        </w:rPr>
        <w:t>დ</w:t>
      </w:r>
      <w:r w:rsidR="005743AA" w:rsidRPr="00315D35">
        <w:rPr>
          <w:rFonts w:ascii="Sylfaen" w:eastAsia="Times New Roman" w:hAnsi="Sylfaen" w:cs="Sylfaen"/>
          <w:lang w:val="ka-GE"/>
        </w:rPr>
        <w:t xml:space="preserve"> </w:t>
      </w:r>
      <w:r w:rsidR="00D445DE" w:rsidRPr="00315D35">
        <w:rPr>
          <w:rFonts w:ascii="Sylfaen" w:eastAsia="Times New Roman" w:hAnsi="Sylfaen" w:cs="Sylfaen"/>
        </w:rPr>
        <w:t>დაბადებულთა</w:t>
      </w:r>
      <w:r w:rsidR="00D445DE" w:rsidRPr="00315D35">
        <w:rPr>
          <w:rFonts w:ascii="Sylfaen" w:eastAsia="Times New Roman" w:hAnsi="Sylfaen" w:cs="AcadMtavr"/>
        </w:rPr>
        <w:t xml:space="preserve"> </w:t>
      </w:r>
      <w:r w:rsidR="007C627E" w:rsidRPr="00315D35">
        <w:rPr>
          <w:rFonts w:ascii="Sylfaen" w:eastAsia="Times New Roman" w:hAnsi="Sylfaen" w:cs="Sylfaen"/>
        </w:rPr>
        <w:t>რ</w:t>
      </w:r>
      <w:r w:rsidR="00716D68">
        <w:rPr>
          <w:rFonts w:ascii="Sylfaen" w:eastAsia="Times New Roman" w:hAnsi="Sylfaen" w:cs="Sylfaen"/>
          <w:lang w:val="ka-GE"/>
        </w:rPr>
        <w:t>იცხოვ</w:t>
      </w:r>
      <w:r w:rsidR="007C627E" w:rsidRPr="00315D35">
        <w:rPr>
          <w:rFonts w:ascii="Sylfaen" w:eastAsia="Times New Roman" w:hAnsi="Sylfaen" w:cs="Sylfaen"/>
        </w:rPr>
        <w:t>ნობა</w:t>
      </w:r>
      <w:r w:rsidR="00402E0E">
        <w:rPr>
          <w:rFonts w:ascii="Sylfaen" w:eastAsia="Times New Roman" w:hAnsi="Sylfaen" w:cs="Sylfaen"/>
          <w:lang w:val="ka-GE"/>
        </w:rPr>
        <w:t>მ</w:t>
      </w:r>
      <w:r w:rsidR="007C627E" w:rsidRPr="00315D35">
        <w:rPr>
          <w:rFonts w:ascii="Sylfaen" w:eastAsia="Times New Roman" w:hAnsi="Sylfaen" w:cs="Sylfaen"/>
        </w:rPr>
        <w:t xml:space="preserve"> </w:t>
      </w:r>
      <w:r w:rsidR="00402E0E" w:rsidRPr="00315D35">
        <w:rPr>
          <w:rFonts w:ascii="Sylfaen" w:eastAsia="Times New Roman" w:hAnsi="Sylfaen" w:cs="Sylfaen"/>
        </w:rPr>
        <w:t>შეადგინა</w:t>
      </w:r>
      <w:r w:rsidR="00402E0E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AcadMtavr"/>
        </w:rPr>
        <w:t>56 569</w:t>
      </w:r>
      <w:r w:rsidR="00402E0E">
        <w:rPr>
          <w:rFonts w:ascii="Sylfaen" w:eastAsia="Times New Roman" w:hAnsi="Sylfaen" w:cs="AcadMtavr"/>
          <w:lang w:val="ka-GE"/>
        </w:rPr>
        <w:t xml:space="preserve"> </w:t>
      </w:r>
      <w:r w:rsidR="00402E0E">
        <w:rPr>
          <w:rFonts w:ascii="Sylfaen" w:eastAsia="Times New Roman" w:hAnsi="Sylfaen" w:cs="Sylfaen"/>
          <w:lang w:val="ka-GE"/>
        </w:rPr>
        <w:t>(</w:t>
      </w:r>
      <w:r>
        <w:rPr>
          <w:rFonts w:ascii="Sylfaen" w:eastAsia="Times New Roman" w:hAnsi="Sylfaen" w:cs="Sylfaen"/>
        </w:rPr>
        <w:t>28 887</w:t>
      </w:r>
      <w:r w:rsidR="00402E0E">
        <w:rPr>
          <w:rFonts w:ascii="Sylfaen" w:eastAsia="Times New Roman" w:hAnsi="Sylfaen" w:cs="Sylfaen"/>
        </w:rPr>
        <w:t xml:space="preserve"> </w:t>
      </w:r>
      <w:r w:rsidR="00402E0E" w:rsidRPr="00315D35">
        <w:rPr>
          <w:rFonts w:ascii="Sylfaen" w:eastAsia="Times New Roman" w:hAnsi="Sylfaen" w:cs="Sylfaen"/>
          <w:lang w:val="ka-GE"/>
        </w:rPr>
        <w:t>ბიჭი</w:t>
      </w:r>
      <w:r w:rsidR="00402E0E" w:rsidRPr="00315D35">
        <w:rPr>
          <w:rFonts w:ascii="Sylfaen" w:eastAsia="Times New Roman" w:hAnsi="Sylfaen" w:cs="Sylfaen"/>
        </w:rPr>
        <w:t xml:space="preserve"> </w:t>
      </w:r>
      <w:r w:rsidR="00402E0E">
        <w:rPr>
          <w:rFonts w:ascii="Sylfaen" w:eastAsia="Times New Roman" w:hAnsi="Sylfaen" w:cs="Sylfaen"/>
          <w:lang w:val="ka-GE"/>
        </w:rPr>
        <w:t xml:space="preserve"> და </w:t>
      </w:r>
      <w:r>
        <w:rPr>
          <w:rFonts w:ascii="Sylfaen" w:eastAsia="Times New Roman" w:hAnsi="Sylfaen" w:cs="Sylfaen"/>
        </w:rPr>
        <w:t>27 682</w:t>
      </w:r>
      <w:r w:rsidR="00402E0E">
        <w:rPr>
          <w:rFonts w:ascii="Sylfaen" w:eastAsia="Times New Roman" w:hAnsi="Sylfaen" w:cs="Sylfaen"/>
        </w:rPr>
        <w:t xml:space="preserve"> </w:t>
      </w:r>
      <w:r w:rsidR="00402E0E" w:rsidRPr="00315D35">
        <w:rPr>
          <w:rFonts w:ascii="Sylfaen" w:eastAsia="Times New Roman" w:hAnsi="Sylfaen" w:cs="Sylfaen"/>
          <w:lang w:val="ka-GE"/>
        </w:rPr>
        <w:t>გოგო</w:t>
      </w:r>
      <w:r w:rsidR="00402E0E">
        <w:rPr>
          <w:rFonts w:ascii="Sylfaen" w:eastAsia="Times New Roman" w:hAnsi="Sylfaen" w:cs="Sylfaen"/>
          <w:lang w:val="ka-GE"/>
        </w:rPr>
        <w:t>)</w:t>
      </w:r>
      <w:r w:rsidR="00402E0E">
        <w:rPr>
          <w:rFonts w:ascii="Sylfaen" w:eastAsia="Times New Roman" w:hAnsi="Sylfaen" w:cs="AcadMtavr"/>
          <w:lang w:val="ka-GE"/>
        </w:rPr>
        <w:t xml:space="preserve"> რაც </w:t>
      </w:r>
      <w:r w:rsidR="007C627E" w:rsidRPr="00315D35">
        <w:rPr>
          <w:rFonts w:ascii="Sylfaen" w:eastAsia="Times New Roman" w:hAnsi="Sylfaen" w:cs="Sylfaen"/>
        </w:rPr>
        <w:t>წინა</w:t>
      </w:r>
      <w:r w:rsidR="007C627E" w:rsidRPr="00315D35">
        <w:rPr>
          <w:rFonts w:ascii="Sylfaen" w:eastAsia="Times New Roman" w:hAnsi="Sylfaen" w:cs="AcadMtavr"/>
        </w:rPr>
        <w:t xml:space="preserve"> </w:t>
      </w:r>
      <w:r w:rsidR="007C627E" w:rsidRPr="00315D35">
        <w:rPr>
          <w:rFonts w:ascii="Sylfaen" w:eastAsia="Times New Roman" w:hAnsi="Sylfaen" w:cs="Sylfaen"/>
        </w:rPr>
        <w:t>წელთან</w:t>
      </w:r>
      <w:r w:rsidR="007C627E" w:rsidRPr="00315D35">
        <w:rPr>
          <w:rFonts w:ascii="Sylfaen" w:eastAsia="Times New Roman" w:hAnsi="Sylfaen" w:cs="AcadMtavr"/>
        </w:rPr>
        <w:t xml:space="preserve"> </w:t>
      </w:r>
      <w:r w:rsidR="007C627E" w:rsidRPr="00315D35">
        <w:rPr>
          <w:rFonts w:ascii="Sylfaen" w:eastAsia="Times New Roman" w:hAnsi="Sylfaen" w:cs="Sylfaen"/>
        </w:rPr>
        <w:t>შედარებით</w:t>
      </w:r>
      <w:r w:rsidR="00D445DE" w:rsidRPr="00315D35">
        <w:rPr>
          <w:rFonts w:ascii="Sylfaen" w:eastAsia="Times New Roman" w:hAnsi="Sylfaen" w:cs="AcadMtavr"/>
        </w:rPr>
        <w:t xml:space="preserve"> </w:t>
      </w:r>
      <w:r w:rsidR="008C2A7C">
        <w:rPr>
          <w:rFonts w:ascii="Sylfaen" w:eastAsia="Times New Roman" w:hAnsi="Sylfaen" w:cs="AcadMtavr"/>
        </w:rPr>
        <w:t>4,</w:t>
      </w:r>
      <w:r>
        <w:rPr>
          <w:rFonts w:ascii="Sylfaen" w:eastAsia="Times New Roman" w:hAnsi="Sylfaen" w:cs="AcadMtavr"/>
        </w:rPr>
        <w:t>5</w:t>
      </w:r>
      <w:r w:rsidR="007C627E" w:rsidRPr="00315D35">
        <w:rPr>
          <w:rFonts w:ascii="Sylfaen" w:eastAsia="Times New Roman" w:hAnsi="Sylfaen" w:cs="AcadMtavr"/>
        </w:rPr>
        <w:t xml:space="preserve"> </w:t>
      </w:r>
      <w:r w:rsidR="007C627E" w:rsidRPr="00315D35">
        <w:rPr>
          <w:rFonts w:ascii="Sylfaen" w:eastAsia="Times New Roman" w:hAnsi="Sylfaen" w:cs="Sylfaen"/>
        </w:rPr>
        <w:t>პროცენტით</w:t>
      </w:r>
      <w:r w:rsidR="007C627E" w:rsidRPr="00315D35">
        <w:rPr>
          <w:rFonts w:ascii="Sylfaen" w:eastAsia="Times New Roman" w:hAnsi="Sylfaen" w:cs="AcadMtavr"/>
        </w:rPr>
        <w:t xml:space="preserve"> </w:t>
      </w:r>
      <w:r w:rsidR="009B2DDE" w:rsidRPr="00315D35">
        <w:rPr>
          <w:rFonts w:ascii="Sylfaen" w:eastAsia="Times New Roman" w:hAnsi="Sylfaen" w:cs="AcadMtavr"/>
          <w:lang w:val="ka-GE"/>
        </w:rPr>
        <w:t xml:space="preserve"> </w:t>
      </w:r>
      <w:r w:rsidR="00402E0E">
        <w:rPr>
          <w:rFonts w:ascii="Sylfaen" w:eastAsia="Times New Roman" w:hAnsi="Sylfaen" w:cs="AcadMtavr"/>
          <w:lang w:val="ka-GE"/>
        </w:rPr>
        <w:t>ნაკლებია.</w:t>
      </w:r>
      <w:r w:rsidR="00764000">
        <w:rPr>
          <w:rFonts w:ascii="Sylfaen" w:eastAsia="Times New Roman" w:hAnsi="Sylfaen" w:cs="AcadMtavr"/>
          <w:lang w:val="ka-GE"/>
        </w:rPr>
        <w:t xml:space="preserve"> </w:t>
      </w:r>
      <w:r w:rsidR="009539BA">
        <w:rPr>
          <w:rFonts w:ascii="Sylfaen" w:eastAsia="Times New Roman" w:hAnsi="Sylfaen" w:cs="AcadMtavr"/>
          <w:lang w:val="ka-GE"/>
        </w:rPr>
        <w:t xml:space="preserve">  </w:t>
      </w:r>
    </w:p>
    <w:p w:rsidR="00416048" w:rsidRPr="00416048" w:rsidRDefault="00416048" w:rsidP="00315D35">
      <w:pPr>
        <w:spacing w:after="0"/>
        <w:ind w:firstLine="709"/>
        <w:jc w:val="both"/>
        <w:rPr>
          <w:rFonts w:ascii="Sylfaen" w:eastAsia="Times New Roman" w:hAnsi="Sylfaen" w:cs="AcadMtavr"/>
          <w:lang w:val="ka-GE"/>
        </w:rPr>
      </w:pPr>
    </w:p>
    <w:p w:rsidR="003F13FA" w:rsidRPr="00B02D2D" w:rsidRDefault="007052D6" w:rsidP="004B109C">
      <w:pPr>
        <w:spacing w:after="0"/>
        <w:ind w:firstLine="709"/>
        <w:rPr>
          <w:rFonts w:ascii="Sylfaen" w:hAnsi="Sylfaen"/>
          <w:noProof/>
          <w:lang w:val="ka-GE"/>
        </w:rPr>
      </w:pPr>
      <w:r w:rsidRPr="00B02D2D">
        <w:rPr>
          <w:rFonts w:ascii="Sylfaen" w:hAnsi="Sylfaen" w:cs="Sylfaen"/>
          <w:noProof/>
        </w:rPr>
        <w:t xml:space="preserve">დიაგრამა </w:t>
      </w:r>
      <w:r w:rsidRPr="00B02D2D">
        <w:rPr>
          <w:rFonts w:ascii="Sylfaen" w:hAnsi="Sylfaen"/>
          <w:noProof/>
        </w:rPr>
        <w:t>1</w:t>
      </w:r>
    </w:p>
    <w:p w:rsidR="00F3213C" w:rsidRDefault="004C7362" w:rsidP="00D05C1F">
      <w:pPr>
        <w:spacing w:after="0"/>
        <w:jc w:val="both"/>
        <w:rPr>
          <w:rFonts w:ascii="Sylfaen" w:eastAsia="Times New Roman" w:hAnsi="Sylfaen" w:cs="AcadMtavr"/>
        </w:rPr>
      </w:pPr>
      <w:r w:rsidRPr="0074463F">
        <w:rPr>
          <w:rFonts w:ascii="Sylfaen" w:hAnsi="Sylfaen"/>
          <w:noProof/>
        </w:rPr>
        <w:drawing>
          <wp:inline distT="0" distB="0" distL="0" distR="0">
            <wp:extent cx="6257677" cy="2393343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44848">
        <w:rPr>
          <w:rFonts w:ascii="Sylfaen" w:eastAsia="Times New Roman" w:hAnsi="Sylfaen" w:cs="Sylfaen"/>
          <w:lang w:val="ka-GE"/>
        </w:rPr>
        <w:tab/>
      </w:r>
      <w:r w:rsidR="00636A6B">
        <w:rPr>
          <w:rFonts w:ascii="Sylfaen" w:eastAsia="Times New Roman" w:hAnsi="Sylfaen" w:cs="Sylfaen"/>
          <w:lang w:val="ka-GE"/>
        </w:rPr>
        <w:t>2008 წლიდან</w:t>
      </w:r>
      <w:r w:rsidR="00215EA1" w:rsidRPr="00A32F0C">
        <w:rPr>
          <w:rFonts w:ascii="Sylfaen" w:eastAsia="Times New Roman" w:hAnsi="Sylfaen" w:cs="Sylfaen"/>
          <w:lang w:val="ka-GE"/>
        </w:rPr>
        <w:t xml:space="preserve"> </w:t>
      </w:r>
      <w:r w:rsidR="00175BE3" w:rsidRPr="00A32F0C">
        <w:rPr>
          <w:rFonts w:ascii="Sylfaen" w:eastAsia="Times New Roman" w:hAnsi="Sylfaen" w:cs="Sylfaen"/>
          <w:lang w:val="ka-GE"/>
        </w:rPr>
        <w:t xml:space="preserve">ცოცხლად დაბადებულთა </w:t>
      </w:r>
      <w:r w:rsidRPr="00A32F0C">
        <w:rPr>
          <w:rFonts w:ascii="Sylfaen" w:eastAsia="Times New Roman" w:hAnsi="Sylfaen" w:cs="Sylfaen"/>
          <w:lang w:val="ka-GE"/>
        </w:rPr>
        <w:t>რიგითობის განაწ</w:t>
      </w:r>
      <w:r w:rsidR="00186DF2" w:rsidRPr="00A32F0C">
        <w:rPr>
          <w:rFonts w:ascii="Sylfaen" w:eastAsia="Times New Roman" w:hAnsi="Sylfaen" w:cs="Sylfaen"/>
          <w:lang w:val="ka-GE"/>
        </w:rPr>
        <w:t>ი</w:t>
      </w:r>
      <w:r w:rsidRPr="00A32F0C">
        <w:rPr>
          <w:rFonts w:ascii="Sylfaen" w:eastAsia="Times New Roman" w:hAnsi="Sylfaen" w:cs="Sylfaen"/>
          <w:lang w:val="ka-GE"/>
        </w:rPr>
        <w:t>ლებაში მნიშვნელოვანი ცვლილებები</w:t>
      </w:r>
      <w:r w:rsidR="00416048" w:rsidRPr="00A32F0C">
        <w:rPr>
          <w:rFonts w:ascii="Sylfaen" w:eastAsia="Times New Roman" w:hAnsi="Sylfaen" w:cs="Sylfaen"/>
          <w:lang w:val="ka-GE"/>
        </w:rPr>
        <w:t xml:space="preserve"> შეინიშნება</w:t>
      </w:r>
      <w:r w:rsidRPr="00A32F0C">
        <w:rPr>
          <w:rFonts w:ascii="Sylfaen" w:eastAsia="Times New Roman" w:hAnsi="Sylfaen" w:cs="Sylfaen"/>
          <w:lang w:val="ka-GE"/>
        </w:rPr>
        <w:t xml:space="preserve">. </w:t>
      </w:r>
      <w:r w:rsidR="00215EA1" w:rsidRPr="00A32F0C">
        <w:rPr>
          <w:rFonts w:ascii="Sylfaen" w:eastAsia="Times New Roman" w:hAnsi="Sylfaen" w:cs="Sylfaen"/>
          <w:lang w:val="ka-GE"/>
        </w:rPr>
        <w:t xml:space="preserve">კერძოდ, </w:t>
      </w:r>
      <w:r w:rsidR="007A4FC0">
        <w:rPr>
          <w:rFonts w:ascii="Sylfaen" w:eastAsia="Times New Roman" w:hAnsi="Sylfaen" w:cs="Sylfaen"/>
          <w:lang w:val="ka-GE"/>
        </w:rPr>
        <w:t xml:space="preserve">დაბადებულთა </w:t>
      </w:r>
      <w:r w:rsidR="00215EA1" w:rsidRPr="00A32F0C">
        <w:rPr>
          <w:rFonts w:ascii="Sylfaen" w:eastAsia="Times New Roman" w:hAnsi="Sylfaen" w:cs="Sylfaen"/>
          <w:lang w:val="ka-GE"/>
        </w:rPr>
        <w:t xml:space="preserve">საერთო </w:t>
      </w:r>
      <w:r w:rsidR="007A4FC0">
        <w:rPr>
          <w:rFonts w:ascii="Sylfaen" w:eastAsia="Times New Roman" w:hAnsi="Sylfaen" w:cs="Sylfaen"/>
          <w:lang w:val="ka-GE"/>
        </w:rPr>
        <w:t>რიცხოვნობაში</w:t>
      </w:r>
      <w:r w:rsidR="00215EA1" w:rsidRPr="00A32F0C">
        <w:rPr>
          <w:rFonts w:ascii="Sylfaen" w:eastAsia="Times New Roman" w:hAnsi="Sylfaen" w:cs="Sylfaen"/>
          <w:lang w:val="ka-GE"/>
        </w:rPr>
        <w:t xml:space="preserve"> </w:t>
      </w:r>
      <w:r w:rsidR="00D42F5C" w:rsidRPr="00A32F0C">
        <w:rPr>
          <w:rFonts w:ascii="Sylfaen" w:eastAsia="Times New Roman" w:hAnsi="Sylfaen" w:cs="Sylfaen"/>
          <w:lang w:val="ka-GE"/>
        </w:rPr>
        <w:t>გაიზარდა</w:t>
      </w:r>
      <w:r w:rsidR="00D42F5C">
        <w:rPr>
          <w:rFonts w:ascii="Sylfaen" w:eastAsia="Times New Roman" w:hAnsi="Sylfaen" w:cs="Sylfaen"/>
          <w:lang w:val="ka-GE"/>
        </w:rPr>
        <w:t xml:space="preserve"> </w:t>
      </w:r>
      <w:r w:rsidR="00E152FA">
        <w:rPr>
          <w:rFonts w:ascii="Sylfaen" w:eastAsia="Times New Roman" w:hAnsi="Sylfaen" w:cs="Sylfaen"/>
          <w:lang w:val="ka-GE"/>
        </w:rPr>
        <w:t>მესამე</w:t>
      </w:r>
      <w:r w:rsidR="00E152FA" w:rsidRPr="00A32F0C">
        <w:rPr>
          <w:rFonts w:ascii="Sylfaen" w:eastAsia="Times New Roman" w:hAnsi="Sylfaen" w:cs="Sylfaen"/>
          <w:lang w:val="ka-GE"/>
        </w:rPr>
        <w:t xml:space="preserve"> </w:t>
      </w:r>
      <w:r w:rsidR="00215EA1" w:rsidRPr="00A32F0C">
        <w:rPr>
          <w:rFonts w:ascii="Sylfaen" w:eastAsia="Times New Roman" w:hAnsi="Sylfaen" w:cs="Sylfaen"/>
          <w:lang w:val="ka-GE"/>
        </w:rPr>
        <w:t xml:space="preserve">და </w:t>
      </w:r>
      <w:r w:rsidR="007F00F1" w:rsidRPr="00A32F0C">
        <w:rPr>
          <w:rFonts w:ascii="Sylfaen" w:eastAsia="Times New Roman" w:hAnsi="Sylfaen" w:cs="Sylfaen"/>
          <w:lang w:val="ka-GE"/>
        </w:rPr>
        <w:t xml:space="preserve">მომდევნო </w:t>
      </w:r>
      <w:r w:rsidR="00215EA1" w:rsidRPr="00A32F0C">
        <w:rPr>
          <w:rFonts w:ascii="Sylfaen" w:eastAsia="Times New Roman" w:hAnsi="Sylfaen" w:cs="Sylfaen"/>
          <w:lang w:val="ka-GE"/>
        </w:rPr>
        <w:t xml:space="preserve">შვილების წილი, პირველი შვილის წილი </w:t>
      </w:r>
      <w:r w:rsidR="00716D68">
        <w:rPr>
          <w:rFonts w:ascii="Sylfaen" w:eastAsia="Times New Roman" w:hAnsi="Sylfaen" w:cs="Sylfaen"/>
          <w:lang w:val="ka-GE"/>
        </w:rPr>
        <w:t xml:space="preserve">კი </w:t>
      </w:r>
      <w:r w:rsidR="00215EA1" w:rsidRPr="00A32F0C">
        <w:rPr>
          <w:rFonts w:ascii="Sylfaen" w:eastAsia="Times New Roman" w:hAnsi="Sylfaen" w:cs="Sylfaen"/>
          <w:lang w:val="ka-GE"/>
        </w:rPr>
        <w:t>შემცირდა</w:t>
      </w:r>
      <w:r w:rsidR="00E152FA">
        <w:rPr>
          <w:rFonts w:ascii="Sylfaen" w:eastAsia="Times New Roman" w:hAnsi="Sylfaen" w:cs="Sylfaen"/>
          <w:lang w:val="ka-GE"/>
        </w:rPr>
        <w:t xml:space="preserve">, </w:t>
      </w:r>
      <w:r w:rsidR="00764000" w:rsidRPr="00A32F0C">
        <w:rPr>
          <w:rFonts w:ascii="Sylfaen" w:eastAsia="Times New Roman" w:hAnsi="Sylfaen" w:cs="Sylfaen"/>
          <w:lang w:val="ka-GE"/>
        </w:rPr>
        <w:t xml:space="preserve">ხოლო </w:t>
      </w:r>
      <w:r w:rsidR="00E152FA">
        <w:rPr>
          <w:rFonts w:ascii="Sylfaen" w:eastAsia="Times New Roman" w:hAnsi="Sylfaen" w:cs="Sylfaen"/>
          <w:lang w:val="ka-GE"/>
        </w:rPr>
        <w:t xml:space="preserve">მეორე შვილის წილი </w:t>
      </w:r>
      <w:r w:rsidR="00A21099">
        <w:rPr>
          <w:rFonts w:ascii="Sylfaen" w:eastAsia="Times New Roman" w:hAnsi="Sylfaen" w:cs="Sylfaen"/>
          <w:lang w:val="ka-GE"/>
        </w:rPr>
        <w:t xml:space="preserve">თითქმის </w:t>
      </w:r>
      <w:r w:rsidR="00E152FA">
        <w:rPr>
          <w:rFonts w:ascii="Sylfaen" w:eastAsia="Times New Roman" w:hAnsi="Sylfaen" w:cs="Sylfaen"/>
          <w:lang w:val="ka-GE"/>
        </w:rPr>
        <w:t>უცვლელი დარჩა</w:t>
      </w:r>
      <w:r w:rsidR="00215EA1" w:rsidRPr="00A32F0C">
        <w:rPr>
          <w:rFonts w:ascii="Sylfaen" w:eastAsia="Times New Roman" w:hAnsi="Sylfaen" w:cs="Sylfaen"/>
          <w:lang w:val="ka-GE"/>
        </w:rPr>
        <w:t>.</w:t>
      </w:r>
      <w:r w:rsidR="007F00F1" w:rsidRPr="00A32F0C">
        <w:rPr>
          <w:rFonts w:ascii="Sylfaen" w:eastAsia="Times New Roman" w:hAnsi="Sylfaen" w:cs="Sylfaen"/>
        </w:rPr>
        <w:t xml:space="preserve"> </w:t>
      </w:r>
      <w:r w:rsidR="00017E0D">
        <w:rPr>
          <w:rFonts w:ascii="Sylfaen" w:eastAsia="Times New Roman" w:hAnsi="Sylfaen" w:cs="Sylfaen"/>
          <w:lang w:val="ka-GE"/>
        </w:rPr>
        <w:t xml:space="preserve">ეს ტენდენცია </w:t>
      </w:r>
      <w:r w:rsidR="00317AE2">
        <w:rPr>
          <w:rFonts w:ascii="Sylfaen" w:eastAsia="Times New Roman" w:hAnsi="Sylfaen" w:cs="Sylfaen"/>
          <w:lang w:val="ka-GE"/>
        </w:rPr>
        <w:t xml:space="preserve">2016 </w:t>
      </w:r>
      <w:r w:rsidR="00017E0D">
        <w:rPr>
          <w:rFonts w:ascii="Sylfaen" w:eastAsia="Times New Roman" w:hAnsi="Sylfaen" w:cs="Sylfaen"/>
          <w:lang w:val="ka-GE"/>
        </w:rPr>
        <w:t>წელ</w:t>
      </w:r>
      <w:r w:rsidR="0060549A">
        <w:rPr>
          <w:rFonts w:ascii="Sylfaen" w:eastAsia="Times New Roman" w:hAnsi="Sylfaen" w:cs="Sylfaen"/>
          <w:lang w:val="ka-GE"/>
        </w:rPr>
        <w:t>საც</w:t>
      </w:r>
      <w:r w:rsidR="00017E0D">
        <w:rPr>
          <w:rFonts w:ascii="Sylfaen" w:eastAsia="Times New Roman" w:hAnsi="Sylfaen" w:cs="Sylfaen"/>
          <w:lang w:val="ka-GE"/>
        </w:rPr>
        <w:t xml:space="preserve"> გაგრძელდა და წინა წელთან შედარებით მესამე და მომდევნო შვილის </w:t>
      </w:r>
      <w:r w:rsidR="0060549A">
        <w:rPr>
          <w:rFonts w:ascii="Sylfaen" w:eastAsia="Times New Roman" w:hAnsi="Sylfaen" w:cs="Sylfaen"/>
          <w:lang w:val="ka-GE"/>
        </w:rPr>
        <w:t xml:space="preserve">წილი </w:t>
      </w:r>
      <w:r w:rsidR="00017E0D">
        <w:rPr>
          <w:rFonts w:ascii="Sylfaen" w:eastAsia="Times New Roman" w:hAnsi="Sylfaen" w:cs="Sylfaen"/>
          <w:lang w:val="ka-GE"/>
        </w:rPr>
        <w:t>1,</w:t>
      </w:r>
      <w:r w:rsidR="00317AE2">
        <w:rPr>
          <w:rFonts w:ascii="Sylfaen" w:eastAsia="Times New Roman" w:hAnsi="Sylfaen" w:cs="Sylfaen"/>
        </w:rPr>
        <w:t>2</w:t>
      </w:r>
      <w:r w:rsidR="00317AE2">
        <w:rPr>
          <w:rFonts w:ascii="Sylfaen" w:eastAsia="Times New Roman" w:hAnsi="Sylfaen" w:cs="Sylfaen"/>
          <w:lang w:val="ka-GE"/>
        </w:rPr>
        <w:t xml:space="preserve"> </w:t>
      </w:r>
      <w:r w:rsidR="00B02D2D">
        <w:rPr>
          <w:rFonts w:ascii="Sylfaen" w:eastAsia="Times New Roman" w:hAnsi="Sylfaen" w:cs="Sylfaen"/>
          <w:lang w:val="ka-GE"/>
        </w:rPr>
        <w:t xml:space="preserve">პროცენტული </w:t>
      </w:r>
      <w:r w:rsidR="00017E0D">
        <w:rPr>
          <w:rFonts w:ascii="Sylfaen" w:eastAsia="Times New Roman" w:hAnsi="Sylfaen" w:cs="Sylfaen"/>
          <w:lang w:val="ka-GE"/>
        </w:rPr>
        <w:t>პუნქტით გაიზარდა</w:t>
      </w:r>
      <w:r w:rsidR="00C05E2D">
        <w:rPr>
          <w:rFonts w:ascii="Sylfaen" w:eastAsia="Times New Roman" w:hAnsi="Sylfaen" w:cs="Sylfaen"/>
          <w:lang w:val="ka-GE"/>
        </w:rPr>
        <w:t>.</w:t>
      </w:r>
    </w:p>
    <w:p w:rsidR="00764000" w:rsidRDefault="00315D35" w:rsidP="00D05C1F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</w:p>
    <w:p w:rsidR="002E3526" w:rsidRPr="00B02D2D" w:rsidRDefault="007052D6" w:rsidP="00B02D2D">
      <w:pPr>
        <w:spacing w:after="0"/>
        <w:ind w:firstLine="720"/>
        <w:rPr>
          <w:rFonts w:ascii="Sylfaen" w:hAnsi="Sylfaen" w:cs="Sylfaen"/>
        </w:rPr>
      </w:pPr>
      <w:r w:rsidRPr="00B02D2D">
        <w:rPr>
          <w:rFonts w:ascii="Sylfaen" w:hAnsi="Sylfaen" w:cs="Sylfaen"/>
        </w:rPr>
        <w:t>დიაგრამა</w:t>
      </w:r>
      <w:r w:rsidR="00003029" w:rsidRPr="00B02D2D">
        <w:rPr>
          <w:rFonts w:ascii="Sylfaen" w:hAnsi="Sylfaen" w:cs="Sylfaen"/>
        </w:rPr>
        <w:t xml:space="preserve"> </w:t>
      </w:r>
      <w:r w:rsidRPr="00B02D2D">
        <w:rPr>
          <w:rFonts w:ascii="Sylfaen" w:hAnsi="Sylfaen" w:cs="Sylfaen"/>
        </w:rPr>
        <w:t>2</w:t>
      </w:r>
    </w:p>
    <w:p w:rsidR="003F13FA" w:rsidRPr="00777203" w:rsidRDefault="00D20C2D" w:rsidP="007172FC">
      <w:pPr>
        <w:spacing w:after="0"/>
        <w:rPr>
          <w:rFonts w:ascii="Sylfaen" w:hAnsi="Sylfaen" w:cs="AcadNusx"/>
          <w:lang w:val="ka-GE"/>
        </w:rPr>
      </w:pPr>
      <w:r w:rsidRPr="0074463F">
        <w:rPr>
          <w:rFonts w:ascii="Sylfaen" w:hAnsi="Sylfaen" w:cs="AcadNusx"/>
          <w:noProof/>
        </w:rPr>
        <w:drawing>
          <wp:inline distT="0" distB="0" distL="0" distR="0">
            <wp:extent cx="6166402" cy="2345634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15D35" w:rsidRDefault="00315D35" w:rsidP="00CA0E1F">
      <w:pPr>
        <w:spacing w:after="0"/>
        <w:ind w:firstLine="709"/>
        <w:jc w:val="both"/>
        <w:rPr>
          <w:rFonts w:ascii="Sylfaen" w:eastAsia="Times New Roman" w:hAnsi="Sylfaen" w:cs="Times New Roman"/>
          <w:lang w:val="ka-GE"/>
        </w:rPr>
      </w:pPr>
    </w:p>
    <w:p w:rsidR="00315D35" w:rsidRPr="00B0648E" w:rsidRDefault="00F34015" w:rsidP="00CA0E1F">
      <w:pPr>
        <w:spacing w:after="0"/>
        <w:ind w:firstLine="709"/>
        <w:jc w:val="both"/>
        <w:rPr>
          <w:rFonts w:ascii="Sylfaen" w:eastAsia="Times New Roman" w:hAnsi="Sylfaen" w:cs="AcadMtavr"/>
          <w:color w:val="000000" w:themeColor="text1"/>
          <w:lang w:val="ka-GE"/>
        </w:rPr>
      </w:pPr>
      <w:r w:rsidRPr="00B0648E">
        <w:rPr>
          <w:rFonts w:ascii="Sylfaen" w:eastAsia="Times New Roman" w:hAnsi="Sylfaen" w:cs="Times New Roman"/>
          <w:color w:val="000000" w:themeColor="text1"/>
          <w:lang w:val="ka-GE"/>
        </w:rPr>
        <w:lastRenderedPageBreak/>
        <w:t xml:space="preserve">წინა წელთან შედარებით </w:t>
      </w:r>
      <w:r w:rsidR="00B70505" w:rsidRPr="00B0648E">
        <w:rPr>
          <w:rFonts w:ascii="Sylfaen" w:eastAsia="Times New Roman" w:hAnsi="Sylfaen" w:cs="Times New Roman"/>
          <w:color w:val="000000" w:themeColor="text1"/>
          <w:lang w:val="ka-GE"/>
        </w:rPr>
        <w:t>201</w:t>
      </w:r>
      <w:r w:rsidR="00B0648E" w:rsidRPr="00B0648E">
        <w:rPr>
          <w:rFonts w:ascii="Sylfaen" w:eastAsia="Times New Roman" w:hAnsi="Sylfaen" w:cs="Times New Roman"/>
          <w:color w:val="000000" w:themeColor="text1"/>
        </w:rPr>
        <w:t>6</w:t>
      </w:r>
      <w:r w:rsidR="00B70505" w:rsidRPr="00B0648E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="00F82475" w:rsidRPr="00B0648E">
        <w:rPr>
          <w:rFonts w:ascii="Sylfaen" w:eastAsia="Times New Roman" w:hAnsi="Sylfaen" w:cs="Times New Roman"/>
          <w:color w:val="000000" w:themeColor="text1"/>
          <w:lang w:val="ka-GE"/>
        </w:rPr>
        <w:t>წელს</w:t>
      </w:r>
      <w:r w:rsidR="007052D6" w:rsidRPr="00B0648E">
        <w:rPr>
          <w:rFonts w:ascii="Sylfaen" w:eastAsia="Times New Roman" w:hAnsi="Sylfaen" w:cs="Times New Roman"/>
          <w:color w:val="000000" w:themeColor="text1"/>
        </w:rPr>
        <w:t xml:space="preserve"> </w:t>
      </w:r>
      <w:r w:rsidR="00F97817" w:rsidRPr="00B0648E">
        <w:rPr>
          <w:rFonts w:ascii="Sylfaen" w:eastAsia="Times New Roman" w:hAnsi="Sylfaen" w:cs="Times New Roman"/>
          <w:color w:val="000000" w:themeColor="text1"/>
          <w:lang w:val="ka-GE"/>
        </w:rPr>
        <w:t xml:space="preserve">დაბადებულთა </w:t>
      </w:r>
      <w:r w:rsidR="007A4FC0" w:rsidRPr="00B0648E">
        <w:rPr>
          <w:rFonts w:ascii="Sylfaen" w:eastAsia="Times New Roman" w:hAnsi="Sylfaen" w:cs="Sylfaen"/>
          <w:color w:val="000000" w:themeColor="text1"/>
          <w:lang w:val="ka-GE"/>
        </w:rPr>
        <w:t xml:space="preserve">საერთო რიცხოვნობაში </w:t>
      </w:r>
      <w:r w:rsidR="00707B2C" w:rsidRPr="00B0648E">
        <w:rPr>
          <w:rFonts w:ascii="Sylfaen" w:eastAsia="Times New Roman" w:hAnsi="Sylfaen" w:cs="Times New Roman"/>
          <w:color w:val="000000" w:themeColor="text1"/>
        </w:rPr>
        <w:t>25 წ</w:t>
      </w:r>
      <w:r w:rsidR="00707B2C" w:rsidRPr="00B0648E">
        <w:rPr>
          <w:rFonts w:ascii="Sylfaen" w:eastAsia="Times New Roman" w:hAnsi="Sylfaen" w:cs="Times New Roman"/>
          <w:color w:val="000000" w:themeColor="text1"/>
          <w:lang w:val="ka-GE"/>
        </w:rPr>
        <w:t xml:space="preserve">ლამდე </w:t>
      </w:r>
      <w:r w:rsidR="00EF63AE" w:rsidRPr="00B0648E">
        <w:rPr>
          <w:rFonts w:ascii="Sylfaen" w:eastAsia="Times New Roman" w:hAnsi="Sylfaen" w:cs="Times New Roman"/>
          <w:color w:val="000000" w:themeColor="text1"/>
          <w:lang w:val="ka-GE"/>
        </w:rPr>
        <w:t xml:space="preserve">ასაკის </w:t>
      </w:r>
      <w:r w:rsidR="00764000" w:rsidRPr="00B0648E">
        <w:rPr>
          <w:rFonts w:ascii="Sylfaen" w:eastAsia="Times New Roman" w:hAnsi="Sylfaen" w:cs="Times New Roman"/>
          <w:color w:val="000000" w:themeColor="text1"/>
          <w:lang w:val="ka-GE"/>
        </w:rPr>
        <w:t>დედ</w:t>
      </w:r>
      <w:r w:rsidR="007A4FC0" w:rsidRPr="00B0648E">
        <w:rPr>
          <w:rFonts w:ascii="Sylfaen" w:eastAsia="Times New Roman" w:hAnsi="Sylfaen" w:cs="Times New Roman"/>
          <w:color w:val="000000" w:themeColor="text1"/>
          <w:lang w:val="ka-GE"/>
        </w:rPr>
        <w:t xml:space="preserve">ების მიერ შობილი ბავშვების </w:t>
      </w:r>
      <w:r w:rsidR="00764000" w:rsidRPr="00B0648E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="00F97817" w:rsidRPr="00B0648E">
        <w:rPr>
          <w:rFonts w:ascii="Sylfaen" w:eastAsia="Times New Roman" w:hAnsi="Sylfaen" w:cs="Times New Roman"/>
          <w:color w:val="000000" w:themeColor="text1"/>
          <w:lang w:val="ka-GE"/>
        </w:rPr>
        <w:t xml:space="preserve">წილი </w:t>
      </w:r>
      <w:r w:rsidR="00B0648E" w:rsidRPr="00B0648E">
        <w:rPr>
          <w:rFonts w:ascii="Sylfaen" w:eastAsia="Times New Roman" w:hAnsi="Sylfaen" w:cs="Times New Roman"/>
          <w:color w:val="000000" w:themeColor="text1"/>
        </w:rPr>
        <w:t>38,8</w:t>
      </w:r>
      <w:r w:rsidR="00437CB7" w:rsidRPr="00B0648E">
        <w:rPr>
          <w:rFonts w:ascii="Sylfaen" w:eastAsia="Times New Roman" w:hAnsi="Sylfaen" w:cs="Times New Roman"/>
          <w:color w:val="000000" w:themeColor="text1"/>
        </w:rPr>
        <w:t xml:space="preserve"> </w:t>
      </w:r>
      <w:r w:rsidR="00437CB7" w:rsidRPr="00B0648E">
        <w:rPr>
          <w:rFonts w:ascii="Sylfaen" w:eastAsia="Times New Roman" w:hAnsi="Sylfaen" w:cs="Times New Roman"/>
          <w:color w:val="000000" w:themeColor="text1"/>
          <w:lang w:val="ka-GE"/>
        </w:rPr>
        <w:t>პროცენტიდან</w:t>
      </w:r>
      <w:r w:rsidR="002C0E57" w:rsidRPr="00B0648E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="0087099C">
        <w:rPr>
          <w:rFonts w:ascii="Sylfaen" w:eastAsia="Times New Roman" w:hAnsi="Sylfaen" w:cs="Times New Roman"/>
          <w:color w:val="000000" w:themeColor="text1"/>
        </w:rPr>
        <w:t>35,6</w:t>
      </w:r>
      <w:r w:rsidR="00437CB7" w:rsidRPr="00B0648E">
        <w:rPr>
          <w:rFonts w:ascii="Sylfaen" w:eastAsia="Times New Roman" w:hAnsi="Sylfaen" w:cs="Times New Roman"/>
          <w:color w:val="000000" w:themeColor="text1"/>
          <w:lang w:val="ka-GE"/>
        </w:rPr>
        <w:t xml:space="preserve"> პროცენტამდე </w:t>
      </w:r>
      <w:r w:rsidR="00523031" w:rsidRPr="00B0648E">
        <w:rPr>
          <w:rFonts w:ascii="Sylfaen" w:eastAsia="Times New Roman" w:hAnsi="Sylfaen" w:cs="Times New Roman"/>
          <w:color w:val="000000" w:themeColor="text1"/>
          <w:lang w:val="ka-GE"/>
        </w:rPr>
        <w:t>შემცირ</w:t>
      </w:r>
      <w:r w:rsidR="00437CB7" w:rsidRPr="00B0648E">
        <w:rPr>
          <w:rFonts w:ascii="Sylfaen" w:eastAsia="Times New Roman" w:hAnsi="Sylfaen" w:cs="Times New Roman"/>
          <w:color w:val="000000" w:themeColor="text1"/>
          <w:lang w:val="ka-GE"/>
        </w:rPr>
        <w:t>და</w:t>
      </w:r>
      <w:r w:rsidR="00F82475" w:rsidRPr="00B0648E">
        <w:rPr>
          <w:rFonts w:ascii="Sylfaen" w:eastAsia="Times New Roman" w:hAnsi="Sylfaen" w:cs="AcadMtavr"/>
          <w:color w:val="000000" w:themeColor="text1"/>
        </w:rPr>
        <w:t>.</w:t>
      </w:r>
    </w:p>
    <w:p w:rsidR="00416048" w:rsidRPr="00416048" w:rsidRDefault="00416048" w:rsidP="00CA0E1F">
      <w:pPr>
        <w:spacing w:after="0"/>
        <w:ind w:firstLine="709"/>
        <w:jc w:val="both"/>
        <w:rPr>
          <w:rFonts w:ascii="Sylfaen" w:eastAsia="Times New Roman" w:hAnsi="Sylfaen" w:cs="AcadMtavr"/>
          <w:lang w:val="ka-GE"/>
        </w:rPr>
      </w:pPr>
    </w:p>
    <w:p w:rsidR="00F60EAD" w:rsidRPr="00827EED" w:rsidRDefault="0021075B" w:rsidP="004B109C">
      <w:pPr>
        <w:spacing w:after="0"/>
        <w:ind w:firstLine="709"/>
        <w:jc w:val="both"/>
        <w:rPr>
          <w:rFonts w:ascii="Sylfaen" w:hAnsi="Sylfaen" w:cs="AcadNusx"/>
          <w:lang w:val="ka-GE"/>
        </w:rPr>
      </w:pPr>
      <w:r w:rsidRPr="00827EED">
        <w:rPr>
          <w:rFonts w:ascii="Sylfaen" w:hAnsi="Sylfaen" w:cs="Sylfaen"/>
        </w:rPr>
        <w:t xml:space="preserve">დიაგრამა </w:t>
      </w:r>
      <w:r w:rsidRPr="00827EED">
        <w:rPr>
          <w:rFonts w:ascii="Sylfaen" w:hAnsi="Sylfaen" w:cs="AcadNusx"/>
        </w:rPr>
        <w:t>3</w:t>
      </w:r>
    </w:p>
    <w:p w:rsidR="0021075B" w:rsidRDefault="00F72F5F" w:rsidP="004B109C">
      <w:pPr>
        <w:spacing w:after="0"/>
        <w:jc w:val="center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noProof/>
        </w:rPr>
        <w:drawing>
          <wp:inline distT="0" distB="0" distL="0" distR="0">
            <wp:extent cx="6048375" cy="24574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075B" w:rsidRPr="009731B0" w:rsidRDefault="0021075B" w:rsidP="004B109C">
      <w:pPr>
        <w:spacing w:after="0"/>
        <w:ind w:firstLine="709"/>
        <w:jc w:val="both"/>
        <w:rPr>
          <w:rFonts w:ascii="Sylfaen" w:eastAsia="Times New Roman" w:hAnsi="Sylfaen" w:cs="Times New Roman"/>
          <w:lang w:val="ka-GE"/>
        </w:rPr>
      </w:pPr>
    </w:p>
    <w:p w:rsidR="004B109C" w:rsidRPr="00B1514A" w:rsidRDefault="0005151A" w:rsidP="00490C1F">
      <w:pPr>
        <w:spacing w:after="0"/>
        <w:ind w:firstLine="709"/>
        <w:jc w:val="both"/>
        <w:rPr>
          <w:rFonts w:ascii="Sylfaen" w:eastAsia="Times New Roman" w:hAnsi="Sylfaen" w:cs="Times New Roman"/>
          <w:b/>
          <w:color w:val="000000" w:themeColor="text1"/>
          <w:lang w:val="ka-GE"/>
        </w:rPr>
      </w:pPr>
      <w:r w:rsidRPr="00B1514A">
        <w:rPr>
          <w:rFonts w:ascii="Sylfaen" w:eastAsia="Times New Roman" w:hAnsi="Sylfaen" w:cs="Times New Roman"/>
          <w:color w:val="000000" w:themeColor="text1"/>
        </w:rPr>
        <w:t>201</w:t>
      </w:r>
      <w:r w:rsidR="0087099C" w:rsidRPr="00B1514A">
        <w:rPr>
          <w:rFonts w:ascii="Sylfaen" w:eastAsia="Times New Roman" w:hAnsi="Sylfaen" w:cs="Times New Roman"/>
          <w:color w:val="000000" w:themeColor="text1"/>
        </w:rPr>
        <w:t>6</w:t>
      </w:r>
      <w:r w:rsidRPr="00B1514A">
        <w:rPr>
          <w:rFonts w:ascii="Sylfaen" w:eastAsia="Times New Roman" w:hAnsi="Sylfaen" w:cs="Times New Roman"/>
          <w:color w:val="000000" w:themeColor="text1"/>
        </w:rPr>
        <w:t xml:space="preserve"> </w:t>
      </w:r>
      <w:r w:rsidR="007052D6" w:rsidRPr="00B1514A">
        <w:rPr>
          <w:rFonts w:ascii="Sylfaen" w:eastAsia="Times New Roman" w:hAnsi="Sylfaen" w:cs="Times New Roman"/>
          <w:color w:val="000000" w:themeColor="text1"/>
        </w:rPr>
        <w:t>წელს დედის საშუალო ასაკ</w:t>
      </w:r>
      <w:r w:rsidR="005926A5" w:rsidRPr="00B1514A">
        <w:rPr>
          <w:rFonts w:ascii="Sylfaen" w:eastAsia="Times New Roman" w:hAnsi="Sylfaen" w:cs="Times New Roman"/>
          <w:color w:val="000000" w:themeColor="text1"/>
          <w:lang w:val="ka-GE"/>
        </w:rPr>
        <w:t>მა</w:t>
      </w:r>
      <w:r w:rsidR="00A32635" w:rsidRPr="00B1514A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="00A32635" w:rsidRPr="00B1514A">
        <w:rPr>
          <w:rFonts w:ascii="Sylfaen" w:eastAsia="Times New Roman" w:hAnsi="Sylfaen" w:cs="Times New Roman"/>
          <w:color w:val="000000" w:themeColor="text1"/>
        </w:rPr>
        <w:t>პირველი ბავშვის დაბადებისას</w:t>
      </w:r>
      <w:r w:rsidR="005C2BBB" w:rsidRPr="00B1514A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="001E04AC" w:rsidRPr="00B1514A">
        <w:rPr>
          <w:rFonts w:ascii="Sylfaen" w:eastAsia="Times New Roman" w:hAnsi="Sylfaen" w:cs="Times New Roman"/>
          <w:color w:val="000000" w:themeColor="text1"/>
          <w:lang w:val="ka-GE"/>
        </w:rPr>
        <w:t>25</w:t>
      </w:r>
      <w:r w:rsidR="006A00F9" w:rsidRPr="00B1514A">
        <w:rPr>
          <w:rFonts w:ascii="Sylfaen" w:eastAsia="Times New Roman" w:hAnsi="Sylfaen" w:cs="Times New Roman"/>
          <w:color w:val="000000" w:themeColor="text1"/>
        </w:rPr>
        <w:t>,0</w:t>
      </w:r>
      <w:r w:rsidR="009731B0" w:rsidRPr="00B1514A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="00BA53F2" w:rsidRPr="00B1514A">
        <w:rPr>
          <w:rFonts w:ascii="Sylfaen" w:eastAsia="Times New Roman" w:hAnsi="Sylfaen" w:cs="Times New Roman"/>
          <w:color w:val="000000" w:themeColor="text1"/>
          <w:lang w:val="ka-GE"/>
        </w:rPr>
        <w:t>წელი</w:t>
      </w:r>
      <w:r w:rsidR="00A32635" w:rsidRPr="00B1514A">
        <w:rPr>
          <w:rFonts w:ascii="Sylfaen" w:eastAsia="Times New Roman" w:hAnsi="Sylfaen" w:cs="Times New Roman"/>
          <w:color w:val="000000" w:themeColor="text1"/>
          <w:lang w:val="ka-GE"/>
        </w:rPr>
        <w:t xml:space="preserve"> შეადგინა</w:t>
      </w:r>
      <w:r w:rsidR="007052D6" w:rsidRPr="00B1514A">
        <w:rPr>
          <w:rFonts w:ascii="Sylfaen" w:eastAsia="Times New Roman" w:hAnsi="Sylfaen" w:cs="Times New Roman"/>
          <w:color w:val="000000" w:themeColor="text1"/>
        </w:rPr>
        <w:t>.</w:t>
      </w:r>
    </w:p>
    <w:p w:rsidR="005D4018" w:rsidRPr="009731B0" w:rsidRDefault="00490C1F" w:rsidP="00E60783">
      <w:pPr>
        <w:spacing w:after="0"/>
        <w:jc w:val="both"/>
        <w:rPr>
          <w:rFonts w:ascii="Sylfaen" w:eastAsia="Times New Roman" w:hAnsi="Sylfaen" w:cs="Times New Roman"/>
          <w:b/>
          <w:lang w:val="ka-GE"/>
        </w:rPr>
      </w:pPr>
      <w:r w:rsidRPr="009731B0">
        <w:rPr>
          <w:rFonts w:ascii="Sylfaen" w:eastAsia="Times New Roman" w:hAnsi="Sylfaen" w:cs="Times New Roman"/>
          <w:b/>
          <w:lang w:val="ka-GE"/>
        </w:rPr>
        <w:tab/>
      </w:r>
    </w:p>
    <w:p w:rsidR="00315D35" w:rsidRPr="00E60783" w:rsidRDefault="00315D35" w:rsidP="00E60783">
      <w:pPr>
        <w:spacing w:after="0"/>
        <w:jc w:val="both"/>
        <w:rPr>
          <w:rFonts w:ascii="Sylfaen" w:eastAsia="Times New Roman" w:hAnsi="Sylfaen" w:cs="Times New Roman"/>
          <w:color w:val="FF0000"/>
          <w:lang w:val="ka-GE"/>
        </w:rPr>
      </w:pPr>
    </w:p>
    <w:p w:rsidR="009208A0" w:rsidRDefault="007052D6" w:rsidP="006632FC">
      <w:pPr>
        <w:spacing w:after="0"/>
        <w:ind w:firstLine="709"/>
        <w:jc w:val="both"/>
        <w:rPr>
          <w:rFonts w:ascii="Sylfaen" w:eastAsia="Times New Roman" w:hAnsi="Sylfaen" w:cs="Times New Roman"/>
          <w:b/>
          <w:lang w:val="ka-GE"/>
        </w:rPr>
      </w:pPr>
      <w:r w:rsidRPr="0074463F">
        <w:rPr>
          <w:rFonts w:ascii="Sylfaen" w:eastAsia="Times New Roman" w:hAnsi="Sylfaen" w:cs="Times New Roman"/>
          <w:b/>
        </w:rPr>
        <w:t>გარდაცვალება</w:t>
      </w:r>
    </w:p>
    <w:p w:rsidR="00E739D4" w:rsidRPr="00E739D4" w:rsidRDefault="00E739D4" w:rsidP="006632FC">
      <w:pPr>
        <w:spacing w:after="0"/>
        <w:ind w:firstLine="709"/>
        <w:jc w:val="both"/>
        <w:rPr>
          <w:rFonts w:ascii="Sylfaen" w:eastAsia="Times New Roman" w:hAnsi="Sylfaen" w:cs="Times New Roman"/>
          <w:b/>
          <w:lang w:val="ka-GE"/>
        </w:rPr>
      </w:pPr>
    </w:p>
    <w:p w:rsidR="00777203" w:rsidRDefault="001E04AC" w:rsidP="006632FC">
      <w:pPr>
        <w:spacing w:after="0"/>
        <w:ind w:firstLine="709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</w:rPr>
        <w:t>201</w:t>
      </w:r>
      <w:r w:rsidR="009539BA">
        <w:rPr>
          <w:rFonts w:ascii="Sylfaen" w:eastAsia="Times New Roman" w:hAnsi="Sylfaen" w:cs="Times New Roman"/>
          <w:lang w:val="ka-GE"/>
        </w:rPr>
        <w:t>6</w:t>
      </w:r>
      <w:r w:rsidRPr="0074463F">
        <w:rPr>
          <w:rFonts w:ascii="Sylfaen" w:eastAsia="Times New Roman" w:hAnsi="Sylfaen" w:cs="Times New Roman"/>
        </w:rPr>
        <w:t xml:space="preserve"> </w:t>
      </w:r>
      <w:r w:rsidR="00777203">
        <w:rPr>
          <w:rFonts w:ascii="Sylfaen" w:eastAsia="Times New Roman" w:hAnsi="Sylfaen" w:cs="Times New Roman"/>
        </w:rPr>
        <w:t xml:space="preserve">წელს გარდაცვლილთა </w:t>
      </w:r>
      <w:r w:rsidR="007A4FC0">
        <w:rPr>
          <w:rFonts w:ascii="Sylfaen" w:eastAsia="Times New Roman" w:hAnsi="Sylfaen" w:cs="Times New Roman"/>
          <w:lang w:val="ka-GE"/>
        </w:rPr>
        <w:t>რიცხოვნობა</w:t>
      </w:r>
      <w:r w:rsidR="007A4FC0">
        <w:rPr>
          <w:rFonts w:ascii="Sylfaen" w:eastAsia="Times New Roman" w:hAnsi="Sylfaen" w:cs="Times New Roman"/>
        </w:rPr>
        <w:t xml:space="preserve"> </w:t>
      </w:r>
      <w:r w:rsidR="009731B0">
        <w:rPr>
          <w:rFonts w:ascii="Sylfaen" w:eastAsia="Times New Roman" w:hAnsi="Sylfaen" w:cs="Times New Roman"/>
        </w:rPr>
        <w:t>201</w:t>
      </w:r>
      <w:r w:rsidR="009539BA">
        <w:rPr>
          <w:rFonts w:ascii="Sylfaen" w:eastAsia="Times New Roman" w:hAnsi="Sylfaen" w:cs="Times New Roman"/>
          <w:lang w:val="ka-GE"/>
        </w:rPr>
        <w:t>5</w:t>
      </w:r>
      <w:r w:rsidR="009731B0" w:rsidRPr="0074463F">
        <w:rPr>
          <w:rFonts w:ascii="Sylfaen" w:eastAsia="Times New Roman" w:hAnsi="Sylfaen" w:cs="Times New Roman"/>
        </w:rPr>
        <w:t xml:space="preserve"> </w:t>
      </w:r>
      <w:r w:rsidR="007052D6" w:rsidRPr="0074463F">
        <w:rPr>
          <w:rFonts w:ascii="Sylfaen" w:eastAsia="Times New Roman" w:hAnsi="Sylfaen" w:cs="Times New Roman"/>
        </w:rPr>
        <w:t xml:space="preserve">წელთან შედარებით </w:t>
      </w:r>
      <w:r w:rsidR="009539BA">
        <w:rPr>
          <w:rFonts w:ascii="Sylfaen" w:eastAsia="Times New Roman" w:hAnsi="Sylfaen" w:cs="Times New Roman"/>
          <w:lang w:val="ka-GE"/>
        </w:rPr>
        <w:t>3,4</w:t>
      </w:r>
      <w:r w:rsidR="009731B0">
        <w:rPr>
          <w:rFonts w:ascii="Sylfaen" w:eastAsia="Times New Roman" w:hAnsi="Sylfaen" w:cs="Times New Roman"/>
          <w:lang w:val="ka-GE"/>
        </w:rPr>
        <w:t xml:space="preserve"> </w:t>
      </w:r>
      <w:r w:rsidR="009A4784">
        <w:rPr>
          <w:rFonts w:ascii="Sylfaen" w:eastAsia="Times New Roman" w:hAnsi="Sylfaen" w:cs="Times New Roman"/>
          <w:lang w:val="ka-GE"/>
        </w:rPr>
        <w:t>პროცენტით</w:t>
      </w:r>
      <w:r w:rsidR="007052D6" w:rsidRPr="0074463F">
        <w:rPr>
          <w:rFonts w:ascii="Sylfaen" w:eastAsia="Times New Roman" w:hAnsi="Sylfaen" w:cs="Times New Roman"/>
        </w:rPr>
        <w:t xml:space="preserve"> </w:t>
      </w:r>
      <w:r w:rsidR="009731B0">
        <w:rPr>
          <w:rFonts w:ascii="Sylfaen" w:eastAsia="Times New Roman" w:hAnsi="Sylfaen" w:cs="Times New Roman"/>
          <w:lang w:val="ka-GE"/>
        </w:rPr>
        <w:t>გაიზარდა</w:t>
      </w:r>
      <w:r w:rsidR="009731B0" w:rsidRPr="0074463F">
        <w:rPr>
          <w:rFonts w:ascii="Sylfaen" w:eastAsia="Times New Roman" w:hAnsi="Sylfaen" w:cs="Times New Roman"/>
        </w:rPr>
        <w:t xml:space="preserve"> </w:t>
      </w:r>
      <w:r w:rsidR="007052D6" w:rsidRPr="0074463F">
        <w:rPr>
          <w:rFonts w:ascii="Sylfaen" w:eastAsia="Times New Roman" w:hAnsi="Sylfaen" w:cs="Times New Roman"/>
        </w:rPr>
        <w:t xml:space="preserve">და </w:t>
      </w:r>
      <w:r w:rsidR="009539BA">
        <w:rPr>
          <w:rFonts w:ascii="Sylfaen" w:eastAsia="Times New Roman" w:hAnsi="Sylfaen" w:cs="Times New Roman"/>
          <w:lang w:val="ka-GE"/>
        </w:rPr>
        <w:t>50 771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74463F">
        <w:rPr>
          <w:rFonts w:ascii="Sylfaen" w:eastAsia="Times New Roman" w:hAnsi="Sylfaen" w:cs="Times New Roman"/>
        </w:rPr>
        <w:t xml:space="preserve"> </w:t>
      </w:r>
      <w:r w:rsidR="007052D6" w:rsidRPr="0074463F">
        <w:rPr>
          <w:rFonts w:ascii="Sylfaen" w:eastAsia="Times New Roman" w:hAnsi="Sylfaen" w:cs="Times New Roman"/>
        </w:rPr>
        <w:t>შეადგინა</w:t>
      </w:r>
      <w:r w:rsidR="007A4FC0">
        <w:rPr>
          <w:rFonts w:ascii="Sylfaen" w:eastAsia="Times New Roman" w:hAnsi="Sylfaen" w:cs="Times New Roman"/>
          <w:lang w:val="ka-GE"/>
        </w:rPr>
        <w:t xml:space="preserve">. </w:t>
      </w:r>
      <w:r w:rsidR="007052D6" w:rsidRPr="0074463F">
        <w:rPr>
          <w:rFonts w:ascii="Sylfaen" w:eastAsia="Times New Roman" w:hAnsi="Sylfaen" w:cs="Times New Roman"/>
        </w:rPr>
        <w:t xml:space="preserve"> </w:t>
      </w:r>
    </w:p>
    <w:p w:rsidR="00416048" w:rsidRPr="00416048" w:rsidRDefault="00416048" w:rsidP="006632FC">
      <w:pPr>
        <w:spacing w:after="0"/>
        <w:ind w:firstLine="709"/>
        <w:jc w:val="both"/>
        <w:rPr>
          <w:rFonts w:ascii="Sylfaen" w:hAnsi="Sylfaen" w:cs="Sylfaen"/>
          <w:lang w:val="ka-GE"/>
        </w:rPr>
      </w:pPr>
    </w:p>
    <w:p w:rsidR="00655476" w:rsidRPr="00827EED" w:rsidRDefault="007052D6" w:rsidP="004B109C">
      <w:pPr>
        <w:spacing w:after="0"/>
        <w:ind w:firstLine="709"/>
        <w:rPr>
          <w:rFonts w:ascii="Sylfaen" w:hAnsi="Sylfaen"/>
        </w:rPr>
      </w:pPr>
      <w:r w:rsidRPr="00827EED">
        <w:rPr>
          <w:rFonts w:ascii="Sylfaen" w:hAnsi="Sylfaen" w:cs="Sylfaen"/>
        </w:rPr>
        <w:t xml:space="preserve">დიაგრამა </w:t>
      </w:r>
      <w:r w:rsidR="00572E47" w:rsidRPr="00827EED">
        <w:rPr>
          <w:rFonts w:ascii="Sylfaen" w:hAnsi="Sylfaen"/>
          <w:lang w:val="ka-GE"/>
        </w:rPr>
        <w:t>4</w:t>
      </w:r>
    </w:p>
    <w:p w:rsidR="00F027BD" w:rsidRPr="00315D35" w:rsidRDefault="003E538C" w:rsidP="00315D35">
      <w:pPr>
        <w:spacing w:after="0"/>
        <w:jc w:val="center"/>
        <w:rPr>
          <w:rFonts w:ascii="Sylfaen" w:hAnsi="Sylfaen"/>
          <w:b/>
          <w:lang w:val="ka-GE"/>
        </w:rPr>
      </w:pPr>
      <w:r w:rsidRPr="0074463F">
        <w:rPr>
          <w:rFonts w:ascii="Sylfaen" w:hAnsi="Sylfaen"/>
          <w:b/>
          <w:noProof/>
        </w:rPr>
        <w:drawing>
          <wp:inline distT="0" distB="0" distL="0" distR="0">
            <wp:extent cx="6210300" cy="2695575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109C" w:rsidRPr="002911C8" w:rsidRDefault="002911C8" w:rsidP="004B109C">
      <w:pPr>
        <w:spacing w:after="0"/>
        <w:ind w:firstLine="709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გარდაცვლილთა სქესობრივ-ასაკობრივ</w:t>
      </w:r>
      <w:r w:rsidR="00005BC6">
        <w:rPr>
          <w:rFonts w:ascii="Sylfaen" w:eastAsia="Times New Roman" w:hAnsi="Sylfaen" w:cs="Times New Roman"/>
          <w:lang w:val="ka-GE"/>
        </w:rPr>
        <w:t>მა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B37EDE">
        <w:rPr>
          <w:rFonts w:ascii="Sylfaen" w:eastAsia="Times New Roman" w:hAnsi="Sylfaen" w:cs="Times New Roman"/>
          <w:lang w:val="ka-GE"/>
        </w:rPr>
        <w:t>სტუქტურა</w:t>
      </w:r>
      <w:r w:rsidR="00005BC6">
        <w:rPr>
          <w:rFonts w:ascii="Sylfaen" w:eastAsia="Times New Roman" w:hAnsi="Sylfaen" w:cs="Times New Roman"/>
          <w:lang w:val="ka-GE"/>
        </w:rPr>
        <w:t>მ განიცადა მცირეოდენი ცვლილება</w:t>
      </w:r>
      <w:r w:rsidR="00B37EDE">
        <w:rPr>
          <w:rFonts w:ascii="Sylfaen" w:eastAsia="Times New Roman" w:hAnsi="Sylfaen" w:cs="Times New Roman"/>
          <w:lang w:val="ka-GE"/>
        </w:rPr>
        <w:t xml:space="preserve">. </w:t>
      </w:r>
      <w:r w:rsidR="004C77CB">
        <w:rPr>
          <w:rFonts w:ascii="Sylfaen" w:eastAsia="Times New Roman" w:hAnsi="Sylfaen" w:cs="Times New Roman"/>
          <w:lang w:val="ka-GE"/>
        </w:rPr>
        <w:t xml:space="preserve">ყველაზე დიდი პროცენტული </w:t>
      </w:r>
      <w:r w:rsidR="00C27183">
        <w:rPr>
          <w:rFonts w:ascii="Sylfaen" w:eastAsia="Times New Roman" w:hAnsi="Sylfaen" w:cs="Times New Roman"/>
          <w:lang w:val="ka-GE"/>
        </w:rPr>
        <w:t xml:space="preserve">მატება დაფიქსირდა </w:t>
      </w:r>
      <w:r w:rsidR="004E1521">
        <w:rPr>
          <w:rFonts w:ascii="Sylfaen" w:eastAsia="Times New Roman" w:hAnsi="Sylfaen" w:cs="Times New Roman"/>
          <w:lang w:val="ka-GE"/>
        </w:rPr>
        <w:t xml:space="preserve">65-69 და 85 </w:t>
      </w:r>
      <w:r w:rsidR="00005BC6">
        <w:rPr>
          <w:rFonts w:ascii="Sylfaen" w:eastAsia="Times New Roman" w:hAnsi="Sylfaen" w:cs="Times New Roman"/>
          <w:lang w:val="ka-GE"/>
        </w:rPr>
        <w:t>და მეტი</w:t>
      </w:r>
      <w:r w:rsidR="00C27183">
        <w:rPr>
          <w:rFonts w:ascii="Sylfaen" w:eastAsia="Times New Roman" w:hAnsi="Sylfaen" w:cs="Times New Roman"/>
          <w:lang w:val="ka-GE"/>
        </w:rPr>
        <w:t xml:space="preserve"> </w:t>
      </w:r>
      <w:r w:rsidR="00716D68">
        <w:rPr>
          <w:rFonts w:ascii="Sylfaen" w:eastAsia="Times New Roman" w:hAnsi="Sylfaen" w:cs="Times New Roman"/>
          <w:lang w:val="ka-GE"/>
        </w:rPr>
        <w:t xml:space="preserve">წლის </w:t>
      </w:r>
      <w:r w:rsidR="00C27183">
        <w:rPr>
          <w:rFonts w:ascii="Sylfaen" w:eastAsia="Times New Roman" w:hAnsi="Sylfaen" w:cs="Times New Roman"/>
          <w:lang w:val="ka-GE"/>
        </w:rPr>
        <w:t xml:space="preserve">ასაკობრივ </w:t>
      </w:r>
      <w:r w:rsidR="004C77CB">
        <w:rPr>
          <w:rFonts w:ascii="Sylfaen" w:eastAsia="Times New Roman" w:hAnsi="Sylfaen" w:cs="Times New Roman"/>
          <w:lang w:val="ka-GE"/>
        </w:rPr>
        <w:t>ჯგუფ</w:t>
      </w:r>
      <w:r w:rsidR="004E1521">
        <w:rPr>
          <w:rFonts w:ascii="Sylfaen" w:eastAsia="Times New Roman" w:hAnsi="Sylfaen" w:cs="Times New Roman"/>
          <w:lang w:val="ka-GE"/>
        </w:rPr>
        <w:t>ებში</w:t>
      </w:r>
      <w:r w:rsidR="004C77CB">
        <w:rPr>
          <w:rFonts w:ascii="Sylfaen" w:eastAsia="Times New Roman" w:hAnsi="Sylfaen" w:cs="Times New Roman"/>
          <w:lang w:val="ka-GE"/>
        </w:rPr>
        <w:t xml:space="preserve">, </w:t>
      </w:r>
      <w:r w:rsidR="00C27183">
        <w:rPr>
          <w:rFonts w:ascii="Sylfaen" w:eastAsia="Times New Roman" w:hAnsi="Sylfaen" w:cs="Times New Roman"/>
          <w:lang w:val="ka-GE"/>
        </w:rPr>
        <w:t>როგორც   მამაკაცებისთვის</w:t>
      </w:r>
      <w:r w:rsidR="00716D68">
        <w:rPr>
          <w:rFonts w:ascii="Sylfaen" w:eastAsia="Times New Roman" w:hAnsi="Sylfaen" w:cs="Times New Roman"/>
          <w:lang w:val="ka-GE"/>
        </w:rPr>
        <w:t>,</w:t>
      </w:r>
      <w:r w:rsidR="00C27183">
        <w:rPr>
          <w:rFonts w:ascii="Sylfaen" w:eastAsia="Times New Roman" w:hAnsi="Sylfaen" w:cs="Times New Roman"/>
          <w:lang w:val="ka-GE"/>
        </w:rPr>
        <w:t xml:space="preserve"> </w:t>
      </w:r>
      <w:r w:rsidR="00716D68">
        <w:rPr>
          <w:rFonts w:ascii="Sylfaen" w:eastAsia="Times New Roman" w:hAnsi="Sylfaen" w:cs="Times New Roman"/>
          <w:lang w:val="ka-GE"/>
        </w:rPr>
        <w:t>ი</w:t>
      </w:r>
      <w:r w:rsidR="00C27183">
        <w:rPr>
          <w:rFonts w:ascii="Sylfaen" w:eastAsia="Times New Roman" w:hAnsi="Sylfaen" w:cs="Times New Roman"/>
          <w:lang w:val="ka-GE"/>
        </w:rPr>
        <w:t>სე ქალებისთვის.</w:t>
      </w:r>
      <w:r w:rsidR="002E4BB3">
        <w:rPr>
          <w:rFonts w:ascii="Sylfaen" w:eastAsia="Times New Roman" w:hAnsi="Sylfaen" w:cs="Times New Roman"/>
          <w:lang w:val="ka-GE"/>
        </w:rPr>
        <w:t xml:space="preserve"> ყველაზე დიდი პროცენტული კლება </w:t>
      </w:r>
      <w:r w:rsidR="004E1521">
        <w:rPr>
          <w:rFonts w:ascii="Sylfaen" w:eastAsia="Times New Roman" w:hAnsi="Sylfaen" w:cs="Times New Roman"/>
          <w:lang w:val="ka-GE"/>
        </w:rPr>
        <w:t xml:space="preserve">კი ორივე სქესისათვის </w:t>
      </w:r>
      <w:r w:rsidR="002E4BB3">
        <w:rPr>
          <w:rFonts w:ascii="Sylfaen" w:eastAsia="Times New Roman" w:hAnsi="Sylfaen" w:cs="Times New Roman"/>
          <w:lang w:val="ka-GE"/>
        </w:rPr>
        <w:t xml:space="preserve"> დაფიქსირდა </w:t>
      </w:r>
      <w:r w:rsidR="004E1521">
        <w:rPr>
          <w:rFonts w:ascii="Sylfaen" w:eastAsia="Times New Roman" w:hAnsi="Sylfaen" w:cs="Times New Roman"/>
          <w:lang w:val="ka-GE"/>
        </w:rPr>
        <w:t>70-74</w:t>
      </w:r>
      <w:r w:rsidR="002E4BB3">
        <w:rPr>
          <w:rFonts w:ascii="Sylfaen" w:eastAsia="Times New Roman" w:hAnsi="Sylfaen" w:cs="Times New Roman"/>
          <w:lang w:val="ka-GE"/>
        </w:rPr>
        <w:t xml:space="preserve"> წლის ასაკობრივ</w:t>
      </w:r>
      <w:r w:rsidR="004E1521">
        <w:rPr>
          <w:rFonts w:ascii="Sylfaen" w:eastAsia="Times New Roman" w:hAnsi="Sylfaen" w:cs="Times New Roman"/>
          <w:lang w:val="ka-GE"/>
        </w:rPr>
        <w:t xml:space="preserve"> ჯგუფში</w:t>
      </w:r>
      <w:r w:rsidR="00C9544A">
        <w:rPr>
          <w:rFonts w:ascii="Sylfaen" w:eastAsia="Times New Roman" w:hAnsi="Sylfaen" w:cs="Times New Roman"/>
          <w:lang w:val="ka-GE"/>
        </w:rPr>
        <w:t>.</w:t>
      </w:r>
      <w:r w:rsidR="004E1521">
        <w:rPr>
          <w:rFonts w:ascii="Sylfaen" w:eastAsia="Times New Roman" w:hAnsi="Sylfaen" w:cs="Times New Roman"/>
          <w:lang w:val="ka-GE"/>
        </w:rPr>
        <w:t xml:space="preserve"> </w:t>
      </w:r>
      <w:r w:rsidR="00C9544A">
        <w:rPr>
          <w:rFonts w:ascii="Sylfaen" w:eastAsia="Times New Roman" w:hAnsi="Sylfaen" w:cs="Times New Roman"/>
          <w:lang w:val="ka-GE"/>
        </w:rPr>
        <w:t xml:space="preserve"> </w:t>
      </w:r>
    </w:p>
    <w:p w:rsidR="002E3B88" w:rsidRDefault="002E3B88">
      <w:pPr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</w:rPr>
        <w:br w:type="page"/>
      </w:r>
    </w:p>
    <w:p w:rsidR="00484C6C" w:rsidRPr="00827EED" w:rsidRDefault="007052D6">
      <w:pPr>
        <w:spacing w:after="0" w:line="240" w:lineRule="auto"/>
        <w:ind w:firstLine="709"/>
        <w:rPr>
          <w:rFonts w:ascii="Sylfaen" w:eastAsia="Times New Roman" w:hAnsi="Sylfaen" w:cs="Times New Roman"/>
          <w:lang w:val="ka-GE"/>
        </w:rPr>
      </w:pPr>
      <w:r w:rsidRPr="00827EED">
        <w:rPr>
          <w:rFonts w:ascii="Sylfaen" w:eastAsia="Times New Roman" w:hAnsi="Sylfaen" w:cs="Times New Roman"/>
        </w:rPr>
        <w:lastRenderedPageBreak/>
        <w:t xml:space="preserve">დიაგრამა </w:t>
      </w:r>
      <w:r w:rsidR="005F07CC" w:rsidRPr="00827EED">
        <w:rPr>
          <w:rFonts w:ascii="Sylfaen" w:eastAsia="Times New Roman" w:hAnsi="Sylfaen" w:cs="Times New Roman"/>
          <w:lang w:val="ka-GE"/>
        </w:rPr>
        <w:t>5</w:t>
      </w:r>
      <w:r w:rsidRPr="00827EED">
        <w:rPr>
          <w:rFonts w:ascii="Sylfaen" w:eastAsia="Times New Roman" w:hAnsi="Sylfaen" w:cs="Times New Roman"/>
        </w:rPr>
        <w:t xml:space="preserve"> </w:t>
      </w:r>
    </w:p>
    <w:p w:rsidR="00484C6C" w:rsidRDefault="007052D6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b/>
          <w:lang w:val="ka-GE"/>
        </w:rPr>
      </w:pPr>
      <w:r w:rsidRPr="002C1676">
        <w:rPr>
          <w:rFonts w:ascii="Sylfaen" w:eastAsia="Times New Roman" w:hAnsi="Sylfaen" w:cs="Times New Roman"/>
          <w:b/>
        </w:rPr>
        <w:t xml:space="preserve">გარდაცვლილთა განაწილება სქესისა და ასაკის მიხედვით </w:t>
      </w:r>
    </w:p>
    <w:p w:rsidR="00484C6C" w:rsidRDefault="002C1676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b/>
          <w:lang w:val="ka-GE"/>
        </w:rPr>
      </w:pPr>
      <w:r w:rsidRPr="002C1676">
        <w:rPr>
          <w:rFonts w:ascii="Sylfaen" w:eastAsia="Times New Roman" w:hAnsi="Sylfaen" w:cs="Times New Roman"/>
          <w:b/>
        </w:rPr>
        <w:t>201</w:t>
      </w:r>
      <w:r w:rsidR="0011415C">
        <w:rPr>
          <w:rFonts w:ascii="Sylfaen" w:eastAsia="Times New Roman" w:hAnsi="Sylfaen" w:cs="Times New Roman"/>
          <w:b/>
          <w:lang w:val="ka-GE"/>
        </w:rPr>
        <w:t>5</w:t>
      </w:r>
      <w:r w:rsidR="00A74011" w:rsidRPr="002C1676">
        <w:rPr>
          <w:rFonts w:ascii="Sylfaen" w:eastAsia="Times New Roman" w:hAnsi="Sylfaen" w:cs="Times New Roman"/>
          <w:b/>
        </w:rPr>
        <w:t>-</w:t>
      </w:r>
      <w:r w:rsidRPr="002C1676">
        <w:rPr>
          <w:rFonts w:ascii="Sylfaen" w:eastAsia="Times New Roman" w:hAnsi="Sylfaen" w:cs="Times New Roman"/>
          <w:b/>
        </w:rPr>
        <w:t>201</w:t>
      </w:r>
      <w:r w:rsidR="0011415C">
        <w:rPr>
          <w:rFonts w:ascii="Sylfaen" w:eastAsia="Times New Roman" w:hAnsi="Sylfaen" w:cs="Times New Roman"/>
          <w:b/>
          <w:lang w:val="ka-GE"/>
        </w:rPr>
        <w:t>6</w:t>
      </w:r>
      <w:r w:rsidRPr="002C1676">
        <w:rPr>
          <w:rFonts w:ascii="Sylfaen" w:eastAsia="Times New Roman" w:hAnsi="Sylfaen" w:cs="Times New Roman"/>
          <w:b/>
        </w:rPr>
        <w:t xml:space="preserve"> </w:t>
      </w:r>
      <w:r w:rsidR="007052D6" w:rsidRPr="002C1676">
        <w:rPr>
          <w:rFonts w:ascii="Sylfaen" w:eastAsia="Times New Roman" w:hAnsi="Sylfaen" w:cs="Times New Roman"/>
          <w:b/>
        </w:rPr>
        <w:t>წლებში</w:t>
      </w:r>
    </w:p>
    <w:p w:rsidR="0074463F" w:rsidRPr="0033127E" w:rsidRDefault="00687846" w:rsidP="00B70F3E">
      <w:pPr>
        <w:spacing w:after="0"/>
        <w:jc w:val="center"/>
        <w:rPr>
          <w:rFonts w:ascii="Sylfaen" w:eastAsia="Times New Roman" w:hAnsi="Sylfaen" w:cs="Times New Roman"/>
        </w:rPr>
      </w:pPr>
      <w:r w:rsidRPr="0033127E">
        <w:rPr>
          <w:rFonts w:ascii="Sylfaen" w:eastAsia="Times New Roman" w:hAnsi="Sylfaen" w:cs="Times New Roman"/>
          <w:noProof/>
        </w:rPr>
        <w:drawing>
          <wp:inline distT="0" distB="0" distL="0" distR="0">
            <wp:extent cx="6257925" cy="3581400"/>
            <wp:effectExtent l="0" t="0" r="0" b="0"/>
            <wp:docPr id="5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C5B53" w:rsidRDefault="00452C6A" w:rsidP="00F027BD">
      <w:pPr>
        <w:spacing w:after="0"/>
        <w:jc w:val="both"/>
        <w:rPr>
          <w:rFonts w:ascii="Sylfaen" w:eastAsia="Times New Roman" w:hAnsi="Sylfaen" w:cs="Times New Roman"/>
          <w:color w:val="FF0000"/>
          <w:lang w:val="ka-GE"/>
        </w:rPr>
      </w:pPr>
      <w:r>
        <w:rPr>
          <w:rFonts w:ascii="Sylfaen" w:eastAsia="Times New Roman" w:hAnsi="Sylfaen" w:cs="Times New Roman"/>
          <w:color w:val="FF0000"/>
          <w:lang w:val="ka-GE"/>
        </w:rPr>
        <w:tab/>
      </w:r>
    </w:p>
    <w:p w:rsidR="00484C6C" w:rsidRDefault="00EC5B53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color w:val="FF0000"/>
          <w:lang w:val="ka-GE"/>
        </w:rPr>
        <w:tab/>
      </w:r>
      <w:r w:rsidR="00C9544A" w:rsidRPr="0084338C">
        <w:rPr>
          <w:rFonts w:ascii="Sylfaen" w:eastAsia="Times New Roman" w:hAnsi="Sylfaen" w:cs="Times New Roman"/>
        </w:rPr>
        <w:t>ჩვილთა მოკვდაობის კოეფიციენტ</w:t>
      </w:r>
      <w:r w:rsidR="00416048">
        <w:rPr>
          <w:rFonts w:ascii="Sylfaen" w:eastAsia="Times New Roman" w:hAnsi="Sylfaen" w:cs="Times New Roman"/>
          <w:lang w:val="ka-GE"/>
        </w:rPr>
        <w:t>მა</w:t>
      </w:r>
      <w:r w:rsidR="00C9544A" w:rsidRPr="0084338C">
        <w:rPr>
          <w:rFonts w:ascii="Sylfaen" w:eastAsia="Times New Roman" w:hAnsi="Sylfaen" w:cs="Times New Roman"/>
        </w:rPr>
        <w:t xml:space="preserve"> (</w:t>
      </w:r>
      <w:r w:rsidR="00BA53F2" w:rsidRPr="004D3F0E">
        <w:rPr>
          <w:rFonts w:ascii="Sylfaen" w:eastAsia="Times New Roman" w:hAnsi="Sylfaen" w:cs="Times New Roman"/>
        </w:rPr>
        <w:t>1 წლამდე გარდაცვლილთა</w:t>
      </w:r>
      <w:r w:rsidR="00C9544A">
        <w:rPr>
          <w:rFonts w:ascii="Sylfaen" w:eastAsia="Times New Roman" w:hAnsi="Sylfaen" w:cs="Times New Roman"/>
          <w:lang w:val="ka-GE"/>
        </w:rPr>
        <w:t xml:space="preserve"> რაოდენობა</w:t>
      </w:r>
      <w:r w:rsidR="00416048">
        <w:rPr>
          <w:rFonts w:ascii="Sylfaen" w:eastAsia="Times New Roman" w:hAnsi="Sylfaen" w:cs="Times New Roman"/>
          <w:lang w:val="ka-GE"/>
        </w:rPr>
        <w:t xml:space="preserve"> </w:t>
      </w:r>
      <w:r w:rsidR="00DD7564">
        <w:rPr>
          <w:rFonts w:ascii="Sylfaen" w:eastAsia="Times New Roman" w:hAnsi="Sylfaen" w:cs="Times New Roman"/>
          <w:lang w:val="ka-GE"/>
        </w:rPr>
        <w:t>1</w:t>
      </w:r>
      <w:r w:rsidR="00F3213C">
        <w:rPr>
          <w:rFonts w:ascii="Sylfaen" w:eastAsia="Times New Roman" w:hAnsi="Sylfaen" w:cs="Times New Roman"/>
        </w:rPr>
        <w:t> </w:t>
      </w:r>
      <w:r w:rsidR="00DD7564">
        <w:rPr>
          <w:rFonts w:ascii="Sylfaen" w:eastAsia="Times New Roman" w:hAnsi="Sylfaen" w:cs="Times New Roman"/>
          <w:lang w:val="ka-GE"/>
        </w:rPr>
        <w:t>000</w:t>
      </w:r>
      <w:r w:rsidR="00C9544A">
        <w:rPr>
          <w:rFonts w:ascii="Sylfaen" w:eastAsia="Times New Roman" w:hAnsi="Sylfaen" w:cs="Times New Roman"/>
          <w:lang w:val="ka-GE"/>
        </w:rPr>
        <w:t xml:space="preserve"> ცოცხლად დაბადებულ</w:t>
      </w:r>
      <w:r w:rsidR="00DD7564">
        <w:rPr>
          <w:rFonts w:ascii="Sylfaen" w:eastAsia="Times New Roman" w:hAnsi="Sylfaen" w:cs="Times New Roman"/>
          <w:lang w:val="ka-GE"/>
        </w:rPr>
        <w:t>ზე</w:t>
      </w:r>
      <w:r w:rsidR="00C9544A">
        <w:rPr>
          <w:rFonts w:ascii="Sylfaen" w:eastAsia="Times New Roman" w:hAnsi="Sylfaen" w:cs="Times New Roman"/>
          <w:lang w:val="ka-GE"/>
        </w:rPr>
        <w:t>)</w:t>
      </w:r>
      <w:r w:rsidR="00BA53F2" w:rsidRPr="004D3F0E">
        <w:rPr>
          <w:rFonts w:ascii="Sylfaen" w:eastAsia="Times New Roman" w:hAnsi="Sylfaen" w:cs="Times New Roman"/>
        </w:rPr>
        <w:t xml:space="preserve"> </w:t>
      </w:r>
      <w:r w:rsidR="00001D2E" w:rsidRPr="004D3F0E">
        <w:rPr>
          <w:rFonts w:ascii="Sylfaen" w:eastAsia="Times New Roman" w:hAnsi="Sylfaen" w:cs="Times New Roman"/>
          <w:lang w:val="ka-GE"/>
        </w:rPr>
        <w:t xml:space="preserve"> </w:t>
      </w:r>
      <w:r w:rsidR="002C1676" w:rsidRPr="004D3F0E">
        <w:rPr>
          <w:rFonts w:ascii="Sylfaen" w:eastAsia="Times New Roman" w:hAnsi="Sylfaen" w:cs="Times New Roman"/>
          <w:lang w:val="ka-GE"/>
        </w:rPr>
        <w:t>201</w:t>
      </w:r>
      <w:r w:rsidR="00251FF4">
        <w:rPr>
          <w:rFonts w:ascii="Sylfaen" w:eastAsia="Times New Roman" w:hAnsi="Sylfaen" w:cs="Times New Roman"/>
          <w:lang w:val="ka-GE"/>
        </w:rPr>
        <w:t>6</w:t>
      </w:r>
      <w:r w:rsidR="002C1676" w:rsidRPr="004D3F0E">
        <w:rPr>
          <w:rFonts w:ascii="Sylfaen" w:eastAsia="Times New Roman" w:hAnsi="Sylfaen" w:cs="Times New Roman"/>
          <w:lang w:val="ka-GE"/>
        </w:rPr>
        <w:t xml:space="preserve"> </w:t>
      </w:r>
      <w:r w:rsidR="004D3F0E" w:rsidRPr="004D3F0E">
        <w:rPr>
          <w:rFonts w:ascii="Sylfaen" w:eastAsia="Times New Roman" w:hAnsi="Sylfaen" w:cs="Times New Roman"/>
          <w:lang w:val="ka-GE"/>
        </w:rPr>
        <w:t xml:space="preserve">წელს </w:t>
      </w:r>
      <w:r w:rsidR="00251FF4">
        <w:rPr>
          <w:rFonts w:ascii="Sylfaen" w:eastAsia="Times New Roman" w:hAnsi="Sylfaen" w:cs="Times New Roman"/>
          <w:lang w:val="ka-GE"/>
        </w:rPr>
        <w:t>9,0</w:t>
      </w:r>
      <w:r w:rsidR="004D3F0E" w:rsidRPr="004D3F0E">
        <w:rPr>
          <w:rFonts w:ascii="Sylfaen" w:eastAsia="Times New Roman" w:hAnsi="Sylfaen" w:cs="Times New Roman"/>
        </w:rPr>
        <w:t xml:space="preserve"> პრომილე</w:t>
      </w:r>
      <w:r w:rsidR="004D3F0E" w:rsidRPr="004D3F0E">
        <w:rPr>
          <w:rFonts w:ascii="Sylfaen" w:eastAsia="Times New Roman" w:hAnsi="Sylfaen" w:cs="Times New Roman"/>
          <w:lang w:val="ka-GE"/>
        </w:rPr>
        <w:t xml:space="preserve"> </w:t>
      </w:r>
      <w:r w:rsidR="00416048">
        <w:rPr>
          <w:rFonts w:ascii="Sylfaen" w:eastAsia="Times New Roman" w:hAnsi="Sylfaen" w:cs="Times New Roman"/>
          <w:lang w:val="ka-GE"/>
        </w:rPr>
        <w:t>შეადგინა</w:t>
      </w:r>
      <w:r w:rsidR="00A32F0C">
        <w:rPr>
          <w:rFonts w:ascii="Sylfaen" w:eastAsia="Times New Roman" w:hAnsi="Sylfaen" w:cs="Times New Roman"/>
          <w:lang w:val="ka-GE"/>
        </w:rPr>
        <w:t>,</w:t>
      </w:r>
      <w:r w:rsidR="00416048">
        <w:rPr>
          <w:rFonts w:ascii="Sylfaen" w:eastAsia="Times New Roman" w:hAnsi="Sylfaen" w:cs="Times New Roman"/>
          <w:lang w:val="ka-GE"/>
        </w:rPr>
        <w:t xml:space="preserve"> </w:t>
      </w:r>
      <w:r w:rsidR="004D3F0E">
        <w:rPr>
          <w:rFonts w:ascii="Sylfaen" w:eastAsia="Times New Roman" w:hAnsi="Sylfaen" w:cs="Times New Roman"/>
          <w:lang w:val="ka-GE"/>
        </w:rPr>
        <w:t xml:space="preserve">რაც წინა წელთან შედარებით </w:t>
      </w:r>
      <w:r>
        <w:rPr>
          <w:rFonts w:ascii="Sylfaen" w:eastAsia="Times New Roman" w:hAnsi="Sylfaen" w:cs="Times New Roman"/>
          <w:lang w:val="ka-GE"/>
        </w:rPr>
        <w:t>0,</w:t>
      </w:r>
      <w:r w:rsidR="00251FF4">
        <w:rPr>
          <w:rFonts w:ascii="Sylfaen" w:eastAsia="Times New Roman" w:hAnsi="Sylfaen" w:cs="Times New Roman"/>
          <w:lang w:val="ka-GE"/>
        </w:rPr>
        <w:t>4</w:t>
      </w:r>
      <w:r w:rsidR="004D3F0E">
        <w:rPr>
          <w:rFonts w:ascii="Sylfaen" w:eastAsia="Times New Roman" w:hAnsi="Sylfaen" w:cs="Times New Roman"/>
          <w:lang w:val="ka-GE"/>
        </w:rPr>
        <w:t xml:space="preserve"> პუნქტით </w:t>
      </w:r>
      <w:r w:rsidR="00251FF4">
        <w:rPr>
          <w:rFonts w:ascii="Sylfaen" w:eastAsia="Times New Roman" w:hAnsi="Sylfaen" w:cs="Times New Roman"/>
          <w:lang w:val="ka-GE"/>
        </w:rPr>
        <w:t>მეტია</w:t>
      </w:r>
      <w:r w:rsidR="004D3F0E">
        <w:rPr>
          <w:rFonts w:ascii="Sylfaen" w:eastAsia="Times New Roman" w:hAnsi="Sylfaen" w:cs="Times New Roman"/>
          <w:lang w:val="ka-GE"/>
        </w:rPr>
        <w:t xml:space="preserve">. </w:t>
      </w:r>
    </w:p>
    <w:p w:rsidR="00484C6C" w:rsidRPr="006F3A35" w:rsidRDefault="004D3F0E">
      <w:pPr>
        <w:spacing w:after="0" w:line="240" w:lineRule="auto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lang w:val="ka-GE"/>
        </w:rPr>
        <w:tab/>
      </w:r>
      <w:r w:rsidR="005C2BBB" w:rsidRPr="004D3F0E">
        <w:rPr>
          <w:rFonts w:ascii="Sylfaen" w:eastAsia="Times New Roman" w:hAnsi="Sylfaen" w:cs="Times New Roman"/>
          <w:lang w:val="ka-GE"/>
        </w:rPr>
        <w:t xml:space="preserve">5 წლამდე გარდაცვლილთა კოეფიციენტი </w:t>
      </w:r>
      <w:r w:rsidR="00B1514A">
        <w:rPr>
          <w:rFonts w:ascii="Sylfaen" w:eastAsia="Times New Roman" w:hAnsi="Sylfaen" w:cs="Times New Roman"/>
        </w:rPr>
        <w:t>(</w:t>
      </w:r>
      <w:r w:rsidR="005C2BBB" w:rsidRPr="004D3F0E">
        <w:rPr>
          <w:rFonts w:ascii="Sylfaen" w:eastAsia="Times New Roman" w:hAnsi="Sylfaen" w:cs="Times New Roman"/>
          <w:lang w:val="ka-GE"/>
        </w:rPr>
        <w:t>1</w:t>
      </w:r>
      <w:r w:rsidR="00F3213C">
        <w:rPr>
          <w:rFonts w:ascii="Sylfaen" w:eastAsia="Times New Roman" w:hAnsi="Sylfaen" w:cs="Times New Roman"/>
        </w:rPr>
        <w:t> </w:t>
      </w:r>
      <w:r w:rsidR="005C2BBB" w:rsidRPr="004D3F0E">
        <w:rPr>
          <w:rFonts w:ascii="Sylfaen" w:eastAsia="Times New Roman" w:hAnsi="Sylfaen" w:cs="Times New Roman"/>
          <w:lang w:val="ka-GE"/>
        </w:rPr>
        <w:t xml:space="preserve">000 </w:t>
      </w:r>
      <w:r w:rsidR="005C2BBB" w:rsidRPr="004D3F0E">
        <w:rPr>
          <w:rFonts w:ascii="Sylfaen" w:eastAsia="Times New Roman" w:hAnsi="Sylfaen" w:cs="Times New Roman"/>
        </w:rPr>
        <w:t>ცოცხლად დაბადებულზე</w:t>
      </w:r>
      <w:r w:rsidR="00B1514A">
        <w:rPr>
          <w:rFonts w:ascii="Sylfaen" w:eastAsia="Times New Roman" w:hAnsi="Sylfaen" w:cs="Times New Roman"/>
        </w:rPr>
        <w:t>)</w:t>
      </w:r>
      <w:r w:rsidR="00C17534">
        <w:rPr>
          <w:rFonts w:ascii="Sylfaen" w:eastAsia="Times New Roman" w:hAnsi="Sylfaen" w:cs="Times New Roman"/>
          <w:lang w:val="ka-GE"/>
        </w:rPr>
        <w:t xml:space="preserve"> 201</w:t>
      </w:r>
      <w:r w:rsidR="00421BCA">
        <w:rPr>
          <w:rFonts w:ascii="Sylfaen" w:eastAsia="Times New Roman" w:hAnsi="Sylfaen" w:cs="Times New Roman"/>
          <w:lang w:val="ka-GE"/>
        </w:rPr>
        <w:t>5</w:t>
      </w:r>
      <w:r w:rsidR="00C17534">
        <w:rPr>
          <w:rFonts w:ascii="Sylfaen" w:eastAsia="Times New Roman" w:hAnsi="Sylfaen" w:cs="Times New Roman"/>
          <w:lang w:val="ka-GE"/>
        </w:rPr>
        <w:t xml:space="preserve"> წელთან შედარებით</w:t>
      </w:r>
      <w:r w:rsidR="00C17534">
        <w:rPr>
          <w:rFonts w:ascii="Sylfaen" w:eastAsia="Times New Roman" w:hAnsi="Sylfaen" w:cs="Times New Roman"/>
        </w:rPr>
        <w:t xml:space="preserve"> 0,</w:t>
      </w:r>
      <w:r w:rsidR="00251FF4">
        <w:rPr>
          <w:rFonts w:ascii="Sylfaen" w:eastAsia="Times New Roman" w:hAnsi="Sylfaen" w:cs="Times New Roman"/>
          <w:lang w:val="ka-GE"/>
        </w:rPr>
        <w:t>5</w:t>
      </w:r>
      <w:r w:rsidR="00C17534">
        <w:rPr>
          <w:rFonts w:ascii="Sylfaen" w:eastAsia="Times New Roman" w:hAnsi="Sylfaen" w:cs="Times New Roman"/>
        </w:rPr>
        <w:t xml:space="preserve"> </w:t>
      </w:r>
      <w:r w:rsidR="00C17534">
        <w:rPr>
          <w:rFonts w:ascii="Sylfaen" w:eastAsia="Times New Roman" w:hAnsi="Sylfaen" w:cs="Times New Roman"/>
          <w:lang w:val="ka-GE"/>
        </w:rPr>
        <w:t>პუნქტით</w:t>
      </w:r>
      <w:r w:rsidR="005C2BBB">
        <w:rPr>
          <w:rFonts w:ascii="Sylfaen" w:eastAsia="Times New Roman" w:hAnsi="Sylfaen" w:cs="Times New Roman"/>
          <w:lang w:val="ka-GE"/>
        </w:rPr>
        <w:t xml:space="preserve"> </w:t>
      </w:r>
      <w:r w:rsidR="00251FF4">
        <w:rPr>
          <w:rFonts w:ascii="Sylfaen" w:eastAsia="Times New Roman" w:hAnsi="Sylfaen" w:cs="Times New Roman"/>
          <w:lang w:val="ka-GE"/>
        </w:rPr>
        <w:t>გაიზარდა</w:t>
      </w:r>
      <w:r w:rsidR="00C17534">
        <w:rPr>
          <w:rFonts w:ascii="Sylfaen" w:eastAsia="Times New Roman" w:hAnsi="Sylfaen" w:cs="Times New Roman"/>
          <w:lang w:val="ka-GE"/>
        </w:rPr>
        <w:t xml:space="preserve"> და </w:t>
      </w:r>
      <w:r w:rsidR="002C1676">
        <w:rPr>
          <w:rFonts w:ascii="Sylfaen" w:eastAsia="Times New Roman" w:hAnsi="Sylfaen" w:cs="Times New Roman"/>
          <w:lang w:val="ka-GE"/>
        </w:rPr>
        <w:t>10,</w:t>
      </w:r>
      <w:r w:rsidR="00251FF4">
        <w:rPr>
          <w:rFonts w:ascii="Sylfaen" w:eastAsia="Times New Roman" w:hAnsi="Sylfaen" w:cs="Times New Roman"/>
          <w:lang w:val="ka-GE"/>
        </w:rPr>
        <w:t>7</w:t>
      </w:r>
      <w:r w:rsidR="00EC5B53" w:rsidRPr="004D3F0E">
        <w:rPr>
          <w:rFonts w:ascii="Sylfaen" w:eastAsia="Times New Roman" w:hAnsi="Sylfaen" w:cs="Times New Roman"/>
          <w:lang w:val="ka-GE"/>
        </w:rPr>
        <w:t xml:space="preserve"> </w:t>
      </w:r>
      <w:r w:rsidR="005C2BBB" w:rsidRPr="004D3F0E">
        <w:rPr>
          <w:rFonts w:ascii="Sylfaen" w:eastAsia="Times New Roman" w:hAnsi="Sylfaen" w:cs="Times New Roman"/>
          <w:lang w:val="ka-GE"/>
        </w:rPr>
        <w:t>პრომილე</w:t>
      </w:r>
      <w:r w:rsidR="00615FF6">
        <w:rPr>
          <w:rFonts w:ascii="Sylfaen" w:eastAsia="Times New Roman" w:hAnsi="Sylfaen" w:cs="Times New Roman"/>
          <w:lang w:val="ka-GE"/>
        </w:rPr>
        <w:t xml:space="preserve"> </w:t>
      </w:r>
      <w:r w:rsidR="00930B6B">
        <w:rPr>
          <w:rFonts w:ascii="Sylfaen" w:eastAsia="Times New Roman" w:hAnsi="Sylfaen" w:cs="Times New Roman"/>
          <w:lang w:val="ka-GE"/>
        </w:rPr>
        <w:t>შეადგინა</w:t>
      </w:r>
      <w:r w:rsidR="006F3A35">
        <w:rPr>
          <w:rFonts w:ascii="Sylfaen" w:eastAsia="Times New Roman" w:hAnsi="Sylfaen" w:cs="Times New Roman"/>
        </w:rPr>
        <w:t>.</w:t>
      </w:r>
    </w:p>
    <w:p w:rsidR="00F34015" w:rsidRDefault="00F34015" w:rsidP="00FB4A72">
      <w:pPr>
        <w:spacing w:after="0"/>
        <w:ind w:firstLine="709"/>
        <w:rPr>
          <w:rFonts w:ascii="Sylfaen" w:eastAsia="Times New Roman" w:hAnsi="Sylfaen" w:cs="Times New Roman"/>
          <w:b/>
          <w:lang w:val="ka-GE"/>
        </w:rPr>
      </w:pPr>
    </w:p>
    <w:p w:rsidR="00FB4A72" w:rsidRDefault="006A4084" w:rsidP="00FB4A72">
      <w:pPr>
        <w:spacing w:after="0"/>
        <w:ind w:firstLine="709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>ბ</w:t>
      </w:r>
      <w:r w:rsidRPr="00CB1FD8">
        <w:rPr>
          <w:rFonts w:ascii="Sylfaen" w:eastAsia="Times New Roman" w:hAnsi="Sylfaen" w:cs="Times New Roman"/>
          <w:b/>
          <w:lang w:val="ka-GE"/>
        </w:rPr>
        <w:t>უნებრივი</w:t>
      </w:r>
      <w:r w:rsidR="00716D68">
        <w:rPr>
          <w:rFonts w:ascii="Sylfaen" w:eastAsia="Times New Roman" w:hAnsi="Sylfaen" w:cs="Times New Roman"/>
          <w:b/>
          <w:lang w:val="ka-GE"/>
        </w:rPr>
        <w:t xml:space="preserve"> </w:t>
      </w:r>
      <w:r w:rsidRPr="00CB1FD8">
        <w:rPr>
          <w:rFonts w:ascii="Sylfaen" w:eastAsia="Times New Roman" w:hAnsi="Sylfaen" w:cs="Times New Roman"/>
          <w:b/>
          <w:lang w:val="ka-GE"/>
        </w:rPr>
        <w:t>მატება</w:t>
      </w:r>
      <w:r w:rsidR="00EB6DD7">
        <w:rPr>
          <w:rFonts w:ascii="Sylfaen" w:eastAsia="Times New Roman" w:hAnsi="Sylfaen" w:cs="Times New Roman"/>
          <w:b/>
          <w:lang w:val="ka-GE"/>
        </w:rPr>
        <w:t xml:space="preserve">    </w:t>
      </w:r>
    </w:p>
    <w:p w:rsidR="00484C6C" w:rsidRDefault="00EB6DD7">
      <w:pPr>
        <w:spacing w:after="0" w:line="240" w:lineRule="auto"/>
        <w:ind w:firstLine="709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b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331E0">
        <w:rPr>
          <w:rFonts w:ascii="Sylfaen" w:eastAsia="Times New Roman" w:hAnsi="Sylfaen" w:cs="Times New Roman"/>
          <w:b/>
          <w:lang w:val="ka-GE"/>
        </w:rPr>
        <w:tab/>
      </w:r>
      <w:r w:rsidR="00EC5B53" w:rsidRPr="00EC354C">
        <w:rPr>
          <w:rFonts w:ascii="Sylfaen" w:eastAsia="Times New Roman" w:hAnsi="Sylfaen" w:cs="Times New Roman"/>
          <w:lang w:val="ka-GE"/>
        </w:rPr>
        <w:t>201</w:t>
      </w:r>
      <w:r w:rsidR="00EC5B53">
        <w:rPr>
          <w:rFonts w:ascii="Sylfaen" w:eastAsia="Times New Roman" w:hAnsi="Sylfaen" w:cs="Times New Roman"/>
          <w:lang w:val="ka-GE"/>
        </w:rPr>
        <w:t>5</w:t>
      </w:r>
      <w:r w:rsidR="00EC5B53" w:rsidRPr="00EC354C">
        <w:rPr>
          <w:rFonts w:ascii="Sylfaen" w:eastAsia="Times New Roman" w:hAnsi="Sylfaen" w:cs="Times New Roman"/>
          <w:lang w:val="ka-GE"/>
        </w:rPr>
        <w:t xml:space="preserve"> </w:t>
      </w:r>
      <w:r w:rsidR="006A4084" w:rsidRPr="00EC354C">
        <w:rPr>
          <w:rFonts w:ascii="Sylfaen" w:eastAsia="Times New Roman" w:hAnsi="Sylfaen" w:cs="Times New Roman"/>
          <w:lang w:val="ka-GE"/>
        </w:rPr>
        <w:t>წ</w:t>
      </w:r>
      <w:r w:rsidR="006A4084">
        <w:rPr>
          <w:rFonts w:ascii="Sylfaen" w:eastAsia="Times New Roman" w:hAnsi="Sylfaen" w:cs="Times New Roman"/>
          <w:lang w:val="ka-GE"/>
        </w:rPr>
        <w:t>ლ</w:t>
      </w:r>
      <w:r w:rsidR="00773B3D">
        <w:rPr>
          <w:rFonts w:ascii="Sylfaen" w:eastAsia="Times New Roman" w:hAnsi="Sylfaen" w:cs="Times New Roman"/>
          <w:lang w:val="ka-GE"/>
        </w:rPr>
        <w:t>ი</w:t>
      </w:r>
      <w:r w:rsidR="006A4084">
        <w:rPr>
          <w:rFonts w:ascii="Sylfaen" w:eastAsia="Times New Roman" w:hAnsi="Sylfaen" w:cs="Times New Roman"/>
          <w:lang w:val="ka-GE"/>
        </w:rPr>
        <w:t>ს</w:t>
      </w:r>
      <w:r w:rsidR="006A4084" w:rsidRPr="00EC354C">
        <w:rPr>
          <w:rFonts w:ascii="Sylfaen" w:eastAsia="Times New Roman" w:hAnsi="Sylfaen" w:cs="Times New Roman"/>
          <w:lang w:val="ka-GE"/>
        </w:rPr>
        <w:t xml:space="preserve"> ბუნებრივ</w:t>
      </w:r>
      <w:r w:rsidR="00B142BC">
        <w:rPr>
          <w:rFonts w:ascii="Sylfaen" w:eastAsia="Times New Roman" w:hAnsi="Sylfaen" w:cs="Times New Roman"/>
          <w:lang w:val="ka-GE"/>
        </w:rPr>
        <w:t>ი</w:t>
      </w:r>
      <w:r w:rsidR="006A4084" w:rsidRPr="00EC354C">
        <w:rPr>
          <w:rFonts w:ascii="Sylfaen" w:eastAsia="Times New Roman" w:hAnsi="Sylfaen" w:cs="Times New Roman"/>
          <w:lang w:val="ka-GE"/>
        </w:rPr>
        <w:t xml:space="preserve"> მატებ</w:t>
      </w:r>
      <w:r w:rsidR="00773B3D">
        <w:rPr>
          <w:rFonts w:ascii="Sylfaen" w:eastAsia="Times New Roman" w:hAnsi="Sylfaen" w:cs="Times New Roman"/>
          <w:lang w:val="ka-GE"/>
        </w:rPr>
        <w:t>ა</w:t>
      </w:r>
      <w:r w:rsidR="006A4084">
        <w:rPr>
          <w:rFonts w:ascii="Sylfaen" w:eastAsia="Times New Roman" w:hAnsi="Sylfaen" w:cs="Times New Roman"/>
          <w:lang w:val="ka-GE"/>
        </w:rPr>
        <w:t xml:space="preserve"> (სხვაობა ცოცხლად დაბადებულთა და გარდაცვლილთა რაოდენობას შორის) </w:t>
      </w:r>
      <w:r w:rsidR="00FC4E65">
        <w:rPr>
          <w:rFonts w:ascii="Sylfaen" w:eastAsia="Times New Roman" w:hAnsi="Sylfaen" w:cs="Times New Roman"/>
          <w:lang w:val="ka-GE"/>
        </w:rPr>
        <w:t xml:space="preserve">წინა წელთან შედარებით </w:t>
      </w:r>
      <w:r w:rsidR="00251FF4">
        <w:rPr>
          <w:rFonts w:ascii="Sylfaen" w:eastAsia="Times New Roman" w:hAnsi="Sylfaen" w:cs="Times New Roman"/>
          <w:lang w:val="ka-GE"/>
        </w:rPr>
        <w:t>42,8</w:t>
      </w:r>
      <w:r w:rsidR="00FC4E65">
        <w:rPr>
          <w:rFonts w:ascii="Sylfaen" w:eastAsia="Times New Roman" w:hAnsi="Sylfaen" w:cs="Times New Roman"/>
          <w:lang w:val="ka-GE"/>
        </w:rPr>
        <w:t xml:space="preserve"> პროცენტით </w:t>
      </w:r>
      <w:r w:rsidR="00251FF4">
        <w:rPr>
          <w:rFonts w:ascii="Sylfaen" w:eastAsia="Times New Roman" w:hAnsi="Sylfaen" w:cs="Times New Roman"/>
          <w:lang w:val="ka-GE"/>
        </w:rPr>
        <w:t>შემცირდა</w:t>
      </w:r>
      <w:r w:rsidR="00773B3D">
        <w:rPr>
          <w:rFonts w:ascii="Sylfaen" w:eastAsia="Times New Roman" w:hAnsi="Sylfaen" w:cs="Times New Roman"/>
          <w:lang w:val="ka-GE"/>
        </w:rPr>
        <w:t xml:space="preserve"> </w:t>
      </w:r>
      <w:r w:rsidR="00FC4E65">
        <w:rPr>
          <w:rFonts w:ascii="Sylfaen" w:eastAsia="Times New Roman" w:hAnsi="Sylfaen" w:cs="Times New Roman"/>
          <w:lang w:val="ka-GE"/>
        </w:rPr>
        <w:t xml:space="preserve">და </w:t>
      </w:r>
      <w:r w:rsidR="00251FF4">
        <w:rPr>
          <w:rFonts w:ascii="Sylfaen" w:eastAsia="Times New Roman" w:hAnsi="Sylfaen" w:cs="Times New Roman"/>
          <w:lang w:val="ka-GE"/>
        </w:rPr>
        <w:t>5 798</w:t>
      </w:r>
      <w:r w:rsidR="00372362" w:rsidRPr="00EC354C">
        <w:rPr>
          <w:rFonts w:ascii="Sylfaen" w:eastAsia="Times New Roman" w:hAnsi="Sylfaen" w:cs="Times New Roman"/>
          <w:lang w:val="ka-GE"/>
        </w:rPr>
        <w:t xml:space="preserve"> </w:t>
      </w:r>
      <w:r w:rsidR="006A4084" w:rsidRPr="00EC354C">
        <w:rPr>
          <w:rFonts w:ascii="Sylfaen" w:eastAsia="Times New Roman" w:hAnsi="Sylfaen" w:cs="Times New Roman"/>
          <w:lang w:val="ka-GE"/>
        </w:rPr>
        <w:t xml:space="preserve"> </w:t>
      </w:r>
      <w:r w:rsidR="00DD7564">
        <w:rPr>
          <w:rFonts w:ascii="Sylfaen" w:eastAsia="Times New Roman" w:hAnsi="Sylfaen" w:cs="Times New Roman"/>
          <w:lang w:val="ka-GE"/>
        </w:rPr>
        <w:t xml:space="preserve"> </w:t>
      </w:r>
      <w:r w:rsidR="006A4084" w:rsidRPr="00EC354C">
        <w:rPr>
          <w:rFonts w:ascii="Sylfaen" w:eastAsia="Times New Roman" w:hAnsi="Sylfaen" w:cs="Times New Roman"/>
          <w:lang w:val="ka-GE"/>
        </w:rPr>
        <w:t>შეადგინ</w:t>
      </w:r>
      <w:r w:rsidR="00701EDD">
        <w:rPr>
          <w:rFonts w:ascii="Sylfaen" w:eastAsia="Times New Roman" w:hAnsi="Sylfaen" w:cs="Times New Roman"/>
          <w:lang w:val="ka-GE"/>
        </w:rPr>
        <w:t>ა.</w:t>
      </w:r>
    </w:p>
    <w:p w:rsidR="00366AE6" w:rsidRPr="00366AE6" w:rsidRDefault="00366AE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</w:rPr>
      </w:pPr>
    </w:p>
    <w:p w:rsidR="00701EDD" w:rsidRPr="00827EED" w:rsidRDefault="00701EDD">
      <w:pPr>
        <w:spacing w:after="0"/>
        <w:ind w:firstLine="709"/>
        <w:rPr>
          <w:rFonts w:ascii="Sylfaen" w:eastAsia="Times New Roman" w:hAnsi="Sylfaen" w:cs="Times New Roman"/>
        </w:rPr>
      </w:pPr>
      <w:r w:rsidRPr="00827EED">
        <w:rPr>
          <w:rFonts w:ascii="Sylfaen" w:eastAsia="Times New Roman" w:hAnsi="Sylfaen" w:cs="Times New Roman"/>
          <w:lang w:val="ka-GE"/>
        </w:rPr>
        <w:t>დიაგრამა 6</w:t>
      </w:r>
    </w:p>
    <w:p w:rsidR="0035449E" w:rsidRDefault="000B3703" w:rsidP="0035449E">
      <w:pPr>
        <w:spacing w:after="0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noProof/>
        </w:rPr>
        <w:drawing>
          <wp:inline distT="0" distB="0" distL="0" distR="0">
            <wp:extent cx="6194066" cy="2329732"/>
            <wp:effectExtent l="0" t="0" r="0" b="0"/>
            <wp:docPr id="7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35449E">
        <w:rPr>
          <w:rFonts w:ascii="Sylfaen" w:eastAsia="Times New Roman" w:hAnsi="Sylfaen" w:cs="Times New Roman"/>
          <w:lang w:val="ka-GE"/>
        </w:rPr>
        <w:tab/>
      </w:r>
    </w:p>
    <w:p w:rsidR="007E78A4" w:rsidRDefault="007E78A4" w:rsidP="0035449E">
      <w:pPr>
        <w:spacing w:after="0"/>
        <w:rPr>
          <w:rFonts w:ascii="Sylfaen" w:eastAsia="Times New Roman" w:hAnsi="Sylfaen" w:cs="Times New Roman"/>
          <w:lang w:val="ka-GE"/>
        </w:rPr>
      </w:pPr>
    </w:p>
    <w:p w:rsidR="007E78A4" w:rsidRDefault="007E78A4" w:rsidP="0035449E">
      <w:pPr>
        <w:spacing w:after="0"/>
        <w:rPr>
          <w:rFonts w:ascii="Sylfaen" w:eastAsia="Times New Roman" w:hAnsi="Sylfaen" w:cs="Times New Roman"/>
          <w:lang w:val="ka-GE"/>
        </w:rPr>
      </w:pPr>
    </w:p>
    <w:p w:rsidR="00A445A6" w:rsidRPr="00827EED" w:rsidRDefault="00A445A6" w:rsidP="0035449E">
      <w:pPr>
        <w:spacing w:after="0"/>
        <w:rPr>
          <w:rFonts w:ascii="Sylfaen" w:eastAsia="Times New Roman" w:hAnsi="Sylfaen" w:cs="AcadMtavr"/>
          <w:sz w:val="24"/>
          <w:szCs w:val="24"/>
          <w:lang w:val="ka-GE"/>
        </w:rPr>
      </w:pPr>
      <w:r w:rsidRPr="00827EED">
        <w:rPr>
          <w:rFonts w:ascii="Sylfaen" w:eastAsia="Times New Roman" w:hAnsi="Sylfaen" w:cs="Times New Roman"/>
        </w:rPr>
        <w:t>დიაგრამა</w:t>
      </w:r>
      <w:r w:rsidRPr="00827EED">
        <w:rPr>
          <w:rFonts w:ascii="Sylfaen" w:eastAsia="Times New Roman" w:hAnsi="Sylfaen" w:cs="AcadMtavr"/>
          <w:sz w:val="24"/>
          <w:szCs w:val="24"/>
        </w:rPr>
        <w:t xml:space="preserve"> </w:t>
      </w:r>
      <w:r w:rsidRPr="00827EED">
        <w:rPr>
          <w:rFonts w:ascii="Sylfaen" w:eastAsia="Times New Roman" w:hAnsi="Sylfaen" w:cs="AcadMtavr"/>
          <w:sz w:val="24"/>
          <w:szCs w:val="24"/>
          <w:lang w:val="ka-GE"/>
        </w:rPr>
        <w:t>7</w:t>
      </w:r>
      <w:r w:rsidR="003C5149" w:rsidRPr="00827EED">
        <w:rPr>
          <w:rFonts w:ascii="Sylfaen" w:eastAsia="Times New Roman" w:hAnsi="Sylfaen" w:cs="AcadMtavr"/>
          <w:sz w:val="24"/>
          <w:szCs w:val="24"/>
          <w:lang w:val="ka-GE"/>
        </w:rPr>
        <w:t xml:space="preserve"> </w:t>
      </w:r>
    </w:p>
    <w:p w:rsidR="00312A73" w:rsidRDefault="00A445A6" w:rsidP="004B109C">
      <w:pPr>
        <w:spacing w:after="0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noProof/>
        </w:rPr>
        <w:drawing>
          <wp:inline distT="0" distB="0" distL="0" distR="0">
            <wp:extent cx="6369050" cy="3646968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35A4A" w:rsidRPr="00035A4A" w:rsidRDefault="00035A4A" w:rsidP="004B109C">
      <w:pPr>
        <w:spacing w:after="0"/>
        <w:rPr>
          <w:rFonts w:ascii="Sylfaen" w:eastAsia="Times New Roman" w:hAnsi="Sylfaen" w:cs="Times New Roman"/>
          <w:b/>
          <w:lang w:val="ka-GE"/>
        </w:rPr>
      </w:pPr>
    </w:p>
    <w:p w:rsidR="004D3F0E" w:rsidRPr="00A445A6" w:rsidRDefault="00A445A6" w:rsidP="00A01BE0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ab/>
      </w:r>
      <w:r w:rsidR="001331E0" w:rsidRPr="00A445A6">
        <w:rPr>
          <w:rFonts w:ascii="Sylfaen" w:eastAsia="Times New Roman" w:hAnsi="Sylfaen" w:cs="Times New Roman"/>
        </w:rPr>
        <w:t>201</w:t>
      </w:r>
      <w:r w:rsidR="00421BCA">
        <w:rPr>
          <w:rFonts w:ascii="Sylfaen" w:eastAsia="Times New Roman" w:hAnsi="Sylfaen" w:cs="Times New Roman"/>
        </w:rPr>
        <w:t>6</w:t>
      </w:r>
      <w:r w:rsidR="001331E0" w:rsidRPr="00A445A6">
        <w:rPr>
          <w:rFonts w:ascii="Sylfaen" w:eastAsia="Times New Roman" w:hAnsi="Sylfaen" w:cs="Times New Roman"/>
        </w:rPr>
        <w:t xml:space="preserve"> </w:t>
      </w:r>
      <w:r w:rsidRPr="00A445A6">
        <w:rPr>
          <w:rFonts w:ascii="Sylfaen" w:eastAsia="Times New Roman" w:hAnsi="Sylfaen" w:cs="Times New Roman"/>
        </w:rPr>
        <w:t xml:space="preserve">წელს ბუნებრივი </w:t>
      </w:r>
      <w:r w:rsidR="00701EDD">
        <w:rPr>
          <w:rFonts w:ascii="Sylfaen" w:eastAsia="Times New Roman" w:hAnsi="Sylfaen" w:cs="Times New Roman"/>
          <w:lang w:val="ka-GE"/>
        </w:rPr>
        <w:t>კლება</w:t>
      </w:r>
      <w:r w:rsidR="00701EDD" w:rsidRPr="00A445A6">
        <w:rPr>
          <w:rFonts w:ascii="Sylfaen" w:eastAsia="Times New Roman" w:hAnsi="Sylfaen" w:cs="Times New Roman"/>
        </w:rPr>
        <w:t xml:space="preserve"> </w:t>
      </w:r>
      <w:r w:rsidRPr="00A445A6">
        <w:rPr>
          <w:rFonts w:ascii="Sylfaen" w:eastAsia="Times New Roman" w:hAnsi="Sylfaen" w:cs="Times New Roman"/>
        </w:rPr>
        <w:t xml:space="preserve">დაფიქსირდა </w:t>
      </w:r>
      <w:r w:rsidR="00421BCA">
        <w:rPr>
          <w:rFonts w:ascii="Sylfaen" w:eastAsia="Times New Roman" w:hAnsi="Sylfaen" w:cs="Times New Roman"/>
          <w:lang w:val="ka-GE"/>
        </w:rPr>
        <w:t xml:space="preserve">კახეთის, </w:t>
      </w:r>
      <w:r w:rsidR="00421BCA" w:rsidRPr="00A445A6">
        <w:rPr>
          <w:rFonts w:ascii="Sylfaen" w:eastAsia="Times New Roman" w:hAnsi="Sylfaen" w:cs="Times New Roman"/>
        </w:rPr>
        <w:t>მცხეთა-მთიანეთის,</w:t>
      </w:r>
      <w:r w:rsidR="00421BCA">
        <w:rPr>
          <w:rFonts w:ascii="Sylfaen" w:eastAsia="Times New Roman" w:hAnsi="Sylfaen" w:cs="Times New Roman"/>
          <w:lang w:val="ka-GE"/>
        </w:rPr>
        <w:t xml:space="preserve"> </w:t>
      </w:r>
      <w:r w:rsidRPr="00A445A6">
        <w:rPr>
          <w:rFonts w:ascii="Sylfaen" w:eastAsia="Times New Roman" w:hAnsi="Sylfaen" w:cs="Times New Roman"/>
        </w:rPr>
        <w:t>გურიის, რაჭა-ლეჩხუმი</w:t>
      </w:r>
      <w:r w:rsidR="000470BC">
        <w:rPr>
          <w:rFonts w:ascii="Sylfaen" w:eastAsia="Times New Roman" w:hAnsi="Sylfaen" w:cs="Times New Roman"/>
          <w:lang w:val="ka-GE"/>
        </w:rPr>
        <w:t>ს</w:t>
      </w:r>
      <w:r w:rsidR="003C5149">
        <w:rPr>
          <w:rFonts w:ascii="Sylfaen" w:eastAsia="Times New Roman" w:hAnsi="Sylfaen" w:cs="Times New Roman"/>
          <w:lang w:val="ka-GE"/>
        </w:rPr>
        <w:t>ა და</w:t>
      </w:r>
      <w:r w:rsidR="000470BC">
        <w:rPr>
          <w:rFonts w:ascii="Sylfaen" w:eastAsia="Times New Roman" w:hAnsi="Sylfaen" w:cs="Times New Roman"/>
          <w:lang w:val="ka-GE"/>
        </w:rPr>
        <w:t xml:space="preserve"> </w:t>
      </w:r>
      <w:r w:rsidRPr="00A445A6">
        <w:rPr>
          <w:rFonts w:ascii="Sylfaen" w:eastAsia="Times New Roman" w:hAnsi="Sylfaen" w:cs="Times New Roman"/>
        </w:rPr>
        <w:t>ქვემო სვანეთი</w:t>
      </w:r>
      <w:r w:rsidR="00A01BE0">
        <w:rPr>
          <w:rFonts w:ascii="Sylfaen" w:eastAsia="Times New Roman" w:hAnsi="Sylfaen" w:cs="Times New Roman"/>
          <w:lang w:val="ka-GE"/>
        </w:rPr>
        <w:t>ს</w:t>
      </w:r>
      <w:r w:rsidR="00421BCA">
        <w:rPr>
          <w:rFonts w:ascii="Sylfaen" w:eastAsia="Times New Roman" w:hAnsi="Sylfaen" w:cs="Times New Roman"/>
          <w:lang w:val="ka-GE"/>
        </w:rPr>
        <w:t>,</w:t>
      </w:r>
      <w:r w:rsidR="00A01BE0">
        <w:rPr>
          <w:rFonts w:ascii="Sylfaen" w:eastAsia="Times New Roman" w:hAnsi="Sylfaen" w:cs="Times New Roman"/>
          <w:lang w:val="ka-GE"/>
        </w:rPr>
        <w:t xml:space="preserve"> სამეგრელო-ზემო სვანეთის</w:t>
      </w:r>
      <w:r w:rsidR="00421BCA">
        <w:rPr>
          <w:rFonts w:ascii="Sylfaen" w:eastAsia="Times New Roman" w:hAnsi="Sylfaen" w:cs="Times New Roman"/>
          <w:lang w:val="ka-GE"/>
        </w:rPr>
        <w:t>ა და</w:t>
      </w:r>
      <w:r w:rsidR="00A01BE0">
        <w:rPr>
          <w:rFonts w:ascii="Sylfaen" w:eastAsia="Times New Roman" w:hAnsi="Sylfaen" w:cs="Times New Roman"/>
          <w:lang w:val="ka-GE"/>
        </w:rPr>
        <w:t xml:space="preserve"> </w:t>
      </w:r>
      <w:r w:rsidR="00421BCA" w:rsidRPr="00A445A6">
        <w:rPr>
          <w:rFonts w:ascii="Sylfaen" w:eastAsia="Times New Roman" w:hAnsi="Sylfaen" w:cs="Times New Roman"/>
        </w:rPr>
        <w:t>იმერეთის</w:t>
      </w:r>
      <w:r w:rsidR="00421BCA">
        <w:rPr>
          <w:rFonts w:ascii="Sylfaen" w:eastAsia="Times New Roman" w:hAnsi="Sylfaen" w:cs="Times New Roman"/>
          <w:lang w:val="ka-GE"/>
        </w:rPr>
        <w:t xml:space="preserve"> </w:t>
      </w:r>
      <w:r w:rsidR="00A01BE0">
        <w:rPr>
          <w:rFonts w:ascii="Sylfaen" w:eastAsia="Times New Roman" w:hAnsi="Sylfaen" w:cs="Times New Roman"/>
          <w:lang w:val="ka-GE"/>
        </w:rPr>
        <w:t xml:space="preserve">რეგიონებში. </w:t>
      </w:r>
    </w:p>
    <w:p w:rsidR="004D3F0E" w:rsidRPr="004D3F0E" w:rsidRDefault="004D3F0E" w:rsidP="004B109C">
      <w:pPr>
        <w:spacing w:after="0"/>
        <w:rPr>
          <w:rFonts w:ascii="Sylfaen" w:eastAsia="Times New Roman" w:hAnsi="Sylfaen" w:cs="Times New Roman"/>
          <w:b/>
          <w:lang w:val="ka-GE"/>
        </w:rPr>
      </w:pPr>
    </w:p>
    <w:p w:rsidR="00B96C0B" w:rsidRPr="00B96C0B" w:rsidRDefault="00C45859" w:rsidP="004B109C">
      <w:pPr>
        <w:spacing w:after="0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ab/>
      </w:r>
      <w:r w:rsidR="00905461">
        <w:rPr>
          <w:rFonts w:ascii="Sylfaen" w:eastAsia="Times New Roman" w:hAnsi="Sylfaen" w:cs="Times New Roman"/>
          <w:b/>
          <w:lang w:val="ka-GE"/>
        </w:rPr>
        <w:t>ქ</w:t>
      </w:r>
      <w:r w:rsidR="007052D6" w:rsidRPr="0074463F">
        <w:rPr>
          <w:rFonts w:ascii="Sylfaen" w:eastAsia="Times New Roman" w:hAnsi="Sylfaen" w:cs="Times New Roman"/>
          <w:b/>
        </w:rPr>
        <w:t xml:space="preserve">ორწინება </w:t>
      </w:r>
      <w:r w:rsidR="0072419C">
        <w:rPr>
          <w:rFonts w:ascii="Sylfaen" w:eastAsia="Times New Roman" w:hAnsi="Sylfaen" w:cs="Times New Roman"/>
          <w:b/>
        </w:rPr>
        <w:t xml:space="preserve"> </w:t>
      </w:r>
    </w:p>
    <w:p w:rsidR="00FF267C" w:rsidRPr="00B96C0B" w:rsidRDefault="00624071" w:rsidP="004B109C">
      <w:pPr>
        <w:spacing w:after="0"/>
        <w:ind w:firstLine="709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</w:rPr>
        <w:t>201</w:t>
      </w:r>
      <w:r w:rsidR="00421BCA">
        <w:rPr>
          <w:rFonts w:ascii="Sylfaen" w:eastAsia="Times New Roman" w:hAnsi="Sylfaen" w:cs="Times New Roman"/>
          <w:lang w:val="ka-GE"/>
        </w:rPr>
        <w:t>6</w:t>
      </w:r>
      <w:r w:rsidRPr="0074463F">
        <w:rPr>
          <w:rFonts w:ascii="Sylfaen" w:eastAsia="Times New Roman" w:hAnsi="Sylfaen" w:cs="Times New Roman"/>
        </w:rPr>
        <w:t xml:space="preserve"> </w:t>
      </w:r>
      <w:r w:rsidR="007052D6" w:rsidRPr="0074463F">
        <w:rPr>
          <w:rFonts w:ascii="Sylfaen" w:eastAsia="Times New Roman" w:hAnsi="Sylfaen" w:cs="Times New Roman"/>
        </w:rPr>
        <w:t>წელს რეგისტრირებული ქორწინებების რა</w:t>
      </w:r>
      <w:r w:rsidR="003162BA">
        <w:rPr>
          <w:rFonts w:ascii="Sylfaen" w:eastAsia="Times New Roman" w:hAnsi="Sylfaen" w:cs="Times New Roman"/>
        </w:rPr>
        <w:t xml:space="preserve">ოდენობა წინა წელთან შედარებით </w:t>
      </w:r>
      <w:r w:rsidR="00A55178">
        <w:rPr>
          <w:rFonts w:ascii="Sylfaen" w:eastAsia="Times New Roman" w:hAnsi="Sylfaen" w:cs="Times New Roman"/>
        </w:rPr>
        <w:t>13.9</w:t>
      </w:r>
      <w:r w:rsidR="007052D6" w:rsidRPr="0074463F">
        <w:rPr>
          <w:rFonts w:ascii="Sylfaen" w:eastAsia="Times New Roman" w:hAnsi="Sylfaen" w:cs="Times New Roman"/>
        </w:rPr>
        <w:t xml:space="preserve"> პროცენტით </w:t>
      </w:r>
      <w:r>
        <w:rPr>
          <w:rFonts w:ascii="Sylfaen" w:eastAsia="Times New Roman" w:hAnsi="Sylfaen" w:cs="Times New Roman"/>
          <w:lang w:val="ka-GE"/>
        </w:rPr>
        <w:t>შემცირდა</w:t>
      </w:r>
      <w:r w:rsidRPr="0074463F">
        <w:rPr>
          <w:rFonts w:ascii="Sylfaen" w:eastAsia="Times New Roman" w:hAnsi="Sylfaen" w:cs="Times New Roman"/>
        </w:rPr>
        <w:t xml:space="preserve"> </w:t>
      </w:r>
      <w:r w:rsidR="007052D6" w:rsidRPr="0074463F">
        <w:rPr>
          <w:rFonts w:ascii="Sylfaen" w:eastAsia="Times New Roman" w:hAnsi="Sylfaen" w:cs="Times New Roman"/>
        </w:rPr>
        <w:t xml:space="preserve">და </w:t>
      </w:r>
      <w:r w:rsidR="00B82AAC">
        <w:rPr>
          <w:rFonts w:ascii="Sylfaen" w:eastAsia="Times New Roman" w:hAnsi="Sylfaen" w:cs="Times New Roman"/>
          <w:lang w:val="ka-GE"/>
        </w:rPr>
        <w:t>2</w:t>
      </w:r>
      <w:r w:rsidR="00A55178">
        <w:rPr>
          <w:rFonts w:ascii="Sylfaen" w:eastAsia="Times New Roman" w:hAnsi="Sylfaen" w:cs="Times New Roman"/>
        </w:rPr>
        <w:t>5</w:t>
      </w:r>
      <w:r w:rsidR="00B82AAC">
        <w:rPr>
          <w:rFonts w:ascii="Sylfaen" w:eastAsia="Times New Roman" w:hAnsi="Sylfaen" w:cs="Times New Roman"/>
          <w:lang w:val="ka-GE"/>
        </w:rPr>
        <w:t xml:space="preserve"> 10</w:t>
      </w:r>
      <w:r w:rsidR="00A55178">
        <w:rPr>
          <w:rFonts w:ascii="Sylfaen" w:eastAsia="Times New Roman" w:hAnsi="Sylfaen" w:cs="Times New Roman"/>
        </w:rPr>
        <w:t>1</w:t>
      </w:r>
      <w:r w:rsidR="002A281B">
        <w:rPr>
          <w:rFonts w:ascii="Sylfaen" w:eastAsia="Times New Roman" w:hAnsi="Sylfaen" w:cs="Times New Roman"/>
        </w:rPr>
        <w:t xml:space="preserve"> </w:t>
      </w:r>
      <w:r w:rsidR="00E95664">
        <w:rPr>
          <w:rFonts w:ascii="Sylfaen" w:eastAsia="Times New Roman" w:hAnsi="Sylfaen" w:cs="Times New Roman"/>
          <w:lang w:val="ka-GE"/>
        </w:rPr>
        <w:t xml:space="preserve"> </w:t>
      </w:r>
      <w:r w:rsidR="002A281B">
        <w:rPr>
          <w:rFonts w:ascii="Sylfaen" w:eastAsia="Times New Roman" w:hAnsi="Sylfaen" w:cs="Times New Roman"/>
        </w:rPr>
        <w:t>შეადგინა</w:t>
      </w:r>
      <w:r w:rsidR="007052D6" w:rsidRPr="0074463F">
        <w:rPr>
          <w:rFonts w:ascii="Sylfaen" w:eastAsia="Times New Roman" w:hAnsi="Sylfaen" w:cs="Times New Roman"/>
        </w:rPr>
        <w:t>.</w:t>
      </w:r>
    </w:p>
    <w:p w:rsidR="00416048" w:rsidRDefault="00416048" w:rsidP="004B109C">
      <w:pPr>
        <w:spacing w:after="0"/>
        <w:ind w:firstLine="709"/>
        <w:jc w:val="both"/>
        <w:rPr>
          <w:rFonts w:ascii="Sylfaen" w:eastAsia="Times New Roman" w:hAnsi="Sylfaen" w:cs="Times New Roman"/>
          <w:lang w:val="ka-GE"/>
        </w:rPr>
      </w:pPr>
    </w:p>
    <w:p w:rsidR="002A281B" w:rsidRPr="00827EED" w:rsidRDefault="007052D6" w:rsidP="004B109C">
      <w:pPr>
        <w:spacing w:after="0"/>
        <w:ind w:firstLine="709"/>
        <w:jc w:val="both"/>
        <w:rPr>
          <w:rFonts w:ascii="Sylfaen" w:eastAsia="Times New Roman" w:hAnsi="Sylfaen" w:cs="Times New Roman"/>
          <w:lang w:val="ka-GE"/>
        </w:rPr>
      </w:pPr>
      <w:r w:rsidRPr="00827EED">
        <w:rPr>
          <w:rFonts w:ascii="Sylfaen" w:eastAsia="Times New Roman" w:hAnsi="Sylfaen" w:cs="Times New Roman"/>
        </w:rPr>
        <w:t>დიაგრამ</w:t>
      </w:r>
      <w:r w:rsidR="002A281B" w:rsidRPr="00827EED">
        <w:rPr>
          <w:rFonts w:ascii="Sylfaen" w:eastAsia="Times New Roman" w:hAnsi="Sylfaen" w:cs="Times New Roman"/>
          <w:lang w:val="ka-GE"/>
        </w:rPr>
        <w:t xml:space="preserve">ა </w:t>
      </w:r>
      <w:r w:rsidR="00A445A6" w:rsidRPr="00827EED">
        <w:rPr>
          <w:rFonts w:ascii="Sylfaen" w:eastAsia="Times New Roman" w:hAnsi="Sylfaen" w:cs="Times New Roman"/>
          <w:lang w:val="ka-GE"/>
        </w:rPr>
        <w:t>8</w:t>
      </w:r>
    </w:p>
    <w:p w:rsidR="00F32873" w:rsidRPr="00F32873" w:rsidRDefault="002A281B" w:rsidP="00B70F3E">
      <w:pPr>
        <w:spacing w:after="0"/>
        <w:jc w:val="center"/>
        <w:rPr>
          <w:rFonts w:ascii="Sylfaen" w:eastAsia="Times New Roman" w:hAnsi="Sylfaen" w:cs="Times New Roman"/>
          <w:lang w:val="ka-GE"/>
        </w:rPr>
      </w:pPr>
      <w:r w:rsidRPr="0074463F">
        <w:rPr>
          <w:rFonts w:ascii="Sylfaen" w:hAnsi="Sylfaen"/>
          <w:noProof/>
        </w:rPr>
        <w:drawing>
          <wp:inline distT="0" distB="0" distL="0" distR="0">
            <wp:extent cx="6276441" cy="3145536"/>
            <wp:effectExtent l="0" t="0" r="0" b="0"/>
            <wp:docPr id="1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A76D4" w:rsidRDefault="00CA76D4" w:rsidP="004B109C">
      <w:pPr>
        <w:spacing w:after="0"/>
        <w:ind w:firstLine="709"/>
        <w:jc w:val="both"/>
        <w:rPr>
          <w:rFonts w:ascii="Sylfaen" w:eastAsia="Times New Roman" w:hAnsi="Sylfaen" w:cs="Times New Roman"/>
          <w:b/>
          <w:lang w:val="ka-GE"/>
        </w:rPr>
      </w:pPr>
    </w:p>
    <w:p w:rsidR="00CA76D4" w:rsidRDefault="007052D6" w:rsidP="00035A4A">
      <w:pPr>
        <w:spacing w:after="0"/>
        <w:ind w:firstLine="709"/>
        <w:jc w:val="both"/>
        <w:rPr>
          <w:rFonts w:ascii="Sylfaen" w:eastAsia="Times New Roman" w:hAnsi="Sylfaen" w:cs="Times New Roman"/>
          <w:b/>
          <w:lang w:val="ka-GE"/>
        </w:rPr>
      </w:pPr>
      <w:r w:rsidRPr="0074463F">
        <w:rPr>
          <w:rFonts w:ascii="Sylfaen" w:eastAsia="Times New Roman" w:hAnsi="Sylfaen" w:cs="Times New Roman"/>
          <w:b/>
        </w:rPr>
        <w:lastRenderedPageBreak/>
        <w:t>განქორწინება</w:t>
      </w:r>
    </w:p>
    <w:p w:rsidR="00E739D4" w:rsidRPr="00E739D4" w:rsidRDefault="00E739D4" w:rsidP="00035A4A">
      <w:pPr>
        <w:spacing w:after="0"/>
        <w:ind w:firstLine="709"/>
        <w:jc w:val="both"/>
        <w:rPr>
          <w:rFonts w:ascii="Sylfaen" w:eastAsia="Times New Roman" w:hAnsi="Sylfaen" w:cs="Times New Roman"/>
          <w:b/>
          <w:lang w:val="ka-GE"/>
        </w:rPr>
      </w:pPr>
    </w:p>
    <w:p w:rsidR="00484C6C" w:rsidRDefault="0062407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</w:rPr>
        <w:t>201</w:t>
      </w:r>
      <w:r w:rsidR="00B82AAC">
        <w:rPr>
          <w:rFonts w:ascii="Sylfaen" w:eastAsia="Times New Roman" w:hAnsi="Sylfaen" w:cs="Times New Roman"/>
          <w:lang w:val="ka-GE"/>
        </w:rPr>
        <w:t>6</w:t>
      </w:r>
      <w:r w:rsidRPr="0074463F">
        <w:rPr>
          <w:rFonts w:ascii="Sylfaen" w:eastAsia="Times New Roman" w:hAnsi="Sylfaen" w:cs="Times New Roman"/>
        </w:rPr>
        <w:t xml:space="preserve"> </w:t>
      </w:r>
      <w:r w:rsidR="007052D6" w:rsidRPr="0074463F">
        <w:rPr>
          <w:rFonts w:ascii="Sylfaen" w:eastAsia="Times New Roman" w:hAnsi="Sylfaen" w:cs="Times New Roman"/>
        </w:rPr>
        <w:t>წელს რეგისტრირებულ განქორწინებათა რაოდენობა</w:t>
      </w:r>
      <w:r w:rsidR="000118A0">
        <w:rPr>
          <w:rFonts w:ascii="Sylfaen" w:eastAsia="Times New Roman" w:hAnsi="Sylfaen" w:cs="Times New Roman"/>
          <w:lang w:val="ka-GE"/>
        </w:rPr>
        <w:t xml:space="preserve">მ </w:t>
      </w:r>
      <w:r>
        <w:rPr>
          <w:rFonts w:ascii="Sylfaen" w:eastAsia="Times New Roman" w:hAnsi="Sylfaen" w:cs="Times New Roman"/>
          <w:lang w:val="ka-GE"/>
        </w:rPr>
        <w:t>9</w:t>
      </w:r>
      <w:r w:rsidR="00F3213C">
        <w:rPr>
          <w:rFonts w:ascii="Sylfaen" w:eastAsia="Times New Roman" w:hAnsi="Sylfaen" w:cs="Times New Roman"/>
        </w:rPr>
        <w:t> </w:t>
      </w:r>
      <w:r w:rsidR="00B82AAC">
        <w:rPr>
          <w:rFonts w:ascii="Sylfaen" w:eastAsia="Times New Roman" w:hAnsi="Sylfaen" w:cs="Times New Roman"/>
          <w:lang w:val="ka-GE"/>
        </w:rPr>
        <w:t>539</w:t>
      </w:r>
      <w:r w:rsidR="00FA0AC7">
        <w:rPr>
          <w:rFonts w:ascii="Sylfaen" w:eastAsia="Times New Roman" w:hAnsi="Sylfaen" w:cs="Times New Roman"/>
          <w:lang w:val="ka-GE"/>
        </w:rPr>
        <w:t xml:space="preserve"> შეადგინა და </w:t>
      </w:r>
      <w:r w:rsidR="00416048">
        <w:rPr>
          <w:rFonts w:ascii="Sylfaen" w:eastAsia="Times New Roman" w:hAnsi="Sylfaen" w:cs="Times New Roman"/>
          <w:lang w:val="ka-GE"/>
        </w:rPr>
        <w:t xml:space="preserve"> </w:t>
      </w:r>
      <w:r w:rsidR="007052D6" w:rsidRPr="0074463F">
        <w:rPr>
          <w:rFonts w:ascii="Sylfaen" w:eastAsia="Times New Roman" w:hAnsi="Sylfaen" w:cs="Times New Roman"/>
        </w:rPr>
        <w:t xml:space="preserve">წინა </w:t>
      </w:r>
      <w:r w:rsidR="00416048">
        <w:rPr>
          <w:rFonts w:ascii="Sylfaen" w:eastAsia="Times New Roman" w:hAnsi="Sylfaen" w:cs="Times New Roman"/>
          <w:lang w:val="ka-GE"/>
        </w:rPr>
        <w:t>წლის ანალოგიურ</w:t>
      </w:r>
      <w:r w:rsidR="00FA0AC7">
        <w:rPr>
          <w:rFonts w:ascii="Sylfaen" w:eastAsia="Times New Roman" w:hAnsi="Sylfaen" w:cs="Times New Roman"/>
          <w:lang w:val="ka-GE"/>
        </w:rPr>
        <w:t xml:space="preserve"> მაჩვენებელთან შედარებით</w:t>
      </w:r>
      <w:r w:rsidR="00416048">
        <w:rPr>
          <w:rFonts w:ascii="Sylfaen" w:eastAsia="Times New Roman" w:hAnsi="Sylfaen" w:cs="Times New Roman"/>
          <w:lang w:val="ka-GE"/>
        </w:rPr>
        <w:t xml:space="preserve"> </w:t>
      </w:r>
      <w:r w:rsidR="00B82AAC">
        <w:rPr>
          <w:rFonts w:ascii="Sylfaen" w:eastAsia="Times New Roman" w:hAnsi="Sylfaen" w:cs="Times New Roman"/>
          <w:lang w:val="ka-GE"/>
        </w:rPr>
        <w:t>4,7 პროცემდით გაიზარდა</w:t>
      </w:r>
      <w:r w:rsidR="00FA0AC7">
        <w:rPr>
          <w:rFonts w:ascii="Sylfaen" w:eastAsia="Times New Roman" w:hAnsi="Sylfaen" w:cs="Times New Roman"/>
          <w:lang w:val="ka-GE"/>
        </w:rPr>
        <w:t>.</w:t>
      </w:r>
      <w:r w:rsidR="002A281B">
        <w:rPr>
          <w:rFonts w:ascii="Sylfaen" w:eastAsia="Times New Roman" w:hAnsi="Sylfaen" w:cs="Times New Roman"/>
          <w:lang w:val="ka-GE"/>
        </w:rPr>
        <w:t xml:space="preserve"> </w:t>
      </w:r>
      <w:r w:rsidR="007052D6" w:rsidRPr="0074463F">
        <w:rPr>
          <w:rFonts w:ascii="Sylfaen" w:eastAsia="Times New Roman" w:hAnsi="Sylfaen" w:cs="Times New Roman"/>
        </w:rPr>
        <w:t xml:space="preserve"> </w:t>
      </w:r>
    </w:p>
    <w:p w:rsidR="00416048" w:rsidRPr="00416048" w:rsidRDefault="00416048" w:rsidP="00035A4A">
      <w:pPr>
        <w:spacing w:after="0"/>
        <w:ind w:firstLine="709"/>
        <w:jc w:val="both"/>
        <w:rPr>
          <w:rFonts w:ascii="Sylfaen" w:eastAsia="Times New Roman" w:hAnsi="Sylfaen" w:cs="Times New Roman"/>
          <w:lang w:val="ka-GE"/>
        </w:rPr>
      </w:pPr>
    </w:p>
    <w:p w:rsidR="009164C5" w:rsidRPr="00827EED" w:rsidRDefault="007052D6" w:rsidP="004B109C">
      <w:pPr>
        <w:spacing w:after="0"/>
        <w:ind w:firstLine="709"/>
        <w:rPr>
          <w:rFonts w:ascii="Sylfaen" w:eastAsia="Times New Roman" w:hAnsi="Sylfaen" w:cs="AcadMtavr"/>
          <w:sz w:val="24"/>
          <w:szCs w:val="24"/>
          <w:lang w:val="ka-GE"/>
        </w:rPr>
      </w:pPr>
      <w:r w:rsidRPr="00827EED">
        <w:rPr>
          <w:rFonts w:ascii="Sylfaen" w:eastAsia="Times New Roman" w:hAnsi="Sylfaen" w:cs="Times New Roman"/>
        </w:rPr>
        <w:t>დიაგრამა</w:t>
      </w:r>
      <w:r w:rsidRPr="00827EED">
        <w:rPr>
          <w:rFonts w:ascii="Sylfaen" w:eastAsia="Times New Roman" w:hAnsi="Sylfaen" w:cs="AcadMtavr"/>
          <w:sz w:val="24"/>
          <w:szCs w:val="24"/>
        </w:rPr>
        <w:t xml:space="preserve"> </w:t>
      </w:r>
      <w:r w:rsidR="0025362A" w:rsidRPr="00827EED">
        <w:rPr>
          <w:rFonts w:ascii="Sylfaen" w:eastAsia="Times New Roman" w:hAnsi="Sylfaen" w:cs="AcadMtavr"/>
          <w:sz w:val="24"/>
          <w:szCs w:val="24"/>
          <w:lang w:val="ka-GE"/>
        </w:rPr>
        <w:t>9</w:t>
      </w:r>
    </w:p>
    <w:p w:rsidR="00035A4A" w:rsidRPr="00FC4E65" w:rsidRDefault="002A281B" w:rsidP="00FC4E65">
      <w:pPr>
        <w:spacing w:after="0"/>
        <w:jc w:val="both"/>
        <w:rPr>
          <w:rFonts w:ascii="Sylfaen" w:eastAsia="Times New Roman" w:hAnsi="Sylfaen" w:cs="Times New Roman"/>
          <w:b/>
          <w:lang w:val="ka-GE"/>
        </w:rPr>
      </w:pPr>
      <w:r w:rsidRPr="0074463F">
        <w:rPr>
          <w:rFonts w:ascii="Sylfaen" w:hAnsi="Sylfaen"/>
          <w:b/>
          <w:noProof/>
        </w:rPr>
        <w:drawing>
          <wp:inline distT="0" distB="0" distL="0" distR="0">
            <wp:extent cx="6291072" cy="1836116"/>
            <wp:effectExtent l="0" t="0" r="0" b="0"/>
            <wp:docPr id="1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84C6C" w:rsidRPr="00B142BC" w:rsidRDefault="002E06DD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B142BC">
        <w:rPr>
          <w:rFonts w:ascii="Sylfaen" w:eastAsia="Times New Roman" w:hAnsi="Sylfaen" w:cs="Times New Roman"/>
          <w:color w:val="000000" w:themeColor="text1"/>
          <w:lang w:val="ka-GE"/>
        </w:rPr>
        <w:t>201</w:t>
      </w:r>
      <w:r w:rsidR="00B64309" w:rsidRPr="00B142BC">
        <w:rPr>
          <w:rFonts w:ascii="Sylfaen" w:eastAsia="Times New Roman" w:hAnsi="Sylfaen" w:cs="Times New Roman"/>
          <w:color w:val="000000" w:themeColor="text1"/>
          <w:lang w:val="ka-GE"/>
        </w:rPr>
        <w:t>6</w:t>
      </w:r>
      <w:r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 წელს 201</w:t>
      </w:r>
      <w:r w:rsidR="00B64309" w:rsidRPr="00B142BC">
        <w:rPr>
          <w:rFonts w:ascii="Sylfaen" w:eastAsia="Times New Roman" w:hAnsi="Sylfaen" w:cs="Times New Roman"/>
          <w:color w:val="000000" w:themeColor="text1"/>
          <w:lang w:val="ka-GE"/>
        </w:rPr>
        <w:t>5</w:t>
      </w:r>
      <w:r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 წელთან შედ</w:t>
      </w:r>
      <w:r w:rsidR="00FD7AB6" w:rsidRPr="00B142BC">
        <w:rPr>
          <w:rFonts w:ascii="Sylfaen" w:eastAsia="Times New Roman" w:hAnsi="Sylfaen" w:cs="Times New Roman"/>
          <w:color w:val="000000" w:themeColor="text1"/>
          <w:lang w:val="ka-GE"/>
        </w:rPr>
        <w:t>არებით</w:t>
      </w:r>
      <w:r w:rsidR="00C00CF6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="00B142BC" w:rsidRPr="00B142BC">
        <w:rPr>
          <w:rFonts w:ascii="Sylfaen" w:eastAsia="Times New Roman" w:hAnsi="Sylfaen" w:cs="Times New Roman"/>
          <w:color w:val="000000" w:themeColor="text1"/>
          <w:lang w:val="ka-GE"/>
        </w:rPr>
        <w:t>6,7</w:t>
      </w:r>
      <w:r w:rsidR="00A35265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="00A17674" w:rsidRPr="00B142BC">
        <w:rPr>
          <w:rFonts w:ascii="Sylfaen" w:eastAsia="Times New Roman" w:hAnsi="Sylfaen" w:cs="Times New Roman"/>
          <w:color w:val="000000" w:themeColor="text1"/>
          <w:lang w:val="ka-GE"/>
        </w:rPr>
        <w:t>პროცენტით</w:t>
      </w:r>
      <w:r w:rsidR="00C00CF6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 </w:t>
      </w:r>
      <w:r w:rsidR="00FD7AB6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გაიზარდა </w:t>
      </w:r>
      <w:r w:rsidR="0035449E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განქორწინებათა რიცხვი </w:t>
      </w:r>
      <w:r w:rsidR="00035A4A" w:rsidRPr="00B142BC">
        <w:rPr>
          <w:rFonts w:ascii="Sylfaen" w:eastAsia="Times New Roman" w:hAnsi="Sylfaen" w:cs="Times New Roman"/>
          <w:color w:val="000000" w:themeColor="text1"/>
          <w:lang w:val="ka-GE"/>
        </w:rPr>
        <w:t>0-</w:t>
      </w:r>
      <w:r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10 წლამდე ხანგრძლივობის </w:t>
      </w:r>
      <w:r w:rsidR="00244F67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ქორწინებებში. </w:t>
      </w:r>
      <w:r w:rsidR="00035A4A" w:rsidRPr="00B142BC">
        <w:rPr>
          <w:rFonts w:ascii="Sylfaen" w:eastAsia="Times New Roman" w:hAnsi="Sylfaen" w:cs="Times New Roman"/>
          <w:color w:val="000000" w:themeColor="text1"/>
          <w:lang w:val="ka-GE"/>
        </w:rPr>
        <w:t>განქორწინებათა</w:t>
      </w:r>
      <w:r w:rsidR="00CA5313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 საერთო </w:t>
      </w:r>
      <w:r w:rsidR="00035A4A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რაოდენობაში </w:t>
      </w:r>
      <w:r w:rsidRPr="00B142BC">
        <w:rPr>
          <w:rFonts w:ascii="Sylfaen" w:eastAsia="Times New Roman" w:hAnsi="Sylfaen" w:cs="Times New Roman"/>
          <w:color w:val="000000" w:themeColor="text1"/>
          <w:lang w:val="ka-GE"/>
        </w:rPr>
        <w:t>1</w:t>
      </w:r>
      <w:r w:rsidR="00FD7AB6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 წლამდე ხანგრძლივობის </w:t>
      </w:r>
      <w:r w:rsidR="00096899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ქორწინებების </w:t>
      </w:r>
      <w:r w:rsidR="00035A4A" w:rsidRPr="00B142BC">
        <w:rPr>
          <w:rFonts w:ascii="Sylfaen" w:eastAsia="Times New Roman" w:hAnsi="Sylfaen" w:cs="Times New Roman"/>
          <w:color w:val="000000" w:themeColor="text1"/>
          <w:lang w:val="ka-GE"/>
        </w:rPr>
        <w:t>წილი ყველაზე მაღალია</w:t>
      </w:r>
      <w:r w:rsidR="00C74925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 (</w:t>
      </w:r>
      <w:r w:rsidR="00B64309" w:rsidRPr="00B142BC">
        <w:rPr>
          <w:rFonts w:ascii="Sylfaen" w:eastAsia="Times New Roman" w:hAnsi="Sylfaen" w:cs="Times New Roman"/>
          <w:color w:val="000000" w:themeColor="text1"/>
          <w:lang w:val="ka-GE"/>
        </w:rPr>
        <w:t>8,8</w:t>
      </w:r>
      <w:r w:rsidR="00C74925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 პროცენტი</w:t>
      </w:r>
      <w:r w:rsidR="00FC4E65" w:rsidRPr="00B142BC">
        <w:rPr>
          <w:rFonts w:ascii="Sylfaen" w:eastAsia="Times New Roman" w:hAnsi="Sylfaen" w:cs="Times New Roman"/>
          <w:color w:val="000000" w:themeColor="text1"/>
          <w:lang w:val="ka-GE"/>
        </w:rPr>
        <w:t>)</w:t>
      </w:r>
      <w:r w:rsidR="00FD7AB6" w:rsidRPr="00B142BC">
        <w:rPr>
          <w:rFonts w:ascii="Sylfaen" w:eastAsia="Times New Roman" w:hAnsi="Sylfaen" w:cs="Times New Roman"/>
          <w:color w:val="000000" w:themeColor="text1"/>
          <w:lang w:val="ka-GE"/>
        </w:rPr>
        <w:t xml:space="preserve">. </w:t>
      </w:r>
      <w:r w:rsidR="00FD7AB6" w:rsidRPr="00B142BC">
        <w:rPr>
          <w:rFonts w:ascii="Sylfaen" w:eastAsia="Times New Roman" w:hAnsi="Sylfaen" w:cs="Times New Roman"/>
          <w:color w:val="000000" w:themeColor="text1"/>
          <w:lang w:val="ka-GE"/>
        </w:rPr>
        <w:tab/>
      </w:r>
    </w:p>
    <w:p w:rsidR="008350D8" w:rsidRPr="00B142BC" w:rsidRDefault="008350D8" w:rsidP="009E571E">
      <w:pPr>
        <w:spacing w:after="0"/>
        <w:ind w:firstLine="709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</w:p>
    <w:p w:rsidR="002E3526" w:rsidRDefault="00B744AA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r w:rsidRPr="00096899">
        <w:rPr>
          <w:rFonts w:ascii="Sylfaen" w:eastAsia="Times New Roman" w:hAnsi="Sylfaen" w:cs="Times New Roman"/>
          <w:b/>
          <w:lang w:val="ka-GE"/>
        </w:rPr>
        <w:t xml:space="preserve">ძირითადი </w:t>
      </w:r>
      <w:r w:rsidR="005C1B0A" w:rsidRPr="00096899">
        <w:rPr>
          <w:rFonts w:ascii="Sylfaen" w:eastAsia="Times New Roman" w:hAnsi="Sylfaen" w:cs="Times New Roman"/>
          <w:b/>
        </w:rPr>
        <w:t>დემოგრაფიული მაჩვენებლები რეგიონების მიხედვით</w:t>
      </w:r>
    </w:p>
    <w:p w:rsidR="00096899" w:rsidRPr="00096899" w:rsidRDefault="00096899" w:rsidP="00096899">
      <w:pPr>
        <w:spacing w:after="0" w:line="240" w:lineRule="auto"/>
        <w:rPr>
          <w:rFonts w:ascii="Sylfaen" w:eastAsia="Times New Roman" w:hAnsi="Sylfaen" w:cs="Times New Roman"/>
          <w:b/>
          <w:lang w:val="ka-GE"/>
        </w:rPr>
      </w:pPr>
    </w:p>
    <w:p w:rsidR="00096899" w:rsidRDefault="0047516D" w:rsidP="00096899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</w:rPr>
        <w:t>20</w:t>
      </w:r>
      <w:r w:rsidRPr="0074463F">
        <w:rPr>
          <w:rFonts w:ascii="Sylfaen" w:eastAsia="Times New Roman" w:hAnsi="Sylfaen" w:cs="Times New Roman"/>
        </w:rPr>
        <w:t>1</w:t>
      </w:r>
      <w:r w:rsidR="00827EED">
        <w:rPr>
          <w:rFonts w:ascii="Sylfaen" w:eastAsia="Times New Roman" w:hAnsi="Sylfaen" w:cs="Times New Roman"/>
          <w:lang w:val="ka-GE"/>
        </w:rPr>
        <w:t>6</w:t>
      </w:r>
      <w:bookmarkStart w:id="0" w:name="_GoBack"/>
      <w:bookmarkEnd w:id="0"/>
      <w:r w:rsidRPr="0074463F">
        <w:rPr>
          <w:rFonts w:ascii="Sylfaen" w:eastAsia="Times New Roman" w:hAnsi="Sylfaen" w:cs="Times New Roman"/>
        </w:rPr>
        <w:t xml:space="preserve"> </w:t>
      </w:r>
      <w:r w:rsidR="007052D6" w:rsidRPr="0074463F">
        <w:rPr>
          <w:rFonts w:ascii="Sylfaen" w:eastAsia="Times New Roman" w:hAnsi="Sylfaen" w:cs="Times New Roman"/>
        </w:rPr>
        <w:t xml:space="preserve">წლის </w:t>
      </w:r>
      <w:r w:rsidR="00141E9F">
        <w:rPr>
          <w:rFonts w:ascii="Sylfaen" w:eastAsia="Times New Roman" w:hAnsi="Sylfaen" w:cs="Times New Roman"/>
          <w:lang w:val="ka-GE"/>
        </w:rPr>
        <w:t xml:space="preserve">ძირითადი </w:t>
      </w:r>
      <w:r w:rsidR="007052D6" w:rsidRPr="0074463F">
        <w:rPr>
          <w:rFonts w:ascii="Sylfaen" w:eastAsia="Times New Roman" w:hAnsi="Sylfaen" w:cs="Times New Roman"/>
        </w:rPr>
        <w:t xml:space="preserve">დემოგრაფიული </w:t>
      </w:r>
      <w:r w:rsidR="00141E9F">
        <w:rPr>
          <w:rFonts w:ascii="Sylfaen" w:eastAsia="Times New Roman" w:hAnsi="Sylfaen" w:cs="Times New Roman"/>
          <w:lang w:val="ka-GE"/>
        </w:rPr>
        <w:t xml:space="preserve">მაჩვენებლები </w:t>
      </w:r>
      <w:r w:rsidR="007052D6" w:rsidRPr="0074463F">
        <w:rPr>
          <w:rFonts w:ascii="Sylfaen" w:eastAsia="Times New Roman" w:hAnsi="Sylfaen" w:cs="Times New Roman"/>
        </w:rPr>
        <w:t xml:space="preserve">ქვეყნის რეგიონების მიხედვით შემდეგნაირად </w:t>
      </w:r>
      <w:r w:rsidR="00141E9F">
        <w:rPr>
          <w:rFonts w:ascii="Sylfaen" w:eastAsia="Times New Roman" w:hAnsi="Sylfaen" w:cs="Times New Roman"/>
          <w:lang w:val="ka-GE"/>
        </w:rPr>
        <w:t>გამოიყურება</w:t>
      </w:r>
      <w:r w:rsidR="001F76F8">
        <w:rPr>
          <w:rFonts w:ascii="Sylfaen" w:eastAsia="Times New Roman" w:hAnsi="Sylfaen" w:cs="Times New Roman"/>
          <w:lang w:val="ka-GE"/>
        </w:rPr>
        <w:t>:</w:t>
      </w:r>
    </w:p>
    <w:p w:rsidR="00F3213C" w:rsidRDefault="00F3213C" w:rsidP="007F6319">
      <w:pPr>
        <w:spacing w:after="0" w:line="240" w:lineRule="auto"/>
        <w:ind w:firstLine="709"/>
        <w:rPr>
          <w:rFonts w:ascii="Sylfaen" w:eastAsia="Times New Roman" w:hAnsi="Sylfaen" w:cs="Times New Roman"/>
          <w:lang w:val="ka-GE"/>
        </w:rPr>
      </w:pPr>
    </w:p>
    <w:p w:rsidR="00C30E3F" w:rsidRPr="00827EED" w:rsidRDefault="00C30E3F" w:rsidP="007F6319">
      <w:pPr>
        <w:spacing w:after="0" w:line="240" w:lineRule="auto"/>
        <w:ind w:firstLine="709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27EED">
        <w:rPr>
          <w:rFonts w:ascii="Sylfaen" w:eastAsia="Times New Roman" w:hAnsi="Sylfaen" w:cs="Times New Roman"/>
        </w:rPr>
        <w:t>ცხრილი 1</w:t>
      </w:r>
    </w:p>
    <w:p w:rsidR="007052D6" w:rsidRPr="0074463F" w:rsidRDefault="0047516D" w:rsidP="004B109C">
      <w:pPr>
        <w:spacing w:after="0"/>
        <w:jc w:val="center"/>
        <w:rPr>
          <w:rFonts w:ascii="Sylfaen" w:eastAsia="Times New Roman" w:hAnsi="Sylfaen" w:cs="Times New Roman"/>
          <w:b/>
        </w:rPr>
      </w:pPr>
      <w:r>
        <w:rPr>
          <w:rFonts w:ascii="Sylfaen" w:eastAsia="Times New Roman" w:hAnsi="Sylfaen" w:cs="Times New Roman"/>
          <w:b/>
        </w:rPr>
        <w:t>20</w:t>
      </w:r>
      <w:r w:rsidRPr="0074463F">
        <w:rPr>
          <w:rFonts w:ascii="Sylfaen" w:eastAsia="Times New Roman" w:hAnsi="Sylfaen" w:cs="Times New Roman"/>
          <w:b/>
        </w:rPr>
        <w:t>1</w:t>
      </w:r>
      <w:r w:rsidR="00B82AAC">
        <w:rPr>
          <w:rFonts w:ascii="Sylfaen" w:eastAsia="Times New Roman" w:hAnsi="Sylfaen" w:cs="Times New Roman"/>
          <w:b/>
          <w:lang w:val="ka-GE"/>
        </w:rPr>
        <w:t>6</w:t>
      </w:r>
      <w:r w:rsidRPr="0074463F">
        <w:rPr>
          <w:rFonts w:ascii="Sylfaen" w:eastAsia="Times New Roman" w:hAnsi="Sylfaen" w:cs="Times New Roman"/>
          <w:b/>
        </w:rPr>
        <w:t xml:space="preserve"> </w:t>
      </w:r>
      <w:r w:rsidR="007052D6" w:rsidRPr="0074463F">
        <w:rPr>
          <w:rFonts w:ascii="Sylfaen" w:eastAsia="Times New Roman" w:hAnsi="Sylfaen" w:cs="Times New Roman"/>
          <w:b/>
        </w:rPr>
        <w:t xml:space="preserve">წლის ძირითადი დემოგრაფიული მაჩვენებლები </w:t>
      </w:r>
    </w:p>
    <w:p w:rsidR="000C68DB" w:rsidRPr="00E739D4" w:rsidRDefault="0092170E" w:rsidP="004B109C">
      <w:pPr>
        <w:spacing w:after="0"/>
        <w:ind w:left="2880" w:firstLine="720"/>
        <w:jc w:val="both"/>
        <w:rPr>
          <w:rFonts w:ascii="Sylfaen" w:eastAsia="Times New Roman" w:hAnsi="Sylfaen" w:cs="Times New Roman"/>
        </w:rPr>
      </w:pPr>
      <w:r w:rsidRPr="0092170E">
        <w:rPr>
          <w:rFonts w:ascii="Sylfaen" w:eastAsia="Times New Roman" w:hAnsi="Sylfaen" w:cs="Times New Roman"/>
          <w:b/>
        </w:rPr>
        <w:t xml:space="preserve">რეგიონების მიხედვით </w:t>
      </w:r>
    </w:p>
    <w:p w:rsidR="00DE0BEA" w:rsidRPr="00A707FC" w:rsidRDefault="00DE0BEA" w:rsidP="004B109C">
      <w:pPr>
        <w:spacing w:after="0"/>
        <w:ind w:left="7920" w:firstLine="720"/>
        <w:jc w:val="center"/>
        <w:rPr>
          <w:rFonts w:ascii="Sylfaen" w:eastAsia="Times New Roman" w:hAnsi="Sylfaen" w:cs="Times New Roman"/>
          <w:sz w:val="16"/>
          <w:szCs w:val="16"/>
          <w:lang w:val="ka-GE"/>
        </w:rPr>
      </w:pPr>
    </w:p>
    <w:tbl>
      <w:tblPr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3456"/>
        <w:gridCol w:w="1315"/>
        <w:gridCol w:w="1315"/>
        <w:gridCol w:w="1315"/>
        <w:gridCol w:w="1315"/>
        <w:gridCol w:w="1315"/>
      </w:tblGrid>
      <w:tr w:rsidR="007052D6" w:rsidRPr="0074463F" w:rsidTr="00E739D4">
        <w:trPr>
          <w:trHeight w:val="605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2D6" w:rsidRPr="00965B09" w:rsidRDefault="007052D6" w:rsidP="0009689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რეგიონ</w:t>
            </w:r>
            <w:r w:rsidR="00965B0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2D6" w:rsidRPr="0074463F" w:rsidRDefault="007052D6" w:rsidP="00CA531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ცოცხლად</w:t>
            </w:r>
            <w:r w:rsidRPr="0074463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დაბადება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52D6" w:rsidRPr="0074463F" w:rsidRDefault="007052D6" w:rsidP="00CA531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გარდაც</w:t>
            </w:r>
            <w:r w:rsidR="00CA5313">
              <w:rPr>
                <w:rFonts w:ascii="Sylfaen" w:hAnsi="Sylfaen" w:cs="Sylfaen"/>
                <w:sz w:val="20"/>
                <w:szCs w:val="20"/>
                <w:lang w:val="ka-GE"/>
              </w:rPr>
              <w:t>–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ვალება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D6" w:rsidRPr="0074463F" w:rsidRDefault="007052D6" w:rsidP="00CA531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ბუნებრივი</w:t>
            </w:r>
            <w:r w:rsidRPr="0074463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მატება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2D6" w:rsidRPr="008350D8" w:rsidRDefault="007052D6" w:rsidP="002E3B88">
            <w:pPr>
              <w:spacing w:after="0" w:line="240" w:lineRule="auto"/>
              <w:jc w:val="center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350D8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ქორწინება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2D6" w:rsidRPr="0074463F" w:rsidRDefault="007052D6" w:rsidP="00CA5313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განქორწი</w:t>
            </w:r>
            <w:r w:rsidR="00CA5313">
              <w:rPr>
                <w:rFonts w:ascii="Sylfaen" w:hAnsi="Sylfaen" w:cs="Sylfaen"/>
                <w:sz w:val="20"/>
                <w:szCs w:val="20"/>
                <w:lang w:val="ka-GE"/>
              </w:rPr>
              <w:t>–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ნება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F45C3B" w:rsidRDefault="007157C7" w:rsidP="00F3213C">
            <w:pPr>
              <w:spacing w:after="0"/>
              <w:rPr>
                <w:rFonts w:ascii="Sylfaen" w:hAnsi="Sylfaen"/>
                <w:spacing w:val="80"/>
                <w:lang w:val="ka-GE"/>
              </w:rPr>
            </w:pPr>
            <w:r w:rsidRPr="006A01A4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F45C3B">
              <w:rPr>
                <w:rFonts w:ascii="Sylfaen" w:hAnsi="Sylfaen" w:cs="Sylfaen"/>
                <w:b/>
                <w:spacing w:val="80"/>
                <w:sz w:val="20"/>
                <w:szCs w:val="20"/>
              </w:rPr>
              <w:t>საქართველო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D52A3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BD52A3">
              <w:rPr>
                <w:rFonts w:ascii="Times New Roman" w:hAnsi="Times New Roman" w:cs="Times New Roman"/>
                <w:b/>
                <w:bCs/>
                <w:lang w:val="ka-GE"/>
              </w:rPr>
              <w:t>56 569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D52A3" w:rsidRDefault="007157C7" w:rsidP="00CE2C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BD52A3">
              <w:rPr>
                <w:rFonts w:ascii="Times New Roman" w:hAnsi="Times New Roman" w:cs="Times New Roman"/>
                <w:b/>
                <w:bCs/>
                <w:lang w:val="ka-GE"/>
              </w:rPr>
              <w:t>50 771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D52A3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BD52A3">
              <w:rPr>
                <w:rFonts w:ascii="Times New Roman" w:hAnsi="Times New Roman" w:cs="Times New Roman"/>
                <w:b/>
                <w:bCs/>
                <w:lang w:val="ka-GE"/>
              </w:rPr>
              <w:t>5 798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D52A3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BD52A3">
              <w:rPr>
                <w:rFonts w:ascii="Times New Roman" w:hAnsi="Times New Roman" w:cs="Times New Roman"/>
                <w:b/>
                <w:bCs/>
                <w:lang w:val="ka-GE"/>
              </w:rPr>
              <w:t>2</w:t>
            </w:r>
            <w:r w:rsidR="008C2A7C" w:rsidRPr="00BD52A3">
              <w:rPr>
                <w:rFonts w:ascii="Times New Roman" w:hAnsi="Times New Roman" w:cs="Times New Roman"/>
                <w:b/>
                <w:bCs/>
                <w:lang w:val="ka-GE"/>
              </w:rPr>
              <w:t>5</w:t>
            </w:r>
            <w:r w:rsidRPr="00BD52A3">
              <w:rPr>
                <w:rFonts w:ascii="Times New Roman" w:hAnsi="Times New Roman" w:cs="Times New Roman"/>
                <w:b/>
                <w:bCs/>
                <w:lang w:val="ka-GE"/>
              </w:rPr>
              <w:t xml:space="preserve"> 10</w:t>
            </w:r>
            <w:r w:rsidR="008C2A7C" w:rsidRPr="00BD52A3">
              <w:rPr>
                <w:rFonts w:ascii="Times New Roman" w:hAnsi="Times New Roman" w:cs="Times New Roman"/>
                <w:b/>
                <w:bCs/>
                <w:lang w:val="ka-G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D52A3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ka-GE"/>
              </w:rPr>
            </w:pPr>
            <w:r w:rsidRPr="00BD52A3">
              <w:rPr>
                <w:rFonts w:ascii="Times New Roman" w:hAnsi="Times New Roman" w:cs="Times New Roman"/>
                <w:b/>
                <w:bCs/>
                <w:lang w:val="ka-GE"/>
              </w:rPr>
              <w:t>9 539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4463F" w:rsidRDefault="007157C7" w:rsidP="00CA5313">
            <w:pPr>
              <w:spacing w:after="0" w:line="240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ქ</w:t>
            </w:r>
            <w:r w:rsidRPr="0074463F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თბილისი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9B78B4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1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6 784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</w:pPr>
            <w:r w:rsidRPr="009B78B4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12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>720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064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="008C2A7C">
              <w:rPr>
                <w:rFonts w:ascii="Times New Roman" w:hAnsi="Times New Roman" w:cs="Times New Roman"/>
                <w:bCs/>
                <w:sz w:val="20"/>
                <w:szCs w:val="20"/>
              </w:rPr>
              <w:t>304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68</w:t>
            </w:r>
            <w:r w:rsidR="008C2A7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CA76D4" w:rsidRDefault="007157C7" w:rsidP="00CA5313">
            <w:pPr>
              <w:spacing w:after="0" w:line="240" w:lineRule="auto"/>
              <w:ind w:left="170"/>
              <w:rPr>
                <w:rFonts w:ascii="Sylfaen" w:hAnsi="Sylfaen"/>
                <w:sz w:val="20"/>
                <w:szCs w:val="20"/>
                <w:lang w:val="ka-GE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აფხაზეთის</w:t>
            </w:r>
            <w:r w:rsidRPr="0074463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ა</w:t>
            </w:r>
            <w:r w:rsidRPr="0074463F">
              <w:rPr>
                <w:rFonts w:ascii="Sylfaen" w:hAnsi="Sylfaen"/>
                <w:sz w:val="20"/>
                <w:szCs w:val="20"/>
              </w:rPr>
              <w:t>.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რ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  <w:r w:rsidRPr="00CA76D4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9B78B4" w:rsidRDefault="007157C7" w:rsidP="00CA53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9B78B4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…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9B78B4" w:rsidRDefault="007157C7" w:rsidP="00CA5313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9B78B4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…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9B78B4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…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9B78B4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…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9B78B4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…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 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4463F" w:rsidRDefault="007157C7" w:rsidP="00CA5313">
            <w:pPr>
              <w:spacing w:after="0" w:line="240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აჭარის</w:t>
            </w:r>
            <w:r w:rsidRPr="0074463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ა</w:t>
            </w:r>
            <w:r w:rsidRPr="0074463F">
              <w:rPr>
                <w:rFonts w:ascii="Sylfaen" w:hAnsi="Sylfaen"/>
                <w:sz w:val="20"/>
                <w:szCs w:val="20"/>
              </w:rPr>
              <w:t>.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რ</w:t>
            </w:r>
            <w:r w:rsidRPr="0074463F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977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622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2355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6</w:t>
            </w:r>
            <w:r w:rsidR="008C2A7C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717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4463F" w:rsidRDefault="007157C7" w:rsidP="00CA5313">
            <w:pPr>
              <w:spacing w:after="0" w:line="240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გურია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535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832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-297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7</w:t>
            </w:r>
            <w:r w:rsidR="008C2A7C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230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4463F" w:rsidRDefault="007157C7" w:rsidP="00CA5313">
            <w:pPr>
              <w:spacing w:after="0" w:line="240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იმერეთი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784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9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102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-1318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8</w:t>
            </w:r>
            <w:r w:rsidR="008C2A7C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450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4463F" w:rsidRDefault="007157C7" w:rsidP="00CA5313">
            <w:pPr>
              <w:spacing w:after="0" w:line="240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კახეთი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870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099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-229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8C2A7C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1 936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676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4463F" w:rsidRDefault="007157C7" w:rsidP="00CA5313">
            <w:pPr>
              <w:spacing w:after="0" w:line="240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მცხეთა</w:t>
            </w:r>
            <w:r w:rsidRPr="0074463F">
              <w:rPr>
                <w:rFonts w:ascii="Sylfaen" w:hAnsi="Sylfaen"/>
                <w:sz w:val="20"/>
                <w:szCs w:val="20"/>
              </w:rPr>
              <w:t>-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მთიანეთი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180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416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-236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8C2A7C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233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4463F" w:rsidRDefault="007157C7" w:rsidP="00CA5313">
            <w:pPr>
              <w:spacing w:after="0" w:line="240" w:lineRule="auto"/>
              <w:ind w:left="170"/>
              <w:rPr>
                <w:rFonts w:ascii="Sylfaen" w:hAnsi="Sylfaen" w:cs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რაჭა</w:t>
            </w:r>
            <w:r w:rsidRPr="0074463F">
              <w:rPr>
                <w:rFonts w:ascii="Sylfaen" w:hAnsi="Sylfaen"/>
                <w:sz w:val="20"/>
                <w:szCs w:val="20"/>
              </w:rPr>
              <w:t>-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ლეჩხუმი</w:t>
            </w:r>
            <w:r w:rsidRPr="0074463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4463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ქვემო</w:t>
            </w:r>
            <w:r w:rsidRPr="0074463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სვანეთი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327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823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-496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20</w:t>
            </w:r>
            <w:r w:rsidR="008C2A7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56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57C7" w:rsidRPr="0074463F" w:rsidRDefault="007157C7" w:rsidP="00CA5313">
            <w:pPr>
              <w:spacing w:after="0" w:line="240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სამეგრელო</w:t>
            </w:r>
            <w:r w:rsidRPr="0074463F">
              <w:rPr>
                <w:rFonts w:ascii="Sylfaen" w:hAnsi="Sylfaen"/>
                <w:sz w:val="20"/>
                <w:szCs w:val="20"/>
              </w:rPr>
              <w:t>-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ზემო</w:t>
            </w:r>
            <w:r w:rsidRPr="0074463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სვანეთი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797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532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-735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</w:t>
            </w:r>
            <w:r w:rsidR="008C2A7C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72</w:t>
            </w:r>
            <w:r w:rsidR="008C2A7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4463F" w:rsidRDefault="007157C7" w:rsidP="00CA5313">
            <w:pPr>
              <w:spacing w:after="0" w:line="240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სამცხე</w:t>
            </w:r>
            <w:r w:rsidRPr="0074463F">
              <w:rPr>
                <w:rFonts w:ascii="Sylfaen" w:hAnsi="Sylfaen"/>
                <w:sz w:val="20"/>
                <w:szCs w:val="20"/>
              </w:rPr>
              <w:t>-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ჯავახეთი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349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053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296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0</w:t>
            </w:r>
            <w:r w:rsidR="008C2A7C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202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4463F" w:rsidRDefault="007157C7" w:rsidP="00CA5313">
            <w:pPr>
              <w:spacing w:after="0" w:line="240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ქვემო</w:t>
            </w:r>
            <w:r w:rsidRPr="0074463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ქართლი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6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892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855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2037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8</w:t>
            </w:r>
            <w:r w:rsidR="008C2A7C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982</w:t>
            </w:r>
          </w:p>
        </w:tc>
      </w:tr>
      <w:tr w:rsidR="007157C7" w:rsidRPr="0074463F" w:rsidTr="00E739D4">
        <w:trPr>
          <w:trHeight w:val="30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4463F" w:rsidRDefault="007157C7" w:rsidP="00CA5313">
            <w:pPr>
              <w:spacing w:after="0" w:line="240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74463F">
              <w:rPr>
                <w:rFonts w:ascii="Sylfaen" w:hAnsi="Sylfaen" w:cs="Sylfaen"/>
                <w:sz w:val="20"/>
                <w:szCs w:val="20"/>
              </w:rPr>
              <w:t>შიდა</w:t>
            </w:r>
            <w:r w:rsidRPr="0074463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74463F">
              <w:rPr>
                <w:rFonts w:ascii="Sylfaen" w:hAnsi="Sylfaen" w:cs="Sylfaen"/>
                <w:sz w:val="20"/>
                <w:szCs w:val="20"/>
              </w:rPr>
              <w:t>ქართლი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B82AAC" w:rsidRDefault="007157C7" w:rsidP="00B82AA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4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B82AAC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074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717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357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8C2A7C" w:rsidRDefault="007157C7" w:rsidP="008C2A7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Times New Roman"/>
                <w:bCs/>
                <w:sz w:val="20"/>
                <w:szCs w:val="20"/>
                <w:lang w:val="ka-GE"/>
              </w:rPr>
              <w:t xml:space="preserve"> </w:t>
            </w:r>
            <w:r w:rsidR="008C2A7C">
              <w:rPr>
                <w:rFonts w:ascii="Times New Roman" w:hAnsi="Times New Roman" w:cs="Times New Roman"/>
                <w:bCs/>
                <w:sz w:val="20"/>
                <w:szCs w:val="20"/>
              </w:rPr>
              <w:t>697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57C7" w:rsidRPr="007157C7" w:rsidRDefault="007157C7" w:rsidP="007157C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</w:pPr>
            <w:r w:rsidRPr="007157C7">
              <w:rPr>
                <w:rFonts w:ascii="Times New Roman" w:hAnsi="Times New Roman" w:cs="Times New Roman"/>
                <w:bCs/>
                <w:sz w:val="20"/>
                <w:szCs w:val="20"/>
                <w:lang w:val="ka-GE"/>
              </w:rPr>
              <w:t>580</w:t>
            </w:r>
          </w:p>
        </w:tc>
      </w:tr>
    </w:tbl>
    <w:p w:rsidR="00F37DCC" w:rsidRPr="000C4B5A" w:rsidRDefault="00F37DCC" w:rsidP="0093543E">
      <w:pPr>
        <w:spacing w:after="0"/>
        <w:rPr>
          <w:rFonts w:ascii="Sylfaen" w:hAnsi="Sylfaen"/>
          <w:b/>
          <w:sz w:val="20"/>
          <w:szCs w:val="20"/>
        </w:rPr>
      </w:pPr>
    </w:p>
    <w:p w:rsidR="0072265C" w:rsidRPr="00BD1E77" w:rsidRDefault="007D128C" w:rsidP="0093543E">
      <w:pPr>
        <w:spacing w:after="0"/>
        <w:rPr>
          <w:rFonts w:ascii="AcadNusx" w:eastAsia="Times New Roman" w:hAnsi="AcadNusx" w:cs="Times New Roman"/>
          <w:b/>
        </w:rPr>
      </w:pPr>
      <w:r w:rsidRPr="00BD1E77">
        <w:rPr>
          <w:rFonts w:ascii="Sylfaen" w:hAnsi="Sylfaen"/>
          <w:b/>
          <w:sz w:val="20"/>
          <w:szCs w:val="20"/>
          <w:lang w:val="ka-GE"/>
        </w:rPr>
        <w:t xml:space="preserve">საკონტაქტო პირი: პაატა შავიშვილი, ტელ.: +995 32 236 72 10 (601); ელ- ფოსტა: </w:t>
      </w:r>
      <w:hyperlink r:id="rId18" w:history="1">
        <w:r w:rsidRPr="00BD1E77">
          <w:rPr>
            <w:rStyle w:val="Hyperlink"/>
            <w:rFonts w:ascii="Sylfaen" w:hAnsi="Sylfaen" w:cstheme="minorBidi"/>
            <w:b/>
            <w:sz w:val="20"/>
            <w:szCs w:val="20"/>
          </w:rPr>
          <w:t>shavishvili@geostat.ge</w:t>
        </w:r>
      </w:hyperlink>
    </w:p>
    <w:sectPr w:rsidR="0072265C" w:rsidRPr="00BD1E77" w:rsidSect="00670F4A">
      <w:footerReference w:type="even" r:id="rId19"/>
      <w:footerReference w:type="default" r:id="rId20"/>
      <w:pgSz w:w="11907" w:h="16840" w:code="9"/>
      <w:pgMar w:top="629" w:right="992" w:bottom="1134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C78" w:rsidRDefault="00DF2C78" w:rsidP="008A4EC7">
      <w:pPr>
        <w:spacing w:after="0" w:line="240" w:lineRule="auto"/>
      </w:pPr>
      <w:r>
        <w:separator/>
      </w:r>
    </w:p>
  </w:endnote>
  <w:endnote w:type="continuationSeparator" w:id="0">
    <w:p w:rsidR="00DF2C78" w:rsidRDefault="00DF2C78" w:rsidP="008A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8801109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C5149" w:rsidRPr="004E13C9" w:rsidRDefault="003C5149" w:rsidP="00BA06BD">
        <w:pPr>
          <w:pStyle w:val="Footer"/>
          <w:jc w:val="right"/>
          <w:rPr>
            <w:b/>
            <w:color w:val="FF0000"/>
          </w:rPr>
        </w:pPr>
        <w:r>
          <w:rPr>
            <w:rFonts w:ascii="Sylfaen" w:hAnsi="Sylfaen"/>
            <w:sz w:val="20"/>
            <w:szCs w:val="20"/>
            <w:lang w:val="ka-GE"/>
          </w:rPr>
          <w:t xml:space="preserve">საკონტაქტო პირი: პაატა შავიშვილი, ტელ.: +995 32 236 72 10 (601); ელ- ფოსტა: </w:t>
        </w:r>
        <w:hyperlink r:id="rId1" w:history="1">
          <w:r w:rsidRPr="000E2F82">
            <w:rPr>
              <w:rStyle w:val="Hyperlink"/>
              <w:rFonts w:ascii="Sylfaen" w:hAnsi="Sylfaen" w:cstheme="minorBidi"/>
              <w:sz w:val="20"/>
              <w:szCs w:val="20"/>
            </w:rPr>
            <w:t>shavishvili@geostat.ge</w:t>
          </w:r>
        </w:hyperlink>
        <w:r>
          <w:rPr>
            <w:rFonts w:ascii="Sylfaen" w:hAnsi="Sylfaen"/>
            <w:sz w:val="20"/>
            <w:szCs w:val="20"/>
          </w:rPr>
          <w:t xml:space="preserve"> </w:t>
        </w:r>
        <w:hyperlink r:id="rId2" w:history="1">
          <w:r w:rsidRPr="004E13C9">
            <w:rPr>
              <w:rStyle w:val="Hyperlink"/>
              <w:b/>
              <w:color w:val="FF0000"/>
            </w:rPr>
            <w:t>www.geostat.ge</w:t>
          </w:r>
        </w:hyperlink>
        <w:r w:rsidRPr="004E13C9">
          <w:rPr>
            <w:b/>
            <w:color w:val="FF0000"/>
          </w:rPr>
          <w:t>, info@geostat.ge</w:t>
        </w:r>
        <w:r w:rsidRPr="004E13C9">
          <w:rPr>
            <w:rStyle w:val="Hyperlink"/>
            <w:b/>
            <w:color w:val="FF0000"/>
          </w:rPr>
          <w:t xml:space="preserve"> </w:t>
        </w:r>
      </w:p>
    </w:sdtContent>
  </w:sdt>
  <w:p w:rsidR="003C5149" w:rsidRPr="00DE451E" w:rsidRDefault="003C5149">
    <w:pPr>
      <w:pStyle w:val="Footer"/>
      <w:rPr>
        <w:rFonts w:ascii="Sylfaen" w:hAnsi="Sylfaen"/>
        <w:sz w:val="20"/>
        <w:szCs w:val="20"/>
        <w:lang w:val="ka-G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8304"/>
      <w:docPartObj>
        <w:docPartGallery w:val="Page Numbers (Bottom of Page)"/>
        <w:docPartUnique/>
      </w:docPartObj>
    </w:sdtPr>
    <w:sdtEndPr/>
    <w:sdtContent>
      <w:p w:rsidR="003C5149" w:rsidRDefault="00DF2C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E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C5149" w:rsidRDefault="003C5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C78" w:rsidRDefault="00DF2C78" w:rsidP="008A4EC7">
      <w:pPr>
        <w:spacing w:after="0" w:line="240" w:lineRule="auto"/>
      </w:pPr>
      <w:r>
        <w:separator/>
      </w:r>
    </w:p>
  </w:footnote>
  <w:footnote w:type="continuationSeparator" w:id="0">
    <w:p w:rsidR="00DF2C78" w:rsidRDefault="00DF2C78" w:rsidP="008A4EC7">
      <w:pPr>
        <w:spacing w:after="0" w:line="240" w:lineRule="auto"/>
      </w:pPr>
      <w:r>
        <w:continuationSeparator/>
      </w:r>
    </w:p>
  </w:footnote>
  <w:footnote w:id="1">
    <w:p w:rsidR="007157C7" w:rsidRPr="00DE0FB3" w:rsidRDefault="007157C7">
      <w:pPr>
        <w:pStyle w:val="FootnoteText"/>
        <w:rPr>
          <w:rFonts w:ascii="Sylfaen" w:hAnsi="Sylfaen"/>
        </w:rPr>
      </w:pPr>
      <w:r w:rsidRPr="00CA76D4">
        <w:rPr>
          <w:rStyle w:val="FootnoteReference"/>
        </w:rPr>
        <w:sym w:font="Symbol" w:char="F02A"/>
      </w:r>
      <w:r>
        <w:t xml:space="preserve"> </w:t>
      </w:r>
      <w:r w:rsidR="00DE0FB3">
        <w:t xml:space="preserve">... - </w:t>
      </w:r>
      <w:r w:rsidRPr="0035449E">
        <w:rPr>
          <w:rFonts w:ascii="Sylfaen" w:hAnsi="Sylfaen"/>
          <w:sz w:val="18"/>
          <w:szCs w:val="18"/>
          <w:lang w:val="ka-GE"/>
        </w:rPr>
        <w:t>მონაცემები არ არსებობს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1C"/>
    <w:rsid w:val="00001D2E"/>
    <w:rsid w:val="00003029"/>
    <w:rsid w:val="000031AE"/>
    <w:rsid w:val="000047C2"/>
    <w:rsid w:val="00004919"/>
    <w:rsid w:val="000052AF"/>
    <w:rsid w:val="00005BC6"/>
    <w:rsid w:val="00005F14"/>
    <w:rsid w:val="000118A0"/>
    <w:rsid w:val="00011946"/>
    <w:rsid w:val="00011C6C"/>
    <w:rsid w:val="00012FF5"/>
    <w:rsid w:val="000146C3"/>
    <w:rsid w:val="00015F4F"/>
    <w:rsid w:val="00017634"/>
    <w:rsid w:val="00017E0D"/>
    <w:rsid w:val="0002068D"/>
    <w:rsid w:val="00021B4F"/>
    <w:rsid w:val="00021E86"/>
    <w:rsid w:val="00032A9B"/>
    <w:rsid w:val="00035A4A"/>
    <w:rsid w:val="00036398"/>
    <w:rsid w:val="00036A16"/>
    <w:rsid w:val="000433AF"/>
    <w:rsid w:val="000436CD"/>
    <w:rsid w:val="0004465D"/>
    <w:rsid w:val="000470BC"/>
    <w:rsid w:val="00047558"/>
    <w:rsid w:val="0005151A"/>
    <w:rsid w:val="00051805"/>
    <w:rsid w:val="000534A3"/>
    <w:rsid w:val="00063539"/>
    <w:rsid w:val="0006486A"/>
    <w:rsid w:val="00065EA2"/>
    <w:rsid w:val="00071C64"/>
    <w:rsid w:val="00072EF4"/>
    <w:rsid w:val="00074240"/>
    <w:rsid w:val="00080D3E"/>
    <w:rsid w:val="00087847"/>
    <w:rsid w:val="0009622E"/>
    <w:rsid w:val="000966CC"/>
    <w:rsid w:val="00096899"/>
    <w:rsid w:val="000A79BC"/>
    <w:rsid w:val="000A7A3B"/>
    <w:rsid w:val="000B3703"/>
    <w:rsid w:val="000B3BA1"/>
    <w:rsid w:val="000C4B5A"/>
    <w:rsid w:val="000C68DB"/>
    <w:rsid w:val="000D12A4"/>
    <w:rsid w:val="000D1CBA"/>
    <w:rsid w:val="000E13E8"/>
    <w:rsid w:val="000F1016"/>
    <w:rsid w:val="000F696B"/>
    <w:rsid w:val="000F773C"/>
    <w:rsid w:val="000F7828"/>
    <w:rsid w:val="00105470"/>
    <w:rsid w:val="00110745"/>
    <w:rsid w:val="0011187F"/>
    <w:rsid w:val="00112CF5"/>
    <w:rsid w:val="0011415C"/>
    <w:rsid w:val="00120153"/>
    <w:rsid w:val="001225CF"/>
    <w:rsid w:val="001331E0"/>
    <w:rsid w:val="001336D4"/>
    <w:rsid w:val="001353A8"/>
    <w:rsid w:val="00135995"/>
    <w:rsid w:val="00137950"/>
    <w:rsid w:val="00137C86"/>
    <w:rsid w:val="00141B14"/>
    <w:rsid w:val="00141E9F"/>
    <w:rsid w:val="0014250C"/>
    <w:rsid w:val="001425B8"/>
    <w:rsid w:val="00145CEB"/>
    <w:rsid w:val="001474B9"/>
    <w:rsid w:val="00151650"/>
    <w:rsid w:val="0015593C"/>
    <w:rsid w:val="00155A8C"/>
    <w:rsid w:val="00156704"/>
    <w:rsid w:val="00157D43"/>
    <w:rsid w:val="0017007F"/>
    <w:rsid w:val="0017249E"/>
    <w:rsid w:val="001727E5"/>
    <w:rsid w:val="00175139"/>
    <w:rsid w:val="00175BE3"/>
    <w:rsid w:val="0018203B"/>
    <w:rsid w:val="00182B51"/>
    <w:rsid w:val="00183EEC"/>
    <w:rsid w:val="00186DF2"/>
    <w:rsid w:val="001946F7"/>
    <w:rsid w:val="001A1DE9"/>
    <w:rsid w:val="001A3F38"/>
    <w:rsid w:val="001A4552"/>
    <w:rsid w:val="001A65E1"/>
    <w:rsid w:val="001A7C6E"/>
    <w:rsid w:val="001B218A"/>
    <w:rsid w:val="001B2819"/>
    <w:rsid w:val="001B36C0"/>
    <w:rsid w:val="001B38E1"/>
    <w:rsid w:val="001C423D"/>
    <w:rsid w:val="001C5ED9"/>
    <w:rsid w:val="001C60C1"/>
    <w:rsid w:val="001C6132"/>
    <w:rsid w:val="001C71AF"/>
    <w:rsid w:val="001D1E3F"/>
    <w:rsid w:val="001D3772"/>
    <w:rsid w:val="001D4BA1"/>
    <w:rsid w:val="001D4F1A"/>
    <w:rsid w:val="001E04AC"/>
    <w:rsid w:val="001E0AC4"/>
    <w:rsid w:val="001E380D"/>
    <w:rsid w:val="001E4318"/>
    <w:rsid w:val="001E522D"/>
    <w:rsid w:val="001E5867"/>
    <w:rsid w:val="001E71A2"/>
    <w:rsid w:val="001E745B"/>
    <w:rsid w:val="001E7E95"/>
    <w:rsid w:val="001F05DD"/>
    <w:rsid w:val="001F39BF"/>
    <w:rsid w:val="001F4CF5"/>
    <w:rsid w:val="001F5485"/>
    <w:rsid w:val="001F76F8"/>
    <w:rsid w:val="0021075B"/>
    <w:rsid w:val="00215BED"/>
    <w:rsid w:val="00215EA1"/>
    <w:rsid w:val="00216E00"/>
    <w:rsid w:val="00217D34"/>
    <w:rsid w:val="00222FEA"/>
    <w:rsid w:val="00223A04"/>
    <w:rsid w:val="00223C4F"/>
    <w:rsid w:val="00224134"/>
    <w:rsid w:val="002248EA"/>
    <w:rsid w:val="00230C81"/>
    <w:rsid w:val="00235557"/>
    <w:rsid w:val="00236A5B"/>
    <w:rsid w:val="00240BAC"/>
    <w:rsid w:val="00241320"/>
    <w:rsid w:val="00242203"/>
    <w:rsid w:val="00244F67"/>
    <w:rsid w:val="00246DD8"/>
    <w:rsid w:val="002471FE"/>
    <w:rsid w:val="002473E0"/>
    <w:rsid w:val="00251FF4"/>
    <w:rsid w:val="002527FB"/>
    <w:rsid w:val="00252C4F"/>
    <w:rsid w:val="0025362A"/>
    <w:rsid w:val="00256178"/>
    <w:rsid w:val="00260967"/>
    <w:rsid w:val="00263BCC"/>
    <w:rsid w:val="00264089"/>
    <w:rsid w:val="002641D7"/>
    <w:rsid w:val="00266CB4"/>
    <w:rsid w:val="002674E3"/>
    <w:rsid w:val="00273EAC"/>
    <w:rsid w:val="00277A5A"/>
    <w:rsid w:val="002828FF"/>
    <w:rsid w:val="00282987"/>
    <w:rsid w:val="00283AB7"/>
    <w:rsid w:val="002911AC"/>
    <w:rsid w:val="002911C8"/>
    <w:rsid w:val="002943A6"/>
    <w:rsid w:val="00294D58"/>
    <w:rsid w:val="002A281B"/>
    <w:rsid w:val="002B330C"/>
    <w:rsid w:val="002B564F"/>
    <w:rsid w:val="002B5B0D"/>
    <w:rsid w:val="002B730A"/>
    <w:rsid w:val="002C0E57"/>
    <w:rsid w:val="002C1676"/>
    <w:rsid w:val="002C2A17"/>
    <w:rsid w:val="002C3BF5"/>
    <w:rsid w:val="002D053E"/>
    <w:rsid w:val="002D0971"/>
    <w:rsid w:val="002D1D76"/>
    <w:rsid w:val="002D3D2E"/>
    <w:rsid w:val="002D6949"/>
    <w:rsid w:val="002D7425"/>
    <w:rsid w:val="002D7429"/>
    <w:rsid w:val="002E06DD"/>
    <w:rsid w:val="002E0A56"/>
    <w:rsid w:val="002E32BD"/>
    <w:rsid w:val="002E3526"/>
    <w:rsid w:val="002E3B88"/>
    <w:rsid w:val="002E4BB3"/>
    <w:rsid w:val="002F09D2"/>
    <w:rsid w:val="002F15FA"/>
    <w:rsid w:val="002F2DBC"/>
    <w:rsid w:val="0030223F"/>
    <w:rsid w:val="00312A73"/>
    <w:rsid w:val="00314F28"/>
    <w:rsid w:val="00315191"/>
    <w:rsid w:val="0031528E"/>
    <w:rsid w:val="00315D35"/>
    <w:rsid w:val="003162BA"/>
    <w:rsid w:val="00317AE2"/>
    <w:rsid w:val="00321003"/>
    <w:rsid w:val="00321F76"/>
    <w:rsid w:val="00330D14"/>
    <w:rsid w:val="0033127E"/>
    <w:rsid w:val="0033232F"/>
    <w:rsid w:val="003328D8"/>
    <w:rsid w:val="00333EDF"/>
    <w:rsid w:val="003345CA"/>
    <w:rsid w:val="003365AC"/>
    <w:rsid w:val="00336725"/>
    <w:rsid w:val="00337E09"/>
    <w:rsid w:val="0034179F"/>
    <w:rsid w:val="00343BF8"/>
    <w:rsid w:val="00343C8E"/>
    <w:rsid w:val="003476DA"/>
    <w:rsid w:val="0035449E"/>
    <w:rsid w:val="00354A3F"/>
    <w:rsid w:val="00355D91"/>
    <w:rsid w:val="00366AE6"/>
    <w:rsid w:val="00372362"/>
    <w:rsid w:val="00374905"/>
    <w:rsid w:val="00385A15"/>
    <w:rsid w:val="003A335C"/>
    <w:rsid w:val="003A4908"/>
    <w:rsid w:val="003B266C"/>
    <w:rsid w:val="003B30AC"/>
    <w:rsid w:val="003B65AC"/>
    <w:rsid w:val="003B6CD4"/>
    <w:rsid w:val="003C02DA"/>
    <w:rsid w:val="003C1887"/>
    <w:rsid w:val="003C34CE"/>
    <w:rsid w:val="003C5149"/>
    <w:rsid w:val="003C67E8"/>
    <w:rsid w:val="003D0543"/>
    <w:rsid w:val="003D36CA"/>
    <w:rsid w:val="003D4B26"/>
    <w:rsid w:val="003D6367"/>
    <w:rsid w:val="003E538C"/>
    <w:rsid w:val="003E6D3F"/>
    <w:rsid w:val="003F13FA"/>
    <w:rsid w:val="00402E0E"/>
    <w:rsid w:val="00402E58"/>
    <w:rsid w:val="004032DD"/>
    <w:rsid w:val="00412BD4"/>
    <w:rsid w:val="00416048"/>
    <w:rsid w:val="00416736"/>
    <w:rsid w:val="00421BCA"/>
    <w:rsid w:val="0042624D"/>
    <w:rsid w:val="00427475"/>
    <w:rsid w:val="00430F05"/>
    <w:rsid w:val="00431262"/>
    <w:rsid w:val="00437CB7"/>
    <w:rsid w:val="00437DE0"/>
    <w:rsid w:val="004463F5"/>
    <w:rsid w:val="00446BF4"/>
    <w:rsid w:val="00452C6A"/>
    <w:rsid w:val="00453B39"/>
    <w:rsid w:val="004557A0"/>
    <w:rsid w:val="0046317A"/>
    <w:rsid w:val="00464034"/>
    <w:rsid w:val="004704B4"/>
    <w:rsid w:val="00470BC8"/>
    <w:rsid w:val="004738C8"/>
    <w:rsid w:val="00473FA1"/>
    <w:rsid w:val="0047516D"/>
    <w:rsid w:val="00482F31"/>
    <w:rsid w:val="00484C6C"/>
    <w:rsid w:val="0048778F"/>
    <w:rsid w:val="00490C1F"/>
    <w:rsid w:val="0049735D"/>
    <w:rsid w:val="004A401B"/>
    <w:rsid w:val="004A4A87"/>
    <w:rsid w:val="004A55FA"/>
    <w:rsid w:val="004A69EC"/>
    <w:rsid w:val="004A6D6C"/>
    <w:rsid w:val="004B109C"/>
    <w:rsid w:val="004B46FC"/>
    <w:rsid w:val="004B4A21"/>
    <w:rsid w:val="004B7175"/>
    <w:rsid w:val="004C7362"/>
    <w:rsid w:val="004C77CB"/>
    <w:rsid w:val="004D0406"/>
    <w:rsid w:val="004D3F0E"/>
    <w:rsid w:val="004E13C9"/>
    <w:rsid w:val="004E1521"/>
    <w:rsid w:val="004E1661"/>
    <w:rsid w:val="004E21EB"/>
    <w:rsid w:val="004E442B"/>
    <w:rsid w:val="004E4592"/>
    <w:rsid w:val="004E505C"/>
    <w:rsid w:val="004E6BC4"/>
    <w:rsid w:val="004F06CA"/>
    <w:rsid w:val="004F2563"/>
    <w:rsid w:val="00500560"/>
    <w:rsid w:val="005028BD"/>
    <w:rsid w:val="005061F7"/>
    <w:rsid w:val="00506E4A"/>
    <w:rsid w:val="00511B93"/>
    <w:rsid w:val="0051437D"/>
    <w:rsid w:val="0051663D"/>
    <w:rsid w:val="00521640"/>
    <w:rsid w:val="00523031"/>
    <w:rsid w:val="005331F6"/>
    <w:rsid w:val="0053655E"/>
    <w:rsid w:val="005366CE"/>
    <w:rsid w:val="0054259B"/>
    <w:rsid w:val="005439F6"/>
    <w:rsid w:val="0055609D"/>
    <w:rsid w:val="00564225"/>
    <w:rsid w:val="00566266"/>
    <w:rsid w:val="005670D3"/>
    <w:rsid w:val="00570C21"/>
    <w:rsid w:val="00572E47"/>
    <w:rsid w:val="005730F8"/>
    <w:rsid w:val="005743AA"/>
    <w:rsid w:val="00574AAB"/>
    <w:rsid w:val="005760B1"/>
    <w:rsid w:val="00576EC7"/>
    <w:rsid w:val="00576FBD"/>
    <w:rsid w:val="005926A5"/>
    <w:rsid w:val="005A1189"/>
    <w:rsid w:val="005A1BF2"/>
    <w:rsid w:val="005A512C"/>
    <w:rsid w:val="005A771F"/>
    <w:rsid w:val="005C1B0A"/>
    <w:rsid w:val="005C2BBB"/>
    <w:rsid w:val="005D4018"/>
    <w:rsid w:val="005D6185"/>
    <w:rsid w:val="005D6E01"/>
    <w:rsid w:val="005D7EE5"/>
    <w:rsid w:val="005E1434"/>
    <w:rsid w:val="005E1436"/>
    <w:rsid w:val="005E25A2"/>
    <w:rsid w:val="005E766E"/>
    <w:rsid w:val="005F0393"/>
    <w:rsid w:val="005F07CC"/>
    <w:rsid w:val="005F08A8"/>
    <w:rsid w:val="005F19E0"/>
    <w:rsid w:val="005F4813"/>
    <w:rsid w:val="005F5963"/>
    <w:rsid w:val="005F707E"/>
    <w:rsid w:val="00600F00"/>
    <w:rsid w:val="006027E9"/>
    <w:rsid w:val="0060549A"/>
    <w:rsid w:val="00615A9C"/>
    <w:rsid w:val="00615FF6"/>
    <w:rsid w:val="00624071"/>
    <w:rsid w:val="00624E8C"/>
    <w:rsid w:val="00624FC8"/>
    <w:rsid w:val="00627D97"/>
    <w:rsid w:val="00630827"/>
    <w:rsid w:val="00630FA4"/>
    <w:rsid w:val="00631308"/>
    <w:rsid w:val="00632853"/>
    <w:rsid w:val="00632EC8"/>
    <w:rsid w:val="00636A6B"/>
    <w:rsid w:val="00640372"/>
    <w:rsid w:val="006451ED"/>
    <w:rsid w:val="00646B99"/>
    <w:rsid w:val="00650E80"/>
    <w:rsid w:val="00653854"/>
    <w:rsid w:val="00655476"/>
    <w:rsid w:val="00657384"/>
    <w:rsid w:val="006607D2"/>
    <w:rsid w:val="006632FC"/>
    <w:rsid w:val="00664A44"/>
    <w:rsid w:val="00665DA7"/>
    <w:rsid w:val="00665FDA"/>
    <w:rsid w:val="0066702F"/>
    <w:rsid w:val="0066706C"/>
    <w:rsid w:val="00667E00"/>
    <w:rsid w:val="00670F4A"/>
    <w:rsid w:val="00672169"/>
    <w:rsid w:val="006744B8"/>
    <w:rsid w:val="0067522C"/>
    <w:rsid w:val="00675A1C"/>
    <w:rsid w:val="00684002"/>
    <w:rsid w:val="00684F63"/>
    <w:rsid w:val="00686FB3"/>
    <w:rsid w:val="00687846"/>
    <w:rsid w:val="006A00F9"/>
    <w:rsid w:val="006A01A4"/>
    <w:rsid w:val="006A1A04"/>
    <w:rsid w:val="006A4084"/>
    <w:rsid w:val="006A5D3C"/>
    <w:rsid w:val="006B575C"/>
    <w:rsid w:val="006C14C6"/>
    <w:rsid w:val="006C4FEB"/>
    <w:rsid w:val="006C5056"/>
    <w:rsid w:val="006C7EAE"/>
    <w:rsid w:val="006D3045"/>
    <w:rsid w:val="006D58A4"/>
    <w:rsid w:val="006D7B26"/>
    <w:rsid w:val="006E03F0"/>
    <w:rsid w:val="006E08D6"/>
    <w:rsid w:val="006E4742"/>
    <w:rsid w:val="006E7BC5"/>
    <w:rsid w:val="006F3A35"/>
    <w:rsid w:val="006F5638"/>
    <w:rsid w:val="006F6742"/>
    <w:rsid w:val="00701EDD"/>
    <w:rsid w:val="00703F80"/>
    <w:rsid w:val="007052D6"/>
    <w:rsid w:val="00707B2C"/>
    <w:rsid w:val="00710449"/>
    <w:rsid w:val="007109A1"/>
    <w:rsid w:val="007128ED"/>
    <w:rsid w:val="007136D0"/>
    <w:rsid w:val="0071415B"/>
    <w:rsid w:val="007157C7"/>
    <w:rsid w:val="00716D68"/>
    <w:rsid w:val="007172FC"/>
    <w:rsid w:val="0072265C"/>
    <w:rsid w:val="007228F0"/>
    <w:rsid w:val="0072419C"/>
    <w:rsid w:val="0072456F"/>
    <w:rsid w:val="00725402"/>
    <w:rsid w:val="00726C08"/>
    <w:rsid w:val="00731A5B"/>
    <w:rsid w:val="00732493"/>
    <w:rsid w:val="00732557"/>
    <w:rsid w:val="0073350D"/>
    <w:rsid w:val="00733808"/>
    <w:rsid w:val="00735A82"/>
    <w:rsid w:val="00740B22"/>
    <w:rsid w:val="00742D72"/>
    <w:rsid w:val="0074463F"/>
    <w:rsid w:val="0074469D"/>
    <w:rsid w:val="007457D6"/>
    <w:rsid w:val="00747E8A"/>
    <w:rsid w:val="00752FDD"/>
    <w:rsid w:val="007542E1"/>
    <w:rsid w:val="007570E5"/>
    <w:rsid w:val="007637CB"/>
    <w:rsid w:val="00764000"/>
    <w:rsid w:val="00766CD9"/>
    <w:rsid w:val="00766D29"/>
    <w:rsid w:val="00770036"/>
    <w:rsid w:val="0077102F"/>
    <w:rsid w:val="00772A4D"/>
    <w:rsid w:val="00773B3D"/>
    <w:rsid w:val="00777203"/>
    <w:rsid w:val="007861DD"/>
    <w:rsid w:val="00790C96"/>
    <w:rsid w:val="00794368"/>
    <w:rsid w:val="0079546E"/>
    <w:rsid w:val="007A01A9"/>
    <w:rsid w:val="007A0E6F"/>
    <w:rsid w:val="007A164C"/>
    <w:rsid w:val="007A16ED"/>
    <w:rsid w:val="007A4DB1"/>
    <w:rsid w:val="007A4FC0"/>
    <w:rsid w:val="007B0503"/>
    <w:rsid w:val="007B2198"/>
    <w:rsid w:val="007B5011"/>
    <w:rsid w:val="007B7B43"/>
    <w:rsid w:val="007C07D3"/>
    <w:rsid w:val="007C627E"/>
    <w:rsid w:val="007C77E4"/>
    <w:rsid w:val="007D128C"/>
    <w:rsid w:val="007D492C"/>
    <w:rsid w:val="007D5636"/>
    <w:rsid w:val="007D744B"/>
    <w:rsid w:val="007E1915"/>
    <w:rsid w:val="007E6AAE"/>
    <w:rsid w:val="007E78A4"/>
    <w:rsid w:val="007F00F1"/>
    <w:rsid w:val="007F6319"/>
    <w:rsid w:val="007F6B4A"/>
    <w:rsid w:val="0080024E"/>
    <w:rsid w:val="00800836"/>
    <w:rsid w:val="00802ECD"/>
    <w:rsid w:val="00802EF6"/>
    <w:rsid w:val="008049B2"/>
    <w:rsid w:val="008075D9"/>
    <w:rsid w:val="00812139"/>
    <w:rsid w:val="008149C7"/>
    <w:rsid w:val="00822343"/>
    <w:rsid w:val="0082236A"/>
    <w:rsid w:val="008242DA"/>
    <w:rsid w:val="00825D45"/>
    <w:rsid w:val="00826B70"/>
    <w:rsid w:val="00827EED"/>
    <w:rsid w:val="00831137"/>
    <w:rsid w:val="00834860"/>
    <w:rsid w:val="008350D8"/>
    <w:rsid w:val="008401E0"/>
    <w:rsid w:val="008418BC"/>
    <w:rsid w:val="0084230F"/>
    <w:rsid w:val="00843138"/>
    <w:rsid w:val="0084338C"/>
    <w:rsid w:val="00844F42"/>
    <w:rsid w:val="008509B3"/>
    <w:rsid w:val="008520B1"/>
    <w:rsid w:val="0086228F"/>
    <w:rsid w:val="008635DB"/>
    <w:rsid w:val="00866E1C"/>
    <w:rsid w:val="0087099C"/>
    <w:rsid w:val="0087417E"/>
    <w:rsid w:val="00875F93"/>
    <w:rsid w:val="00876E2C"/>
    <w:rsid w:val="00881173"/>
    <w:rsid w:val="008827CA"/>
    <w:rsid w:val="00883782"/>
    <w:rsid w:val="00885C7E"/>
    <w:rsid w:val="008862E7"/>
    <w:rsid w:val="008878EF"/>
    <w:rsid w:val="00887CE0"/>
    <w:rsid w:val="008902A7"/>
    <w:rsid w:val="00890706"/>
    <w:rsid w:val="00890BC7"/>
    <w:rsid w:val="0089679B"/>
    <w:rsid w:val="00897B2C"/>
    <w:rsid w:val="008A047E"/>
    <w:rsid w:val="008A0771"/>
    <w:rsid w:val="008A165D"/>
    <w:rsid w:val="008A4EC7"/>
    <w:rsid w:val="008B2D45"/>
    <w:rsid w:val="008B35F7"/>
    <w:rsid w:val="008B713C"/>
    <w:rsid w:val="008C2A7C"/>
    <w:rsid w:val="008C3CD1"/>
    <w:rsid w:val="008C454A"/>
    <w:rsid w:val="008C5BDC"/>
    <w:rsid w:val="008D6043"/>
    <w:rsid w:val="008F05F6"/>
    <w:rsid w:val="008F1A45"/>
    <w:rsid w:val="008F43E3"/>
    <w:rsid w:val="00903B77"/>
    <w:rsid w:val="00905461"/>
    <w:rsid w:val="009164C5"/>
    <w:rsid w:val="00916C5B"/>
    <w:rsid w:val="009170AF"/>
    <w:rsid w:val="00917C45"/>
    <w:rsid w:val="009208A0"/>
    <w:rsid w:val="0092170E"/>
    <w:rsid w:val="00922959"/>
    <w:rsid w:val="00923883"/>
    <w:rsid w:val="00930B6B"/>
    <w:rsid w:val="00932E5F"/>
    <w:rsid w:val="00934E2D"/>
    <w:rsid w:val="0093543E"/>
    <w:rsid w:val="00940FB3"/>
    <w:rsid w:val="0094427D"/>
    <w:rsid w:val="00944B89"/>
    <w:rsid w:val="00950A6B"/>
    <w:rsid w:val="009539BA"/>
    <w:rsid w:val="00954D15"/>
    <w:rsid w:val="00957009"/>
    <w:rsid w:val="00961926"/>
    <w:rsid w:val="009625D5"/>
    <w:rsid w:val="00963427"/>
    <w:rsid w:val="00965B09"/>
    <w:rsid w:val="009731B0"/>
    <w:rsid w:val="009748FF"/>
    <w:rsid w:val="0097766A"/>
    <w:rsid w:val="00981E2B"/>
    <w:rsid w:val="00982964"/>
    <w:rsid w:val="00983810"/>
    <w:rsid w:val="00985A33"/>
    <w:rsid w:val="00987287"/>
    <w:rsid w:val="009943A9"/>
    <w:rsid w:val="009A3985"/>
    <w:rsid w:val="009A4784"/>
    <w:rsid w:val="009B2C6F"/>
    <w:rsid w:val="009B2DDE"/>
    <w:rsid w:val="009B383F"/>
    <w:rsid w:val="009B3B41"/>
    <w:rsid w:val="009B6D67"/>
    <w:rsid w:val="009B6E35"/>
    <w:rsid w:val="009B78B4"/>
    <w:rsid w:val="009C0644"/>
    <w:rsid w:val="009C1D29"/>
    <w:rsid w:val="009C1E4A"/>
    <w:rsid w:val="009C5332"/>
    <w:rsid w:val="009C58AF"/>
    <w:rsid w:val="009C69AF"/>
    <w:rsid w:val="009D0812"/>
    <w:rsid w:val="009D2146"/>
    <w:rsid w:val="009D2EEE"/>
    <w:rsid w:val="009D5A0C"/>
    <w:rsid w:val="009E571E"/>
    <w:rsid w:val="009E5998"/>
    <w:rsid w:val="009F1DBC"/>
    <w:rsid w:val="00A01BE0"/>
    <w:rsid w:val="00A03C80"/>
    <w:rsid w:val="00A1048E"/>
    <w:rsid w:val="00A15EC0"/>
    <w:rsid w:val="00A17674"/>
    <w:rsid w:val="00A17A69"/>
    <w:rsid w:val="00A204DB"/>
    <w:rsid w:val="00A208D6"/>
    <w:rsid w:val="00A21099"/>
    <w:rsid w:val="00A23BE0"/>
    <w:rsid w:val="00A26BD7"/>
    <w:rsid w:val="00A32635"/>
    <w:rsid w:val="00A32F0C"/>
    <w:rsid w:val="00A33A52"/>
    <w:rsid w:val="00A351B1"/>
    <w:rsid w:val="00A35265"/>
    <w:rsid w:val="00A35A99"/>
    <w:rsid w:val="00A37059"/>
    <w:rsid w:val="00A40CCD"/>
    <w:rsid w:val="00A425A6"/>
    <w:rsid w:val="00A445A6"/>
    <w:rsid w:val="00A50EEB"/>
    <w:rsid w:val="00A51B49"/>
    <w:rsid w:val="00A52183"/>
    <w:rsid w:val="00A55178"/>
    <w:rsid w:val="00A6148F"/>
    <w:rsid w:val="00A6164B"/>
    <w:rsid w:val="00A6231C"/>
    <w:rsid w:val="00A62859"/>
    <w:rsid w:val="00A6371D"/>
    <w:rsid w:val="00A63746"/>
    <w:rsid w:val="00A64155"/>
    <w:rsid w:val="00A6479F"/>
    <w:rsid w:val="00A707FC"/>
    <w:rsid w:val="00A71A92"/>
    <w:rsid w:val="00A729D6"/>
    <w:rsid w:val="00A74011"/>
    <w:rsid w:val="00A757B2"/>
    <w:rsid w:val="00A803DF"/>
    <w:rsid w:val="00A87B5F"/>
    <w:rsid w:val="00A90CE4"/>
    <w:rsid w:val="00A91D6C"/>
    <w:rsid w:val="00A95D95"/>
    <w:rsid w:val="00A96E2B"/>
    <w:rsid w:val="00AA1B3D"/>
    <w:rsid w:val="00AA4BB0"/>
    <w:rsid w:val="00AA77DB"/>
    <w:rsid w:val="00AB00EF"/>
    <w:rsid w:val="00AB092B"/>
    <w:rsid w:val="00AB17AB"/>
    <w:rsid w:val="00AB2AA1"/>
    <w:rsid w:val="00AB304A"/>
    <w:rsid w:val="00AB4339"/>
    <w:rsid w:val="00AB6033"/>
    <w:rsid w:val="00AC3752"/>
    <w:rsid w:val="00AC55E4"/>
    <w:rsid w:val="00AD14DD"/>
    <w:rsid w:val="00AD486A"/>
    <w:rsid w:val="00AE1AD7"/>
    <w:rsid w:val="00AE3C82"/>
    <w:rsid w:val="00AE6E5C"/>
    <w:rsid w:val="00AF0332"/>
    <w:rsid w:val="00AF2A7F"/>
    <w:rsid w:val="00AF793D"/>
    <w:rsid w:val="00AF7C3E"/>
    <w:rsid w:val="00B01495"/>
    <w:rsid w:val="00B02797"/>
    <w:rsid w:val="00B02D2D"/>
    <w:rsid w:val="00B03E9E"/>
    <w:rsid w:val="00B0648E"/>
    <w:rsid w:val="00B10648"/>
    <w:rsid w:val="00B135D1"/>
    <w:rsid w:val="00B13807"/>
    <w:rsid w:val="00B138DF"/>
    <w:rsid w:val="00B13B5A"/>
    <w:rsid w:val="00B142BC"/>
    <w:rsid w:val="00B1514A"/>
    <w:rsid w:val="00B153AA"/>
    <w:rsid w:val="00B16592"/>
    <w:rsid w:val="00B21722"/>
    <w:rsid w:val="00B267EC"/>
    <w:rsid w:val="00B26F7A"/>
    <w:rsid w:val="00B3783E"/>
    <w:rsid w:val="00B37EDE"/>
    <w:rsid w:val="00B44F29"/>
    <w:rsid w:val="00B57B46"/>
    <w:rsid w:val="00B61C15"/>
    <w:rsid w:val="00B64309"/>
    <w:rsid w:val="00B70505"/>
    <w:rsid w:val="00B70F3E"/>
    <w:rsid w:val="00B71369"/>
    <w:rsid w:val="00B71ACD"/>
    <w:rsid w:val="00B73AB9"/>
    <w:rsid w:val="00B7433B"/>
    <w:rsid w:val="00B744AA"/>
    <w:rsid w:val="00B75463"/>
    <w:rsid w:val="00B82AAC"/>
    <w:rsid w:val="00B82DB5"/>
    <w:rsid w:val="00B842D6"/>
    <w:rsid w:val="00B84AE2"/>
    <w:rsid w:val="00B85F09"/>
    <w:rsid w:val="00B86390"/>
    <w:rsid w:val="00B96C0B"/>
    <w:rsid w:val="00BA034D"/>
    <w:rsid w:val="00BA06BD"/>
    <w:rsid w:val="00BA1B38"/>
    <w:rsid w:val="00BA53F2"/>
    <w:rsid w:val="00BA61F5"/>
    <w:rsid w:val="00BA6F9A"/>
    <w:rsid w:val="00BB0396"/>
    <w:rsid w:val="00BB3553"/>
    <w:rsid w:val="00BB373D"/>
    <w:rsid w:val="00BB3CC4"/>
    <w:rsid w:val="00BB43DD"/>
    <w:rsid w:val="00BB4424"/>
    <w:rsid w:val="00BC40A6"/>
    <w:rsid w:val="00BC736F"/>
    <w:rsid w:val="00BD1E77"/>
    <w:rsid w:val="00BD52A3"/>
    <w:rsid w:val="00BD54A9"/>
    <w:rsid w:val="00BD5CEE"/>
    <w:rsid w:val="00BE289C"/>
    <w:rsid w:val="00BE400C"/>
    <w:rsid w:val="00BE717E"/>
    <w:rsid w:val="00BF6772"/>
    <w:rsid w:val="00BF7036"/>
    <w:rsid w:val="00BF78A9"/>
    <w:rsid w:val="00C00CF6"/>
    <w:rsid w:val="00C023A1"/>
    <w:rsid w:val="00C05E2D"/>
    <w:rsid w:val="00C06B8E"/>
    <w:rsid w:val="00C1522E"/>
    <w:rsid w:val="00C17534"/>
    <w:rsid w:val="00C23987"/>
    <w:rsid w:val="00C23EBC"/>
    <w:rsid w:val="00C23F83"/>
    <w:rsid w:val="00C27183"/>
    <w:rsid w:val="00C27ED9"/>
    <w:rsid w:val="00C30E3F"/>
    <w:rsid w:val="00C312DA"/>
    <w:rsid w:val="00C31B88"/>
    <w:rsid w:val="00C432FE"/>
    <w:rsid w:val="00C44848"/>
    <w:rsid w:val="00C45859"/>
    <w:rsid w:val="00C47A61"/>
    <w:rsid w:val="00C53ECF"/>
    <w:rsid w:val="00C557A5"/>
    <w:rsid w:val="00C56861"/>
    <w:rsid w:val="00C63917"/>
    <w:rsid w:val="00C71741"/>
    <w:rsid w:val="00C74925"/>
    <w:rsid w:val="00C75DAC"/>
    <w:rsid w:val="00C75F9F"/>
    <w:rsid w:val="00C77CAB"/>
    <w:rsid w:val="00C81112"/>
    <w:rsid w:val="00C848E1"/>
    <w:rsid w:val="00C85B99"/>
    <w:rsid w:val="00C90450"/>
    <w:rsid w:val="00C90ECE"/>
    <w:rsid w:val="00C933C4"/>
    <w:rsid w:val="00C94F8B"/>
    <w:rsid w:val="00C9544A"/>
    <w:rsid w:val="00C96ACA"/>
    <w:rsid w:val="00CA0E1F"/>
    <w:rsid w:val="00CA32BB"/>
    <w:rsid w:val="00CA4880"/>
    <w:rsid w:val="00CA4F0B"/>
    <w:rsid w:val="00CA5313"/>
    <w:rsid w:val="00CA76D4"/>
    <w:rsid w:val="00CB05E4"/>
    <w:rsid w:val="00CB0888"/>
    <w:rsid w:val="00CB1FD8"/>
    <w:rsid w:val="00CB382E"/>
    <w:rsid w:val="00CB4B07"/>
    <w:rsid w:val="00CB4E30"/>
    <w:rsid w:val="00CB5904"/>
    <w:rsid w:val="00CC030D"/>
    <w:rsid w:val="00CC19CC"/>
    <w:rsid w:val="00CC2A50"/>
    <w:rsid w:val="00CC2EB7"/>
    <w:rsid w:val="00CC439C"/>
    <w:rsid w:val="00CC52FC"/>
    <w:rsid w:val="00CC5DA5"/>
    <w:rsid w:val="00CC626C"/>
    <w:rsid w:val="00CC68A2"/>
    <w:rsid w:val="00CC6F20"/>
    <w:rsid w:val="00CC770A"/>
    <w:rsid w:val="00CD6669"/>
    <w:rsid w:val="00CE2C87"/>
    <w:rsid w:val="00CE5374"/>
    <w:rsid w:val="00CF0178"/>
    <w:rsid w:val="00CF09C0"/>
    <w:rsid w:val="00CF137B"/>
    <w:rsid w:val="00CF47C3"/>
    <w:rsid w:val="00CF6386"/>
    <w:rsid w:val="00D04677"/>
    <w:rsid w:val="00D05C1F"/>
    <w:rsid w:val="00D125D6"/>
    <w:rsid w:val="00D15C29"/>
    <w:rsid w:val="00D16B81"/>
    <w:rsid w:val="00D16D69"/>
    <w:rsid w:val="00D16F52"/>
    <w:rsid w:val="00D20083"/>
    <w:rsid w:val="00D20C2D"/>
    <w:rsid w:val="00D20D94"/>
    <w:rsid w:val="00D22A2F"/>
    <w:rsid w:val="00D32AAD"/>
    <w:rsid w:val="00D33DE8"/>
    <w:rsid w:val="00D34861"/>
    <w:rsid w:val="00D3521B"/>
    <w:rsid w:val="00D35D48"/>
    <w:rsid w:val="00D428A8"/>
    <w:rsid w:val="00D42F5C"/>
    <w:rsid w:val="00D445DE"/>
    <w:rsid w:val="00D5112D"/>
    <w:rsid w:val="00D53D0D"/>
    <w:rsid w:val="00D5426E"/>
    <w:rsid w:val="00D54BB0"/>
    <w:rsid w:val="00D57BD3"/>
    <w:rsid w:val="00D61C14"/>
    <w:rsid w:val="00D6411B"/>
    <w:rsid w:val="00D704EF"/>
    <w:rsid w:val="00D725C2"/>
    <w:rsid w:val="00D761FC"/>
    <w:rsid w:val="00D86CBC"/>
    <w:rsid w:val="00D90A62"/>
    <w:rsid w:val="00D94443"/>
    <w:rsid w:val="00D94CBD"/>
    <w:rsid w:val="00D9551F"/>
    <w:rsid w:val="00D9774A"/>
    <w:rsid w:val="00DA1931"/>
    <w:rsid w:val="00DB407A"/>
    <w:rsid w:val="00DB5167"/>
    <w:rsid w:val="00DC0AF9"/>
    <w:rsid w:val="00DC1582"/>
    <w:rsid w:val="00DD1B4F"/>
    <w:rsid w:val="00DD63E4"/>
    <w:rsid w:val="00DD6AAC"/>
    <w:rsid w:val="00DD7564"/>
    <w:rsid w:val="00DD7E8E"/>
    <w:rsid w:val="00DE0BEA"/>
    <w:rsid w:val="00DE0FB3"/>
    <w:rsid w:val="00DE1C13"/>
    <w:rsid w:val="00DE2127"/>
    <w:rsid w:val="00DE305C"/>
    <w:rsid w:val="00DE451E"/>
    <w:rsid w:val="00DF2C78"/>
    <w:rsid w:val="00DF5F79"/>
    <w:rsid w:val="00DF7731"/>
    <w:rsid w:val="00DF7BF3"/>
    <w:rsid w:val="00E00309"/>
    <w:rsid w:val="00E11FB8"/>
    <w:rsid w:val="00E152FA"/>
    <w:rsid w:val="00E20E07"/>
    <w:rsid w:val="00E229FC"/>
    <w:rsid w:val="00E24DD3"/>
    <w:rsid w:val="00E24DF7"/>
    <w:rsid w:val="00E34D09"/>
    <w:rsid w:val="00E35D0B"/>
    <w:rsid w:val="00E41370"/>
    <w:rsid w:val="00E43D94"/>
    <w:rsid w:val="00E4422C"/>
    <w:rsid w:val="00E46DC3"/>
    <w:rsid w:val="00E516DB"/>
    <w:rsid w:val="00E51B64"/>
    <w:rsid w:val="00E51C8D"/>
    <w:rsid w:val="00E52AC7"/>
    <w:rsid w:val="00E5473D"/>
    <w:rsid w:val="00E54E55"/>
    <w:rsid w:val="00E60783"/>
    <w:rsid w:val="00E61A89"/>
    <w:rsid w:val="00E6314B"/>
    <w:rsid w:val="00E70103"/>
    <w:rsid w:val="00E739D4"/>
    <w:rsid w:val="00E7596E"/>
    <w:rsid w:val="00E77092"/>
    <w:rsid w:val="00E81E5D"/>
    <w:rsid w:val="00E82B21"/>
    <w:rsid w:val="00E8787E"/>
    <w:rsid w:val="00E91CDE"/>
    <w:rsid w:val="00E91FA4"/>
    <w:rsid w:val="00E95664"/>
    <w:rsid w:val="00E96344"/>
    <w:rsid w:val="00E96F60"/>
    <w:rsid w:val="00E97AB8"/>
    <w:rsid w:val="00EA331B"/>
    <w:rsid w:val="00EA575F"/>
    <w:rsid w:val="00EA6D37"/>
    <w:rsid w:val="00EB0062"/>
    <w:rsid w:val="00EB1E86"/>
    <w:rsid w:val="00EB413C"/>
    <w:rsid w:val="00EB6D65"/>
    <w:rsid w:val="00EB6DD7"/>
    <w:rsid w:val="00EC0C6C"/>
    <w:rsid w:val="00EC1A3D"/>
    <w:rsid w:val="00EC354C"/>
    <w:rsid w:val="00EC3D5D"/>
    <w:rsid w:val="00EC5344"/>
    <w:rsid w:val="00EC5B53"/>
    <w:rsid w:val="00ED4C5A"/>
    <w:rsid w:val="00ED597D"/>
    <w:rsid w:val="00ED62C8"/>
    <w:rsid w:val="00EE0A0C"/>
    <w:rsid w:val="00EE659C"/>
    <w:rsid w:val="00EE7340"/>
    <w:rsid w:val="00EF4470"/>
    <w:rsid w:val="00EF63AE"/>
    <w:rsid w:val="00EF7C79"/>
    <w:rsid w:val="00F01C0E"/>
    <w:rsid w:val="00F027BD"/>
    <w:rsid w:val="00F058A3"/>
    <w:rsid w:val="00F1223E"/>
    <w:rsid w:val="00F12820"/>
    <w:rsid w:val="00F13EAD"/>
    <w:rsid w:val="00F15D4D"/>
    <w:rsid w:val="00F17980"/>
    <w:rsid w:val="00F21CCF"/>
    <w:rsid w:val="00F241F8"/>
    <w:rsid w:val="00F256AE"/>
    <w:rsid w:val="00F30DDD"/>
    <w:rsid w:val="00F3213C"/>
    <w:rsid w:val="00F32873"/>
    <w:rsid w:val="00F34015"/>
    <w:rsid w:val="00F37DCC"/>
    <w:rsid w:val="00F40865"/>
    <w:rsid w:val="00F42880"/>
    <w:rsid w:val="00F45C3B"/>
    <w:rsid w:val="00F46FFA"/>
    <w:rsid w:val="00F5193E"/>
    <w:rsid w:val="00F5198F"/>
    <w:rsid w:val="00F549AC"/>
    <w:rsid w:val="00F54BBE"/>
    <w:rsid w:val="00F570DC"/>
    <w:rsid w:val="00F60EAD"/>
    <w:rsid w:val="00F63983"/>
    <w:rsid w:val="00F64DC8"/>
    <w:rsid w:val="00F656F2"/>
    <w:rsid w:val="00F65F06"/>
    <w:rsid w:val="00F72F5F"/>
    <w:rsid w:val="00F75956"/>
    <w:rsid w:val="00F76995"/>
    <w:rsid w:val="00F822D5"/>
    <w:rsid w:val="00F82475"/>
    <w:rsid w:val="00F91417"/>
    <w:rsid w:val="00F937AC"/>
    <w:rsid w:val="00F93DB3"/>
    <w:rsid w:val="00F94FFC"/>
    <w:rsid w:val="00F95FF4"/>
    <w:rsid w:val="00F97817"/>
    <w:rsid w:val="00FA0AC7"/>
    <w:rsid w:val="00FA2283"/>
    <w:rsid w:val="00FA2E03"/>
    <w:rsid w:val="00FB1A42"/>
    <w:rsid w:val="00FB4A72"/>
    <w:rsid w:val="00FB5338"/>
    <w:rsid w:val="00FB6783"/>
    <w:rsid w:val="00FB771C"/>
    <w:rsid w:val="00FC077E"/>
    <w:rsid w:val="00FC43CD"/>
    <w:rsid w:val="00FC4E65"/>
    <w:rsid w:val="00FC5F8F"/>
    <w:rsid w:val="00FC6C9D"/>
    <w:rsid w:val="00FD5282"/>
    <w:rsid w:val="00FD5ED8"/>
    <w:rsid w:val="00FD674F"/>
    <w:rsid w:val="00FD7AB6"/>
    <w:rsid w:val="00FE216D"/>
    <w:rsid w:val="00FE44F3"/>
    <w:rsid w:val="00FE5FD6"/>
    <w:rsid w:val="00FF267C"/>
    <w:rsid w:val="00FF35E9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068D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7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7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A4E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EC7"/>
  </w:style>
  <w:style w:type="paragraph" w:styleId="Footer">
    <w:name w:val="footer"/>
    <w:basedOn w:val="Normal"/>
    <w:link w:val="FooterChar"/>
    <w:uiPriority w:val="99"/>
    <w:unhideWhenUsed/>
    <w:rsid w:val="008A4E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EC7"/>
  </w:style>
  <w:style w:type="character" w:customStyle="1" w:styleId="Heading1Char">
    <w:name w:val="Heading 1 Char"/>
    <w:basedOn w:val="DefaultParagraphFont"/>
    <w:link w:val="Heading1"/>
    <w:rsid w:val="0002068D"/>
    <w:rPr>
      <w:rFonts w:ascii="Times New Roman" w:eastAsia="Times New Roman" w:hAnsi="Times New Roman" w:cs="Times New Roman"/>
      <w:sz w:val="2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57B2"/>
    <w:rPr>
      <w:vertAlign w:val="superscript"/>
    </w:rPr>
  </w:style>
  <w:style w:type="character" w:styleId="Hyperlink">
    <w:name w:val="Hyperlink"/>
    <w:basedOn w:val="DefaultParagraphFont"/>
    <w:rsid w:val="00A757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068D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E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7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7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A4E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EC7"/>
  </w:style>
  <w:style w:type="paragraph" w:styleId="Footer">
    <w:name w:val="footer"/>
    <w:basedOn w:val="Normal"/>
    <w:link w:val="FooterChar"/>
    <w:uiPriority w:val="99"/>
    <w:unhideWhenUsed/>
    <w:rsid w:val="008A4E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EC7"/>
  </w:style>
  <w:style w:type="character" w:customStyle="1" w:styleId="Heading1Char">
    <w:name w:val="Heading 1 Char"/>
    <w:basedOn w:val="DefaultParagraphFont"/>
    <w:link w:val="Heading1"/>
    <w:rsid w:val="0002068D"/>
    <w:rPr>
      <w:rFonts w:ascii="Times New Roman" w:eastAsia="Times New Roman" w:hAnsi="Times New Roman" w:cs="Times New Roman"/>
      <w:sz w:val="2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57B2"/>
    <w:rPr>
      <w:vertAlign w:val="superscript"/>
    </w:rPr>
  </w:style>
  <w:style w:type="character" w:styleId="Hyperlink">
    <w:name w:val="Hyperlink"/>
    <w:basedOn w:val="DefaultParagraphFont"/>
    <w:rsid w:val="00A757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hyperlink" Target="mailto:shavishvili@geostat.ge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ostat.ge" TargetMode="External"/><Relationship Id="rId1" Type="http://schemas.openxmlformats.org/officeDocument/2006/relationships/hyperlink" Target="mailto:shavishvili@geostat.ge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lang="ru-RU"/>
            </a:pPr>
            <a:r>
              <a:rPr lang="ka-GE" sz="1100" b="1" i="0" baseline="0">
                <a:latin typeface="Sylfaen" pitchFamily="18" charset="0"/>
              </a:rPr>
              <a:t>ცოცხლად  დაბადებულთა რიცხოვნობა სქესის მიხედვით                 </a:t>
            </a:r>
          </a:p>
        </c:rich>
      </c:tx>
      <c:layout>
        <c:manualLayout>
          <c:xMode val="edge"/>
          <c:yMode val="edge"/>
          <c:x val="0.22929211590818768"/>
          <c:y val="1.615856983307450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572814160909877E-2"/>
          <c:y val="0.16464418179926643"/>
          <c:w val="0.91742718135842749"/>
          <c:h val="0.69208299855056343"/>
        </c:manualLayout>
      </c:layout>
      <c:lineChart>
        <c:grouping val="standard"/>
        <c:varyColors val="0"/>
        <c:ser>
          <c:idx val="2"/>
          <c:order val="0"/>
          <c:tx>
            <c:strRef>
              <c:f>Sheet1!$C$4</c:f>
              <c:strCache>
                <c:ptCount val="1"/>
                <c:pt idx="0">
                  <c:v>orive sqesi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marker>
            <c:symbol val="circle"/>
            <c:size val="7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marker>
          <c:dLbls>
            <c:numFmt formatCode="#,##0" sourceLinked="0"/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Sheet1!$B$6:$B$15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Sheet1!$C$6:$C$15</c:f>
              <c:numCache>
                <c:formatCode>General</c:formatCode>
                <c:ptCount val="10"/>
                <c:pt idx="0">
                  <c:v>49287</c:v>
                </c:pt>
                <c:pt idx="1">
                  <c:v>56565</c:v>
                </c:pt>
                <c:pt idx="2">
                  <c:v>63377</c:v>
                </c:pt>
                <c:pt idx="3">
                  <c:v>62585</c:v>
                </c:pt>
                <c:pt idx="4">
                  <c:v>58014</c:v>
                </c:pt>
                <c:pt idx="5">
                  <c:v>57031</c:v>
                </c:pt>
                <c:pt idx="6">
                  <c:v>57878</c:v>
                </c:pt>
                <c:pt idx="7">
                  <c:v>60635</c:v>
                </c:pt>
                <c:pt idx="8">
                  <c:v>59249</c:v>
                </c:pt>
                <c:pt idx="9">
                  <c:v>56569</c:v>
                </c:pt>
              </c:numCache>
            </c:numRef>
          </c:val>
          <c:smooth val="0"/>
        </c:ser>
        <c:ser>
          <c:idx val="3"/>
          <c:order val="1"/>
          <c:tx>
            <c:strRef>
              <c:f>Sheet1!$D$4</c:f>
              <c:strCache>
                <c:ptCount val="1"/>
                <c:pt idx="0">
                  <c:v>biWi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circle"/>
            <c:size val="7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numFmt formatCode="#,##0" sourceLinked="0"/>
            <c:txPr>
              <a:bodyPr/>
              <a:lstStyle/>
              <a:p>
                <a:pPr>
                  <a:defRPr sz="900" baseline="0">
                    <a:latin typeface="Times New Roman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Sheet1!$B$6:$B$15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Sheet1!$D$6:$D$15</c:f>
              <c:numCache>
                <c:formatCode>General</c:formatCode>
                <c:ptCount val="10"/>
                <c:pt idx="0">
                  <c:v>25882</c:v>
                </c:pt>
                <c:pt idx="1">
                  <c:v>31720</c:v>
                </c:pt>
                <c:pt idx="2">
                  <c:v>32385</c:v>
                </c:pt>
                <c:pt idx="3">
                  <c:v>32488</c:v>
                </c:pt>
                <c:pt idx="4">
                  <c:v>30330</c:v>
                </c:pt>
                <c:pt idx="5">
                  <c:v>29801</c:v>
                </c:pt>
                <c:pt idx="6">
                  <c:v>30027</c:v>
                </c:pt>
                <c:pt idx="7">
                  <c:v>31325</c:v>
                </c:pt>
                <c:pt idx="8">
                  <c:v>30902</c:v>
                </c:pt>
                <c:pt idx="9">
                  <c:v>28887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Sheet1!$E$4</c:f>
              <c:strCache>
                <c:ptCount val="1"/>
                <c:pt idx="0">
                  <c:v>gogo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numFmt formatCode="#,##0" sourceLinked="0"/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Sheet1!$B$6:$B$15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Sheet1!$E$6:$E$15</c:f>
              <c:numCache>
                <c:formatCode>General</c:formatCode>
                <c:ptCount val="10"/>
                <c:pt idx="0">
                  <c:v>23405</c:v>
                </c:pt>
                <c:pt idx="1">
                  <c:v>24845</c:v>
                </c:pt>
                <c:pt idx="2">
                  <c:v>30992</c:v>
                </c:pt>
                <c:pt idx="3">
                  <c:v>30097</c:v>
                </c:pt>
                <c:pt idx="4">
                  <c:v>27684</c:v>
                </c:pt>
                <c:pt idx="5">
                  <c:v>27230</c:v>
                </c:pt>
                <c:pt idx="6">
                  <c:v>27851</c:v>
                </c:pt>
                <c:pt idx="7">
                  <c:v>29310</c:v>
                </c:pt>
                <c:pt idx="8">
                  <c:v>28347</c:v>
                </c:pt>
                <c:pt idx="9">
                  <c:v>27682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600384"/>
        <c:axId val="177601920"/>
      </c:lineChart>
      <c:catAx>
        <c:axId val="17760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 sz="1000" baseline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77601920"/>
        <c:crosses val="autoZero"/>
        <c:auto val="1"/>
        <c:lblAlgn val="ctr"/>
        <c:lblOffset val="100"/>
        <c:noMultiLvlLbl val="0"/>
      </c:catAx>
      <c:valAx>
        <c:axId val="177601920"/>
        <c:scaling>
          <c:orientation val="minMax"/>
          <c:max val="70000"/>
        </c:scaling>
        <c:delete val="0"/>
        <c:axPos val="l"/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ru-RU" sz="1000" baseline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77600384"/>
        <c:crosses val="autoZero"/>
        <c:crossBetween val="between"/>
        <c:majorUnit val="10000"/>
      </c:valAx>
    </c:plotArea>
    <c:legend>
      <c:legendPos val="r"/>
      <c:layout>
        <c:manualLayout>
          <c:xMode val="edge"/>
          <c:yMode val="edge"/>
          <c:x val="8.3704064623342261E-2"/>
          <c:y val="0.74601425704548274"/>
          <c:w val="0.6585953541545887"/>
          <c:h val="0.11071334112995941"/>
        </c:manualLayout>
      </c:layout>
      <c:overlay val="0"/>
      <c:txPr>
        <a:bodyPr/>
        <a:lstStyle/>
        <a:p>
          <a:pPr>
            <a:defRPr sz="900" baseline="0">
              <a:latin typeface="AcadNusx" pitchFamily="2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lang="ru-RU"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ka-GE" sz="1100" b="1" i="0" baseline="0">
                <a:latin typeface="Sylfaen" pitchFamily="18" charset="0"/>
              </a:rPr>
              <a:t>ცოცხლად  დაბადებულების განაწილება დაბადების რიგითობის მიხედვით</a:t>
            </a:r>
          </a:p>
        </c:rich>
      </c:tx>
      <c:layout>
        <c:manualLayout>
          <c:xMode val="edge"/>
          <c:yMode val="edge"/>
          <c:x val="0.11958095238095252"/>
          <c:y val="4.5158738719303824E-5"/>
        </c:manualLayout>
      </c:layout>
      <c:overlay val="0"/>
      <c:spPr>
        <a:noFill/>
      </c:spPr>
    </c:title>
    <c:autoTitleDeleted val="0"/>
    <c:plotArea>
      <c:layout>
        <c:manualLayout>
          <c:layoutTarget val="inner"/>
          <c:xMode val="edge"/>
          <c:yMode val="edge"/>
          <c:x val="7.7382527184102934E-2"/>
          <c:y val="0.25046237319124853"/>
          <c:w val="0.92139932508436451"/>
          <c:h val="0.60182917797030588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dLbls>
            <c:dLbl>
              <c:idx val="8"/>
              <c:layout>
                <c:manualLayout>
                  <c:x val="2.0558425101610397E-3"/>
                  <c:y val="1.2889684598552303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1.718624613140305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lang="ru-RU" sz="9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Sheet1!$A$2:$A$11</c:f>
              <c:numCache>
                <c:formatCode>0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Sheet1!$B$2:$B$11</c:f>
              <c:numCache>
                <c:formatCode>0</c:formatCode>
                <c:ptCount val="10"/>
                <c:pt idx="0">
                  <c:v>29883</c:v>
                </c:pt>
                <c:pt idx="1">
                  <c:v>31308</c:v>
                </c:pt>
                <c:pt idx="2">
                  <c:v>33651</c:v>
                </c:pt>
                <c:pt idx="3">
                  <c:v>31062</c:v>
                </c:pt>
                <c:pt idx="4">
                  <c:v>27668</c:v>
                </c:pt>
                <c:pt idx="5">
                  <c:v>26368</c:v>
                </c:pt>
                <c:pt idx="6">
                  <c:v>26225</c:v>
                </c:pt>
                <c:pt idx="7" formatCode="#,##0">
                  <c:v>26355</c:v>
                </c:pt>
                <c:pt idx="8">
                  <c:v>24684</c:v>
                </c:pt>
                <c:pt idx="9" formatCode="###0">
                  <c:v>22949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II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dLbls>
            <c:dLbl>
              <c:idx val="0"/>
              <c:layout>
                <c:manualLayout>
                  <c:x val="0"/>
                  <c:y val="0.121029111958644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1164252394022257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786435590803993E-3"/>
                  <c:y val="0.1260379922869467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.1164252394022257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870316920629707E-3"/>
                  <c:y val="0.1235555078072710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215282428878975E-3"/>
                  <c:y val="0.1206236778627879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0.133367780310142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0.1356034232109526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0595478530267752E-3"/>
                  <c:y val="0.136721244661358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"/>
                  <c:y val="0.1279534658859824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lang="ru-RU" sz="9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Sheet1!$A$2:$A$11</c:f>
              <c:numCache>
                <c:formatCode>0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Sheet1!$C$2:$C$11</c:f>
              <c:numCache>
                <c:formatCode>0</c:formatCode>
                <c:ptCount val="10"/>
                <c:pt idx="0">
                  <c:v>14075</c:v>
                </c:pt>
                <c:pt idx="1">
                  <c:v>18146</c:v>
                </c:pt>
                <c:pt idx="2">
                  <c:v>21093</c:v>
                </c:pt>
                <c:pt idx="3">
                  <c:v>22305</c:v>
                </c:pt>
                <c:pt idx="4">
                  <c:v>21708</c:v>
                </c:pt>
                <c:pt idx="5">
                  <c:v>21740</c:v>
                </c:pt>
                <c:pt idx="6">
                  <c:v>22040</c:v>
                </c:pt>
                <c:pt idx="7">
                  <c:v>23171</c:v>
                </c:pt>
                <c:pt idx="8">
                  <c:v>22644</c:v>
                </c:pt>
                <c:pt idx="9" formatCode="###0">
                  <c:v>21563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III+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marker>
            <c:spPr>
              <a:solidFill>
                <a:schemeClr val="bg1">
                  <a:lumMod val="50000"/>
                </a:schemeClr>
              </a:solidFill>
              <a:ln>
                <a:solidFill>
                  <a:sysClr val="window" lastClr="FFFFFF">
                    <a:lumMod val="50000"/>
                  </a:sysClr>
                </a:solidFill>
              </a:ln>
            </c:spPr>
          </c:marker>
          <c:dLbls>
            <c:dLbl>
              <c:idx val="0"/>
              <c:layout>
                <c:manualLayout>
                  <c:x val="0"/>
                  <c:y val="0.1252276777227258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1214336934065601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0.1152094635049078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.11601980530636809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0.1210291119586442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0.1202185706138167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0.1279534658859824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0.1290708610124170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0.1160071613869706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7.4597796251365309E-6"/>
                  <c:y val="0.1344856017605474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lang="ru-RU" sz="9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Sheet1!$A$2:$A$11</c:f>
              <c:numCache>
                <c:formatCode>0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Sheet1!$D$2:$D$11</c:f>
              <c:numCache>
                <c:formatCode>0</c:formatCode>
                <c:ptCount val="10"/>
                <c:pt idx="0">
                  <c:v>5329</c:v>
                </c:pt>
                <c:pt idx="1">
                  <c:v>7111</c:v>
                </c:pt>
                <c:pt idx="2">
                  <c:v>8633</c:v>
                </c:pt>
                <c:pt idx="3">
                  <c:v>9218</c:v>
                </c:pt>
                <c:pt idx="4">
                  <c:v>8638</c:v>
                </c:pt>
                <c:pt idx="5">
                  <c:v>8923</c:v>
                </c:pt>
                <c:pt idx="6">
                  <c:v>9613</c:v>
                </c:pt>
                <c:pt idx="7">
                  <c:v>11109</c:v>
                </c:pt>
                <c:pt idx="8">
                  <c:v>11921</c:v>
                </c:pt>
                <c:pt idx="9">
                  <c:v>12057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773184"/>
        <c:axId val="177772032"/>
      </c:lineChart>
      <c:catAx>
        <c:axId val="177773184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txPr>
          <a:bodyPr/>
          <a:lstStyle/>
          <a:p>
            <a:pPr>
              <a:defRPr lang="ru-RU" sz="1000" baseline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77772032"/>
        <c:crosses val="autoZero"/>
        <c:auto val="1"/>
        <c:lblAlgn val="ctr"/>
        <c:lblOffset val="100"/>
        <c:noMultiLvlLbl val="0"/>
      </c:catAx>
      <c:valAx>
        <c:axId val="177772032"/>
        <c:scaling>
          <c:orientation val="minMax"/>
          <c:max val="35000"/>
        </c:scaling>
        <c:delete val="0"/>
        <c:axPos val="l"/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ru-RU" sz="1000" baseline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77773184"/>
        <c:crosses val="autoZero"/>
        <c:crossBetween val="between"/>
        <c:majorUnit val="500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1643506213185577"/>
          <c:y val="5.735762697846402E-2"/>
          <c:w val="8.1660079102630567E-2"/>
          <c:h val="0.24943320228134808"/>
        </c:manualLayout>
      </c:layout>
      <c:overlay val="0"/>
      <c:txPr>
        <a:bodyPr/>
        <a:lstStyle/>
        <a:p>
          <a:pPr>
            <a:defRPr lang="ru-RU" sz="90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ru-RU"/>
            </a:pPr>
            <a:r>
              <a:rPr lang="ka-GE" sz="1100">
                <a:latin typeface="Sylfaen" pitchFamily="18" charset="0"/>
              </a:rPr>
              <a:t>ცოცხლად  დაბადებულების განაწილება დედის ასაკის</a:t>
            </a:r>
            <a:r>
              <a:rPr lang="ka-GE" sz="1100" baseline="0">
                <a:latin typeface="Sylfaen" pitchFamily="18" charset="0"/>
              </a:rPr>
              <a:t> </a:t>
            </a:r>
            <a:r>
              <a:rPr lang="ka-GE" sz="1100">
                <a:latin typeface="Sylfaen" pitchFamily="18" charset="0"/>
              </a:rPr>
              <a:t>მიხედვით </a:t>
            </a:r>
            <a:endParaRPr lang="en-US" sz="1100">
              <a:latin typeface="Sylfaen" pitchFamily="18" charset="0"/>
            </a:endParaRPr>
          </a:p>
          <a:p>
            <a:pPr>
              <a:defRPr lang="ru-RU"/>
            </a:pPr>
            <a:r>
              <a:rPr lang="ka-GE" sz="1100">
                <a:latin typeface="Sylfaen" pitchFamily="18" charset="0"/>
              </a:rPr>
              <a:t>201</a:t>
            </a:r>
            <a:r>
              <a:rPr lang="en-US" sz="1100">
                <a:latin typeface="Sylfaen" pitchFamily="18" charset="0"/>
              </a:rPr>
              <a:t>5</a:t>
            </a:r>
            <a:r>
              <a:rPr lang="ka-GE" sz="1100">
                <a:latin typeface="Sylfaen" pitchFamily="18" charset="0"/>
              </a:rPr>
              <a:t>-201</a:t>
            </a:r>
            <a:r>
              <a:rPr lang="en-US" sz="1100">
                <a:latin typeface="Sylfaen" pitchFamily="18" charset="0"/>
              </a:rPr>
              <a:t>6</a:t>
            </a:r>
            <a:r>
              <a:rPr lang="ka-GE" sz="1100">
                <a:latin typeface="Sylfaen" pitchFamily="18" charset="0"/>
              </a:rPr>
              <a:t> წლებში</a:t>
            </a:r>
            <a:endParaRPr lang="en-US" sz="1100">
              <a:latin typeface="Sylfaen" pitchFamily="18" charset="0"/>
            </a:endParaRPr>
          </a:p>
        </c:rich>
      </c:tx>
      <c:layout>
        <c:manualLayout>
          <c:xMode val="edge"/>
          <c:yMode val="edge"/>
          <c:x val="0.1368170384951950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9175853018372747E-2"/>
          <c:y val="0.12411728720871502"/>
          <c:w val="0.91082414698162728"/>
          <c:h val="0.74268042076135832"/>
        </c:manualLayout>
      </c:layout>
      <c:barChart>
        <c:barDir val="col"/>
        <c:grouping val="clustered"/>
        <c:varyColors val="0"/>
        <c:ser>
          <c:idx val="2"/>
          <c:order val="0"/>
          <c:tx>
            <c:v>2015</c:v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</c:spPr>
          <c:invertIfNegative val="0"/>
          <c:cat>
            <c:strRef>
              <c:f>Sheet1!$B$4:$J$4</c:f>
              <c:strCache>
                <c:ptCount val="9"/>
                <c:pt idx="0">
                  <c:v>-15</c:v>
                </c:pt>
                <c:pt idx="1">
                  <c:v>15-19</c:v>
                </c:pt>
                <c:pt idx="2">
                  <c:v>20-24</c:v>
                </c:pt>
                <c:pt idx="3">
                  <c:v>25-29</c:v>
                </c:pt>
                <c:pt idx="4">
                  <c:v>30-34</c:v>
                </c:pt>
                <c:pt idx="5">
                  <c:v>35-39</c:v>
                </c:pt>
                <c:pt idx="6">
                  <c:v>40-44</c:v>
                </c:pt>
                <c:pt idx="7">
                  <c:v>45-49</c:v>
                </c:pt>
                <c:pt idx="8">
                  <c:v>50+</c:v>
                </c:pt>
              </c:strCache>
            </c:strRef>
          </c:cat>
          <c:val>
            <c:numRef>
              <c:f>Sheet1!$B$10:$J$10</c:f>
              <c:numCache>
                <c:formatCode>#,##0</c:formatCode>
                <c:ptCount val="9"/>
                <c:pt idx="0">
                  <c:v>29</c:v>
                </c:pt>
                <c:pt idx="1">
                  <c:v>5079</c:v>
                </c:pt>
                <c:pt idx="2">
                  <c:v>17894</c:v>
                </c:pt>
                <c:pt idx="3">
                  <c:v>17712</c:v>
                </c:pt>
                <c:pt idx="4">
                  <c:v>11717</c:v>
                </c:pt>
                <c:pt idx="5">
                  <c:v>5266</c:v>
                </c:pt>
                <c:pt idx="6">
                  <c:v>1311</c:v>
                </c:pt>
                <c:pt idx="7">
                  <c:v>144</c:v>
                </c:pt>
                <c:pt idx="8">
                  <c:v>35</c:v>
                </c:pt>
              </c:numCache>
            </c:numRef>
          </c:val>
        </c:ser>
        <c:ser>
          <c:idx val="1"/>
          <c:order val="1"/>
          <c:tx>
            <c:v>2016</c:v>
          </c:tx>
          <c:spPr>
            <a:solidFill>
              <a:srgbClr val="0070C0"/>
            </a:solidFill>
          </c:spPr>
          <c:invertIfNegative val="0"/>
          <c:cat>
            <c:strRef>
              <c:f>Sheet1!$B$4:$J$4</c:f>
              <c:strCache>
                <c:ptCount val="9"/>
                <c:pt idx="0">
                  <c:v>-15</c:v>
                </c:pt>
                <c:pt idx="1">
                  <c:v>15-19</c:v>
                </c:pt>
                <c:pt idx="2">
                  <c:v>20-24</c:v>
                </c:pt>
                <c:pt idx="3">
                  <c:v>25-29</c:v>
                </c:pt>
                <c:pt idx="4">
                  <c:v>30-34</c:v>
                </c:pt>
                <c:pt idx="5">
                  <c:v>35-39</c:v>
                </c:pt>
                <c:pt idx="6">
                  <c:v>40-44</c:v>
                </c:pt>
                <c:pt idx="7">
                  <c:v>45-49</c:v>
                </c:pt>
                <c:pt idx="8">
                  <c:v>50+</c:v>
                </c:pt>
              </c:strCache>
            </c:strRef>
          </c:cat>
          <c:val>
            <c:numRef>
              <c:f>Sheet1!$B$12:$J$12</c:f>
              <c:numCache>
                <c:formatCode>#,##0</c:formatCode>
                <c:ptCount val="9"/>
                <c:pt idx="0">
                  <c:v>19</c:v>
                </c:pt>
                <c:pt idx="1">
                  <c:v>4448</c:v>
                </c:pt>
                <c:pt idx="2">
                  <c:v>15643</c:v>
                </c:pt>
                <c:pt idx="3">
                  <c:v>17594</c:v>
                </c:pt>
                <c:pt idx="4">
                  <c:v>11706</c:v>
                </c:pt>
                <c:pt idx="5">
                  <c:v>5539</c:v>
                </c:pt>
                <c:pt idx="6">
                  <c:v>1386</c:v>
                </c:pt>
                <c:pt idx="7">
                  <c:v>183</c:v>
                </c:pt>
                <c:pt idx="8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752768"/>
        <c:axId val="138754304"/>
      </c:barChart>
      <c:catAx>
        <c:axId val="1387527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lang="ru-RU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38754304"/>
        <c:crosses val="autoZero"/>
        <c:auto val="1"/>
        <c:lblAlgn val="ctr"/>
        <c:lblOffset val="100"/>
        <c:noMultiLvlLbl val="0"/>
      </c:catAx>
      <c:valAx>
        <c:axId val="138754304"/>
        <c:scaling>
          <c:orientation val="minMax"/>
          <c:max val="20000"/>
        </c:scaling>
        <c:delete val="0"/>
        <c:axPos val="l"/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ru-RU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38752768"/>
        <c:crosses val="autoZero"/>
        <c:crossBetween val="between"/>
        <c:majorUnit val="5000"/>
      </c:valAx>
    </c:plotArea>
    <c:legend>
      <c:legendPos val="r"/>
      <c:layout>
        <c:manualLayout>
          <c:xMode val="edge"/>
          <c:yMode val="edge"/>
          <c:x val="0.9091559303118607"/>
          <c:y val="0.12740076095139274"/>
          <c:w val="7.8245644491288985E-2"/>
          <c:h val="0.18690349752792537"/>
        </c:manualLayout>
      </c:layout>
      <c:overlay val="0"/>
      <c:txPr>
        <a:bodyPr/>
        <a:lstStyle/>
        <a:p>
          <a:pPr>
            <a:defRPr lang="ru-RU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ru-RU">
                <a:latin typeface="AcadMtavr" pitchFamily="2" charset="0"/>
              </a:defRPr>
            </a:pPr>
            <a:r>
              <a:rPr lang="ka-GE" sz="1200" b="1" i="0" baseline="0">
                <a:latin typeface="Sylfaen" pitchFamily="18" charset="0"/>
              </a:rPr>
              <a:t>გარდაცვლილთა რიცხოვნობა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7382527184102934E-2"/>
          <c:y val="9.6684380883485008E-2"/>
          <c:w val="0.92261747281590001"/>
          <c:h val="0.76183114919822292"/>
        </c:manualLayout>
      </c:layout>
      <c:lineChart>
        <c:grouping val="stacked"/>
        <c:varyColors val="0"/>
        <c:ser>
          <c:idx val="1"/>
          <c:order val="0"/>
          <c:dLbls>
            <c:dLbl>
              <c:idx val="0"/>
              <c:layout>
                <c:manualLayout>
                  <c:x val="-5.3169734151329417E-2"/>
                  <c:y val="8.0094228504122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4989775051124774E-2"/>
                  <c:y val="-8.4805653710247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7034764826176072E-2"/>
                  <c:y val="8.4805653710247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944785276073615E-2"/>
                  <c:y val="-7.538280329799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9079754601227002E-2"/>
                  <c:y val="8.0094228504122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7034764826175988E-2"/>
                  <c:y val="-7.0671378091872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5.1124744376278057E-2"/>
                  <c:y val="6.5959952885747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9079754601227002E-2"/>
                  <c:y val="-7.0671378091872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9079754601227002E-2"/>
                  <c:y val="7.0671378091872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2494887525562477E-2"/>
                  <c:y val="-7.538280329799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Sheet1!$A$1:$J$1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Sheet1!$A$2:$J$2</c:f>
              <c:numCache>
                <c:formatCode>General</c:formatCode>
                <c:ptCount val="10"/>
                <c:pt idx="0">
                  <c:v>41178</c:v>
                </c:pt>
                <c:pt idx="1">
                  <c:v>43011</c:v>
                </c:pt>
                <c:pt idx="2">
                  <c:v>46625</c:v>
                </c:pt>
                <c:pt idx="3">
                  <c:v>47864</c:v>
                </c:pt>
                <c:pt idx="4">
                  <c:v>49818</c:v>
                </c:pt>
                <c:pt idx="5">
                  <c:v>49348</c:v>
                </c:pt>
                <c:pt idx="6">
                  <c:v>48553</c:v>
                </c:pt>
                <c:pt idx="7">
                  <c:v>49087</c:v>
                </c:pt>
                <c:pt idx="8">
                  <c:v>49121</c:v>
                </c:pt>
                <c:pt idx="9">
                  <c:v>50771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766976"/>
        <c:axId val="138801536"/>
      </c:lineChart>
      <c:catAx>
        <c:axId val="13876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38801536"/>
        <c:crosses val="autoZero"/>
        <c:auto val="1"/>
        <c:lblAlgn val="ctr"/>
        <c:lblOffset val="100"/>
        <c:noMultiLvlLbl val="0"/>
      </c:catAx>
      <c:valAx>
        <c:axId val="138801536"/>
        <c:scaling>
          <c:orientation val="minMax"/>
          <c:max val="600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ru-RU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38766976"/>
        <c:crosses val="autoZero"/>
        <c:crossBetween val="between"/>
        <c:majorUnit val="10000"/>
        <c:minorUnit val="2000"/>
      </c:valAx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lang="ru-RU" sz="1050"/>
            </a:pPr>
            <a:r>
              <a:rPr lang="ka-GE" sz="1050" baseline="0">
                <a:latin typeface="Sylfaen" pitchFamily="18" charset="0"/>
              </a:rPr>
              <a:t>მამაკაცი                 ქალი</a:t>
            </a:r>
            <a:endParaRPr lang="en-US" sz="1050" baseline="0">
              <a:latin typeface="Sylfaen" pitchFamily="18" charset="0"/>
            </a:endParaRPr>
          </a:p>
        </c:rich>
      </c:tx>
      <c:layout>
        <c:manualLayout>
          <c:xMode val="edge"/>
          <c:yMode val="edge"/>
          <c:x val="0.33855596175480435"/>
          <c:y val="8.2441437447664759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7533095542432914E-2"/>
          <c:y val="6.8740630395463714E-2"/>
          <c:w val="0.9041025523983417"/>
          <c:h val="0.79696171652392078"/>
        </c:manualLayout>
      </c:layout>
      <c:barChart>
        <c:barDir val="bar"/>
        <c:grouping val="clustered"/>
        <c:varyColors val="0"/>
        <c:ser>
          <c:idx val="0"/>
          <c:order val="0"/>
          <c:tx>
            <c:v>მამაკაცი 2015</c:v>
          </c:tx>
          <c:spPr>
            <a:solidFill>
              <a:srgbClr val="1F497D">
                <a:lumMod val="20000"/>
                <a:lumOff val="80000"/>
                <a:alpha val="87000"/>
              </a:srgbClr>
            </a:solidFill>
          </c:spPr>
          <c:invertIfNegative val="0"/>
          <c:cat>
            <c:strRef>
              <c:f>Sheet1!$A$3:$A$20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Sheet1!$C$3:$C$20</c:f>
              <c:numCache>
                <c:formatCode>0</c:formatCode>
                <c:ptCount val="18"/>
                <c:pt idx="0">
                  <c:v>-334</c:v>
                </c:pt>
                <c:pt idx="1">
                  <c:v>-43</c:v>
                </c:pt>
                <c:pt idx="2">
                  <c:v>-48</c:v>
                </c:pt>
                <c:pt idx="3">
                  <c:v>-97</c:v>
                </c:pt>
                <c:pt idx="4">
                  <c:v>-174</c:v>
                </c:pt>
                <c:pt idx="5">
                  <c:v>-222</c:v>
                </c:pt>
                <c:pt idx="6">
                  <c:v>-290</c:v>
                </c:pt>
                <c:pt idx="7">
                  <c:v>-392</c:v>
                </c:pt>
                <c:pt idx="8">
                  <c:v>-606</c:v>
                </c:pt>
                <c:pt idx="9">
                  <c:v>-923</c:v>
                </c:pt>
                <c:pt idx="10">
                  <c:v>-1593</c:v>
                </c:pt>
                <c:pt idx="11">
                  <c:v>-2082</c:v>
                </c:pt>
                <c:pt idx="12">
                  <c:v>-2398</c:v>
                </c:pt>
                <c:pt idx="13">
                  <c:v>-2485</c:v>
                </c:pt>
                <c:pt idx="14">
                  <c:v>-2469</c:v>
                </c:pt>
                <c:pt idx="15">
                  <c:v>-4355</c:v>
                </c:pt>
                <c:pt idx="16">
                  <c:v>-3484</c:v>
                </c:pt>
                <c:pt idx="17">
                  <c:v>-3097</c:v>
                </c:pt>
              </c:numCache>
            </c:numRef>
          </c:val>
        </c:ser>
        <c:ser>
          <c:idx val="1"/>
          <c:order val="1"/>
          <c:tx>
            <c:v>მამაკაცი 2016</c:v>
          </c:tx>
          <c:spPr>
            <a:noFill/>
            <a:ln w="25400">
              <a:solidFill>
                <a:schemeClr val="tx2">
                  <a:lumMod val="75000"/>
                </a:schemeClr>
              </a:solidFill>
            </a:ln>
          </c:spPr>
          <c:invertIfNegative val="0"/>
          <c:cat>
            <c:strRef>
              <c:f>Sheet1!$A$3:$A$20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Sheet1!$F$3:$F$20</c:f>
              <c:numCache>
                <c:formatCode>General</c:formatCode>
                <c:ptCount val="18"/>
                <c:pt idx="0">
                  <c:v>-350</c:v>
                </c:pt>
                <c:pt idx="1">
                  <c:v>-29</c:v>
                </c:pt>
                <c:pt idx="2">
                  <c:v>-25</c:v>
                </c:pt>
                <c:pt idx="3">
                  <c:v>-109</c:v>
                </c:pt>
                <c:pt idx="4">
                  <c:v>-158</c:v>
                </c:pt>
                <c:pt idx="5">
                  <c:v>-248</c:v>
                </c:pt>
                <c:pt idx="6">
                  <c:v>-317</c:v>
                </c:pt>
                <c:pt idx="7">
                  <c:v>-438</c:v>
                </c:pt>
                <c:pt idx="8">
                  <c:v>-656</c:v>
                </c:pt>
                <c:pt idx="9">
                  <c:v>-931</c:v>
                </c:pt>
                <c:pt idx="10">
                  <c:v>-1566</c:v>
                </c:pt>
                <c:pt idx="11">
                  <c:v>-2127</c:v>
                </c:pt>
                <c:pt idx="12">
                  <c:v>-2505</c:v>
                </c:pt>
                <c:pt idx="13">
                  <c:v>-2764</c:v>
                </c:pt>
                <c:pt idx="14">
                  <c:v>-2250</c:v>
                </c:pt>
                <c:pt idx="15">
                  <c:v>-4456</c:v>
                </c:pt>
                <c:pt idx="16">
                  <c:v>-3641</c:v>
                </c:pt>
                <c:pt idx="17">
                  <c:v>-3440</c:v>
                </c:pt>
              </c:numCache>
            </c:numRef>
          </c:val>
        </c:ser>
        <c:ser>
          <c:idx val="2"/>
          <c:order val="2"/>
          <c:tx>
            <c:v>ქალი 2015</c:v>
          </c:tx>
          <c:spPr>
            <a:solidFill>
              <a:srgbClr val="FF7C80">
                <a:alpha val="52157"/>
              </a:srgbClr>
            </a:solidFill>
          </c:spPr>
          <c:invertIfNegative val="0"/>
          <c:cat>
            <c:strRef>
              <c:f>Sheet1!$A$3:$A$20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Sheet1!$D$3:$D$20</c:f>
              <c:numCache>
                <c:formatCode>0</c:formatCode>
                <c:ptCount val="18"/>
                <c:pt idx="0">
                  <c:v>271</c:v>
                </c:pt>
                <c:pt idx="1">
                  <c:v>21</c:v>
                </c:pt>
                <c:pt idx="2">
                  <c:v>18</c:v>
                </c:pt>
                <c:pt idx="3">
                  <c:v>35</c:v>
                </c:pt>
                <c:pt idx="4">
                  <c:v>52</c:v>
                </c:pt>
                <c:pt idx="5">
                  <c:v>66</c:v>
                </c:pt>
                <c:pt idx="6">
                  <c:v>86</c:v>
                </c:pt>
                <c:pt idx="7">
                  <c:v>104</c:v>
                </c:pt>
                <c:pt idx="8">
                  <c:v>210</c:v>
                </c:pt>
                <c:pt idx="9">
                  <c:v>322</c:v>
                </c:pt>
                <c:pt idx="10">
                  <c:v>540</c:v>
                </c:pt>
                <c:pt idx="11">
                  <c:v>888</c:v>
                </c:pt>
                <c:pt idx="12">
                  <c:v>1190</c:v>
                </c:pt>
                <c:pt idx="13">
                  <c:v>1550</c:v>
                </c:pt>
                <c:pt idx="14">
                  <c:v>2023</c:v>
                </c:pt>
                <c:pt idx="15">
                  <c:v>4757</c:v>
                </c:pt>
                <c:pt idx="16">
                  <c:v>4890</c:v>
                </c:pt>
                <c:pt idx="17">
                  <c:v>6865</c:v>
                </c:pt>
              </c:numCache>
            </c:numRef>
          </c:val>
        </c:ser>
        <c:ser>
          <c:idx val="3"/>
          <c:order val="3"/>
          <c:tx>
            <c:v>ქალი 2016</c:v>
          </c:tx>
          <c:spPr>
            <a:noFill/>
            <a:ln w="25400">
              <a:solidFill>
                <a:srgbClr val="FF3300"/>
              </a:solidFill>
            </a:ln>
          </c:spPr>
          <c:invertIfNegative val="0"/>
          <c:cat>
            <c:strRef>
              <c:f>Sheet1!$A$3:$A$20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Sheet1!$G$3:$G$20</c:f>
              <c:numCache>
                <c:formatCode>General</c:formatCode>
                <c:ptCount val="18"/>
                <c:pt idx="0">
                  <c:v>254</c:v>
                </c:pt>
                <c:pt idx="1">
                  <c:v>22</c:v>
                </c:pt>
                <c:pt idx="2">
                  <c:v>15</c:v>
                </c:pt>
                <c:pt idx="3">
                  <c:v>34</c:v>
                </c:pt>
                <c:pt idx="4">
                  <c:v>52</c:v>
                </c:pt>
                <c:pt idx="5">
                  <c:v>62</c:v>
                </c:pt>
                <c:pt idx="6">
                  <c:v>103</c:v>
                </c:pt>
                <c:pt idx="7">
                  <c:v>130</c:v>
                </c:pt>
                <c:pt idx="8">
                  <c:v>183</c:v>
                </c:pt>
                <c:pt idx="9">
                  <c:v>295</c:v>
                </c:pt>
                <c:pt idx="10">
                  <c:v>534</c:v>
                </c:pt>
                <c:pt idx="11">
                  <c:v>940</c:v>
                </c:pt>
                <c:pt idx="12">
                  <c:v>1208</c:v>
                </c:pt>
                <c:pt idx="13">
                  <c:v>1692</c:v>
                </c:pt>
                <c:pt idx="14">
                  <c:v>1726</c:v>
                </c:pt>
                <c:pt idx="15">
                  <c:v>4995</c:v>
                </c:pt>
                <c:pt idx="16">
                  <c:v>5095</c:v>
                </c:pt>
                <c:pt idx="17">
                  <c:v>7305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overlap val="100"/>
        <c:axId val="139049216"/>
        <c:axId val="139051008"/>
      </c:barChart>
      <c:dateAx>
        <c:axId val="139049216"/>
        <c:scaling>
          <c:orientation val="minMax"/>
        </c:scaling>
        <c:delete val="0"/>
        <c:axPos val="l"/>
        <c:majorTickMark val="none"/>
        <c:minorTickMark val="in"/>
        <c:tickLblPos val="low"/>
        <c:txPr>
          <a:bodyPr/>
          <a:lstStyle/>
          <a:p>
            <a:pPr>
              <a:defRPr lang="ru-RU"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39051008"/>
        <c:crosses val="autoZero"/>
        <c:auto val="0"/>
        <c:lblOffset val="100"/>
        <c:baseTimeUnit val="days"/>
      </c:dateAx>
      <c:valAx>
        <c:axId val="139051008"/>
        <c:scaling>
          <c:orientation val="minMax"/>
          <c:max val="8000"/>
        </c:scaling>
        <c:delete val="0"/>
        <c:axPos val="b"/>
        <c:numFmt formatCode="0;0" sourceLinked="0"/>
        <c:majorTickMark val="none"/>
        <c:minorTickMark val="none"/>
        <c:tickLblPos val="nextTo"/>
        <c:spPr>
          <a:noFill/>
        </c:spPr>
        <c:txPr>
          <a:bodyPr rot="-5400000" vert="horz"/>
          <a:lstStyle/>
          <a:p>
            <a:pPr>
              <a:defRPr lang="ru-RU" sz="1000">
                <a:solidFill>
                  <a:schemeClr val="tx1"/>
                </a:solidFill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39049216"/>
        <c:crosses val="autoZero"/>
        <c:crossBetween val="between"/>
        <c:majorUnit val="5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lang="ru-RU" baseline="0">
                <a:latin typeface="Sylfaen" pitchFamily="18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lang="ru-RU" baseline="0">
                <a:latin typeface="Sylfaen" pitchFamily="18" charset="0"/>
              </a:defRPr>
            </a:pPr>
            <a:endParaRPr lang="en-US"/>
          </a:p>
        </c:txPr>
      </c:legendEntry>
      <c:legendEntry>
        <c:idx val="2"/>
        <c:txPr>
          <a:bodyPr/>
          <a:lstStyle/>
          <a:p>
            <a:pPr>
              <a:defRPr lang="ru-RU" baseline="0">
                <a:latin typeface="Sylfaen" pitchFamily="18" charset="0"/>
              </a:defRPr>
            </a:pPr>
            <a:endParaRPr lang="en-US"/>
          </a:p>
        </c:txPr>
      </c:legendEntry>
      <c:legendEntry>
        <c:idx val="3"/>
        <c:txPr>
          <a:bodyPr/>
          <a:lstStyle/>
          <a:p>
            <a:pPr>
              <a:defRPr lang="ru-RU" baseline="0">
                <a:latin typeface="Sylfaen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5990702724659418"/>
          <c:y val="0.74317873804650891"/>
          <c:w val="0.37635214952971308"/>
          <c:h val="9.9884792283763263E-2"/>
        </c:manualLayout>
      </c:layout>
      <c:overlay val="0"/>
      <c:txPr>
        <a:bodyPr/>
        <a:lstStyle/>
        <a:p>
          <a:pPr>
            <a:defRPr lang="ru-RU" baseline="0">
              <a:latin typeface="AcadNusx" pitchFamily="2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lang="ru-RU" sz="1200"/>
            </a:pPr>
            <a:r>
              <a:rPr lang="ka-GE" sz="1100">
                <a:latin typeface="Sylfaen" pitchFamily="18" charset="0"/>
              </a:rPr>
              <a:t>ბუნებრივი მატება </a:t>
            </a:r>
          </a:p>
        </c:rich>
      </c:tx>
      <c:layout>
        <c:manualLayout>
          <c:xMode val="edge"/>
          <c:yMode val="edge"/>
          <c:x val="0.40608342418736132"/>
          <c:y val="3.136713910761155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9424881274004974E-2"/>
          <c:y val="0.12631713718712881"/>
          <c:w val="0.91275498187360016"/>
          <c:h val="0.723514072936005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ბუნებრივი მატება</c:v>
                </c:pt>
              </c:strCache>
            </c:strRef>
          </c:tx>
          <c:dLbls>
            <c:dLbl>
              <c:idx val="1"/>
              <c:layout>
                <c:manualLayout>
                  <c:x val="-2.0512820512820652E-3"/>
                  <c:y val="0.1653333333333334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512820512820652E-3"/>
                  <c:y val="0.19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025641025642014E-3"/>
                  <c:y val="0.176000000000000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0.1653333333333334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6.1538461538461833E-3"/>
                  <c:y val="0.1813333333333347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8109</c:v>
                </c:pt>
                <c:pt idx="1">
                  <c:v>13554</c:v>
                </c:pt>
                <c:pt idx="2">
                  <c:v>16752</c:v>
                </c:pt>
                <c:pt idx="3">
                  <c:v>14721</c:v>
                </c:pt>
                <c:pt idx="4">
                  <c:v>8196</c:v>
                </c:pt>
                <c:pt idx="5">
                  <c:v>7683</c:v>
                </c:pt>
                <c:pt idx="6">
                  <c:v>9325</c:v>
                </c:pt>
                <c:pt idx="7">
                  <c:v>11548</c:v>
                </c:pt>
                <c:pt idx="8">
                  <c:v>10128</c:v>
                </c:pt>
                <c:pt idx="9">
                  <c:v>5798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909568"/>
        <c:axId val="138911104"/>
      </c:lineChart>
      <c:catAx>
        <c:axId val="138909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ru-RU" sz="1000" baseline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38911104"/>
        <c:crosses val="autoZero"/>
        <c:auto val="1"/>
        <c:lblAlgn val="ctr"/>
        <c:lblOffset val="100"/>
        <c:noMultiLvlLbl val="0"/>
      </c:catAx>
      <c:valAx>
        <c:axId val="138911104"/>
        <c:scaling>
          <c:orientation val="minMax"/>
          <c:max val="20000"/>
          <c:min val="0"/>
        </c:scaling>
        <c:delete val="0"/>
        <c:axPos val="l"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ru-RU" sz="1000" baseline="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38909568"/>
        <c:crosses val="autoZero"/>
        <c:crossBetween val="between"/>
        <c:majorUnit val="5000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/>
              <a:t>ბუნებრივი მატება რეგიონების მიხედვით </a:t>
            </a:r>
          </a:p>
          <a:p>
            <a:pPr>
              <a:defRPr/>
            </a:pPr>
            <a:r>
              <a:rPr lang="ka-GE" sz="1200"/>
              <a:t>(2016 წელი</a:t>
            </a:r>
            <a:r>
              <a:rPr lang="ka-GE" sz="1200" baseline="0"/>
              <a:t> )</a:t>
            </a:r>
            <a:endParaRPr lang="ka-GE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7002440923098645E-2"/>
          <c:y val="0.11698530098786196"/>
          <c:w val="0.92299755907690206"/>
          <c:h val="0.599841826175296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q. Tbilisi</c:v>
                </c:pt>
                <c:pt idx="1">
                  <c:v>aWaris a.r.</c:v>
                </c:pt>
                <c:pt idx="2">
                  <c:v>qvemo qarTli</c:v>
                </c:pt>
                <c:pt idx="3">
                  <c:v>Sida qarTli</c:v>
                </c:pt>
                <c:pt idx="4">
                  <c:v>samcxe-javaxeTi</c:v>
                </c:pt>
                <c:pt idx="5">
                  <c:v>kaxeTi</c:v>
                </c:pt>
                <c:pt idx="6">
                  <c:v>mcxeTa-mTianeTi</c:v>
                </c:pt>
                <c:pt idx="7">
                  <c:v>guria</c:v>
                </c:pt>
                <c:pt idx="8">
                  <c:v>raWa-leCxumi da qvemo svaneTi</c:v>
                </c:pt>
                <c:pt idx="9">
                  <c:v>samegrelo-zemo svaneTi</c:v>
                </c:pt>
                <c:pt idx="10">
                  <c:v>imereTi</c:v>
                </c:pt>
              </c:strCache>
            </c:strRef>
          </c:cat>
          <c:val>
            <c:numRef>
              <c:f>Sheet1!$B$2:$B$12</c:f>
              <c:numCache>
                <c:formatCode>#,##0</c:formatCode>
                <c:ptCount val="11"/>
                <c:pt idx="0">
                  <c:v>4064</c:v>
                </c:pt>
                <c:pt idx="1">
                  <c:v>2355</c:v>
                </c:pt>
                <c:pt idx="2" formatCode="General">
                  <c:v>2037</c:v>
                </c:pt>
                <c:pt idx="3" formatCode="General">
                  <c:v>357</c:v>
                </c:pt>
                <c:pt idx="4" formatCode="General">
                  <c:v>296</c:v>
                </c:pt>
                <c:pt idx="5" formatCode="General">
                  <c:v>-229</c:v>
                </c:pt>
                <c:pt idx="6" formatCode="General">
                  <c:v>-236</c:v>
                </c:pt>
                <c:pt idx="7">
                  <c:v>-297</c:v>
                </c:pt>
                <c:pt idx="8" formatCode="General">
                  <c:v>-496</c:v>
                </c:pt>
                <c:pt idx="9" formatCode="General">
                  <c:v>-735</c:v>
                </c:pt>
                <c:pt idx="10" formatCode="General">
                  <c:v>-1318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111424"/>
        <c:axId val="140944128"/>
      </c:barChart>
      <c:catAx>
        <c:axId val="1391114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 anchor="b" anchorCtr="0"/>
          <a:lstStyle/>
          <a:p>
            <a:pPr>
              <a:defRPr baseline="0">
                <a:latin typeface="AcadNusx" pitchFamily="2" charset="0"/>
              </a:defRPr>
            </a:pPr>
            <a:endParaRPr lang="en-US"/>
          </a:p>
        </c:txPr>
        <c:crossAx val="140944128"/>
        <c:crosses val="autoZero"/>
        <c:auto val="1"/>
        <c:lblAlgn val="ctr"/>
        <c:lblOffset val="100"/>
        <c:noMultiLvlLbl val="0"/>
      </c:catAx>
      <c:valAx>
        <c:axId val="140944128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1391114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ru-RU" sz="1200">
                <a:latin typeface="AcadMtavr" pitchFamily="2" charset="0"/>
              </a:defRPr>
            </a:pPr>
            <a:r>
              <a:rPr lang="ka-GE" sz="1050" baseline="0">
                <a:latin typeface="Sylfaen" pitchFamily="18" charset="0"/>
              </a:rPr>
              <a:t>რეგისტრირებულ ქორწინებათა რიცხვი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5935484775528037E-2"/>
          <c:y val="0.16500621833608009"/>
          <c:w val="0.90192403624920892"/>
          <c:h val="0.72408581558119756"/>
        </c:manualLayout>
      </c:layout>
      <c:lineChart>
        <c:grouping val="stacked"/>
        <c:varyColors val="0"/>
        <c:ser>
          <c:idx val="1"/>
          <c:order val="0"/>
          <c:dLbls>
            <c:dLbl>
              <c:idx val="0"/>
              <c:layout>
                <c:manualLayout>
                  <c:x val="-4.8562553204913421E-2"/>
                  <c:y val="7.2674418604651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8562553204913421E-2"/>
                  <c:y val="-8.8824289405684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4515673771170598E-2"/>
                  <c:y val="9.6899224806201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6539113488041996E-2"/>
                  <c:y val="-8.8824289405684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463287235552778E-2"/>
                  <c:y val="8.8824289405684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6539113488041996E-2"/>
                  <c:y val="-8.8824289405684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8562553204913421E-2"/>
                  <c:y val="8.8824289405684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0468794337428046E-2"/>
                  <c:y val="-7.6711886304909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463287235552778E-2"/>
                  <c:y val="6.8636950904392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4164078018099747E-2"/>
                  <c:y val="-8.4786821705426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Sheet1!$A$1:$J$1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Sheet1!$A$2:$J$2</c:f>
              <c:numCache>
                <c:formatCode>General</c:formatCode>
                <c:ptCount val="10"/>
                <c:pt idx="0">
                  <c:v>24891</c:v>
                </c:pt>
                <c:pt idx="1">
                  <c:v>31414</c:v>
                </c:pt>
                <c:pt idx="2">
                  <c:v>31752</c:v>
                </c:pt>
                <c:pt idx="3">
                  <c:v>34675</c:v>
                </c:pt>
                <c:pt idx="4">
                  <c:v>30863</c:v>
                </c:pt>
                <c:pt idx="5">
                  <c:v>30412</c:v>
                </c:pt>
                <c:pt idx="6">
                  <c:v>34693</c:v>
                </c:pt>
                <c:pt idx="7">
                  <c:v>31526</c:v>
                </c:pt>
                <c:pt idx="8">
                  <c:v>29157</c:v>
                </c:pt>
                <c:pt idx="9">
                  <c:v>25101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952320"/>
        <c:axId val="140953856"/>
      </c:lineChart>
      <c:catAx>
        <c:axId val="14095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0953856"/>
        <c:crosses val="autoZero"/>
        <c:auto val="1"/>
        <c:lblAlgn val="ctr"/>
        <c:lblOffset val="100"/>
        <c:noMultiLvlLbl val="0"/>
      </c:catAx>
      <c:valAx>
        <c:axId val="140953856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ru-RU"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0952320"/>
        <c:crosses val="autoZero"/>
        <c:crossBetween val="between"/>
        <c:majorUnit val="10000"/>
      </c:valAx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2"/>
    </mc:Choice>
    <mc:Fallback>
      <c:style val="12"/>
    </mc:Fallback>
  </mc:AlternateContent>
  <c:chart>
    <c:title>
      <c:tx>
        <c:rich>
          <a:bodyPr/>
          <a:lstStyle/>
          <a:p>
            <a:pPr>
              <a:defRPr lang="ru-RU" sz="1200">
                <a:latin typeface="AcadMtavr" pitchFamily="2" charset="0"/>
              </a:defRPr>
            </a:pPr>
            <a:r>
              <a:rPr lang="ka-GE" sz="1050" b="1" i="0" baseline="0">
                <a:latin typeface="Sylfaen" pitchFamily="18" charset="0"/>
              </a:rPr>
              <a:t>რეგისტრირებულ განქორწინებათა რიცხვი </a:t>
            </a:r>
          </a:p>
        </c:rich>
      </c:tx>
      <c:layout>
        <c:manualLayout>
          <c:xMode val="edge"/>
          <c:yMode val="edge"/>
          <c:x val="0.2722126542692803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8592580182796523E-2"/>
          <c:y val="0.12497905034597979"/>
          <c:w val="0.92011317734219389"/>
          <c:h val="0.72574103445970894"/>
        </c:manualLayout>
      </c:layout>
      <c:lineChart>
        <c:grouping val="stacked"/>
        <c:varyColors val="0"/>
        <c:ser>
          <c:idx val="0"/>
          <c:order val="0"/>
          <c:spPr>
            <a:ln w="28575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1"/>
              <c:layout>
                <c:manualLayout>
                  <c:x val="0"/>
                  <c:y val="0.1729193580362048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3"/>
              <c:layout>
                <c:manualLayout>
                  <c:x val="0"/>
                  <c:y val="0.20750322964344289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5"/>
              <c:layout>
                <c:manualLayout>
                  <c:x val="0"/>
                  <c:y val="0.193669681000546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7"/>
              <c:layout>
                <c:manualLayout>
                  <c:x val="4.0374677002584123E-3"/>
                  <c:y val="0.2351703269292353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dLbl>
              <c:idx val="9"/>
              <c:layout>
                <c:manualLayout>
                  <c:x val="0"/>
                  <c:y val="0.20750322964344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numFmt formatCode="#,##0" sourceLinked="0"/>
            <c:txPr>
              <a:bodyPr/>
              <a:lstStyle/>
              <a:p>
                <a:pPr>
                  <a:defRPr lang="ru-RU" sz="900" baseline="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</c:dLbls>
          <c:cat>
            <c:numRef>
              <c:f>Sheet1!$A$1:$J$1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Sheet1!$A$2:$J$2</c:f>
              <c:numCache>
                <c:formatCode>General</c:formatCode>
                <c:ptCount val="10"/>
                <c:pt idx="0">
                  <c:v>2325</c:v>
                </c:pt>
                <c:pt idx="1">
                  <c:v>3189</c:v>
                </c:pt>
                <c:pt idx="2">
                  <c:v>4030</c:v>
                </c:pt>
                <c:pt idx="3">
                  <c:v>4726</c:v>
                </c:pt>
                <c:pt idx="4">
                  <c:v>5850</c:v>
                </c:pt>
                <c:pt idx="5">
                  <c:v>7136</c:v>
                </c:pt>
                <c:pt idx="6">
                  <c:v>8089</c:v>
                </c:pt>
                <c:pt idx="7">
                  <c:v>9119</c:v>
                </c:pt>
                <c:pt idx="8">
                  <c:v>9112</c:v>
                </c:pt>
                <c:pt idx="9">
                  <c:v>9539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986624"/>
        <c:axId val="141017088"/>
      </c:lineChart>
      <c:catAx>
        <c:axId val="14098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ru-RU"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1017088"/>
        <c:crosses val="autoZero"/>
        <c:auto val="1"/>
        <c:lblAlgn val="ctr"/>
        <c:lblOffset val="100"/>
        <c:noMultiLvlLbl val="0"/>
      </c:catAx>
      <c:valAx>
        <c:axId val="141017088"/>
        <c:scaling>
          <c:orientation val="minMax"/>
          <c:max val="100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ru-RU" sz="10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0986624"/>
        <c:crosses val="autoZero"/>
        <c:crossBetween val="between"/>
        <c:majorUnit val="2000"/>
        <c:minorUnit val="1000"/>
      </c:valAx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02EF-C3D7-470E-A6A8-6E57597C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SDSG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nkopaleishvili</dc:creator>
  <cp:lastModifiedBy>PShavishvili</cp:lastModifiedBy>
  <cp:revision>4</cp:revision>
  <dcterms:created xsi:type="dcterms:W3CDTF">2017-03-30T05:41:00Z</dcterms:created>
  <dcterms:modified xsi:type="dcterms:W3CDTF">2017-03-30T05:43:00Z</dcterms:modified>
</cp:coreProperties>
</file>