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28" w:rsidRPr="007B6FDB" w:rsidRDefault="00984828" w:rsidP="00984828">
      <w:pPr>
        <w:jc w:val="right"/>
        <w:rPr>
          <w:rFonts w:ascii="Sylfaen" w:hAnsi="Sylfaen"/>
          <w:b/>
          <w:lang w:val="ka-GE"/>
        </w:rPr>
      </w:pPr>
      <w:r w:rsidRPr="00BC32D8">
        <w:rPr>
          <w:rFonts w:ascii="Sylfaen" w:hAnsi="Sylfaen"/>
          <w:b/>
          <w:noProof/>
        </w:rPr>
        <w:drawing>
          <wp:inline distT="0" distB="0" distL="0" distR="0">
            <wp:extent cx="1114425" cy="476250"/>
            <wp:effectExtent l="19050" t="0" r="9525" b="0"/>
            <wp:docPr id="4" name="Picture 1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oebi\Moh Logo Ge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556" cy="476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b/>
          <w:lang w:val="ka-GE"/>
        </w:rPr>
        <w:t xml:space="preserve">                                                                                                   </w:t>
      </w:r>
      <w:r w:rsidRPr="00BC32D8">
        <w:rPr>
          <w:rFonts w:ascii="Sylfaen" w:hAnsi="Sylfaen"/>
          <w:b/>
          <w:noProof/>
        </w:rPr>
        <w:drawing>
          <wp:inline distT="0" distB="0" distL="0" distR="0">
            <wp:extent cx="704850" cy="533400"/>
            <wp:effectExtent l="19050" t="0" r="0" b="0"/>
            <wp:docPr id="2" name="Picture 1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828" w:rsidRPr="00F61F69" w:rsidRDefault="00984828" w:rsidP="00984828">
      <w:pPr>
        <w:ind w:left="-450" w:right="-540"/>
        <w:jc w:val="center"/>
        <w:rPr>
          <w:rFonts w:ascii="Sylfaen" w:hAnsi="Sylfaen"/>
          <w:b/>
          <w:spacing w:val="80"/>
          <w:sz w:val="24"/>
        </w:rPr>
      </w:pPr>
      <w:r w:rsidRPr="00F61F69">
        <w:rPr>
          <w:rFonts w:ascii="Sylfaen" w:hAnsi="Sylfaen"/>
          <w:b/>
          <w:spacing w:val="80"/>
          <w:sz w:val="24"/>
          <w:lang w:val="ka-GE"/>
        </w:rPr>
        <w:t>პრესრელიზი</w:t>
      </w:r>
    </w:p>
    <w:p w:rsidR="00984828" w:rsidRDefault="00984828" w:rsidP="00984828">
      <w:pPr>
        <w:pStyle w:val="ListParagraph"/>
        <w:spacing w:after="120" w:line="240" w:lineRule="auto"/>
        <w:ind w:left="-450" w:right="-540"/>
        <w:jc w:val="both"/>
        <w:rPr>
          <w:rFonts w:ascii="Sylfaen" w:hAnsi="Sylfaen"/>
          <w:lang w:val="ka-GE"/>
        </w:rPr>
      </w:pPr>
      <w:r w:rsidRPr="007B6FDB">
        <w:rPr>
          <w:rFonts w:ascii="Sylfaen" w:hAnsi="Sylfaen"/>
          <w:b/>
          <w:lang w:val="ka-GE"/>
        </w:rPr>
        <w:t>2017 წლის 29 მარტს 14:00 საათზე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შრომის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ჯანმრთელობისა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სოციალური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დაცვის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სამინისტროს</w:t>
      </w:r>
      <w:proofErr w:type="spellEnd"/>
      <w:r>
        <w:rPr>
          <w:rFonts w:ascii="Sylfaen" w:hAnsi="Sylfaen"/>
        </w:rPr>
        <w:t xml:space="preserve"> </w:t>
      </w:r>
      <w:r w:rsidRPr="007B6FDB">
        <w:rPr>
          <w:rFonts w:ascii="Sylfaen" w:hAnsi="Sylfaen"/>
          <w:lang w:val="ka-GE"/>
        </w:rPr>
        <w:t>დაავადებათა კონტროლისა და საზოგადოებრივი ჯანმრთელობის ეროვნული ცენტრი</w:t>
      </w:r>
      <w:r>
        <w:rPr>
          <w:rFonts w:ascii="Sylfaen" w:hAnsi="Sylfaen"/>
          <w:lang w:val="ka-GE"/>
        </w:rPr>
        <w:t>ს და</w:t>
      </w:r>
      <w:r w:rsidRPr="007B6FDB">
        <w:rPr>
          <w:rFonts w:ascii="Sylfaen" w:hAnsi="Sylfaen"/>
          <w:lang w:val="ka-GE"/>
        </w:rPr>
        <w:t xml:space="preserve"> თბილისის სახელმწიფო სამედიცინო უნივესიტეტ</w:t>
      </w:r>
      <w:r>
        <w:rPr>
          <w:rFonts w:ascii="Sylfaen" w:hAnsi="Sylfaen"/>
          <w:lang w:val="ka-GE"/>
        </w:rPr>
        <w:t>ის ორგანიზებით გაიმართება</w:t>
      </w:r>
      <w:r w:rsidRPr="007B6FDB">
        <w:rPr>
          <w:rFonts w:ascii="Sylfaen" w:hAnsi="Sylfaen"/>
          <w:lang w:val="ka-GE"/>
        </w:rPr>
        <w:t xml:space="preserve">  პრესკონფერენცია</w:t>
      </w:r>
      <w:r>
        <w:rPr>
          <w:rFonts w:ascii="Sylfaen" w:hAnsi="Sylfaen"/>
          <w:lang w:val="ka-GE"/>
        </w:rPr>
        <w:t xml:space="preserve">  თემაზე</w:t>
      </w:r>
    </w:p>
    <w:p w:rsidR="00984828" w:rsidRDefault="00984828" w:rsidP="00984828">
      <w:pPr>
        <w:pStyle w:val="ListParagraph"/>
        <w:spacing w:after="0" w:line="240" w:lineRule="auto"/>
        <w:ind w:left="-450" w:right="-540"/>
        <w:jc w:val="both"/>
        <w:rPr>
          <w:rFonts w:ascii="Sylfaen" w:hAnsi="Sylfaen"/>
          <w:b/>
          <w:spacing w:val="40"/>
          <w:sz w:val="24"/>
          <w:lang w:val="ka-GE"/>
        </w:rPr>
      </w:pPr>
    </w:p>
    <w:p w:rsidR="00984828" w:rsidRDefault="00984828" w:rsidP="00984828">
      <w:pPr>
        <w:pStyle w:val="ListParagraph"/>
        <w:spacing w:after="0" w:line="240" w:lineRule="auto"/>
        <w:ind w:left="-450" w:right="-540"/>
        <w:jc w:val="center"/>
        <w:rPr>
          <w:rFonts w:ascii="Sylfaen" w:hAnsi="Sylfaen"/>
          <w:b/>
          <w:spacing w:val="40"/>
          <w:sz w:val="24"/>
          <w:lang w:val="ka-GE"/>
        </w:rPr>
      </w:pPr>
      <w:r>
        <w:rPr>
          <w:rFonts w:ascii="Sylfaen" w:hAnsi="Sylfaen"/>
          <w:b/>
          <w:spacing w:val="40"/>
          <w:sz w:val="24"/>
          <w:lang w:val="ka-GE"/>
        </w:rPr>
        <w:t xml:space="preserve">     </w:t>
      </w:r>
      <w:r w:rsidRPr="00F61F69">
        <w:rPr>
          <w:rFonts w:ascii="Sylfaen" w:hAnsi="Sylfaen"/>
          <w:b/>
          <w:spacing w:val="40"/>
          <w:sz w:val="24"/>
          <w:lang w:val="ka-GE"/>
        </w:rPr>
        <w:t>29 მარტი - „საქართველო თამბაქოს გარეშე“</w:t>
      </w:r>
    </w:p>
    <w:p w:rsidR="00984828" w:rsidRPr="00F61F69" w:rsidRDefault="00984828" w:rsidP="00984828">
      <w:pPr>
        <w:pStyle w:val="ListParagraph"/>
        <w:spacing w:after="0" w:line="240" w:lineRule="auto"/>
        <w:ind w:left="-450" w:right="-540"/>
        <w:jc w:val="both"/>
        <w:rPr>
          <w:rFonts w:ascii="Sylfaen" w:hAnsi="Sylfaen"/>
          <w:b/>
          <w:spacing w:val="40"/>
          <w:sz w:val="24"/>
          <w:lang w:val="ka-GE"/>
        </w:rPr>
      </w:pPr>
    </w:p>
    <w:p w:rsidR="00984828" w:rsidRDefault="00984828" w:rsidP="00984828">
      <w:pPr>
        <w:spacing w:after="120" w:line="240" w:lineRule="auto"/>
        <w:ind w:left="-450" w:right="-540"/>
        <w:jc w:val="both"/>
        <w:rPr>
          <w:rFonts w:ascii="Sylfaen" w:hAnsi="Sylfaen"/>
          <w:lang w:val="ka-GE"/>
        </w:rPr>
      </w:pPr>
      <w:r w:rsidRPr="007B6FDB">
        <w:rPr>
          <w:rFonts w:ascii="Sylfaen" w:hAnsi="Sylfaen"/>
          <w:lang w:val="ka-GE"/>
        </w:rPr>
        <w:t>პრეს-კონფერენცი</w:t>
      </w:r>
      <w:r>
        <w:rPr>
          <w:rFonts w:ascii="Sylfaen" w:hAnsi="Sylfaen"/>
          <w:lang w:val="ka-GE"/>
        </w:rPr>
        <w:t>აში</w:t>
      </w:r>
      <w:r w:rsidRPr="007B6FDB">
        <w:rPr>
          <w:rFonts w:ascii="Sylfaen" w:hAnsi="Sylfaen"/>
          <w:lang w:val="ka-GE"/>
        </w:rPr>
        <w:t xml:space="preserve"> მონაწილეობას მიიღებენ </w:t>
      </w:r>
      <w:r>
        <w:rPr>
          <w:rFonts w:ascii="Sylfaen" w:hAnsi="Sylfaen"/>
          <w:lang w:val="ka-GE"/>
        </w:rPr>
        <w:t xml:space="preserve">შრომის, ჯანმრთელობის და სოციალური დაცვის სამინისტროს, დაავადებათა კონტროლისა და საზოგადოებრივი ჯანმრთელობის ეროვნული ცენტრის და </w:t>
      </w:r>
      <w:r w:rsidRPr="007B6FDB">
        <w:rPr>
          <w:rFonts w:ascii="Sylfaen" w:hAnsi="Sylfaen"/>
          <w:lang w:val="ka-GE"/>
        </w:rPr>
        <w:t xml:space="preserve">თბილისის სახელმწიფო სამედიცინო უნივესიტეტის </w:t>
      </w:r>
      <w:r>
        <w:rPr>
          <w:rFonts w:ascii="Sylfaen" w:hAnsi="Sylfaen"/>
          <w:lang w:val="ka-GE"/>
        </w:rPr>
        <w:t xml:space="preserve">ხელმძღვანელი პირები, თამბაქოს კონტროლის სახელმწიფო კომისიაში შემავალი სამინსტროების, ჯანმრთელობის მსოფლიო ორგანიზაციის, არასამთავრობო ორგანიზაციების წარმომადგენლები, დარგის ექსპერტები და სტუდენტები. </w:t>
      </w:r>
      <w:r w:rsidRPr="007B6FD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გარდა ამისა,</w:t>
      </w:r>
      <w:r w:rsidRPr="007B6FD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პრეს-კონფერენციას დაესწრებიან </w:t>
      </w:r>
      <w:r w:rsidRPr="007B6FDB">
        <w:rPr>
          <w:rFonts w:ascii="Sylfaen" w:hAnsi="Sylfaen"/>
          <w:lang w:val="ka-GE"/>
        </w:rPr>
        <w:t>გაეროს გა</w:t>
      </w:r>
      <w:r>
        <w:rPr>
          <w:rFonts w:ascii="Sylfaen" w:hAnsi="Sylfaen"/>
          <w:lang w:val="ka-GE"/>
        </w:rPr>
        <w:t>ნ</w:t>
      </w:r>
      <w:r w:rsidRPr="007B6FDB">
        <w:rPr>
          <w:rFonts w:ascii="Sylfaen" w:hAnsi="Sylfaen"/>
          <w:lang w:val="ka-GE"/>
        </w:rPr>
        <w:t xml:space="preserve">ვითარების პროგრამისა და ჯანმრთელობის მსოფლიო ორგანიზაციის თამბაქოს მოხმარების ტვირთის შეფასების საერთაშორისო მისიის წარმომადგენლები. </w:t>
      </w:r>
    </w:p>
    <w:p w:rsidR="00984828" w:rsidRDefault="00984828" w:rsidP="00984828">
      <w:pPr>
        <w:pStyle w:val="ListParagraph"/>
        <w:tabs>
          <w:tab w:val="left" w:pos="9900"/>
        </w:tabs>
        <w:spacing w:after="120" w:line="240" w:lineRule="auto"/>
        <w:ind w:left="-450" w:right="-540"/>
        <w:jc w:val="both"/>
        <w:rPr>
          <w:rFonts w:ascii="Sylfaen" w:hAnsi="Sylfaen"/>
          <w:lang w:val="ka-GE"/>
        </w:rPr>
      </w:pPr>
      <w:r w:rsidRPr="007B6FDB">
        <w:rPr>
          <w:rFonts w:ascii="Sylfaen" w:hAnsi="Sylfaen"/>
          <w:lang w:val="ka-GE"/>
        </w:rPr>
        <w:t>პრეს-კონფერენციის ძირითადი თემაა თამბაქოს კონტროლის საკითხებზე მრავალსექტორული თანამშრომლობის გაძლიერება და პარლამ</w:t>
      </w:r>
      <w:r>
        <w:rPr>
          <w:rFonts w:ascii="Sylfaen" w:hAnsi="Sylfaen"/>
          <w:lang w:val="ka-GE"/>
        </w:rPr>
        <w:t>ე</w:t>
      </w:r>
      <w:r w:rsidRPr="007B6FDB">
        <w:rPr>
          <w:rFonts w:ascii="Sylfaen" w:hAnsi="Sylfaen"/>
          <w:lang w:val="ka-GE"/>
        </w:rPr>
        <w:t xml:space="preserve">ნტში ინიცირებული თამბაქოს კონტროლის კანონმდებლობის ცვლილებათა პაკეტის მხარდაჭერა. </w:t>
      </w:r>
    </w:p>
    <w:p w:rsidR="00984828" w:rsidRPr="007B6FDB" w:rsidRDefault="00984828" w:rsidP="00984828">
      <w:pPr>
        <w:spacing w:after="120"/>
        <w:ind w:left="-450" w:right="-540"/>
        <w:jc w:val="both"/>
        <w:rPr>
          <w:rFonts w:ascii="Sylfaen" w:hAnsi="Sylfaen"/>
          <w:lang w:val="ka-GE"/>
        </w:rPr>
      </w:pPr>
      <w:r w:rsidRPr="007B6FDB">
        <w:rPr>
          <w:rFonts w:ascii="Sylfaen" w:hAnsi="Sylfaen"/>
          <w:lang w:val="ka-GE"/>
        </w:rPr>
        <w:t>მსოფლიოში</w:t>
      </w:r>
      <w:r>
        <w:rPr>
          <w:rFonts w:ascii="Sylfaen" w:hAnsi="Sylfaen"/>
          <w:lang w:val="ka-GE"/>
        </w:rPr>
        <w:t>,</w:t>
      </w:r>
      <w:r w:rsidRPr="007B6FDB">
        <w:rPr>
          <w:rFonts w:ascii="Sylfaen" w:hAnsi="Sylfaen"/>
          <w:lang w:val="ka-GE"/>
        </w:rPr>
        <w:t xml:space="preserve"> თამბაქოს მოხმარების გამო,</w:t>
      </w:r>
      <w:r>
        <w:rPr>
          <w:rFonts w:ascii="Sylfaen" w:hAnsi="Sylfaen"/>
          <w:lang w:val="ka-GE"/>
        </w:rPr>
        <w:t xml:space="preserve"> </w:t>
      </w:r>
      <w:r w:rsidRPr="007B6FDB">
        <w:rPr>
          <w:rFonts w:ascii="Sylfaen" w:hAnsi="Sylfaen"/>
          <w:lang w:val="ka-GE"/>
        </w:rPr>
        <w:t>დაახლოებით 6 მილიონი ადამიანი იღუპება ყოველწლიურად</w:t>
      </w:r>
      <w:r>
        <w:rPr>
          <w:rFonts w:ascii="Sylfaen" w:hAnsi="Sylfaen"/>
          <w:lang w:val="ka-GE"/>
        </w:rPr>
        <w:t>;</w:t>
      </w:r>
      <w:r w:rsidRPr="007B6FDB">
        <w:rPr>
          <w:rFonts w:ascii="Sylfaen" w:hAnsi="Sylfaen"/>
          <w:lang w:val="ka-GE"/>
        </w:rPr>
        <w:t xml:space="preserve"> დაახლოებით 600 000 ადამიანის ნაადრევი სიკვდილის მიზეზი კი ე.წ. პასიური მწეველობაა. პასიური მწეველობით დაღუპულთა 31% ბავშვებზე, ხოლო 64%</w:t>
      </w:r>
      <w:r>
        <w:rPr>
          <w:rFonts w:ascii="Sylfaen" w:hAnsi="Sylfaen"/>
          <w:lang w:val="ka-GE"/>
        </w:rPr>
        <w:t xml:space="preserve"> კი </w:t>
      </w:r>
      <w:r w:rsidRPr="007B6FDB">
        <w:rPr>
          <w:rFonts w:ascii="Sylfaen" w:hAnsi="Sylfaen"/>
          <w:lang w:val="ka-GE"/>
        </w:rPr>
        <w:t>ქალებზე</w:t>
      </w:r>
      <w:r>
        <w:rPr>
          <w:rFonts w:ascii="Sylfaen" w:hAnsi="Sylfaen"/>
          <w:lang w:val="ka-GE"/>
        </w:rPr>
        <w:t xml:space="preserve"> </w:t>
      </w:r>
      <w:r w:rsidRPr="007B6FDB">
        <w:rPr>
          <w:rFonts w:ascii="Sylfaen" w:hAnsi="Sylfaen"/>
          <w:lang w:val="ka-GE"/>
        </w:rPr>
        <w:t xml:space="preserve">მოდის. </w:t>
      </w:r>
    </w:p>
    <w:p w:rsidR="00984828" w:rsidRDefault="00984828" w:rsidP="00984828">
      <w:pPr>
        <w:pStyle w:val="ListParagraph"/>
        <w:spacing w:after="120"/>
        <w:ind w:left="-450" w:right="-540"/>
        <w:jc w:val="both"/>
        <w:rPr>
          <w:rFonts w:ascii="Sylfaen" w:hAnsi="Sylfaen"/>
          <w:lang w:val="ka-GE"/>
        </w:rPr>
      </w:pPr>
      <w:r w:rsidRPr="007B6FDB">
        <w:rPr>
          <w:rFonts w:ascii="Sylfaen" w:hAnsi="Sylfaen"/>
          <w:lang w:val="ka-GE"/>
        </w:rPr>
        <w:t>საქართველოში</w:t>
      </w:r>
      <w:r>
        <w:rPr>
          <w:rFonts w:ascii="Sylfaen" w:hAnsi="Sylfaen"/>
          <w:lang w:val="ka-GE"/>
        </w:rPr>
        <w:t xml:space="preserve"> </w:t>
      </w:r>
      <w:r w:rsidRPr="007B6FDB">
        <w:rPr>
          <w:rFonts w:ascii="Sylfaen" w:hAnsi="Sylfaen"/>
          <w:lang w:val="ka-GE"/>
        </w:rPr>
        <w:t>მწეველთა რაოდენობა ძალიან მაღალია. არაგადამდებ დაავადებ</w:t>
      </w:r>
      <w:r>
        <w:rPr>
          <w:rFonts w:ascii="Sylfaen" w:hAnsi="Sylfaen"/>
          <w:lang w:val="ka-GE"/>
        </w:rPr>
        <w:t>ათა</w:t>
      </w:r>
      <w:r w:rsidRPr="007B6FDB">
        <w:rPr>
          <w:rFonts w:ascii="Sylfaen" w:hAnsi="Sylfaen"/>
          <w:lang w:val="ka-GE"/>
        </w:rPr>
        <w:t xml:space="preserve"> რისკ-ფაქტორების კვლევის (</w:t>
      </w:r>
      <w:r w:rsidRPr="005B5678">
        <w:rPr>
          <w:rFonts w:ascii="Sylfaen" w:hAnsi="Sylfaen" w:cs="AcadNusx"/>
          <w:lang w:val="ka-GE"/>
        </w:rPr>
        <w:t>STEPS</w:t>
      </w:r>
      <w:r>
        <w:rPr>
          <w:rFonts w:ascii="Sylfaen" w:hAnsi="Sylfaen"/>
          <w:lang w:val="ka-GE"/>
        </w:rPr>
        <w:t>, 2010</w:t>
      </w:r>
      <w:r w:rsidRPr="007B6FDB">
        <w:rPr>
          <w:rFonts w:ascii="Sylfaen" w:hAnsi="Sylfaen"/>
          <w:lang w:val="ka-GE"/>
        </w:rPr>
        <w:t>) მონაცემებით მწეველობის გავრცელება საქართველო</w:t>
      </w:r>
      <w:r>
        <w:rPr>
          <w:rFonts w:ascii="Sylfaen" w:hAnsi="Sylfaen"/>
          <w:lang w:val="ka-GE"/>
        </w:rPr>
        <w:t>ს</w:t>
      </w:r>
      <w:r w:rsidRPr="007B6FDB">
        <w:rPr>
          <w:rFonts w:ascii="Sylfaen" w:hAnsi="Sylfaen"/>
          <w:lang w:val="ka-GE"/>
        </w:rPr>
        <w:t xml:space="preserve">  მოზრდილ</w:t>
      </w:r>
      <w:r>
        <w:rPr>
          <w:rFonts w:ascii="Sylfaen" w:hAnsi="Sylfaen"/>
          <w:lang w:val="ka-GE"/>
        </w:rPr>
        <w:t xml:space="preserve"> მოსახლეობის</w:t>
      </w:r>
      <w:r w:rsidRPr="007B6FDB">
        <w:rPr>
          <w:rFonts w:ascii="Sylfaen" w:hAnsi="Sylfaen"/>
          <w:lang w:val="ka-GE"/>
        </w:rPr>
        <w:t xml:space="preserve"> 30%-ს </w:t>
      </w:r>
      <w:r>
        <w:rPr>
          <w:rFonts w:ascii="Sylfaen" w:hAnsi="Sylfaen"/>
          <w:lang w:val="ka-GE"/>
        </w:rPr>
        <w:t>შეადგენდა</w:t>
      </w:r>
      <w:r w:rsidRPr="00784A2E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მწეველი იყო </w:t>
      </w:r>
      <w:r w:rsidRPr="00784A2E">
        <w:rPr>
          <w:rFonts w:ascii="Sylfaen" w:hAnsi="Sylfaen"/>
          <w:lang w:val="ka-GE"/>
        </w:rPr>
        <w:t>მამაკაც</w:t>
      </w:r>
      <w:r>
        <w:rPr>
          <w:rFonts w:ascii="Sylfaen" w:hAnsi="Sylfaen"/>
          <w:lang w:val="ka-GE"/>
        </w:rPr>
        <w:t>თა 55% და ქ</w:t>
      </w:r>
      <w:r w:rsidRPr="00784A2E">
        <w:rPr>
          <w:rFonts w:ascii="Sylfaen" w:hAnsi="Sylfaen"/>
          <w:lang w:val="ka-GE"/>
        </w:rPr>
        <w:t>ალ</w:t>
      </w:r>
      <w:r>
        <w:rPr>
          <w:rFonts w:ascii="Sylfaen" w:hAnsi="Sylfaen"/>
          <w:lang w:val="ka-GE"/>
        </w:rPr>
        <w:t>თა 5%</w:t>
      </w:r>
      <w:r w:rsidRPr="00784A2E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2016 წელს ჩატარებული იგივე კვლევის</w:t>
      </w:r>
      <w:r w:rsidRPr="005B56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წინასწარი მონაცემებით სიტუაცია გაუარესდა - ქვეყნის ზრდასრული მოსახლეობის 33% ეწევა, თამბაქოს მოიხმარს მამაკაცების 57% და ქალების 7% (</w:t>
      </w:r>
      <w:r w:rsidRPr="005B5678">
        <w:rPr>
          <w:rFonts w:ascii="Sylfaen" w:hAnsi="Sylfaen"/>
          <w:lang w:val="ka-GE"/>
        </w:rPr>
        <w:t>STEPS, 2016).</w:t>
      </w:r>
    </w:p>
    <w:p w:rsidR="00984828" w:rsidRDefault="00984828" w:rsidP="00984828">
      <w:pPr>
        <w:spacing w:after="120"/>
        <w:ind w:left="-450" w:right="-540"/>
        <w:jc w:val="both"/>
        <w:rPr>
          <w:rFonts w:ascii="Sylfaen" w:hAnsi="Sylfaen"/>
          <w:lang w:val="ka-GE"/>
        </w:rPr>
      </w:pPr>
      <w:r w:rsidRPr="007B6FDB">
        <w:rPr>
          <w:rFonts w:ascii="Sylfaen" w:hAnsi="Sylfaen"/>
          <w:lang w:val="ka-GE"/>
        </w:rPr>
        <w:t xml:space="preserve">მიუხედავად თამბაქოს წინააღმდეგ </w:t>
      </w:r>
      <w:r>
        <w:rPr>
          <w:rFonts w:ascii="Sylfaen" w:hAnsi="Sylfaen"/>
          <w:lang w:val="ka-GE"/>
        </w:rPr>
        <w:t xml:space="preserve">დაწყებული ინტენსიური </w:t>
      </w:r>
      <w:r w:rsidRPr="007B6FDB">
        <w:rPr>
          <w:rFonts w:ascii="Sylfaen" w:hAnsi="Sylfaen"/>
          <w:lang w:val="ka-GE"/>
        </w:rPr>
        <w:t>ბრძოლისა, საქართველოში თამბაქოს მოხმარების შემცირებას ჯერ-ჯერობით ადგილი არ ჰქონია</w:t>
      </w:r>
      <w:r>
        <w:rPr>
          <w:rFonts w:ascii="Sylfaen" w:hAnsi="Sylfaen"/>
          <w:lang w:val="ka-GE"/>
        </w:rPr>
        <w:t>;</w:t>
      </w:r>
      <w:r w:rsidRPr="007B6FDB">
        <w:rPr>
          <w:rFonts w:ascii="Sylfaen" w:hAnsi="Sylfaen"/>
          <w:lang w:val="ka-GE"/>
        </w:rPr>
        <w:t xml:space="preserve"> პირიქით</w:t>
      </w:r>
      <w:r>
        <w:rPr>
          <w:rFonts w:ascii="Sylfaen" w:hAnsi="Sylfaen"/>
          <w:lang w:val="ka-GE"/>
        </w:rPr>
        <w:t>,</w:t>
      </w:r>
      <w:r w:rsidRPr="007B6FDB">
        <w:rPr>
          <w:rFonts w:ascii="Sylfaen" w:hAnsi="Sylfaen"/>
          <w:lang w:val="ka-GE"/>
        </w:rPr>
        <w:t xml:space="preserve"> შეიმჩნევა მატების ტენდენცია, განსაკუთრებით ახალგაზრდებსა და ქალებში. </w:t>
      </w:r>
    </w:p>
    <w:p w:rsidR="00984828" w:rsidRPr="007B6FDB" w:rsidRDefault="00984828" w:rsidP="00984828">
      <w:pPr>
        <w:spacing w:after="120"/>
        <w:ind w:left="-450" w:right="-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უკიდურესად მნიშვნელოვნია თამბაქოს კონტროლის საკანონმდებლო ცვლილებების პაკეტის დროული დამტკიცება და მათი დანერგვა, რათა თამბაქოს კონტროლის ღონისძიებების გაძლიერება მოხდეს საერთაშორისოდ აღიარებული სტანდარტებისა და საუკეთესო პრაქტიკის შესაბამისად. </w:t>
      </w:r>
    </w:p>
    <w:p w:rsidR="00984828" w:rsidRDefault="00984828" w:rsidP="00984828">
      <w:pPr>
        <w:pStyle w:val="ListParagraph"/>
        <w:spacing w:after="120" w:line="240" w:lineRule="auto"/>
        <w:ind w:left="-450" w:right="-540"/>
        <w:jc w:val="both"/>
        <w:rPr>
          <w:rFonts w:ascii="Sylfaen" w:hAnsi="Sylfaen"/>
          <w:lang w:val="ka-GE"/>
        </w:rPr>
      </w:pPr>
      <w:r w:rsidRPr="007B6FDB">
        <w:rPr>
          <w:rFonts w:ascii="Sylfaen" w:hAnsi="Sylfaen"/>
          <w:lang w:val="ka-GE"/>
        </w:rPr>
        <w:t xml:space="preserve">პრეს-კონფერენცია </w:t>
      </w:r>
      <w:r>
        <w:rPr>
          <w:rFonts w:ascii="Sylfaen" w:hAnsi="Sylfaen"/>
          <w:lang w:val="ka-GE"/>
        </w:rPr>
        <w:t>გაიმართება</w:t>
      </w:r>
      <w:r w:rsidRPr="007B6FDB">
        <w:rPr>
          <w:rFonts w:ascii="Sylfaen" w:hAnsi="Sylfaen"/>
          <w:lang w:val="ka-GE"/>
        </w:rPr>
        <w:t xml:space="preserve"> </w:t>
      </w:r>
      <w:r w:rsidRPr="00CC3DFA">
        <w:rPr>
          <w:rFonts w:ascii="Sylfaen" w:hAnsi="Sylfaen"/>
          <w:b/>
          <w:lang w:val="ka-GE"/>
        </w:rPr>
        <w:t>თბილისის სახელმწიფო სამედიცინო უნივესტიტეტის ადმინისტრაციული კორპუსის საკონფერ</w:t>
      </w:r>
      <w:r>
        <w:rPr>
          <w:rFonts w:ascii="Sylfaen" w:hAnsi="Sylfaen"/>
          <w:b/>
          <w:lang w:val="ka-GE"/>
        </w:rPr>
        <w:t>ე</w:t>
      </w:r>
      <w:r w:rsidRPr="00CC3DFA">
        <w:rPr>
          <w:rFonts w:ascii="Sylfaen" w:hAnsi="Sylfaen"/>
          <w:b/>
          <w:lang w:val="ka-GE"/>
        </w:rPr>
        <w:t>ნციო დარბაზში.</w:t>
      </w:r>
      <w:r w:rsidRPr="007B6FDB">
        <w:rPr>
          <w:rFonts w:ascii="Sylfaen" w:hAnsi="Sylfaen"/>
          <w:lang w:val="ka-GE"/>
        </w:rPr>
        <w:t xml:space="preserve"> </w:t>
      </w:r>
    </w:p>
    <w:p w:rsidR="00984828" w:rsidRPr="00E7102C" w:rsidRDefault="00984828" w:rsidP="00984828">
      <w:pPr>
        <w:pStyle w:val="ListParagraph"/>
        <w:spacing w:after="120"/>
        <w:ind w:left="-450" w:right="-540"/>
        <w:jc w:val="both"/>
        <w:rPr>
          <w:rFonts w:ascii="Sylfaen" w:hAnsi="Sylfaen"/>
          <w:sz w:val="18"/>
          <w:szCs w:val="18"/>
          <w:lang w:val="ka-GE"/>
        </w:rPr>
      </w:pPr>
    </w:p>
    <w:p w:rsidR="00984828" w:rsidRPr="00E7102C" w:rsidRDefault="00984828" w:rsidP="00984828">
      <w:pPr>
        <w:pStyle w:val="ListParagraph"/>
        <w:ind w:left="-450"/>
        <w:jc w:val="both"/>
        <w:rPr>
          <w:rFonts w:ascii="Sylfaen" w:hAnsi="Sylfaen"/>
          <w:b/>
          <w:sz w:val="20"/>
          <w:szCs w:val="20"/>
          <w:lang w:val="ka-GE"/>
        </w:rPr>
      </w:pPr>
      <w:r w:rsidRPr="00E7102C">
        <w:rPr>
          <w:rFonts w:ascii="Sylfaen" w:hAnsi="Sylfaen"/>
          <w:b/>
          <w:sz w:val="20"/>
          <w:szCs w:val="20"/>
          <w:lang w:val="ka-GE"/>
        </w:rPr>
        <w:t xml:space="preserve">ვებ გვერდი - </w:t>
      </w:r>
      <w:hyperlink r:id="rId6" w:history="1">
        <w:r w:rsidRPr="00E7102C">
          <w:rPr>
            <w:rStyle w:val="Hyperlink"/>
            <w:rFonts w:ascii="Sylfaen" w:hAnsi="Sylfaen"/>
            <w:b/>
            <w:color w:val="0E0640"/>
            <w:sz w:val="20"/>
            <w:szCs w:val="20"/>
            <w:lang w:val="ka-GE"/>
          </w:rPr>
          <w:t>www.ncdc.ge</w:t>
        </w:r>
      </w:hyperlink>
      <w:r w:rsidRPr="00E7102C">
        <w:rPr>
          <w:rFonts w:ascii="Sylfaen" w:hAnsi="Sylfaen"/>
          <w:b/>
          <w:sz w:val="20"/>
          <w:szCs w:val="20"/>
          <w:lang w:val="ka-GE"/>
        </w:rPr>
        <w:t xml:space="preserve">   </w:t>
      </w:r>
    </w:p>
    <w:p w:rsidR="00984828" w:rsidRPr="00E7102C" w:rsidRDefault="00984828" w:rsidP="00984828">
      <w:pPr>
        <w:pStyle w:val="ListParagraph"/>
        <w:ind w:left="0" w:hanging="450"/>
        <w:jc w:val="both"/>
        <w:rPr>
          <w:rFonts w:ascii="Sylfaen" w:hAnsi="Sylfaen"/>
          <w:sz w:val="20"/>
          <w:szCs w:val="20"/>
          <w:lang w:val="ka-GE"/>
        </w:rPr>
      </w:pPr>
      <w:r w:rsidRPr="00E7102C">
        <w:rPr>
          <w:rFonts w:ascii="Sylfaen" w:hAnsi="Sylfaen"/>
          <w:b/>
          <w:sz w:val="20"/>
          <w:szCs w:val="20"/>
          <w:lang w:val="ka-GE"/>
        </w:rPr>
        <w:t xml:space="preserve">ფეისბუქი - </w:t>
      </w:r>
      <w:r w:rsidRPr="00E7102C">
        <w:rPr>
          <w:rFonts w:ascii="Helvetica" w:hAnsi="Helvetica" w:cs="Helvetica"/>
          <w:b/>
          <w:color w:val="0E0640"/>
          <w:sz w:val="20"/>
          <w:szCs w:val="20"/>
          <w:shd w:val="clear" w:color="auto" w:fill="FFFFFF"/>
          <w:lang w:val="ka-GE"/>
        </w:rPr>
        <w:t>National Center for Disease Control &amp; Public Health, Georgia (NCDC &amp; PH)</w:t>
      </w:r>
    </w:p>
    <w:p w:rsidR="00984828" w:rsidRPr="00E7102C" w:rsidRDefault="00984828" w:rsidP="00984828">
      <w:pPr>
        <w:spacing w:after="0"/>
        <w:ind w:hanging="450"/>
        <w:jc w:val="both"/>
        <w:rPr>
          <w:rFonts w:ascii="Sylfaen" w:hAnsi="Sylfaen"/>
          <w:bCs/>
          <w:sz w:val="20"/>
          <w:szCs w:val="20"/>
          <w:lang w:val="ka-GE"/>
        </w:rPr>
      </w:pPr>
      <w:r w:rsidRPr="00E7102C">
        <w:rPr>
          <w:rFonts w:ascii="Sylfaen" w:hAnsi="Sylfaen" w:cs="MyriadPro-BoldCond"/>
          <w:b/>
          <w:bCs/>
          <w:color w:val="000000"/>
          <w:sz w:val="20"/>
          <w:szCs w:val="20"/>
          <w:lang w:val="ka-GE"/>
        </w:rPr>
        <w:t>მისამართი</w:t>
      </w:r>
      <w:r w:rsidRPr="00E7102C">
        <w:rPr>
          <w:rFonts w:ascii="Sylfaen" w:hAnsi="Sylfaen" w:cs="MyriadPro-BoldCond"/>
          <w:bCs/>
          <w:color w:val="000000"/>
          <w:sz w:val="20"/>
          <w:szCs w:val="20"/>
          <w:lang w:val="ka-GE"/>
        </w:rPr>
        <w:t>: თბილისი, მ. ასათიანის ქუჩა 7</w:t>
      </w:r>
    </w:p>
    <w:p w:rsidR="00685ECE" w:rsidRDefault="00984828" w:rsidP="00984828">
      <w:pPr>
        <w:spacing w:after="0"/>
        <w:ind w:hanging="450"/>
        <w:jc w:val="both"/>
      </w:pPr>
      <w:r w:rsidRPr="00E7102C">
        <w:rPr>
          <w:rFonts w:ascii="Sylfaen" w:hAnsi="Sylfaen"/>
          <w:b/>
          <w:sz w:val="20"/>
          <w:szCs w:val="20"/>
          <w:lang w:val="ka-GE"/>
        </w:rPr>
        <w:t>საკონტაქტო პირი:</w:t>
      </w:r>
      <w:r w:rsidRPr="00E7102C">
        <w:rPr>
          <w:rFonts w:ascii="Sylfaen" w:hAnsi="Sylfaen"/>
          <w:sz w:val="20"/>
          <w:szCs w:val="20"/>
          <w:lang w:val="ka-GE"/>
        </w:rPr>
        <w:t xml:space="preserve"> ნინო მამუკაშვილი 595 956 103</w:t>
      </w:r>
      <w:r>
        <w:rPr>
          <w:rFonts w:ascii="Sylfaen" w:hAnsi="Sylfaen"/>
          <w:sz w:val="20"/>
          <w:szCs w:val="20"/>
          <w:lang w:val="ka-GE"/>
        </w:rPr>
        <w:t>, ამბროსი კეკელიძე 599 94 64 31</w:t>
      </w:r>
    </w:p>
    <w:sectPr w:rsidR="00685ECE" w:rsidSect="00984828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BoldCon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4828"/>
    <w:rsid w:val="00685ECE"/>
    <w:rsid w:val="00984828"/>
    <w:rsid w:val="00D56283"/>
    <w:rsid w:val="00F0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8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48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dc.g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2017-03-28T10:10:00Z</dcterms:created>
  <dcterms:modified xsi:type="dcterms:W3CDTF">2017-03-28T10:10:00Z</dcterms:modified>
</cp:coreProperties>
</file>