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6B" w:rsidRDefault="008A066B" w:rsidP="008A066B">
      <w:pPr>
        <w:spacing w:after="0"/>
        <w:jc w:val="center"/>
        <w:rPr>
          <w:rFonts w:ascii="Sylfaen" w:hAnsi="Sylfaen"/>
          <w:b/>
          <w:lang w:val="ka-GE"/>
        </w:rPr>
      </w:pPr>
      <w:r>
        <w:rPr>
          <w:rFonts w:ascii="Sylfaen" w:hAnsi="Sylfaen"/>
          <w:b/>
          <w:lang w:val="ka-GE"/>
        </w:rPr>
        <w:t xml:space="preserve">გლობალური ფონდის </w:t>
      </w:r>
      <w:r w:rsidR="007C73C9">
        <w:rPr>
          <w:rFonts w:ascii="Sylfaen" w:hAnsi="Sylfaen"/>
          <w:b/>
          <w:lang w:val="ka-GE"/>
        </w:rPr>
        <w:t xml:space="preserve">დაფინანსების ფარგლებში </w:t>
      </w:r>
      <w:r w:rsidR="0041646E">
        <w:rPr>
          <w:rFonts w:ascii="Arial" w:hAnsi="Arial"/>
          <w:b/>
          <w:bCs/>
          <w:color w:val="222222"/>
          <w:shd w:val="clear" w:color="auto" w:fill="FFFFFF"/>
          <w:lang w:val="ka-GE"/>
        </w:rPr>
        <w:t>„</w:t>
      </w:r>
      <w:r w:rsidR="0041646E">
        <w:rPr>
          <w:rFonts w:ascii="Sylfaen" w:hAnsi="Sylfaen" w:cs="Sylfaen"/>
          <w:b/>
          <w:bCs/>
          <w:color w:val="222222"/>
          <w:shd w:val="clear" w:color="auto" w:fill="FFFFFF"/>
          <w:lang w:val="ka-GE"/>
        </w:rPr>
        <w:t>ყველა</w:t>
      </w:r>
      <w:r w:rsidR="0041646E">
        <w:rPr>
          <w:rFonts w:ascii="Arial" w:hAnsi="Arial"/>
          <w:b/>
          <w:bCs/>
          <w:color w:val="222222"/>
          <w:shd w:val="clear" w:color="auto" w:fill="FFFFFF"/>
          <w:lang w:val="ka-GE"/>
        </w:rPr>
        <w:t xml:space="preserve"> </w:t>
      </w:r>
      <w:r w:rsidR="0041646E">
        <w:rPr>
          <w:rFonts w:ascii="Sylfaen" w:hAnsi="Sylfaen" w:cs="Sylfaen"/>
          <w:b/>
          <w:bCs/>
          <w:color w:val="222222"/>
          <w:shd w:val="clear" w:color="auto" w:fill="FFFFFF"/>
          <w:lang w:val="ka-GE"/>
        </w:rPr>
        <w:t>ფორმის</w:t>
      </w:r>
      <w:r w:rsidR="0041646E">
        <w:rPr>
          <w:rFonts w:ascii="Arial" w:hAnsi="Arial"/>
          <w:b/>
          <w:bCs/>
          <w:color w:val="222222"/>
          <w:shd w:val="clear" w:color="auto" w:fill="FFFFFF"/>
          <w:lang w:val="ka-GE"/>
        </w:rPr>
        <w:t xml:space="preserve"> </w:t>
      </w:r>
      <w:r w:rsidR="0041646E">
        <w:rPr>
          <w:rFonts w:ascii="Sylfaen" w:hAnsi="Sylfaen" w:cs="Sylfaen"/>
          <w:b/>
          <w:bCs/>
          <w:color w:val="222222"/>
          <w:shd w:val="clear" w:color="auto" w:fill="FFFFFF"/>
          <w:lang w:val="ka-GE"/>
        </w:rPr>
        <w:t>ტუბერკულოზის</w:t>
      </w:r>
      <w:r w:rsidR="0041646E">
        <w:rPr>
          <w:rFonts w:ascii="Arial" w:hAnsi="Arial"/>
          <w:b/>
          <w:bCs/>
          <w:color w:val="222222"/>
          <w:shd w:val="clear" w:color="auto" w:fill="FFFFFF"/>
          <w:lang w:val="ka-GE"/>
        </w:rPr>
        <w:t xml:space="preserve"> </w:t>
      </w:r>
      <w:r w:rsidR="0041646E">
        <w:rPr>
          <w:rFonts w:ascii="Sylfaen" w:hAnsi="Sylfaen" w:cs="Sylfaen"/>
          <w:b/>
          <w:bCs/>
          <w:color w:val="222222"/>
          <w:shd w:val="clear" w:color="auto" w:fill="FFFFFF"/>
          <w:lang w:val="ka-GE"/>
        </w:rPr>
        <w:t>ხარისხიან</w:t>
      </w:r>
      <w:r w:rsidR="0041646E">
        <w:rPr>
          <w:rFonts w:ascii="Arial" w:hAnsi="Arial"/>
          <w:b/>
          <w:bCs/>
          <w:color w:val="222222"/>
          <w:shd w:val="clear" w:color="auto" w:fill="FFFFFF"/>
          <w:lang w:val="ka-GE"/>
        </w:rPr>
        <w:t xml:space="preserve"> </w:t>
      </w:r>
      <w:r w:rsidR="0041646E">
        <w:rPr>
          <w:rFonts w:ascii="Sylfaen" w:hAnsi="Sylfaen" w:cs="Sylfaen"/>
          <w:b/>
          <w:bCs/>
          <w:color w:val="222222"/>
          <w:shd w:val="clear" w:color="auto" w:fill="FFFFFF"/>
          <w:lang w:val="ka-GE"/>
        </w:rPr>
        <w:t>დიაგნოსტიკასა</w:t>
      </w:r>
      <w:r w:rsidR="0041646E">
        <w:rPr>
          <w:rFonts w:ascii="Arial" w:hAnsi="Arial"/>
          <w:b/>
          <w:bCs/>
          <w:color w:val="222222"/>
          <w:shd w:val="clear" w:color="auto" w:fill="FFFFFF"/>
          <w:lang w:val="ka-GE"/>
        </w:rPr>
        <w:t xml:space="preserve"> </w:t>
      </w:r>
      <w:r w:rsidR="0041646E">
        <w:rPr>
          <w:rFonts w:ascii="Sylfaen" w:hAnsi="Sylfaen" w:cs="Sylfaen"/>
          <w:b/>
          <w:bCs/>
          <w:color w:val="222222"/>
          <w:shd w:val="clear" w:color="auto" w:fill="FFFFFF"/>
          <w:lang w:val="ka-GE"/>
        </w:rPr>
        <w:t>და</w:t>
      </w:r>
      <w:r w:rsidR="0041646E">
        <w:rPr>
          <w:rFonts w:ascii="Arial" w:hAnsi="Arial"/>
          <w:b/>
          <w:bCs/>
          <w:color w:val="222222"/>
          <w:shd w:val="clear" w:color="auto" w:fill="FFFFFF"/>
          <w:lang w:val="ka-GE"/>
        </w:rPr>
        <w:t xml:space="preserve"> </w:t>
      </w:r>
      <w:r w:rsidR="0041646E">
        <w:rPr>
          <w:rFonts w:ascii="Sylfaen" w:hAnsi="Sylfaen" w:cs="Sylfaen"/>
          <w:b/>
          <w:bCs/>
          <w:color w:val="222222"/>
          <w:shd w:val="clear" w:color="auto" w:fill="FFFFFF"/>
          <w:lang w:val="ka-GE"/>
        </w:rPr>
        <w:t>მკურნალობაზე</w:t>
      </w:r>
      <w:r w:rsidR="0041646E">
        <w:rPr>
          <w:rFonts w:ascii="Arial" w:hAnsi="Arial"/>
          <w:b/>
          <w:bCs/>
          <w:color w:val="222222"/>
          <w:shd w:val="clear" w:color="auto" w:fill="FFFFFF"/>
          <w:lang w:val="ka-GE"/>
        </w:rPr>
        <w:t xml:space="preserve"> </w:t>
      </w:r>
      <w:r w:rsidR="0041646E">
        <w:rPr>
          <w:rFonts w:ascii="Sylfaen" w:hAnsi="Sylfaen" w:cs="Sylfaen"/>
          <w:b/>
          <w:bCs/>
          <w:color w:val="222222"/>
          <w:shd w:val="clear" w:color="auto" w:fill="FFFFFF"/>
          <w:lang w:val="ka-GE"/>
        </w:rPr>
        <w:t>უნივერსალური</w:t>
      </w:r>
      <w:r w:rsidR="0041646E">
        <w:rPr>
          <w:rFonts w:ascii="Arial" w:hAnsi="Arial"/>
          <w:b/>
          <w:bCs/>
          <w:color w:val="222222"/>
          <w:shd w:val="clear" w:color="auto" w:fill="FFFFFF"/>
          <w:lang w:val="ka-GE"/>
        </w:rPr>
        <w:t xml:space="preserve"> </w:t>
      </w:r>
      <w:r w:rsidR="0041646E">
        <w:rPr>
          <w:rFonts w:ascii="Sylfaen" w:hAnsi="Sylfaen" w:cs="Sylfaen"/>
          <w:b/>
          <w:bCs/>
          <w:color w:val="222222"/>
          <w:shd w:val="clear" w:color="auto" w:fill="FFFFFF"/>
          <w:lang w:val="ka-GE"/>
        </w:rPr>
        <w:t>ხელმისაწვდომობის</w:t>
      </w:r>
      <w:r w:rsidR="0041646E">
        <w:rPr>
          <w:rFonts w:ascii="Arial" w:hAnsi="Arial"/>
          <w:b/>
          <w:bCs/>
          <w:color w:val="222222"/>
          <w:shd w:val="clear" w:color="auto" w:fill="FFFFFF"/>
          <w:lang w:val="ka-GE"/>
        </w:rPr>
        <w:t xml:space="preserve">“ </w:t>
      </w:r>
      <w:r w:rsidR="00AC50EB" w:rsidRPr="00C1710E">
        <w:rPr>
          <w:rFonts w:ascii="Sylfaen" w:hAnsi="Sylfaen"/>
          <w:b/>
          <w:lang w:val="ka-GE"/>
        </w:rPr>
        <w:t>პროგრამის</w:t>
      </w:r>
      <w:r w:rsidR="00AC50EB" w:rsidRPr="00C1710E">
        <w:rPr>
          <w:rFonts w:ascii="Sylfaen" w:hAnsi="Sylfaen"/>
          <w:lang w:val="ka-GE"/>
        </w:rPr>
        <w:t xml:space="preserve"> </w:t>
      </w:r>
      <w:r w:rsidR="00F764DE">
        <w:rPr>
          <w:rFonts w:ascii="Sylfaen" w:hAnsi="Sylfaen"/>
          <w:b/>
          <w:lang w:val="ka-GE"/>
        </w:rPr>
        <w:t xml:space="preserve"> </w:t>
      </w:r>
      <w:r w:rsidR="007C73C9">
        <w:rPr>
          <w:rFonts w:ascii="Sylfaen" w:hAnsi="Sylfaen"/>
          <w:b/>
          <w:lang w:val="ka-GE"/>
        </w:rPr>
        <w:t>საგრანტო და</w:t>
      </w:r>
      <w:r w:rsidR="002F322B">
        <w:rPr>
          <w:rFonts w:ascii="Sylfaen" w:hAnsi="Sylfaen"/>
          <w:b/>
          <w:lang w:val="ka-GE"/>
        </w:rPr>
        <w:t>ფ</w:t>
      </w:r>
      <w:r w:rsidR="007C73C9">
        <w:rPr>
          <w:rFonts w:ascii="Sylfaen" w:hAnsi="Sylfaen"/>
          <w:b/>
          <w:lang w:val="ka-GE"/>
        </w:rPr>
        <w:t>ინანსებისა და ხელშეკრულების პროექტის შეთანხმება</w:t>
      </w:r>
    </w:p>
    <w:p w:rsidR="007C73C9" w:rsidRPr="00307FE8" w:rsidRDefault="007C73C9" w:rsidP="008A066B">
      <w:pPr>
        <w:spacing w:after="0"/>
        <w:jc w:val="center"/>
        <w:rPr>
          <w:rFonts w:ascii="Sylfaen" w:hAnsi="Sylfaen"/>
          <w:b/>
          <w:lang w:val="ka-GE"/>
        </w:rPr>
      </w:pPr>
      <w:r>
        <w:rPr>
          <w:rFonts w:ascii="Sylfaen" w:hAnsi="Sylfaen"/>
          <w:b/>
          <w:lang w:val="ka-GE"/>
        </w:rPr>
        <w:t>განმართებითი ბარათი</w:t>
      </w:r>
    </w:p>
    <w:p w:rsidR="005044F2" w:rsidRDefault="005044F2" w:rsidP="008A066B">
      <w:pPr>
        <w:spacing w:after="0"/>
        <w:jc w:val="center"/>
        <w:rPr>
          <w:rFonts w:ascii="Sylfaen" w:hAnsi="Sylfaen"/>
          <w:lang w:val="ka-GE"/>
        </w:rPr>
      </w:pPr>
    </w:p>
    <w:p w:rsidR="008A066B" w:rsidRPr="00226374" w:rsidRDefault="008A066B" w:rsidP="008A066B">
      <w:pPr>
        <w:spacing w:after="0"/>
        <w:jc w:val="center"/>
        <w:rPr>
          <w:rFonts w:ascii="Sylfaen" w:hAnsi="Sylfaen"/>
          <w:lang w:val="ka-GE"/>
        </w:rPr>
      </w:pPr>
    </w:p>
    <w:p w:rsidR="008A066B" w:rsidRPr="00307FE8" w:rsidRDefault="008A066B" w:rsidP="008A066B">
      <w:pPr>
        <w:spacing w:after="0"/>
        <w:jc w:val="both"/>
        <w:rPr>
          <w:rFonts w:ascii="Sylfaen" w:hAnsi="Sylfaen"/>
          <w:lang w:val="ka-GE"/>
        </w:rPr>
      </w:pPr>
      <w:r>
        <w:rPr>
          <w:rFonts w:ascii="Sylfaen" w:hAnsi="Sylfaen"/>
          <w:lang w:val="ka-GE"/>
        </w:rPr>
        <w:t>გლობალური ფონდი მხარდაჭერას უცხადებს ქვეყნებს აივ ინფექცია/შიდსის, ტუბერკულოზის და მალარიის წინააღმდეგ მიმართულ ღონისძიებებში და თანამშრომლობს  პარტნიორებთან ამ დაავადებების პრევენციისა და მკურნალობის საკითხებზე. საქართველო 2003 წლიდან არის გლობალური ფონდის გრანტის მიმღები ქვეყანა.</w:t>
      </w:r>
    </w:p>
    <w:p w:rsidR="008A066B" w:rsidRPr="00307FE8" w:rsidRDefault="008A066B" w:rsidP="008A066B">
      <w:pPr>
        <w:spacing w:after="0"/>
        <w:jc w:val="both"/>
        <w:rPr>
          <w:rFonts w:ascii="Sylfaen" w:hAnsi="Sylfaen"/>
          <w:lang w:val="ka-GE"/>
        </w:rPr>
      </w:pPr>
    </w:p>
    <w:p w:rsidR="008A066B" w:rsidRPr="00B51526" w:rsidRDefault="008A066B" w:rsidP="008A066B">
      <w:pPr>
        <w:spacing w:after="0"/>
        <w:jc w:val="both"/>
        <w:rPr>
          <w:rFonts w:ascii="Sylfaen" w:hAnsi="Sylfaen"/>
          <w:lang w:val="ka-GE"/>
        </w:rPr>
      </w:pPr>
      <w:r w:rsidRPr="000D6AB3">
        <w:rPr>
          <w:rFonts w:ascii="Sylfaen" w:hAnsi="Sylfaen"/>
          <w:lang w:val="ka-GE"/>
        </w:rPr>
        <w:t>აივ ინფექციის/შიდსის, ტუბერკულოზისა და მალარიის წინააღმდეგ მიმართულ ღონისძიებათა ქვეყნის</w:t>
      </w:r>
      <w:r w:rsidRPr="00307FE8">
        <w:rPr>
          <w:rFonts w:ascii="Sylfaen" w:hAnsi="Sylfaen"/>
          <w:lang w:val="ka-GE"/>
        </w:rPr>
        <w:t xml:space="preserve"> </w:t>
      </w:r>
      <w:r w:rsidRPr="000D6AB3">
        <w:rPr>
          <w:rFonts w:ascii="Sylfaen" w:hAnsi="Sylfaen"/>
          <w:lang w:val="ka-GE"/>
        </w:rPr>
        <w:t xml:space="preserve">საკოორდინაციო </w:t>
      </w:r>
      <w:r>
        <w:rPr>
          <w:rFonts w:ascii="Sylfaen" w:hAnsi="Sylfaen"/>
          <w:lang w:val="ka-GE"/>
        </w:rPr>
        <w:t>საბჭომ (</w:t>
      </w:r>
      <w:r w:rsidRPr="00307FE8">
        <w:rPr>
          <w:rFonts w:ascii="Sylfaen" w:hAnsi="Sylfaen"/>
          <w:lang w:val="ka-GE"/>
        </w:rPr>
        <w:t>CCM)</w:t>
      </w:r>
      <w:r>
        <w:rPr>
          <w:rFonts w:ascii="Sylfaen" w:hAnsi="Sylfaen"/>
          <w:lang w:val="ka-GE"/>
        </w:rPr>
        <w:t xml:space="preserve"> 2013 წლის გაზაფხულზე</w:t>
      </w:r>
      <w:r w:rsidRPr="00307FE8">
        <w:rPr>
          <w:rFonts w:ascii="Sylfaen" w:hAnsi="Sylfaen"/>
          <w:lang w:val="ka-GE"/>
        </w:rPr>
        <w:t xml:space="preserve"> </w:t>
      </w:r>
      <w:r w:rsidR="000D681B">
        <w:rPr>
          <w:rFonts w:ascii="Sylfaen" w:hAnsi="Sylfaen"/>
          <w:lang w:val="ka-GE"/>
        </w:rPr>
        <w:t xml:space="preserve">გლობალურ ფონდში წარადგინა </w:t>
      </w:r>
      <w:r>
        <w:rPr>
          <w:rFonts w:ascii="Sylfaen" w:hAnsi="Sylfaen"/>
          <w:lang w:val="ka-GE"/>
        </w:rPr>
        <w:t>ტუბერკულოზის</w:t>
      </w:r>
      <w:r w:rsidR="0038190C">
        <w:rPr>
          <w:rFonts w:ascii="Sylfaen" w:hAnsi="Sylfaen"/>
        </w:rPr>
        <w:t xml:space="preserve"> </w:t>
      </w:r>
      <w:r w:rsidR="0038190C">
        <w:rPr>
          <w:rFonts w:ascii="Sylfaen" w:hAnsi="Sylfaen"/>
          <w:lang w:val="ka-GE"/>
        </w:rPr>
        <w:t>პროგრამის</w:t>
      </w:r>
      <w:r>
        <w:rPr>
          <w:rFonts w:ascii="Sylfaen" w:hAnsi="Sylfaen"/>
          <w:lang w:val="ka-GE"/>
        </w:rPr>
        <w:t xml:space="preserve"> მეორე ფაზის განაცხადი</w:t>
      </w:r>
      <w:r w:rsidR="007C0407">
        <w:rPr>
          <w:rFonts w:ascii="Sylfaen" w:hAnsi="Sylfaen"/>
          <w:lang w:val="ka-GE"/>
        </w:rPr>
        <w:t xml:space="preserve">. </w:t>
      </w:r>
      <w:r>
        <w:rPr>
          <w:rFonts w:ascii="Sylfaen" w:hAnsi="Sylfaen"/>
          <w:lang w:val="ka-GE"/>
        </w:rPr>
        <w:t>2013 წლის 19 სექტემბერს გლობალური ფონდის საბჭომ მიიღო გრანტის განახლებისა და დაფინანსების გადაწყვეტილება</w:t>
      </w:r>
      <w:r w:rsidR="007C0407">
        <w:rPr>
          <w:rFonts w:ascii="Sylfaen" w:hAnsi="Sylfaen"/>
          <w:lang w:val="ka-GE"/>
        </w:rPr>
        <w:t>.</w:t>
      </w:r>
    </w:p>
    <w:p w:rsidR="008A066B" w:rsidRDefault="008A066B" w:rsidP="008A066B">
      <w:pPr>
        <w:spacing w:after="0"/>
        <w:jc w:val="both"/>
        <w:rPr>
          <w:rFonts w:ascii="Sylfaen" w:hAnsi="Sylfaen"/>
          <w:lang w:val="ka-GE"/>
        </w:rPr>
      </w:pPr>
    </w:p>
    <w:p w:rsidR="008A066B" w:rsidRPr="00B31722" w:rsidRDefault="000D681B" w:rsidP="008A066B">
      <w:pPr>
        <w:jc w:val="both"/>
        <w:rPr>
          <w:rFonts w:ascii="Sylfaen" w:hAnsi="Sylfaen"/>
          <w:lang w:val="ka-GE"/>
        </w:rPr>
      </w:pPr>
      <w:r>
        <w:rPr>
          <w:rFonts w:ascii="Sylfaen" w:hAnsi="Sylfaen"/>
          <w:lang w:val="ka-GE"/>
        </w:rPr>
        <w:t xml:space="preserve">გლობალური ფონდის </w:t>
      </w:r>
      <w:r w:rsidR="00797BE5">
        <w:rPr>
          <w:rFonts w:ascii="Sylfaen" w:hAnsi="Sylfaen"/>
          <w:lang w:val="ka-GE"/>
        </w:rPr>
        <w:t>სამდივნო</w:t>
      </w:r>
      <w:r w:rsidR="00307FE8">
        <w:rPr>
          <w:rFonts w:ascii="Sylfaen" w:hAnsi="Sylfaen"/>
          <w:lang w:val="ka-GE"/>
        </w:rPr>
        <w:t xml:space="preserve">ს მოთხოვნით, </w:t>
      </w:r>
      <w:r w:rsidR="006F1C50">
        <w:rPr>
          <w:rFonts w:ascii="Sylfaen" w:hAnsi="Sylfaen"/>
          <w:lang w:val="ka-GE"/>
        </w:rPr>
        <w:t xml:space="preserve"> </w:t>
      </w:r>
      <w:r>
        <w:rPr>
          <w:rFonts w:ascii="Sylfaen" w:hAnsi="Sylfaen"/>
          <w:lang w:val="ka-GE"/>
        </w:rPr>
        <w:t xml:space="preserve">ყოფილ ძირითად მიმღებ ორგანიზაციას </w:t>
      </w:r>
      <w:r w:rsidR="000D6644">
        <w:rPr>
          <w:rFonts w:ascii="Sylfaen" w:hAnsi="Sylfaen"/>
          <w:lang w:val="ka-GE"/>
        </w:rPr>
        <w:t xml:space="preserve">(გლობალური პროექტების განმახორციელებელი ცენტრი - </w:t>
      </w:r>
      <w:r w:rsidR="000D6644" w:rsidRPr="00307FE8">
        <w:rPr>
          <w:rFonts w:ascii="Sylfaen" w:hAnsi="Sylfaen"/>
          <w:lang w:val="ka-GE"/>
        </w:rPr>
        <w:t xml:space="preserve">GPIC) </w:t>
      </w:r>
      <w:r w:rsidR="006F1C50">
        <w:rPr>
          <w:rFonts w:ascii="Sylfaen" w:hAnsi="Sylfaen"/>
          <w:lang w:val="ka-GE"/>
        </w:rPr>
        <w:t>ჩამორ</w:t>
      </w:r>
      <w:r w:rsidR="00307FE8">
        <w:rPr>
          <w:rFonts w:ascii="Sylfaen" w:hAnsi="Sylfaen"/>
          <w:lang w:val="ka-GE"/>
        </w:rPr>
        <w:t>თვა</w:t>
      </w:r>
      <w:r w:rsidR="006F1C50">
        <w:rPr>
          <w:rFonts w:ascii="Sylfaen" w:hAnsi="Sylfaen"/>
          <w:lang w:val="ka-GE"/>
        </w:rPr>
        <w:t xml:space="preserve"> </w:t>
      </w:r>
      <w:r w:rsidR="000D6644">
        <w:rPr>
          <w:rFonts w:ascii="Sylfaen" w:hAnsi="Sylfaen"/>
          <w:lang w:val="ka-GE"/>
        </w:rPr>
        <w:t xml:space="preserve">გრანტის მეორე ფაზის </w:t>
      </w:r>
      <w:r w:rsidR="006F1C50">
        <w:rPr>
          <w:rFonts w:ascii="Sylfaen" w:hAnsi="Sylfaen"/>
          <w:lang w:val="ka-GE"/>
        </w:rPr>
        <w:t>გაგრძელების უფლება</w:t>
      </w:r>
      <w:r w:rsidR="000D6644">
        <w:rPr>
          <w:rFonts w:ascii="Sylfaen" w:hAnsi="Sylfaen"/>
          <w:lang w:val="ka-GE"/>
        </w:rPr>
        <w:t xml:space="preserve">. </w:t>
      </w:r>
      <w:r w:rsidR="008A066B">
        <w:rPr>
          <w:rFonts w:ascii="Sylfaen" w:hAnsi="Sylfaen"/>
          <w:lang w:val="ka-GE"/>
        </w:rPr>
        <w:t>2013 წლი</w:t>
      </w:r>
      <w:r w:rsidR="008A066B" w:rsidRPr="00556AED">
        <w:rPr>
          <w:rFonts w:ascii="Sylfaen" w:hAnsi="Sylfaen"/>
          <w:lang w:val="ka-GE"/>
        </w:rPr>
        <w:t>ს</w:t>
      </w:r>
      <w:r w:rsidR="008A066B">
        <w:rPr>
          <w:rFonts w:ascii="Sylfaen" w:hAnsi="Sylfaen"/>
          <w:lang w:val="ka-GE"/>
        </w:rPr>
        <w:t xml:space="preserve"> </w:t>
      </w:r>
      <w:r w:rsidR="008A066B" w:rsidRPr="000C5773">
        <w:rPr>
          <w:rFonts w:ascii="Sylfaen" w:hAnsi="Sylfaen"/>
          <w:lang w:val="ka-GE"/>
        </w:rPr>
        <w:t>1</w:t>
      </w:r>
      <w:r w:rsidR="008A066B" w:rsidRPr="00307FE8">
        <w:rPr>
          <w:rFonts w:ascii="Sylfaen" w:hAnsi="Sylfaen"/>
          <w:lang w:val="ka-GE"/>
        </w:rPr>
        <w:t>1</w:t>
      </w:r>
      <w:r w:rsidR="008A066B" w:rsidRPr="000C5773">
        <w:rPr>
          <w:rFonts w:ascii="Sylfaen" w:hAnsi="Sylfaen"/>
          <w:lang w:val="ka-GE"/>
        </w:rPr>
        <w:t xml:space="preserve"> სექტემბერს</w:t>
      </w:r>
      <w:r w:rsidR="008A066B">
        <w:rPr>
          <w:rFonts w:ascii="Sylfaen" w:hAnsi="Sylfaen"/>
          <w:lang w:val="ka-GE"/>
        </w:rPr>
        <w:t xml:space="preserve"> დაავადებათა კონტროლის</w:t>
      </w:r>
      <w:r w:rsidR="005044F2">
        <w:rPr>
          <w:rFonts w:ascii="Sylfaen" w:hAnsi="Sylfaen"/>
          <w:lang w:val="ka-GE"/>
        </w:rPr>
        <w:t>ა</w:t>
      </w:r>
      <w:r w:rsidR="008A066B">
        <w:rPr>
          <w:rFonts w:ascii="Sylfaen" w:hAnsi="Sylfaen"/>
          <w:lang w:val="ka-GE"/>
        </w:rPr>
        <w:t xml:space="preserve"> და საზოგადოებრივი ჯანმრთელობის ეროვნული ცენტრი (დკსჯეც), </w:t>
      </w:r>
      <w:r w:rsidR="008A066B" w:rsidRPr="000D6AB3">
        <w:rPr>
          <w:rFonts w:ascii="Sylfaen" w:hAnsi="Sylfaen"/>
          <w:lang w:val="ka-GE"/>
        </w:rPr>
        <w:t>ერთიანი საკოორდინაციო საბჭოს</w:t>
      </w:r>
      <w:r w:rsidR="008A066B">
        <w:rPr>
          <w:rFonts w:ascii="Sylfaen" w:hAnsi="Sylfaen"/>
          <w:lang w:val="ka-GE"/>
        </w:rPr>
        <w:t xml:space="preserve"> მიერ არჩეულ იქნა გლობალური ფონდის გრანტის ძირითად მიმღებ ორგანიზაციად</w:t>
      </w:r>
      <w:r w:rsidR="007C0407">
        <w:rPr>
          <w:rFonts w:ascii="Sylfaen" w:hAnsi="Sylfaen"/>
          <w:lang w:val="ka-GE"/>
        </w:rPr>
        <w:t>.</w:t>
      </w:r>
      <w:r w:rsidR="008A066B">
        <w:rPr>
          <w:rFonts w:ascii="Sylfaen" w:hAnsi="Sylfaen"/>
          <w:lang w:val="ka-GE"/>
        </w:rPr>
        <w:t xml:space="preserve"> 2013 წლის 18</w:t>
      </w:r>
      <w:r w:rsidR="008A066B" w:rsidRPr="000C5773">
        <w:rPr>
          <w:rFonts w:ascii="Sylfaen" w:hAnsi="Sylfaen"/>
          <w:lang w:val="ka-GE"/>
        </w:rPr>
        <w:t xml:space="preserve"> დეკემბერს</w:t>
      </w:r>
      <w:r w:rsidR="008A066B">
        <w:rPr>
          <w:rFonts w:ascii="Sylfaen" w:hAnsi="Sylfaen"/>
          <w:lang w:val="ka-GE"/>
        </w:rPr>
        <w:t xml:space="preserve"> გლობალური ფონდის საბჭომ აღიარა დკსჯეც გლობალური ფონდის გრანტის ხელმომწერ მხარედ</w:t>
      </w:r>
      <w:r w:rsidR="008A066B" w:rsidRPr="00E86922">
        <w:rPr>
          <w:rFonts w:ascii="Sylfaen" w:hAnsi="Sylfaen"/>
          <w:lang w:val="ka-GE"/>
        </w:rPr>
        <w:t>.</w:t>
      </w:r>
    </w:p>
    <w:p w:rsidR="00261642" w:rsidRDefault="008A066B" w:rsidP="008A066B">
      <w:pPr>
        <w:jc w:val="both"/>
        <w:rPr>
          <w:rFonts w:ascii="Sylfaen" w:hAnsi="Sylfaen"/>
          <w:lang w:val="ka-GE"/>
        </w:rPr>
      </w:pPr>
      <w:r>
        <w:rPr>
          <w:rFonts w:ascii="Sylfaen" w:hAnsi="Sylfaen"/>
          <w:lang w:val="ka-GE"/>
        </w:rPr>
        <w:t>დ</w:t>
      </w:r>
      <w:r w:rsidR="005044F2">
        <w:rPr>
          <w:rFonts w:ascii="Sylfaen" w:hAnsi="Sylfaen"/>
          <w:lang w:val="ka-GE"/>
        </w:rPr>
        <w:t xml:space="preserve">კსჯეც-ის </w:t>
      </w:r>
      <w:r>
        <w:rPr>
          <w:rFonts w:ascii="Sylfaen" w:hAnsi="Sylfaen"/>
          <w:lang w:val="ka-GE"/>
        </w:rPr>
        <w:t>მიერ გა</w:t>
      </w:r>
      <w:r w:rsidR="005044F2">
        <w:rPr>
          <w:rFonts w:ascii="Sylfaen" w:hAnsi="Sylfaen"/>
          <w:lang w:val="ka-GE"/>
        </w:rPr>
        <w:t>ნ</w:t>
      </w:r>
      <w:r>
        <w:rPr>
          <w:rFonts w:ascii="Sylfaen" w:hAnsi="Sylfaen"/>
          <w:lang w:val="ka-GE"/>
        </w:rPr>
        <w:t xml:space="preserve">სახორციელებელი გლობალური ფონდის ტუბერკულოზის პროგრამა წარმოადგენს მეათე რაუნდში მოპოვებული გრანტის მეორე ფაზას და მოიცავს  2014 წლის 1 </w:t>
      </w:r>
      <w:r w:rsidR="00F764DE">
        <w:rPr>
          <w:rFonts w:ascii="Sylfaen" w:hAnsi="Sylfaen"/>
          <w:lang w:val="ka-GE"/>
        </w:rPr>
        <w:t xml:space="preserve">პარილიდან </w:t>
      </w:r>
      <w:r>
        <w:rPr>
          <w:rFonts w:ascii="Sylfaen" w:hAnsi="Sylfaen"/>
          <w:lang w:val="ka-GE"/>
        </w:rPr>
        <w:t xml:space="preserve"> - 2016 წლის 30 ივნისამდე</w:t>
      </w:r>
      <w:r w:rsidR="0003343D">
        <w:rPr>
          <w:rFonts w:ascii="Sylfaen" w:hAnsi="Sylfaen"/>
          <w:lang w:val="ka-GE"/>
        </w:rPr>
        <w:t xml:space="preserve"> პერიოდს</w:t>
      </w:r>
      <w:r w:rsidR="00F764DE">
        <w:rPr>
          <w:rFonts w:ascii="Sylfaen" w:hAnsi="Sylfaen"/>
          <w:lang w:val="ka-GE"/>
        </w:rPr>
        <w:t>, მათ შორის წინამოსამზადებლ ორთვიან პერიოდს</w:t>
      </w:r>
      <w:r w:rsidR="00307FE8">
        <w:rPr>
          <w:rFonts w:ascii="Sylfaen" w:hAnsi="Sylfaen"/>
          <w:lang w:val="ka-GE"/>
        </w:rPr>
        <w:t xml:space="preserve"> 2014</w:t>
      </w:r>
      <w:r w:rsidR="006422F4" w:rsidRPr="006422F4">
        <w:rPr>
          <w:rFonts w:ascii="Sylfaen" w:hAnsi="Sylfaen"/>
          <w:lang w:val="ka-GE"/>
        </w:rPr>
        <w:t xml:space="preserve"> </w:t>
      </w:r>
      <w:r w:rsidR="00307FE8">
        <w:rPr>
          <w:rFonts w:ascii="Sylfaen" w:hAnsi="Sylfaen"/>
          <w:lang w:val="ka-GE"/>
        </w:rPr>
        <w:t>წ.</w:t>
      </w:r>
      <w:r w:rsidR="00F764DE">
        <w:rPr>
          <w:rFonts w:ascii="Sylfaen" w:hAnsi="Sylfaen"/>
          <w:lang w:val="ka-GE"/>
        </w:rPr>
        <w:t xml:space="preserve"> 31 მარტის ჩათვლით</w:t>
      </w:r>
      <w:r>
        <w:rPr>
          <w:rFonts w:ascii="Sylfaen" w:hAnsi="Sylfaen"/>
          <w:lang w:val="ka-GE"/>
        </w:rPr>
        <w:t xml:space="preserve">. </w:t>
      </w:r>
      <w:r w:rsidR="00F764DE" w:rsidRPr="00E86922">
        <w:rPr>
          <w:rFonts w:ascii="Sylfaen" w:hAnsi="Sylfaen"/>
          <w:lang w:val="ka-GE"/>
        </w:rPr>
        <w:t xml:space="preserve">პროგრამის </w:t>
      </w:r>
      <w:r w:rsidR="00F764DE">
        <w:rPr>
          <w:rFonts w:ascii="Sylfaen" w:hAnsi="Sylfaen"/>
          <w:lang w:val="ka-GE"/>
        </w:rPr>
        <w:t xml:space="preserve"> საერთო </w:t>
      </w:r>
      <w:r w:rsidR="00F764DE" w:rsidRPr="00E86922">
        <w:rPr>
          <w:rFonts w:ascii="Sylfaen" w:hAnsi="Sylfaen"/>
          <w:lang w:val="ka-GE"/>
        </w:rPr>
        <w:t>ბიუჯეტი</w:t>
      </w:r>
      <w:r w:rsidR="00F764DE">
        <w:rPr>
          <w:rFonts w:ascii="Sylfaen" w:hAnsi="Sylfaen"/>
          <w:lang w:val="ka-GE"/>
        </w:rPr>
        <w:t xml:space="preserve"> შეადგენს </w:t>
      </w:r>
      <w:r w:rsidR="00F764DE">
        <w:rPr>
          <w:rFonts w:ascii="Sylfaen" w:eastAsia="Times New Roman" w:hAnsi="Sylfaen" w:cs="Arial"/>
          <w:bCs/>
          <w:lang w:val="ka-GE"/>
        </w:rPr>
        <w:t>11 182</w:t>
      </w:r>
      <w:r w:rsidR="00307FE8">
        <w:rPr>
          <w:rFonts w:ascii="Sylfaen" w:eastAsia="Times New Roman" w:hAnsi="Sylfaen" w:cs="Arial"/>
          <w:bCs/>
          <w:lang w:val="ka-GE"/>
        </w:rPr>
        <w:t> </w:t>
      </w:r>
      <w:r w:rsidR="00F764DE">
        <w:rPr>
          <w:rFonts w:ascii="Sylfaen" w:eastAsia="Times New Roman" w:hAnsi="Sylfaen" w:cs="Arial"/>
          <w:bCs/>
          <w:lang w:val="ka-GE"/>
        </w:rPr>
        <w:t>992</w:t>
      </w:r>
      <w:r w:rsidR="00307FE8">
        <w:rPr>
          <w:rFonts w:ascii="Sylfaen" w:eastAsia="Times New Roman" w:hAnsi="Sylfaen" w:cs="Arial"/>
          <w:bCs/>
          <w:lang w:val="ka-GE"/>
        </w:rPr>
        <w:t xml:space="preserve"> ევროს, რომელიც უნდა მოხმარდეს ოთხი</w:t>
      </w:r>
      <w:r w:rsidR="00307FE8">
        <w:rPr>
          <w:rFonts w:ascii="Sylfaen" w:hAnsi="Sylfaen"/>
          <w:lang w:val="ka-GE"/>
        </w:rPr>
        <w:t xml:space="preserve"> ძირითადი კომპონენტის განხორციელებას. </w:t>
      </w:r>
    </w:p>
    <w:p w:rsidR="001009F6" w:rsidRDefault="001009F6" w:rsidP="008A066B">
      <w:pPr>
        <w:jc w:val="both"/>
        <w:rPr>
          <w:rFonts w:ascii="Sylfaen" w:eastAsia="Times New Roman" w:hAnsi="Sylfaen" w:cs="Arial"/>
          <w:bCs/>
          <w:lang w:val="ka-GE"/>
        </w:rPr>
      </w:pPr>
      <w:bookmarkStart w:id="0" w:name="_GoBack"/>
      <w:bookmarkEnd w:id="0"/>
    </w:p>
    <w:p w:rsidR="007C73C9" w:rsidRPr="001009F6" w:rsidRDefault="007C73C9" w:rsidP="008A066B">
      <w:pPr>
        <w:jc w:val="both"/>
        <w:rPr>
          <w:rFonts w:ascii="Sylfaen" w:hAnsi="Sylfaen"/>
          <w:b/>
          <w:lang w:val="ka-GE"/>
        </w:rPr>
      </w:pPr>
      <w:r w:rsidRPr="001009F6">
        <w:rPr>
          <w:rFonts w:ascii="Sylfaen" w:eastAsia="Times New Roman" w:hAnsi="Sylfaen" w:cs="Arial"/>
          <w:b/>
          <w:bCs/>
          <w:lang w:val="ka-GE"/>
        </w:rPr>
        <w:t>პროგრამის მოკლე აღწერა:</w:t>
      </w:r>
    </w:p>
    <w:p w:rsidR="005044F2" w:rsidRDefault="005044F2" w:rsidP="008A066B">
      <w:pPr>
        <w:jc w:val="both"/>
        <w:rPr>
          <w:rFonts w:ascii="Sylfaen" w:hAnsi="Sylfaen"/>
          <w:lang w:val="ka-GE"/>
        </w:rPr>
      </w:pPr>
      <w:r>
        <w:rPr>
          <w:rFonts w:ascii="Sylfaen" w:hAnsi="Sylfaen"/>
          <w:lang w:val="ka-GE"/>
        </w:rPr>
        <w:t xml:space="preserve">ბოლო </w:t>
      </w:r>
      <w:r w:rsidR="008A066B">
        <w:rPr>
          <w:rFonts w:ascii="Sylfaen" w:hAnsi="Sylfaen"/>
          <w:lang w:val="ka-GE"/>
        </w:rPr>
        <w:t>15 წლის მანძილზე</w:t>
      </w:r>
      <w:r w:rsidR="008A066B" w:rsidRPr="007C73C9">
        <w:rPr>
          <w:rFonts w:ascii="Sylfaen" w:hAnsi="Sylfaen"/>
          <w:lang w:val="ka-GE"/>
        </w:rPr>
        <w:t xml:space="preserve"> </w:t>
      </w:r>
      <w:r w:rsidR="008A066B">
        <w:rPr>
          <w:rFonts w:ascii="Sylfaen" w:hAnsi="Sylfaen"/>
          <w:lang w:val="ka-GE"/>
        </w:rPr>
        <w:t>საქართველოში ტუბერკულოზის ახალი შემთხვევები სტაბილურად მერყეობდა</w:t>
      </w:r>
      <w:r>
        <w:rPr>
          <w:rFonts w:ascii="Sylfaen" w:hAnsi="Sylfaen"/>
          <w:lang w:val="ka-GE"/>
        </w:rPr>
        <w:t xml:space="preserve"> - </w:t>
      </w:r>
      <w:r w:rsidR="008A066B">
        <w:rPr>
          <w:rFonts w:ascii="Sylfaen" w:hAnsi="Sylfaen"/>
          <w:lang w:val="ka-GE"/>
        </w:rPr>
        <w:t xml:space="preserve">94-101 დაავადებული/100 000 მოსახლეზე. </w:t>
      </w:r>
      <w:r>
        <w:rPr>
          <w:rFonts w:ascii="Sylfaen" w:hAnsi="Sylfaen"/>
          <w:lang w:val="ka-GE"/>
        </w:rPr>
        <w:t xml:space="preserve"> </w:t>
      </w:r>
      <w:r w:rsidR="008A066B">
        <w:rPr>
          <w:rFonts w:ascii="Sylfaen" w:hAnsi="Sylfaen"/>
          <w:lang w:val="ka-GE"/>
        </w:rPr>
        <w:t xml:space="preserve">2012 წელს პროგრამაში </w:t>
      </w:r>
      <w:r>
        <w:rPr>
          <w:rFonts w:ascii="Sylfaen" w:hAnsi="Sylfaen"/>
          <w:lang w:val="ka-GE"/>
        </w:rPr>
        <w:t xml:space="preserve">აღრიცხულია </w:t>
      </w:r>
      <w:r w:rsidR="008A066B">
        <w:rPr>
          <w:rFonts w:ascii="Sylfaen" w:hAnsi="Sylfaen"/>
          <w:lang w:val="ka-GE"/>
        </w:rPr>
        <w:t xml:space="preserve">4,974 პაციენტი. </w:t>
      </w:r>
    </w:p>
    <w:p w:rsidR="008A066B" w:rsidRDefault="005044F2" w:rsidP="008A066B">
      <w:pPr>
        <w:jc w:val="both"/>
        <w:rPr>
          <w:rFonts w:ascii="Sylfaen" w:hAnsi="Sylfaen"/>
          <w:lang w:val="ka-GE"/>
        </w:rPr>
      </w:pPr>
      <w:r>
        <w:rPr>
          <w:rFonts w:ascii="Sylfaen" w:hAnsi="Sylfaen"/>
          <w:lang w:val="ka-GE"/>
        </w:rPr>
        <w:t xml:space="preserve">ქვეყნისათვის უდიდეს პრობლემას წარმოადგენს მულტირეზისტენტული ტუბერკულოზი. </w:t>
      </w:r>
      <w:r w:rsidR="008A066B">
        <w:rPr>
          <w:rFonts w:ascii="Sylfaen" w:hAnsi="Sylfaen"/>
          <w:lang w:val="ka-GE"/>
        </w:rPr>
        <w:t xml:space="preserve">ჯანმრთელობის მსოფლიო ორგანიზაციის მონაცემებით საქართველო </w:t>
      </w:r>
      <w:r w:rsidR="008A066B">
        <w:rPr>
          <w:rFonts w:ascii="Sylfaen" w:hAnsi="Sylfaen"/>
          <w:lang w:val="ka-GE"/>
        </w:rPr>
        <w:lastRenderedPageBreak/>
        <w:t>მულტირეზისტენტული ტუბერკულოზის მაღალი გავრცელების 27 ქვეყანას შორისაა. მულტირეზისტენტული ტუბერკულოზი, მისი სწრაფი დიაგნოსტი</w:t>
      </w:r>
      <w:r w:rsidR="00C76BEC">
        <w:rPr>
          <w:rFonts w:ascii="Sylfaen" w:hAnsi="Sylfaen"/>
          <w:lang w:val="ka-GE"/>
        </w:rPr>
        <w:t>კა</w:t>
      </w:r>
      <w:r w:rsidR="00C76BEC" w:rsidRPr="007C73C9">
        <w:rPr>
          <w:rFonts w:ascii="Sylfaen" w:hAnsi="Sylfaen"/>
          <w:lang w:val="ka-GE"/>
        </w:rPr>
        <w:t xml:space="preserve">, </w:t>
      </w:r>
      <w:r w:rsidR="008A066B">
        <w:rPr>
          <w:rFonts w:ascii="Sylfaen" w:hAnsi="Sylfaen"/>
          <w:lang w:val="ka-GE"/>
        </w:rPr>
        <w:t>მართვა და პაციენტების მკურნალობაზე დამყოლობა ქვეყნისათვის წარმოადგენს მთავარ გამოწვევას.</w:t>
      </w:r>
    </w:p>
    <w:p w:rsidR="008A066B" w:rsidRDefault="008A066B" w:rsidP="008A066B">
      <w:pPr>
        <w:jc w:val="both"/>
        <w:rPr>
          <w:rFonts w:ascii="Sylfaen" w:hAnsi="Sylfaen"/>
          <w:lang w:val="ka-GE"/>
        </w:rPr>
      </w:pPr>
      <w:r>
        <w:rPr>
          <w:rFonts w:ascii="Sylfaen" w:hAnsi="Sylfaen"/>
          <w:lang w:val="ka-GE"/>
        </w:rPr>
        <w:t xml:space="preserve">გლობალური ფონდის პროგრამის </w:t>
      </w:r>
      <w:r w:rsidR="00C76BEC">
        <w:rPr>
          <w:rFonts w:ascii="Sylfaen" w:hAnsi="Sylfaen"/>
          <w:lang w:val="ka-GE"/>
        </w:rPr>
        <w:t>ფარგ</w:t>
      </w:r>
      <w:r>
        <w:rPr>
          <w:rFonts w:ascii="Sylfaen" w:hAnsi="Sylfaen"/>
          <w:lang w:val="ka-GE"/>
        </w:rPr>
        <w:t>ლ</w:t>
      </w:r>
      <w:r w:rsidR="00C76BEC">
        <w:rPr>
          <w:rFonts w:ascii="Sylfaen" w:hAnsi="Sylfaen"/>
          <w:lang w:val="ka-GE"/>
        </w:rPr>
        <w:t>ე</w:t>
      </w:r>
      <w:r>
        <w:rPr>
          <w:rFonts w:ascii="Sylfaen" w:hAnsi="Sylfaen"/>
          <w:lang w:val="ka-GE"/>
        </w:rPr>
        <w:t>ბში გა</w:t>
      </w:r>
      <w:r w:rsidR="00C76BEC">
        <w:rPr>
          <w:rFonts w:ascii="Sylfaen" w:hAnsi="Sylfaen"/>
          <w:lang w:val="ka-GE"/>
        </w:rPr>
        <w:t>ნ</w:t>
      </w:r>
      <w:r>
        <w:rPr>
          <w:rFonts w:ascii="Sylfaen" w:hAnsi="Sylfaen"/>
          <w:lang w:val="ka-GE"/>
        </w:rPr>
        <w:t>სახორციელებელი აქტივობები შესაბამისობაშია ტუბერკულოზის ეროვნულ სტრატეგიასთან და ფოკუსირებულია ტუბერკულოზის, მათ შორის რეზისტენტული ტუბერკულოზის</w:t>
      </w:r>
      <w:r w:rsidR="00C76BEC">
        <w:rPr>
          <w:rFonts w:ascii="Sylfaen" w:hAnsi="Sylfaen"/>
          <w:lang w:val="ka-GE"/>
        </w:rPr>
        <w:t>,</w:t>
      </w:r>
      <w:r>
        <w:rPr>
          <w:rFonts w:ascii="Sylfaen" w:hAnsi="Sylfaen"/>
          <w:lang w:val="ka-GE"/>
        </w:rPr>
        <w:t xml:space="preserve"> პროგრამული მართვის გაძლიერებაზე.</w:t>
      </w:r>
    </w:p>
    <w:p w:rsidR="008A066B" w:rsidRDefault="008A066B" w:rsidP="008A066B">
      <w:pPr>
        <w:jc w:val="both"/>
        <w:rPr>
          <w:rFonts w:ascii="Sylfaen" w:hAnsi="Sylfaen"/>
          <w:lang w:val="ka-GE"/>
        </w:rPr>
      </w:pPr>
      <w:r>
        <w:rPr>
          <w:rFonts w:ascii="Sylfaen" w:hAnsi="Sylfaen"/>
          <w:lang w:val="ka-GE"/>
        </w:rPr>
        <w:t xml:space="preserve">პროგრამის მიზანია </w:t>
      </w:r>
      <w:r w:rsidRPr="003B799E">
        <w:rPr>
          <w:rFonts w:ascii="Sylfaen" w:hAnsi="Sylfaen"/>
          <w:b/>
          <w:lang w:val="ka-GE"/>
        </w:rPr>
        <w:t>ტუბერკულოზის ტვირთის შემცირება ქვეყანაში, ხარისხიან დიაგნოსტირებასა და მკურნალობაზე უნივერსალური ხელმისაწვდომობის უზრუნველყოფით</w:t>
      </w:r>
      <w:r>
        <w:rPr>
          <w:rFonts w:ascii="Sylfaen" w:hAnsi="Sylfaen"/>
          <w:lang w:val="ka-GE"/>
        </w:rPr>
        <w:t xml:space="preserve">. </w:t>
      </w:r>
    </w:p>
    <w:p w:rsidR="008A066B" w:rsidRDefault="008A066B" w:rsidP="008A066B">
      <w:pPr>
        <w:jc w:val="both"/>
        <w:rPr>
          <w:rFonts w:ascii="Sylfaen" w:hAnsi="Sylfaen"/>
          <w:lang w:val="ka-GE"/>
        </w:rPr>
      </w:pPr>
      <w:r>
        <w:rPr>
          <w:rFonts w:ascii="Sylfaen" w:hAnsi="Sylfaen"/>
          <w:lang w:val="ka-GE"/>
        </w:rPr>
        <w:t>პროგრამის ამოცანებია:</w:t>
      </w:r>
    </w:p>
    <w:p w:rsidR="008A066B" w:rsidRDefault="008A066B" w:rsidP="008A066B">
      <w:pPr>
        <w:spacing w:after="0"/>
        <w:jc w:val="both"/>
        <w:rPr>
          <w:rFonts w:ascii="Sylfaen" w:hAnsi="Sylfaen"/>
          <w:lang w:val="ka-GE"/>
        </w:rPr>
      </w:pPr>
      <w:r>
        <w:rPr>
          <w:rFonts w:ascii="Sylfaen" w:hAnsi="Sylfaen"/>
          <w:lang w:val="ka-GE"/>
        </w:rPr>
        <w:t xml:space="preserve">1. </w:t>
      </w:r>
      <w:r w:rsidRPr="002D5AB5">
        <w:rPr>
          <w:rFonts w:ascii="Sylfaen" w:hAnsi="Sylfaen"/>
          <w:b/>
          <w:lang w:val="ka-GE"/>
        </w:rPr>
        <w:t xml:space="preserve">ტუბერკულოზის ეროვნული პროგრამის </w:t>
      </w:r>
      <w:r>
        <w:rPr>
          <w:rFonts w:ascii="Sylfaen" w:hAnsi="Sylfaen"/>
          <w:b/>
          <w:lang w:val="ka-GE"/>
        </w:rPr>
        <w:t>მართვის</w:t>
      </w:r>
      <w:r w:rsidRPr="002D5AB5">
        <w:rPr>
          <w:rFonts w:ascii="Sylfaen" w:hAnsi="Sylfaen"/>
          <w:b/>
          <w:lang w:val="ka-GE"/>
        </w:rPr>
        <w:t>, კოორდინაციის, მონიტორინგის და შეფასების გაძლიერება როგორც  სამოქალაქო</w:t>
      </w:r>
      <w:r w:rsidR="00C76BEC">
        <w:rPr>
          <w:rFonts w:ascii="Sylfaen" w:hAnsi="Sylfaen"/>
          <w:b/>
          <w:lang w:val="ka-GE"/>
        </w:rPr>
        <w:t>,</w:t>
      </w:r>
      <w:r w:rsidRPr="002D5AB5">
        <w:rPr>
          <w:rFonts w:ascii="Sylfaen" w:hAnsi="Sylfaen"/>
          <w:b/>
          <w:lang w:val="ka-GE"/>
        </w:rPr>
        <w:t xml:space="preserve"> ასევე პენიტენციურ სისტემაში.</w:t>
      </w:r>
      <w:r>
        <w:rPr>
          <w:rFonts w:ascii="Sylfaen" w:hAnsi="Sylfaen"/>
          <w:lang w:val="ka-GE"/>
        </w:rPr>
        <w:t xml:space="preserve"> </w:t>
      </w:r>
    </w:p>
    <w:p w:rsidR="00C76BEC" w:rsidRDefault="00C76BEC" w:rsidP="008A066B">
      <w:pPr>
        <w:spacing w:after="0"/>
        <w:jc w:val="both"/>
        <w:rPr>
          <w:rFonts w:ascii="Sylfaen" w:hAnsi="Sylfaen"/>
          <w:lang w:val="ka-GE"/>
        </w:rPr>
      </w:pPr>
    </w:p>
    <w:p w:rsidR="008A066B" w:rsidRDefault="008A066B" w:rsidP="008A066B">
      <w:pPr>
        <w:spacing w:after="0"/>
        <w:jc w:val="both"/>
        <w:rPr>
          <w:rFonts w:ascii="Sylfaen" w:hAnsi="Sylfaen"/>
          <w:lang w:val="ka-GE"/>
        </w:rPr>
      </w:pPr>
      <w:r>
        <w:rPr>
          <w:rFonts w:ascii="Sylfaen" w:hAnsi="Sylfaen"/>
          <w:lang w:val="ka-GE"/>
        </w:rPr>
        <w:t xml:space="preserve">ღონისძიებები მოიცავს პროგრამის განხორციელებაში ჩართული პერსონალის პოტენციალის გაზრდას, რაც გამოიხატება მათი სწავლებით და </w:t>
      </w:r>
      <w:r w:rsidR="00C76BEC">
        <w:rPr>
          <w:rFonts w:ascii="Sylfaen" w:hAnsi="Sylfaen"/>
          <w:lang w:val="ka-GE"/>
        </w:rPr>
        <w:t xml:space="preserve">საერთაშორისო </w:t>
      </w:r>
      <w:r>
        <w:rPr>
          <w:rFonts w:ascii="Sylfaen" w:hAnsi="Sylfaen"/>
          <w:lang w:val="ka-GE"/>
        </w:rPr>
        <w:t xml:space="preserve"> ექსპერტების ტექნიკური დახმარებით. ამ ამოცანის ქვეშ</w:t>
      </w:r>
      <w:r w:rsidR="00C76BEC">
        <w:rPr>
          <w:rFonts w:ascii="Sylfaen" w:hAnsi="Sylfaen"/>
          <w:lang w:val="ka-GE"/>
        </w:rPr>
        <w:t>,</w:t>
      </w:r>
      <w:r>
        <w:rPr>
          <w:rFonts w:ascii="Sylfaen" w:hAnsi="Sylfaen"/>
          <w:lang w:val="ka-GE"/>
        </w:rPr>
        <w:t xml:space="preserve"> </w:t>
      </w:r>
      <w:r w:rsidR="00C76BEC">
        <w:rPr>
          <w:rFonts w:ascii="Sylfaen" w:hAnsi="Sylfaen"/>
          <w:lang w:val="ka-GE"/>
        </w:rPr>
        <w:t xml:space="preserve">ასევე, </w:t>
      </w:r>
      <w:r>
        <w:rPr>
          <w:rFonts w:ascii="Sylfaen" w:hAnsi="Sylfaen"/>
          <w:lang w:val="ka-GE"/>
        </w:rPr>
        <w:t xml:space="preserve">განსაზღვრულია პროგრამის განხორციელების ცენტრალური და რეგიონული სუპერვიზია. </w:t>
      </w:r>
    </w:p>
    <w:p w:rsidR="008A066B" w:rsidRDefault="008A066B" w:rsidP="008A066B">
      <w:pPr>
        <w:spacing w:after="0"/>
        <w:jc w:val="both"/>
        <w:rPr>
          <w:rFonts w:ascii="Sylfaen" w:hAnsi="Sylfaen"/>
          <w:lang w:val="ka-GE"/>
        </w:rPr>
      </w:pPr>
    </w:p>
    <w:p w:rsidR="008A066B" w:rsidRDefault="008A066B" w:rsidP="008A066B">
      <w:pPr>
        <w:spacing w:after="0"/>
        <w:jc w:val="both"/>
        <w:rPr>
          <w:rFonts w:ascii="Sylfaen" w:hAnsi="Sylfaen"/>
          <w:lang w:val="ka-GE"/>
        </w:rPr>
      </w:pPr>
      <w:r>
        <w:rPr>
          <w:rFonts w:ascii="Sylfaen" w:hAnsi="Sylfaen"/>
          <w:lang w:val="ka-GE"/>
        </w:rPr>
        <w:t xml:space="preserve">2. </w:t>
      </w:r>
      <w:r w:rsidRPr="002D5AB5">
        <w:rPr>
          <w:rFonts w:ascii="Sylfaen" w:hAnsi="Sylfaen"/>
          <w:b/>
          <w:lang w:val="ka-GE"/>
        </w:rPr>
        <w:t>ტუბერკულოზის, მათ შორის რეზისტენტული ტუბერკულოზის დიაგნოსტირების გაუმჯობესება.</w:t>
      </w:r>
      <w:r>
        <w:rPr>
          <w:rFonts w:ascii="Sylfaen" w:hAnsi="Sylfaen"/>
          <w:lang w:val="ka-GE"/>
        </w:rPr>
        <w:t xml:space="preserve"> </w:t>
      </w:r>
    </w:p>
    <w:p w:rsidR="00C76BEC" w:rsidRDefault="00C76BEC" w:rsidP="008A066B">
      <w:pPr>
        <w:spacing w:after="0"/>
        <w:jc w:val="both"/>
        <w:rPr>
          <w:rFonts w:ascii="Sylfaen" w:hAnsi="Sylfaen"/>
          <w:lang w:val="ka-GE"/>
        </w:rPr>
      </w:pPr>
    </w:p>
    <w:p w:rsidR="008A066B" w:rsidRDefault="008A066B" w:rsidP="008A066B">
      <w:pPr>
        <w:spacing w:after="0"/>
        <w:jc w:val="both"/>
        <w:rPr>
          <w:rFonts w:ascii="Sylfaen" w:hAnsi="Sylfaen"/>
          <w:lang w:val="ka-GE"/>
        </w:rPr>
      </w:pPr>
      <w:r>
        <w:rPr>
          <w:rFonts w:ascii="Sylfaen" w:hAnsi="Sylfaen"/>
          <w:lang w:val="ka-GE"/>
        </w:rPr>
        <w:t>აღნიშნული ამოცან</w:t>
      </w:r>
      <w:r w:rsidR="00C76BEC">
        <w:rPr>
          <w:rFonts w:ascii="Sylfaen" w:hAnsi="Sylfaen"/>
          <w:lang w:val="ka-GE"/>
        </w:rPr>
        <w:t xml:space="preserve">ა მოიცავს </w:t>
      </w:r>
      <w:r>
        <w:rPr>
          <w:rFonts w:ascii="Sylfaen" w:hAnsi="Sylfaen"/>
          <w:lang w:val="ka-GE"/>
        </w:rPr>
        <w:t xml:space="preserve"> ტუბერკულოზის დიაგნოსტირებისთვის საჭირო რეაგენტებისა და სახარჯი მასალების შესყიდვა</w:t>
      </w:r>
      <w:r w:rsidR="00C76BEC">
        <w:rPr>
          <w:rFonts w:ascii="Sylfaen" w:hAnsi="Sylfaen"/>
          <w:lang w:val="ka-GE"/>
        </w:rPr>
        <w:t>ს</w:t>
      </w:r>
      <w:r>
        <w:rPr>
          <w:rFonts w:ascii="Sylfaen" w:hAnsi="Sylfaen"/>
          <w:lang w:val="ka-GE"/>
        </w:rPr>
        <w:t xml:space="preserve"> ტუბერკულოზის ლაბორატორიული ქსელისთვის. აგრეთვე, ღონისძიებები მიმართული იქნება ლაბორატიორიული ქსელის პოტენციალის გაძლიერებაზე, მათ შორის რეფერენს</w:t>
      </w:r>
      <w:r w:rsidR="00C76BEC">
        <w:rPr>
          <w:rFonts w:ascii="Sylfaen" w:hAnsi="Sylfaen"/>
          <w:lang w:val="ka-GE"/>
        </w:rPr>
        <w:t>-</w:t>
      </w:r>
      <w:r>
        <w:rPr>
          <w:rFonts w:ascii="Sylfaen" w:hAnsi="Sylfaen"/>
          <w:lang w:val="ka-GE"/>
        </w:rPr>
        <w:t xml:space="preserve"> და რეგიონული ლაბორატორიების ახალი, რეზისტენტული ტუბერკულოზის სწრაფი დიაგნოსტირებისთვის საჭირო ტესტ</w:t>
      </w:r>
      <w:r w:rsidR="00C76BEC">
        <w:rPr>
          <w:rFonts w:ascii="Sylfaen" w:hAnsi="Sylfaen"/>
          <w:lang w:val="ka-GE"/>
        </w:rPr>
        <w:t>-</w:t>
      </w:r>
      <w:r>
        <w:rPr>
          <w:rFonts w:ascii="Sylfaen" w:hAnsi="Sylfaen"/>
          <w:lang w:val="ka-GE"/>
        </w:rPr>
        <w:t xml:space="preserve"> სისტემებით აღჭურვაზე და მაღალი რისკის ჯგუფებში (პატიმრები და ინ</w:t>
      </w:r>
      <w:r w:rsidR="00C76BEC">
        <w:rPr>
          <w:rFonts w:ascii="Sylfaen" w:hAnsi="Sylfaen"/>
          <w:lang w:val="ka-GE"/>
        </w:rPr>
        <w:t>ექციური</w:t>
      </w:r>
      <w:r>
        <w:rPr>
          <w:rFonts w:ascii="Sylfaen" w:hAnsi="Sylfaen"/>
          <w:lang w:val="ka-GE"/>
        </w:rPr>
        <w:t xml:space="preserve"> ნარტკოტიკების მომხმარებლები) დაავადების გამოვლენაზე. </w:t>
      </w:r>
    </w:p>
    <w:p w:rsidR="008A066B" w:rsidRDefault="008A066B" w:rsidP="008A066B">
      <w:pPr>
        <w:spacing w:after="0"/>
        <w:jc w:val="both"/>
        <w:rPr>
          <w:rFonts w:ascii="Sylfaen" w:hAnsi="Sylfaen"/>
          <w:lang w:val="ka-GE"/>
        </w:rPr>
      </w:pPr>
    </w:p>
    <w:p w:rsidR="008A066B" w:rsidRDefault="008A066B" w:rsidP="008A066B">
      <w:pPr>
        <w:jc w:val="both"/>
        <w:rPr>
          <w:rFonts w:ascii="Sylfaen" w:hAnsi="Sylfaen"/>
          <w:lang w:val="ka-GE"/>
        </w:rPr>
      </w:pPr>
      <w:r>
        <w:rPr>
          <w:rFonts w:ascii="Sylfaen" w:hAnsi="Sylfaen"/>
          <w:lang w:val="ka-GE"/>
        </w:rPr>
        <w:t xml:space="preserve">3. </w:t>
      </w:r>
      <w:r w:rsidRPr="002D5AB5">
        <w:rPr>
          <w:rFonts w:ascii="Sylfaen" w:hAnsi="Sylfaen"/>
          <w:b/>
          <w:lang w:val="ka-GE"/>
        </w:rPr>
        <w:t>ტუბერკულოზის ყველა ფორმის ხარისხიანი მკურნალობით უზრუნველყოფა,</w:t>
      </w:r>
      <w:r>
        <w:rPr>
          <w:rFonts w:ascii="Sylfaen" w:hAnsi="Sylfaen"/>
          <w:lang w:val="ka-GE"/>
        </w:rPr>
        <w:t xml:space="preserve"> რაც მოიცავს მულტირეზისტენტული და ექსტენსიურად რეზისტენტული</w:t>
      </w:r>
      <w:r w:rsidRPr="007C73C9">
        <w:rPr>
          <w:rFonts w:ascii="Sylfaen" w:hAnsi="Sylfaen"/>
          <w:lang w:val="ka-GE"/>
        </w:rPr>
        <w:t xml:space="preserve"> </w:t>
      </w:r>
      <w:r>
        <w:rPr>
          <w:rFonts w:ascii="Sylfaen" w:hAnsi="Sylfaen"/>
          <w:lang w:val="ka-GE"/>
        </w:rPr>
        <w:t xml:space="preserve">ტუბერკულოზის ხარისხიან მკურნალობაზე უნივერსალური ხელმისაწვდომობის უზრუნველყოფას. ინტერვენციები აღნიშნული ამოცანის ქვეშ, ძირითადად უზრუნველყოფს სხვადასხვა კატეგორიის პაციენტებისთვის ტუბერკულოზის სამკურნალო მედიკამენტების შესყიდვას მათი რეზისტენტობის პროფილის მიხედვით. დამატებით, გათვალისწინებულია ხარჯები </w:t>
      </w:r>
      <w:r>
        <w:rPr>
          <w:rFonts w:ascii="Sylfaen" w:hAnsi="Sylfaen"/>
          <w:lang w:val="ka-GE"/>
        </w:rPr>
        <w:lastRenderedPageBreak/>
        <w:t>რეზისტენტული ტუბერკულოზის მკურნალობის ეფექტიანობის შესაფასებელი ლაბორატორიული და კლინიკური მონიტორინგისთვის და მომსახურე პერსონალის ინდივიდუალური, ინფექციის კონტროლისათვის საჭირო საშუალებებისთვის.</w:t>
      </w:r>
    </w:p>
    <w:p w:rsidR="007C73C9" w:rsidRPr="007C73C9" w:rsidRDefault="008A066B" w:rsidP="001C4C6C">
      <w:pPr>
        <w:shd w:val="clear" w:color="auto" w:fill="FFFFFF"/>
        <w:jc w:val="both"/>
        <w:rPr>
          <w:rFonts w:ascii="Times New Roman" w:eastAsia="Times New Roman" w:hAnsi="Times New Roman" w:cs="Times New Roman"/>
          <w:color w:val="FF0000"/>
          <w:sz w:val="24"/>
          <w:szCs w:val="24"/>
          <w:lang w:val="ka-GE"/>
        </w:rPr>
      </w:pPr>
      <w:r>
        <w:rPr>
          <w:rFonts w:ascii="Sylfaen" w:hAnsi="Sylfaen"/>
          <w:lang w:val="ka-GE"/>
        </w:rPr>
        <w:t xml:space="preserve">4. </w:t>
      </w:r>
      <w:r w:rsidRPr="002D5AB5">
        <w:rPr>
          <w:rFonts w:ascii="Sylfaen" w:hAnsi="Sylfaen"/>
          <w:b/>
          <w:lang w:val="ka-GE"/>
        </w:rPr>
        <w:t>ტუბერკულოზის მკურნალობაზე პაციენტების დამყოლობის უზრუნველყოფა,</w:t>
      </w:r>
      <w:r>
        <w:rPr>
          <w:rFonts w:ascii="Sylfaen" w:hAnsi="Sylfaen"/>
          <w:lang w:val="ka-GE"/>
        </w:rPr>
        <w:t xml:space="preserve"> რაც მოიცავს პაციენტების </w:t>
      </w:r>
      <w:r w:rsidR="00961BB4">
        <w:rPr>
          <w:rFonts w:ascii="Sylfaen" w:hAnsi="Sylfaen"/>
          <w:lang w:val="ka-GE"/>
        </w:rPr>
        <w:t xml:space="preserve">ფულადი წახალისებით </w:t>
      </w:r>
      <w:r>
        <w:rPr>
          <w:rFonts w:ascii="Sylfaen" w:hAnsi="Sylfaen"/>
          <w:lang w:val="ka-GE"/>
        </w:rPr>
        <w:t>დახმარებას და ამბულატორიული მკურნალობის დროს ტრანსპორტირების</w:t>
      </w:r>
      <w:r w:rsidR="007C73C9">
        <w:rPr>
          <w:rFonts w:ascii="Sylfaen" w:hAnsi="Sylfaen"/>
          <w:lang w:val="ka-GE"/>
        </w:rPr>
        <w:t>/სამედიცინო დაწესებულებაში ვიზიტის</w:t>
      </w:r>
      <w:r>
        <w:rPr>
          <w:rFonts w:ascii="Sylfaen" w:hAnsi="Sylfaen"/>
          <w:lang w:val="ka-GE"/>
        </w:rPr>
        <w:t>თანხის ანაზღაურებას. მკურნალობაზე დამყოლობა განსაკუთრებული გამოწვევაა მულტირეზისტენტული და ექსტენსიურად რეზისტენტული ტუბერკულოზით დაავადებული პაციენტების შემთხვევაში, ვინაიდან მათი მკურნალობის ხანგრძლივობა ბევრად აღემატება სენსიტიური ტუბერკულოზით დაავადებულთა მკურნლობის ხანგრძლივობას, ასევე მკურნალობის კურსი მოიცავს მეტი წამლის მიღებას -  მძიმე გვერდითი მოვლენებით. აქედან გამომდინარე</w:t>
      </w:r>
      <w:r w:rsidR="00961BB4">
        <w:rPr>
          <w:rFonts w:ascii="Sylfaen" w:hAnsi="Sylfaen"/>
          <w:lang w:val="ka-GE"/>
        </w:rPr>
        <w:t>,</w:t>
      </w:r>
      <w:r>
        <w:rPr>
          <w:rFonts w:ascii="Sylfaen" w:hAnsi="Sylfaen"/>
          <w:lang w:val="ka-GE"/>
        </w:rPr>
        <w:t xml:space="preserve">  აქცენტი გა</w:t>
      </w:r>
      <w:r w:rsidR="00961BB4">
        <w:rPr>
          <w:rFonts w:ascii="Sylfaen" w:hAnsi="Sylfaen"/>
          <w:lang w:val="ka-GE"/>
        </w:rPr>
        <w:t xml:space="preserve">ძლიერდება </w:t>
      </w:r>
      <w:r>
        <w:rPr>
          <w:rFonts w:ascii="Sylfaen" w:hAnsi="Sylfaen"/>
          <w:lang w:val="ka-GE"/>
        </w:rPr>
        <w:t>ამ კატეგორიის პაციენტბზე.</w:t>
      </w:r>
      <w:r w:rsidR="007C73C9">
        <w:rPr>
          <w:rFonts w:ascii="Sylfaen" w:hAnsi="Sylfaen"/>
          <w:lang w:val="ka-GE"/>
        </w:rPr>
        <w:t xml:space="preserve">გეგმის მიხედვით, </w:t>
      </w:r>
      <w:r w:rsidR="007C73C9" w:rsidRPr="007C73C9">
        <w:rPr>
          <w:rFonts w:ascii="Sylfaen" w:hAnsi="Sylfaen"/>
          <w:lang w:val="ka-GE"/>
        </w:rPr>
        <w:t xml:space="preserve">ინსენტივის მიმღებად ჩაითვლება პირი, რომელსაც აქვს დადგენილი ტუბერკულოზის დიაგნოზი (რეგულარული ან M/XDR TB) და ჩართულია ანტიტუბერკულოზურ, ამბულატორიულ მკურნალობაში. ინსენტივს აღნიშნული პირები მიიღებენ მკურნალობაზე კარგი დამყოლობის შემთხვევაში, რაც მოიცავს DOT მკურნალობის რეგულარულ ჩატარებას. ინსენტივის მოცულობა მულტირეზისტენტული ტუბერკულოზით დაავადებულთათვის იქნება </w:t>
      </w:r>
      <w:r w:rsidR="001C4C6C">
        <w:rPr>
          <w:rFonts w:ascii="Sylfaen" w:hAnsi="Sylfaen"/>
          <w:lang w:val="ka-GE"/>
        </w:rPr>
        <w:t xml:space="preserve">საშუალოდ </w:t>
      </w:r>
      <w:r w:rsidR="007C73C9" w:rsidRPr="007C73C9">
        <w:rPr>
          <w:rFonts w:ascii="Sylfaen" w:hAnsi="Sylfaen"/>
          <w:lang w:val="ka-GE"/>
        </w:rPr>
        <w:t xml:space="preserve">100 ლარი თვეში, ხოლო რეგულარული ტუბერკულოზით დაავადებული პაციენტებისთვის </w:t>
      </w:r>
      <w:r w:rsidR="001C4C6C">
        <w:rPr>
          <w:rFonts w:ascii="Sylfaen" w:hAnsi="Sylfaen"/>
          <w:lang w:val="ka-GE"/>
        </w:rPr>
        <w:t>საშუალოდ</w:t>
      </w:r>
      <w:r w:rsidR="00261642">
        <w:rPr>
          <w:rFonts w:ascii="Sylfaen" w:hAnsi="Sylfaen"/>
          <w:lang w:val="ka-GE"/>
        </w:rPr>
        <w:t xml:space="preserve"> </w:t>
      </w:r>
      <w:r w:rsidR="007C73C9" w:rsidRPr="007C73C9">
        <w:rPr>
          <w:rFonts w:ascii="Sylfaen" w:hAnsi="Sylfaen"/>
          <w:lang w:val="ka-GE"/>
        </w:rPr>
        <w:t>- 160 ლარი მკურნალობის კურსის განმავლობაში. დამატებით, M/XDR ტუბერკულოზით დაავადებული პაციენტები მიიღებენ მონეტარულ წახალისებას DOT წერტილზე თითოეული ვიზიტისთვის, საშუალოდ</w:t>
      </w:r>
      <w:r w:rsidR="00226E93">
        <w:rPr>
          <w:rFonts w:ascii="Sylfaen" w:hAnsi="Sylfaen"/>
          <w:lang w:val="ka-GE"/>
        </w:rPr>
        <w:t xml:space="preserve"> 2,</w:t>
      </w:r>
      <w:r w:rsidR="007C73C9" w:rsidRPr="007C73C9">
        <w:rPr>
          <w:rFonts w:ascii="Sylfaen" w:hAnsi="Sylfaen"/>
          <w:lang w:val="ka-GE"/>
        </w:rPr>
        <w:t>5 ლარს თითოეული ვიზიტისთვის</w:t>
      </w:r>
      <w:r w:rsidR="00226E93">
        <w:rPr>
          <w:rFonts w:ascii="Sylfaen" w:hAnsi="Sylfaen"/>
          <w:lang w:val="ka-GE"/>
        </w:rPr>
        <w:t xml:space="preserve">. </w:t>
      </w:r>
      <w:r w:rsidR="007C73C9" w:rsidRPr="007C73C9">
        <w:rPr>
          <w:rFonts w:ascii="Sylfaen" w:hAnsi="Sylfaen"/>
          <w:lang w:val="ka-GE"/>
        </w:rPr>
        <w:t xml:space="preserve"> </w:t>
      </w:r>
    </w:p>
    <w:p w:rsidR="008A066B" w:rsidRPr="00F764DE" w:rsidRDefault="008A066B" w:rsidP="008A066B">
      <w:pPr>
        <w:jc w:val="both"/>
        <w:rPr>
          <w:rFonts w:ascii="Sylfaen" w:hAnsi="Sylfaen"/>
          <w:b/>
          <w:lang w:val="ka-GE"/>
        </w:rPr>
      </w:pPr>
      <w:r>
        <w:rPr>
          <w:rFonts w:ascii="Sylfaen" w:hAnsi="Sylfaen"/>
          <w:b/>
          <w:lang w:val="ka-GE"/>
        </w:rPr>
        <w:t>პროგრამის ბიუჯეტი</w:t>
      </w:r>
      <w:r w:rsidR="00F764DE">
        <w:rPr>
          <w:rFonts w:ascii="Sylfaen" w:hAnsi="Sylfaen"/>
          <w:b/>
        </w:rPr>
        <w:t xml:space="preserve"> </w:t>
      </w:r>
      <w:r w:rsidR="0089761A">
        <w:rPr>
          <w:rFonts w:ascii="Sylfaen" w:hAnsi="Sylfaen"/>
          <w:b/>
          <w:lang w:val="ka-GE"/>
        </w:rPr>
        <w:t xml:space="preserve">განაწილება </w:t>
      </w:r>
      <w:r w:rsidR="00F764DE">
        <w:rPr>
          <w:rFonts w:ascii="Sylfaen" w:hAnsi="Sylfaen"/>
          <w:b/>
          <w:lang w:val="ka-GE"/>
        </w:rPr>
        <w:t>კომპონენტების მიხედვით</w:t>
      </w:r>
    </w:p>
    <w:tbl>
      <w:tblPr>
        <w:tblStyle w:val="TableGrid"/>
        <w:tblW w:w="0" w:type="auto"/>
        <w:tblLook w:val="04A0" w:firstRow="1" w:lastRow="0" w:firstColumn="1" w:lastColumn="0" w:noHBand="0" w:noVBand="1"/>
      </w:tblPr>
      <w:tblGrid>
        <w:gridCol w:w="4219"/>
        <w:gridCol w:w="1276"/>
        <w:gridCol w:w="1276"/>
        <w:gridCol w:w="1275"/>
        <w:gridCol w:w="1418"/>
      </w:tblGrid>
      <w:tr w:rsidR="008A066B" w:rsidTr="000B7098">
        <w:tc>
          <w:tcPr>
            <w:tcW w:w="4219" w:type="dxa"/>
          </w:tcPr>
          <w:p w:rsidR="008A066B" w:rsidRPr="00230CFA" w:rsidRDefault="00230CFA" w:rsidP="00230CFA">
            <w:pPr>
              <w:rPr>
                <w:rFonts w:cstheme="minorHAnsi"/>
                <w:b/>
                <w:sz w:val="20"/>
                <w:szCs w:val="20"/>
                <w:lang w:val="ka-GE"/>
              </w:rPr>
            </w:pPr>
            <w:r>
              <w:rPr>
                <w:rFonts w:ascii="Sylfaen" w:hAnsi="Sylfaen" w:cs="Sylfaen"/>
                <w:b/>
                <w:sz w:val="20"/>
                <w:szCs w:val="20"/>
                <w:lang w:val="ka-GE"/>
              </w:rPr>
              <w:t>პროგრამის ამოცანები</w:t>
            </w:r>
          </w:p>
        </w:tc>
        <w:tc>
          <w:tcPr>
            <w:tcW w:w="1276" w:type="dxa"/>
          </w:tcPr>
          <w:p w:rsidR="008A066B" w:rsidRPr="00FA317B" w:rsidRDefault="008A066B" w:rsidP="000B7098">
            <w:pPr>
              <w:jc w:val="center"/>
              <w:rPr>
                <w:rFonts w:cstheme="minorHAnsi"/>
                <w:b/>
                <w:sz w:val="20"/>
                <w:szCs w:val="20"/>
                <w:lang w:val="ka-GE"/>
              </w:rPr>
            </w:pPr>
            <w:r w:rsidRPr="00FA317B">
              <w:rPr>
                <w:rFonts w:cstheme="minorHAnsi"/>
                <w:b/>
                <w:sz w:val="20"/>
                <w:szCs w:val="20"/>
                <w:lang w:val="ka-GE"/>
              </w:rPr>
              <w:t>2014</w:t>
            </w:r>
          </w:p>
        </w:tc>
        <w:tc>
          <w:tcPr>
            <w:tcW w:w="1276" w:type="dxa"/>
          </w:tcPr>
          <w:p w:rsidR="008A066B" w:rsidRPr="00FA317B" w:rsidRDefault="008A066B" w:rsidP="000B7098">
            <w:pPr>
              <w:jc w:val="center"/>
              <w:rPr>
                <w:rFonts w:cstheme="minorHAnsi"/>
                <w:b/>
                <w:sz w:val="20"/>
                <w:szCs w:val="20"/>
                <w:lang w:val="ka-GE"/>
              </w:rPr>
            </w:pPr>
            <w:r w:rsidRPr="00FA317B">
              <w:rPr>
                <w:rFonts w:cstheme="minorHAnsi"/>
                <w:b/>
                <w:sz w:val="20"/>
                <w:szCs w:val="20"/>
                <w:lang w:val="ka-GE"/>
              </w:rPr>
              <w:t>2015</w:t>
            </w:r>
          </w:p>
        </w:tc>
        <w:tc>
          <w:tcPr>
            <w:tcW w:w="1275" w:type="dxa"/>
          </w:tcPr>
          <w:p w:rsidR="008A066B" w:rsidRPr="00FA317B" w:rsidRDefault="008A066B" w:rsidP="000B7098">
            <w:pPr>
              <w:jc w:val="center"/>
              <w:rPr>
                <w:rFonts w:cstheme="minorHAnsi"/>
                <w:b/>
                <w:sz w:val="20"/>
                <w:szCs w:val="20"/>
              </w:rPr>
            </w:pPr>
            <w:r w:rsidRPr="00FA317B">
              <w:rPr>
                <w:rFonts w:cstheme="minorHAnsi"/>
                <w:b/>
                <w:sz w:val="20"/>
                <w:szCs w:val="20"/>
                <w:lang w:val="ka-GE"/>
              </w:rPr>
              <w:t>2016</w:t>
            </w:r>
          </w:p>
        </w:tc>
        <w:tc>
          <w:tcPr>
            <w:tcW w:w="1418" w:type="dxa"/>
            <w:shd w:val="clear" w:color="auto" w:fill="C6D9F1" w:themeFill="text2" w:themeFillTint="33"/>
            <w:vAlign w:val="center"/>
          </w:tcPr>
          <w:p w:rsidR="008A066B" w:rsidRPr="00FA317B" w:rsidRDefault="008A066B" w:rsidP="000B7098">
            <w:pPr>
              <w:jc w:val="center"/>
              <w:rPr>
                <w:rFonts w:cstheme="minorHAnsi"/>
                <w:b/>
                <w:sz w:val="20"/>
                <w:szCs w:val="20"/>
                <w:lang w:val="ka-GE"/>
              </w:rPr>
            </w:pPr>
            <w:r w:rsidRPr="00FA317B">
              <w:rPr>
                <w:rFonts w:ascii="Sylfaen" w:hAnsi="Sylfaen" w:cs="Sylfaen"/>
                <w:b/>
                <w:sz w:val="20"/>
                <w:szCs w:val="20"/>
                <w:lang w:val="ka-GE"/>
              </w:rPr>
              <w:t>სულ</w:t>
            </w:r>
          </w:p>
        </w:tc>
      </w:tr>
      <w:tr w:rsidR="00F764DE" w:rsidRPr="00FA317B" w:rsidTr="000B7098">
        <w:trPr>
          <w:trHeight w:val="800"/>
        </w:trPr>
        <w:tc>
          <w:tcPr>
            <w:tcW w:w="4219" w:type="dxa"/>
            <w:vAlign w:val="center"/>
          </w:tcPr>
          <w:p w:rsidR="00F764DE" w:rsidRPr="00FA317B" w:rsidRDefault="00F764DE" w:rsidP="000B7098">
            <w:pPr>
              <w:rPr>
                <w:rFonts w:cstheme="minorHAnsi"/>
                <w:sz w:val="20"/>
                <w:szCs w:val="20"/>
              </w:rPr>
            </w:pPr>
            <w:r w:rsidRPr="00FA317B">
              <w:rPr>
                <w:rFonts w:ascii="Sylfaen" w:hAnsi="Sylfaen" w:cs="Sylfaen"/>
                <w:sz w:val="20"/>
                <w:szCs w:val="20"/>
                <w:lang w:val="ka-GE"/>
              </w:rPr>
              <w:t>ტუბერკულოზის</w:t>
            </w:r>
            <w:r w:rsidRPr="00FA317B">
              <w:rPr>
                <w:rFonts w:cstheme="minorHAnsi"/>
                <w:sz w:val="20"/>
                <w:szCs w:val="20"/>
                <w:lang w:val="ka-GE"/>
              </w:rPr>
              <w:t xml:space="preserve"> </w:t>
            </w:r>
            <w:r w:rsidRPr="00FA317B">
              <w:rPr>
                <w:rFonts w:ascii="Sylfaen" w:hAnsi="Sylfaen" w:cs="Sylfaen"/>
                <w:sz w:val="20"/>
                <w:szCs w:val="20"/>
                <w:lang w:val="ka-GE"/>
              </w:rPr>
              <w:t>ეროვნული</w:t>
            </w:r>
            <w:r w:rsidRPr="00FA317B">
              <w:rPr>
                <w:rFonts w:cstheme="minorHAnsi"/>
                <w:sz w:val="20"/>
                <w:szCs w:val="20"/>
                <w:lang w:val="ka-GE"/>
              </w:rPr>
              <w:t xml:space="preserve"> </w:t>
            </w:r>
            <w:r w:rsidRPr="00FA317B">
              <w:rPr>
                <w:rFonts w:ascii="Sylfaen" w:hAnsi="Sylfaen" w:cs="Sylfaen"/>
                <w:sz w:val="20"/>
                <w:szCs w:val="20"/>
                <w:lang w:val="ka-GE"/>
              </w:rPr>
              <w:t>პროგრამის</w:t>
            </w:r>
            <w:r w:rsidRPr="00FA317B">
              <w:rPr>
                <w:rFonts w:cstheme="minorHAnsi"/>
                <w:sz w:val="20"/>
                <w:szCs w:val="20"/>
                <w:lang w:val="ka-GE"/>
              </w:rPr>
              <w:t xml:space="preserve"> </w:t>
            </w:r>
            <w:r w:rsidRPr="00FA317B">
              <w:rPr>
                <w:rFonts w:ascii="Sylfaen" w:hAnsi="Sylfaen" w:cs="Sylfaen"/>
                <w:sz w:val="20"/>
                <w:szCs w:val="20"/>
                <w:lang w:val="ka-GE"/>
              </w:rPr>
              <w:t>მენეჯმენტის</w:t>
            </w:r>
            <w:r w:rsidRPr="00FA317B">
              <w:rPr>
                <w:rFonts w:cstheme="minorHAnsi"/>
                <w:sz w:val="20"/>
                <w:szCs w:val="20"/>
                <w:lang w:val="ka-GE"/>
              </w:rPr>
              <w:t xml:space="preserve">, </w:t>
            </w:r>
            <w:r w:rsidRPr="00FA317B">
              <w:rPr>
                <w:rFonts w:ascii="Sylfaen" w:hAnsi="Sylfaen" w:cs="Sylfaen"/>
                <w:sz w:val="20"/>
                <w:szCs w:val="20"/>
                <w:lang w:val="ka-GE"/>
              </w:rPr>
              <w:t>კოორდინაციის</w:t>
            </w:r>
            <w:r w:rsidRPr="00FA317B">
              <w:rPr>
                <w:rFonts w:cstheme="minorHAnsi"/>
                <w:sz w:val="20"/>
                <w:szCs w:val="20"/>
                <w:lang w:val="ka-GE"/>
              </w:rPr>
              <w:t xml:space="preserve">, </w:t>
            </w:r>
            <w:r w:rsidRPr="00FA317B">
              <w:rPr>
                <w:rFonts w:ascii="Sylfaen" w:hAnsi="Sylfaen" w:cs="Sylfaen"/>
                <w:sz w:val="20"/>
                <w:szCs w:val="20"/>
                <w:lang w:val="ka-GE"/>
              </w:rPr>
              <w:t>მონიტორინგის</w:t>
            </w:r>
            <w:r w:rsidRPr="00FA317B">
              <w:rPr>
                <w:rFonts w:cstheme="minorHAnsi"/>
                <w:sz w:val="20"/>
                <w:szCs w:val="20"/>
                <w:lang w:val="ka-GE"/>
              </w:rPr>
              <w:t xml:space="preserve"> </w:t>
            </w:r>
            <w:r w:rsidRPr="00FA317B">
              <w:rPr>
                <w:rFonts w:ascii="Sylfaen" w:hAnsi="Sylfaen" w:cs="Sylfaen"/>
                <w:sz w:val="20"/>
                <w:szCs w:val="20"/>
                <w:lang w:val="ka-GE"/>
              </w:rPr>
              <w:t>და</w:t>
            </w:r>
            <w:r w:rsidRPr="00FA317B">
              <w:rPr>
                <w:rFonts w:cstheme="minorHAnsi"/>
                <w:sz w:val="20"/>
                <w:szCs w:val="20"/>
                <w:lang w:val="ka-GE"/>
              </w:rPr>
              <w:t xml:space="preserve"> </w:t>
            </w:r>
            <w:r w:rsidRPr="00FA317B">
              <w:rPr>
                <w:rFonts w:ascii="Sylfaen" w:hAnsi="Sylfaen" w:cs="Sylfaen"/>
                <w:sz w:val="20"/>
                <w:szCs w:val="20"/>
                <w:lang w:val="ka-GE"/>
              </w:rPr>
              <w:t>შეფასების</w:t>
            </w:r>
            <w:r w:rsidRPr="00FA317B">
              <w:rPr>
                <w:rFonts w:cstheme="minorHAnsi"/>
                <w:sz w:val="20"/>
                <w:szCs w:val="20"/>
                <w:lang w:val="ka-GE"/>
              </w:rPr>
              <w:t xml:space="preserve"> </w:t>
            </w:r>
            <w:r w:rsidRPr="00FA317B">
              <w:rPr>
                <w:rFonts w:ascii="Sylfaen" w:hAnsi="Sylfaen" w:cs="Sylfaen"/>
                <w:sz w:val="20"/>
                <w:szCs w:val="20"/>
                <w:lang w:val="ka-GE"/>
              </w:rPr>
              <w:t>გაძლიერება</w:t>
            </w:r>
            <w:r w:rsidRPr="00FA317B">
              <w:rPr>
                <w:rFonts w:cstheme="minorHAnsi"/>
                <w:sz w:val="20"/>
                <w:szCs w:val="20"/>
                <w:lang w:val="ka-GE"/>
              </w:rPr>
              <w:t xml:space="preserve"> </w:t>
            </w:r>
            <w:r w:rsidRPr="00FA317B">
              <w:rPr>
                <w:rFonts w:ascii="Sylfaen" w:hAnsi="Sylfaen" w:cs="Sylfaen"/>
                <w:sz w:val="20"/>
                <w:szCs w:val="20"/>
                <w:lang w:val="ka-GE"/>
              </w:rPr>
              <w:t>როგორც</w:t>
            </w:r>
            <w:r w:rsidRPr="00FA317B">
              <w:rPr>
                <w:rFonts w:cstheme="minorHAnsi"/>
                <w:sz w:val="20"/>
                <w:szCs w:val="20"/>
                <w:lang w:val="ka-GE"/>
              </w:rPr>
              <w:t xml:space="preserve">  </w:t>
            </w:r>
            <w:r w:rsidRPr="00FA317B">
              <w:rPr>
                <w:rFonts w:ascii="Sylfaen" w:hAnsi="Sylfaen" w:cs="Sylfaen"/>
                <w:sz w:val="20"/>
                <w:szCs w:val="20"/>
                <w:lang w:val="ka-GE"/>
              </w:rPr>
              <w:t>სამოქალაქო</w:t>
            </w:r>
            <w:r>
              <w:rPr>
                <w:rFonts w:ascii="Sylfaen" w:hAnsi="Sylfaen" w:cs="Sylfaen"/>
                <w:sz w:val="20"/>
                <w:szCs w:val="20"/>
                <w:lang w:val="ka-GE"/>
              </w:rPr>
              <w:t xml:space="preserve">, </w:t>
            </w:r>
            <w:r w:rsidRPr="00FA317B">
              <w:rPr>
                <w:rFonts w:cstheme="minorHAnsi"/>
                <w:sz w:val="20"/>
                <w:szCs w:val="20"/>
                <w:lang w:val="ka-GE"/>
              </w:rPr>
              <w:t xml:space="preserve"> </w:t>
            </w:r>
            <w:r w:rsidRPr="00FA317B">
              <w:rPr>
                <w:rFonts w:ascii="Sylfaen" w:hAnsi="Sylfaen" w:cs="Sylfaen"/>
                <w:sz w:val="20"/>
                <w:szCs w:val="20"/>
                <w:lang w:val="ka-GE"/>
              </w:rPr>
              <w:t>ასევე</w:t>
            </w:r>
            <w:r w:rsidRPr="00FA317B">
              <w:rPr>
                <w:rFonts w:cstheme="minorHAnsi"/>
                <w:sz w:val="20"/>
                <w:szCs w:val="20"/>
                <w:lang w:val="ka-GE"/>
              </w:rPr>
              <w:t xml:space="preserve"> </w:t>
            </w:r>
            <w:r w:rsidRPr="00FA317B">
              <w:rPr>
                <w:rFonts w:ascii="Sylfaen" w:hAnsi="Sylfaen" w:cs="Sylfaen"/>
                <w:sz w:val="20"/>
                <w:szCs w:val="20"/>
                <w:lang w:val="ka-GE"/>
              </w:rPr>
              <w:t>პენიტენციურ</w:t>
            </w:r>
            <w:r w:rsidRPr="00FA317B">
              <w:rPr>
                <w:rFonts w:cstheme="minorHAnsi"/>
                <w:sz w:val="20"/>
                <w:szCs w:val="20"/>
                <w:lang w:val="ka-GE"/>
              </w:rPr>
              <w:t xml:space="preserve"> </w:t>
            </w:r>
            <w:r w:rsidRPr="00FA317B">
              <w:rPr>
                <w:rFonts w:ascii="Sylfaen" w:hAnsi="Sylfaen" w:cs="Sylfaen"/>
                <w:sz w:val="20"/>
                <w:szCs w:val="20"/>
                <w:lang w:val="ka-GE"/>
              </w:rPr>
              <w:t>სისტემაში</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338 523</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253 131</w:t>
            </w:r>
          </w:p>
        </w:tc>
        <w:tc>
          <w:tcPr>
            <w:tcW w:w="1275" w:type="dxa"/>
            <w:vAlign w:val="center"/>
          </w:tcPr>
          <w:p w:rsidR="00F764DE" w:rsidRDefault="00F764DE">
            <w:pPr>
              <w:jc w:val="center"/>
              <w:rPr>
                <w:rFonts w:ascii="Calibri" w:hAnsi="Calibri" w:cs="Calibri"/>
                <w:sz w:val="20"/>
                <w:szCs w:val="20"/>
              </w:rPr>
            </w:pPr>
            <w:r>
              <w:rPr>
                <w:rFonts w:ascii="Calibri" w:hAnsi="Calibri" w:cs="Calibri"/>
                <w:sz w:val="20"/>
                <w:szCs w:val="20"/>
              </w:rPr>
              <w:t>129 655</w:t>
            </w:r>
          </w:p>
        </w:tc>
        <w:tc>
          <w:tcPr>
            <w:tcW w:w="1418" w:type="dxa"/>
            <w:shd w:val="clear" w:color="auto" w:fill="C6D9F1" w:themeFill="text2" w:themeFillTint="33"/>
            <w:vAlign w:val="center"/>
          </w:tcPr>
          <w:p w:rsidR="00F764DE" w:rsidRDefault="00F764DE">
            <w:pPr>
              <w:jc w:val="center"/>
              <w:rPr>
                <w:rFonts w:ascii="Calibri" w:hAnsi="Calibri" w:cs="Calibri"/>
                <w:b/>
                <w:bCs/>
                <w:sz w:val="20"/>
                <w:szCs w:val="20"/>
              </w:rPr>
            </w:pPr>
            <w:r>
              <w:rPr>
                <w:rFonts w:ascii="Calibri" w:hAnsi="Calibri" w:cs="Calibri"/>
                <w:b/>
                <w:bCs/>
                <w:sz w:val="20"/>
                <w:szCs w:val="20"/>
              </w:rPr>
              <w:t>721 310</w:t>
            </w:r>
          </w:p>
        </w:tc>
      </w:tr>
      <w:tr w:rsidR="00F764DE" w:rsidRPr="00FA317B" w:rsidTr="000B7098">
        <w:trPr>
          <w:trHeight w:val="962"/>
        </w:trPr>
        <w:tc>
          <w:tcPr>
            <w:tcW w:w="4219" w:type="dxa"/>
            <w:vAlign w:val="center"/>
          </w:tcPr>
          <w:p w:rsidR="00F764DE" w:rsidRPr="00FA317B" w:rsidRDefault="00F764DE" w:rsidP="000B7098">
            <w:pPr>
              <w:rPr>
                <w:rFonts w:cstheme="minorHAnsi"/>
                <w:sz w:val="20"/>
                <w:szCs w:val="20"/>
              </w:rPr>
            </w:pPr>
            <w:r w:rsidRPr="00FA317B">
              <w:rPr>
                <w:rFonts w:ascii="Sylfaen" w:hAnsi="Sylfaen" w:cs="Sylfaen"/>
                <w:sz w:val="20"/>
                <w:szCs w:val="20"/>
                <w:lang w:val="ka-GE"/>
              </w:rPr>
              <w:t>ტუბერკულოზის</w:t>
            </w:r>
            <w:r w:rsidRPr="00FA317B">
              <w:rPr>
                <w:rFonts w:cstheme="minorHAnsi"/>
                <w:sz w:val="20"/>
                <w:szCs w:val="20"/>
                <w:lang w:val="ka-GE"/>
              </w:rPr>
              <w:t xml:space="preserve">, </w:t>
            </w:r>
            <w:r w:rsidRPr="00FA317B">
              <w:rPr>
                <w:rFonts w:ascii="Sylfaen" w:hAnsi="Sylfaen" w:cs="Sylfaen"/>
                <w:sz w:val="20"/>
                <w:szCs w:val="20"/>
                <w:lang w:val="ka-GE"/>
              </w:rPr>
              <w:t>მათ</w:t>
            </w:r>
            <w:r w:rsidRPr="00FA317B">
              <w:rPr>
                <w:rFonts w:cstheme="minorHAnsi"/>
                <w:sz w:val="20"/>
                <w:szCs w:val="20"/>
                <w:lang w:val="ka-GE"/>
              </w:rPr>
              <w:t xml:space="preserve"> </w:t>
            </w:r>
            <w:r w:rsidRPr="00FA317B">
              <w:rPr>
                <w:rFonts w:ascii="Sylfaen" w:hAnsi="Sylfaen" w:cs="Sylfaen"/>
                <w:sz w:val="20"/>
                <w:szCs w:val="20"/>
                <w:lang w:val="ka-GE"/>
              </w:rPr>
              <w:t>შორის</w:t>
            </w:r>
            <w:r w:rsidRPr="00FA317B">
              <w:rPr>
                <w:rFonts w:cstheme="minorHAnsi"/>
                <w:sz w:val="20"/>
                <w:szCs w:val="20"/>
                <w:lang w:val="ka-GE"/>
              </w:rPr>
              <w:t xml:space="preserve"> </w:t>
            </w:r>
            <w:r w:rsidRPr="00FA317B">
              <w:rPr>
                <w:rFonts w:ascii="Sylfaen" w:hAnsi="Sylfaen" w:cs="Sylfaen"/>
                <w:sz w:val="20"/>
                <w:szCs w:val="20"/>
                <w:lang w:val="ka-GE"/>
              </w:rPr>
              <w:t>რეზისტენტული</w:t>
            </w:r>
            <w:r w:rsidRPr="00FA317B">
              <w:rPr>
                <w:rFonts w:cstheme="minorHAnsi"/>
                <w:sz w:val="20"/>
                <w:szCs w:val="20"/>
                <w:lang w:val="ka-GE"/>
              </w:rPr>
              <w:t xml:space="preserve"> </w:t>
            </w:r>
            <w:r w:rsidRPr="00FA317B">
              <w:rPr>
                <w:rFonts w:ascii="Sylfaen" w:hAnsi="Sylfaen" w:cs="Sylfaen"/>
                <w:sz w:val="20"/>
                <w:szCs w:val="20"/>
                <w:lang w:val="ka-GE"/>
              </w:rPr>
              <w:t>ტუბერკულოზის</w:t>
            </w:r>
            <w:r w:rsidRPr="00FA317B">
              <w:rPr>
                <w:rFonts w:cstheme="minorHAnsi"/>
                <w:sz w:val="20"/>
                <w:szCs w:val="20"/>
                <w:lang w:val="ka-GE"/>
              </w:rPr>
              <w:t xml:space="preserve"> </w:t>
            </w:r>
            <w:r w:rsidRPr="00FA317B">
              <w:rPr>
                <w:rFonts w:ascii="Sylfaen" w:hAnsi="Sylfaen" w:cs="Sylfaen"/>
                <w:sz w:val="20"/>
                <w:szCs w:val="20"/>
                <w:lang w:val="ka-GE"/>
              </w:rPr>
              <w:t>დიაგნოსტირების</w:t>
            </w:r>
            <w:r w:rsidRPr="00FA317B">
              <w:rPr>
                <w:rFonts w:cstheme="minorHAnsi"/>
                <w:sz w:val="20"/>
                <w:szCs w:val="20"/>
                <w:lang w:val="ka-GE"/>
              </w:rPr>
              <w:t xml:space="preserve"> </w:t>
            </w:r>
            <w:r w:rsidRPr="00FA317B">
              <w:rPr>
                <w:rFonts w:ascii="Sylfaen" w:hAnsi="Sylfaen" w:cs="Sylfaen"/>
                <w:sz w:val="20"/>
                <w:szCs w:val="20"/>
                <w:lang w:val="ka-GE"/>
              </w:rPr>
              <w:t>გაუმჯობესება</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530 991</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863 473</w:t>
            </w:r>
          </w:p>
        </w:tc>
        <w:tc>
          <w:tcPr>
            <w:tcW w:w="1275" w:type="dxa"/>
            <w:vAlign w:val="center"/>
          </w:tcPr>
          <w:p w:rsidR="00F764DE" w:rsidRDefault="00F764DE">
            <w:pPr>
              <w:jc w:val="center"/>
              <w:rPr>
                <w:rFonts w:ascii="Calibri" w:hAnsi="Calibri" w:cs="Calibri"/>
                <w:sz w:val="20"/>
                <w:szCs w:val="20"/>
              </w:rPr>
            </w:pPr>
            <w:r>
              <w:rPr>
                <w:rFonts w:ascii="Calibri" w:hAnsi="Calibri" w:cs="Calibri"/>
                <w:sz w:val="20"/>
                <w:szCs w:val="20"/>
              </w:rPr>
              <w:t>466 915</w:t>
            </w:r>
          </w:p>
        </w:tc>
        <w:tc>
          <w:tcPr>
            <w:tcW w:w="1418" w:type="dxa"/>
            <w:shd w:val="clear" w:color="auto" w:fill="C6D9F1" w:themeFill="text2" w:themeFillTint="33"/>
            <w:vAlign w:val="center"/>
          </w:tcPr>
          <w:p w:rsidR="00F764DE" w:rsidRDefault="00F764DE">
            <w:pPr>
              <w:jc w:val="center"/>
              <w:rPr>
                <w:rFonts w:ascii="Calibri" w:hAnsi="Calibri" w:cs="Calibri"/>
                <w:b/>
                <w:bCs/>
                <w:sz w:val="20"/>
                <w:szCs w:val="20"/>
              </w:rPr>
            </w:pPr>
            <w:r>
              <w:rPr>
                <w:rFonts w:ascii="Calibri" w:hAnsi="Calibri" w:cs="Calibri"/>
                <w:b/>
                <w:bCs/>
                <w:sz w:val="20"/>
                <w:szCs w:val="20"/>
              </w:rPr>
              <w:t>1 861 379</w:t>
            </w:r>
          </w:p>
        </w:tc>
      </w:tr>
      <w:tr w:rsidR="00F764DE" w:rsidRPr="00FA317B" w:rsidTr="000B7098">
        <w:trPr>
          <w:trHeight w:val="998"/>
        </w:trPr>
        <w:tc>
          <w:tcPr>
            <w:tcW w:w="4219" w:type="dxa"/>
            <w:vAlign w:val="center"/>
          </w:tcPr>
          <w:p w:rsidR="00F764DE" w:rsidRPr="00FA317B" w:rsidRDefault="00F764DE" w:rsidP="000B7098">
            <w:pPr>
              <w:rPr>
                <w:rFonts w:cstheme="minorHAnsi"/>
                <w:sz w:val="20"/>
                <w:szCs w:val="20"/>
              </w:rPr>
            </w:pPr>
            <w:r w:rsidRPr="00FA317B">
              <w:rPr>
                <w:rFonts w:ascii="Sylfaen" w:hAnsi="Sylfaen" w:cs="Sylfaen"/>
                <w:sz w:val="20"/>
                <w:szCs w:val="20"/>
                <w:lang w:val="ka-GE"/>
              </w:rPr>
              <w:t>ტუბერკულოზის</w:t>
            </w:r>
            <w:r w:rsidRPr="00FA317B">
              <w:rPr>
                <w:rFonts w:cstheme="minorHAnsi"/>
                <w:sz w:val="20"/>
                <w:szCs w:val="20"/>
                <w:lang w:val="ka-GE"/>
              </w:rPr>
              <w:t xml:space="preserve"> </w:t>
            </w:r>
            <w:r w:rsidRPr="00FA317B">
              <w:rPr>
                <w:rFonts w:ascii="Sylfaen" w:hAnsi="Sylfaen" w:cs="Sylfaen"/>
                <w:sz w:val="20"/>
                <w:szCs w:val="20"/>
                <w:lang w:val="ka-GE"/>
              </w:rPr>
              <w:t>ყველა</w:t>
            </w:r>
            <w:r w:rsidRPr="00FA317B">
              <w:rPr>
                <w:rFonts w:cstheme="minorHAnsi"/>
                <w:sz w:val="20"/>
                <w:szCs w:val="20"/>
                <w:lang w:val="ka-GE"/>
              </w:rPr>
              <w:t xml:space="preserve"> </w:t>
            </w:r>
            <w:r w:rsidRPr="00FA317B">
              <w:rPr>
                <w:rFonts w:ascii="Sylfaen" w:hAnsi="Sylfaen" w:cs="Sylfaen"/>
                <w:sz w:val="20"/>
                <w:szCs w:val="20"/>
                <w:lang w:val="ka-GE"/>
              </w:rPr>
              <w:t>ფორმის</w:t>
            </w:r>
            <w:r w:rsidRPr="00FA317B">
              <w:rPr>
                <w:rFonts w:cstheme="minorHAnsi"/>
                <w:sz w:val="20"/>
                <w:szCs w:val="20"/>
                <w:lang w:val="ka-GE"/>
              </w:rPr>
              <w:t xml:space="preserve"> </w:t>
            </w:r>
            <w:r w:rsidRPr="00FA317B">
              <w:rPr>
                <w:rFonts w:ascii="Sylfaen" w:hAnsi="Sylfaen" w:cs="Sylfaen"/>
                <w:sz w:val="20"/>
                <w:szCs w:val="20"/>
                <w:lang w:val="ka-GE"/>
              </w:rPr>
              <w:t>ხარისხიანი</w:t>
            </w:r>
            <w:r w:rsidRPr="00FA317B">
              <w:rPr>
                <w:rFonts w:cstheme="minorHAnsi"/>
                <w:sz w:val="20"/>
                <w:szCs w:val="20"/>
                <w:lang w:val="ka-GE"/>
              </w:rPr>
              <w:t xml:space="preserve"> </w:t>
            </w:r>
            <w:r w:rsidRPr="00FA317B">
              <w:rPr>
                <w:rFonts w:ascii="Sylfaen" w:hAnsi="Sylfaen" w:cs="Sylfaen"/>
                <w:sz w:val="20"/>
                <w:szCs w:val="20"/>
                <w:lang w:val="ka-GE"/>
              </w:rPr>
              <w:t>მკურნალობით</w:t>
            </w:r>
            <w:r w:rsidRPr="00FA317B">
              <w:rPr>
                <w:rFonts w:cstheme="minorHAnsi"/>
                <w:sz w:val="20"/>
                <w:szCs w:val="20"/>
                <w:lang w:val="ka-GE"/>
              </w:rPr>
              <w:t xml:space="preserve"> </w:t>
            </w:r>
            <w:r w:rsidRPr="00FA317B">
              <w:rPr>
                <w:rFonts w:ascii="Sylfaen" w:hAnsi="Sylfaen" w:cs="Sylfaen"/>
                <w:sz w:val="20"/>
                <w:szCs w:val="20"/>
                <w:lang w:val="ka-GE"/>
              </w:rPr>
              <w:t>უზრუნველყოფა</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2 275 404</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2 421 574</w:t>
            </w:r>
          </w:p>
        </w:tc>
        <w:tc>
          <w:tcPr>
            <w:tcW w:w="1275" w:type="dxa"/>
            <w:vAlign w:val="center"/>
          </w:tcPr>
          <w:p w:rsidR="00F764DE" w:rsidRDefault="00F764DE">
            <w:pPr>
              <w:jc w:val="center"/>
              <w:rPr>
                <w:rFonts w:ascii="Calibri" w:hAnsi="Calibri" w:cs="Calibri"/>
                <w:sz w:val="20"/>
                <w:szCs w:val="20"/>
              </w:rPr>
            </w:pPr>
            <w:r>
              <w:rPr>
                <w:rFonts w:ascii="Calibri" w:hAnsi="Calibri" w:cs="Calibri"/>
                <w:sz w:val="20"/>
                <w:szCs w:val="20"/>
              </w:rPr>
              <w:t>1 226 814</w:t>
            </w:r>
          </w:p>
        </w:tc>
        <w:tc>
          <w:tcPr>
            <w:tcW w:w="1418" w:type="dxa"/>
            <w:shd w:val="clear" w:color="auto" w:fill="C6D9F1" w:themeFill="text2" w:themeFillTint="33"/>
            <w:vAlign w:val="center"/>
          </w:tcPr>
          <w:p w:rsidR="00F764DE" w:rsidRDefault="00F764DE">
            <w:pPr>
              <w:jc w:val="center"/>
              <w:rPr>
                <w:rFonts w:ascii="Calibri" w:hAnsi="Calibri" w:cs="Calibri"/>
                <w:b/>
                <w:bCs/>
                <w:sz w:val="20"/>
                <w:szCs w:val="20"/>
              </w:rPr>
            </w:pPr>
            <w:r>
              <w:rPr>
                <w:rFonts w:ascii="Calibri" w:hAnsi="Calibri" w:cs="Calibri"/>
                <w:b/>
                <w:bCs/>
                <w:sz w:val="20"/>
                <w:szCs w:val="20"/>
              </w:rPr>
              <w:t>5 923 792</w:t>
            </w:r>
          </w:p>
        </w:tc>
      </w:tr>
      <w:tr w:rsidR="00F764DE" w:rsidRPr="00FA317B" w:rsidTr="000B7098">
        <w:trPr>
          <w:trHeight w:val="1052"/>
        </w:trPr>
        <w:tc>
          <w:tcPr>
            <w:tcW w:w="4219" w:type="dxa"/>
            <w:vAlign w:val="center"/>
          </w:tcPr>
          <w:p w:rsidR="00F764DE" w:rsidRPr="00FA317B" w:rsidRDefault="00F764DE" w:rsidP="000B7098">
            <w:pPr>
              <w:rPr>
                <w:rFonts w:cstheme="minorHAnsi"/>
                <w:sz w:val="20"/>
                <w:szCs w:val="20"/>
              </w:rPr>
            </w:pPr>
            <w:r w:rsidRPr="00FA317B">
              <w:rPr>
                <w:rFonts w:ascii="Sylfaen" w:hAnsi="Sylfaen" w:cs="Sylfaen"/>
                <w:sz w:val="20"/>
                <w:szCs w:val="20"/>
                <w:lang w:val="ka-GE"/>
              </w:rPr>
              <w:t>ტუბერკულოზის</w:t>
            </w:r>
            <w:r w:rsidRPr="00FA317B">
              <w:rPr>
                <w:rFonts w:cstheme="minorHAnsi"/>
                <w:sz w:val="20"/>
                <w:szCs w:val="20"/>
                <w:lang w:val="ka-GE"/>
              </w:rPr>
              <w:t xml:space="preserve"> </w:t>
            </w:r>
            <w:r w:rsidRPr="00FA317B">
              <w:rPr>
                <w:rFonts w:ascii="Sylfaen" w:hAnsi="Sylfaen" w:cs="Sylfaen"/>
                <w:sz w:val="20"/>
                <w:szCs w:val="20"/>
                <w:lang w:val="ka-GE"/>
              </w:rPr>
              <w:t>მკურნალობაზე</w:t>
            </w:r>
            <w:r w:rsidRPr="00FA317B">
              <w:rPr>
                <w:rFonts w:cstheme="minorHAnsi"/>
                <w:sz w:val="20"/>
                <w:szCs w:val="20"/>
                <w:lang w:val="ka-GE"/>
              </w:rPr>
              <w:t xml:space="preserve"> </w:t>
            </w:r>
            <w:r w:rsidRPr="00FA317B">
              <w:rPr>
                <w:rFonts w:ascii="Sylfaen" w:hAnsi="Sylfaen" w:cs="Sylfaen"/>
                <w:sz w:val="20"/>
                <w:szCs w:val="20"/>
                <w:lang w:val="ka-GE"/>
              </w:rPr>
              <w:t>პაციენტების</w:t>
            </w:r>
            <w:r w:rsidRPr="00FA317B">
              <w:rPr>
                <w:rFonts w:cstheme="minorHAnsi"/>
                <w:sz w:val="20"/>
                <w:szCs w:val="20"/>
                <w:lang w:val="ka-GE"/>
              </w:rPr>
              <w:t xml:space="preserve"> </w:t>
            </w:r>
            <w:r w:rsidRPr="00FA317B">
              <w:rPr>
                <w:rFonts w:ascii="Sylfaen" w:hAnsi="Sylfaen" w:cs="Sylfaen"/>
                <w:sz w:val="20"/>
                <w:szCs w:val="20"/>
                <w:lang w:val="ka-GE"/>
              </w:rPr>
              <w:t>დამყოლობის</w:t>
            </w:r>
            <w:r w:rsidRPr="00FA317B">
              <w:rPr>
                <w:rFonts w:cstheme="minorHAnsi"/>
                <w:sz w:val="20"/>
                <w:szCs w:val="20"/>
                <w:lang w:val="ka-GE"/>
              </w:rPr>
              <w:t xml:space="preserve"> </w:t>
            </w:r>
            <w:r w:rsidRPr="00FA317B">
              <w:rPr>
                <w:rFonts w:ascii="Sylfaen" w:hAnsi="Sylfaen" w:cs="Sylfaen"/>
                <w:sz w:val="20"/>
                <w:szCs w:val="20"/>
                <w:lang w:val="ka-GE"/>
              </w:rPr>
              <w:t>უზრუნველყოფა</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1 122 075</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734 205</w:t>
            </w:r>
          </w:p>
        </w:tc>
        <w:tc>
          <w:tcPr>
            <w:tcW w:w="1275" w:type="dxa"/>
            <w:vAlign w:val="center"/>
          </w:tcPr>
          <w:p w:rsidR="00F764DE" w:rsidRDefault="00F764DE">
            <w:pPr>
              <w:jc w:val="center"/>
              <w:rPr>
                <w:rFonts w:ascii="Calibri" w:hAnsi="Calibri" w:cs="Calibri"/>
                <w:sz w:val="20"/>
                <w:szCs w:val="20"/>
              </w:rPr>
            </w:pPr>
            <w:r>
              <w:rPr>
                <w:rFonts w:ascii="Calibri" w:hAnsi="Calibri" w:cs="Calibri"/>
                <w:sz w:val="20"/>
                <w:szCs w:val="20"/>
              </w:rPr>
              <w:t>366 066</w:t>
            </w:r>
          </w:p>
        </w:tc>
        <w:tc>
          <w:tcPr>
            <w:tcW w:w="1418" w:type="dxa"/>
            <w:shd w:val="clear" w:color="auto" w:fill="C6D9F1" w:themeFill="text2" w:themeFillTint="33"/>
            <w:vAlign w:val="center"/>
          </w:tcPr>
          <w:p w:rsidR="00F764DE" w:rsidRDefault="00F764DE">
            <w:pPr>
              <w:jc w:val="center"/>
              <w:rPr>
                <w:rFonts w:ascii="Calibri" w:hAnsi="Calibri" w:cs="Calibri"/>
                <w:b/>
                <w:bCs/>
                <w:sz w:val="20"/>
                <w:szCs w:val="20"/>
              </w:rPr>
            </w:pPr>
            <w:r>
              <w:rPr>
                <w:rFonts w:ascii="Calibri" w:hAnsi="Calibri" w:cs="Calibri"/>
                <w:b/>
                <w:bCs/>
                <w:sz w:val="20"/>
                <w:szCs w:val="20"/>
              </w:rPr>
              <w:t>2 222 346</w:t>
            </w:r>
          </w:p>
        </w:tc>
      </w:tr>
      <w:tr w:rsidR="00F764DE" w:rsidRPr="00FA317B" w:rsidTr="000B7098">
        <w:trPr>
          <w:trHeight w:val="670"/>
        </w:trPr>
        <w:tc>
          <w:tcPr>
            <w:tcW w:w="4219" w:type="dxa"/>
            <w:vAlign w:val="center"/>
          </w:tcPr>
          <w:p w:rsidR="00F764DE" w:rsidRPr="00FA317B" w:rsidRDefault="00F764DE" w:rsidP="000B7098">
            <w:pPr>
              <w:rPr>
                <w:rFonts w:cstheme="minorHAnsi"/>
                <w:sz w:val="20"/>
                <w:szCs w:val="20"/>
                <w:lang w:val="ka-GE"/>
              </w:rPr>
            </w:pPr>
            <w:r w:rsidRPr="00FA317B">
              <w:rPr>
                <w:rFonts w:ascii="Sylfaen" w:hAnsi="Sylfaen" w:cs="Sylfaen"/>
                <w:sz w:val="20"/>
                <w:szCs w:val="20"/>
                <w:lang w:val="ka-GE"/>
              </w:rPr>
              <w:lastRenderedPageBreak/>
              <w:t>პროექტის</w:t>
            </w:r>
            <w:r w:rsidRPr="00FA317B">
              <w:rPr>
                <w:rFonts w:cstheme="minorHAnsi"/>
                <w:sz w:val="20"/>
                <w:szCs w:val="20"/>
                <w:lang w:val="ka-GE"/>
              </w:rPr>
              <w:t xml:space="preserve"> </w:t>
            </w:r>
            <w:r>
              <w:rPr>
                <w:rFonts w:ascii="Sylfaen" w:hAnsi="Sylfaen" w:cs="Sylfaen"/>
                <w:sz w:val="20"/>
                <w:szCs w:val="20"/>
                <w:lang w:val="ka-GE"/>
              </w:rPr>
              <w:t>მართვა</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226 696</w:t>
            </w:r>
          </w:p>
        </w:tc>
        <w:tc>
          <w:tcPr>
            <w:tcW w:w="1276" w:type="dxa"/>
            <w:vAlign w:val="center"/>
          </w:tcPr>
          <w:p w:rsidR="00F764DE" w:rsidRDefault="00F764DE">
            <w:pPr>
              <w:jc w:val="center"/>
              <w:rPr>
                <w:rFonts w:ascii="Calibri" w:hAnsi="Calibri" w:cs="Calibri"/>
                <w:sz w:val="20"/>
                <w:szCs w:val="20"/>
              </w:rPr>
            </w:pPr>
            <w:r>
              <w:rPr>
                <w:rFonts w:ascii="Calibri" w:hAnsi="Calibri" w:cs="Calibri"/>
                <w:sz w:val="20"/>
                <w:szCs w:val="20"/>
              </w:rPr>
              <w:t>152 635</w:t>
            </w:r>
          </w:p>
        </w:tc>
        <w:tc>
          <w:tcPr>
            <w:tcW w:w="1275" w:type="dxa"/>
            <w:vAlign w:val="center"/>
          </w:tcPr>
          <w:p w:rsidR="00F764DE" w:rsidRDefault="00F764DE">
            <w:pPr>
              <w:jc w:val="center"/>
              <w:rPr>
                <w:rFonts w:ascii="Calibri" w:hAnsi="Calibri" w:cs="Calibri"/>
                <w:sz w:val="20"/>
                <w:szCs w:val="20"/>
              </w:rPr>
            </w:pPr>
            <w:r>
              <w:rPr>
                <w:rFonts w:ascii="Calibri" w:hAnsi="Calibri" w:cs="Calibri"/>
                <w:sz w:val="20"/>
                <w:szCs w:val="20"/>
              </w:rPr>
              <w:t>74 835</w:t>
            </w:r>
          </w:p>
        </w:tc>
        <w:tc>
          <w:tcPr>
            <w:tcW w:w="1418" w:type="dxa"/>
            <w:shd w:val="clear" w:color="auto" w:fill="C6D9F1" w:themeFill="text2" w:themeFillTint="33"/>
            <w:vAlign w:val="center"/>
          </w:tcPr>
          <w:p w:rsidR="00F764DE" w:rsidRDefault="00F764DE">
            <w:pPr>
              <w:jc w:val="center"/>
              <w:rPr>
                <w:rFonts w:ascii="Calibri" w:hAnsi="Calibri" w:cs="Calibri"/>
                <w:b/>
                <w:bCs/>
                <w:sz w:val="20"/>
                <w:szCs w:val="20"/>
              </w:rPr>
            </w:pPr>
            <w:r>
              <w:rPr>
                <w:rFonts w:ascii="Calibri" w:hAnsi="Calibri" w:cs="Calibri"/>
                <w:b/>
                <w:bCs/>
                <w:sz w:val="20"/>
                <w:szCs w:val="20"/>
              </w:rPr>
              <w:t>454 166</w:t>
            </w:r>
          </w:p>
        </w:tc>
      </w:tr>
      <w:tr w:rsidR="00F764DE" w:rsidRPr="00797BE5" w:rsidTr="000B7098">
        <w:trPr>
          <w:trHeight w:val="566"/>
        </w:trPr>
        <w:tc>
          <w:tcPr>
            <w:tcW w:w="4219" w:type="dxa"/>
            <w:shd w:val="clear" w:color="auto" w:fill="C6D9F1" w:themeFill="text2" w:themeFillTint="33"/>
            <w:vAlign w:val="center"/>
          </w:tcPr>
          <w:p w:rsidR="00F764DE" w:rsidRPr="00FA317B" w:rsidRDefault="00F764DE" w:rsidP="000B7098">
            <w:pPr>
              <w:rPr>
                <w:rFonts w:cstheme="minorHAnsi"/>
                <w:b/>
                <w:sz w:val="20"/>
                <w:szCs w:val="20"/>
                <w:lang w:val="ka-GE"/>
              </w:rPr>
            </w:pPr>
            <w:r w:rsidRPr="00FA317B">
              <w:rPr>
                <w:rFonts w:ascii="Sylfaen" w:hAnsi="Sylfaen" w:cs="Sylfaen"/>
                <w:b/>
                <w:sz w:val="20"/>
                <w:szCs w:val="20"/>
                <w:lang w:val="ka-GE"/>
              </w:rPr>
              <w:t>სულ</w:t>
            </w:r>
          </w:p>
        </w:tc>
        <w:tc>
          <w:tcPr>
            <w:tcW w:w="1276" w:type="dxa"/>
            <w:shd w:val="clear" w:color="auto" w:fill="C6D9F1" w:themeFill="text2" w:themeFillTint="33"/>
            <w:vAlign w:val="center"/>
          </w:tcPr>
          <w:p w:rsidR="00F764DE" w:rsidRDefault="00F764DE">
            <w:pPr>
              <w:jc w:val="center"/>
              <w:rPr>
                <w:rFonts w:ascii="Calibri" w:hAnsi="Calibri" w:cs="Calibri"/>
                <w:b/>
                <w:bCs/>
                <w:sz w:val="24"/>
                <w:szCs w:val="24"/>
              </w:rPr>
            </w:pPr>
            <w:r>
              <w:rPr>
                <w:rFonts w:ascii="Calibri" w:hAnsi="Calibri" w:cs="Calibri"/>
                <w:b/>
                <w:bCs/>
              </w:rPr>
              <w:t>4 493 688</w:t>
            </w:r>
          </w:p>
        </w:tc>
        <w:tc>
          <w:tcPr>
            <w:tcW w:w="1276" w:type="dxa"/>
            <w:shd w:val="clear" w:color="auto" w:fill="C6D9F1" w:themeFill="text2" w:themeFillTint="33"/>
            <w:vAlign w:val="center"/>
          </w:tcPr>
          <w:p w:rsidR="00F764DE" w:rsidRDefault="00F764DE">
            <w:pPr>
              <w:jc w:val="center"/>
              <w:rPr>
                <w:rFonts w:ascii="Calibri" w:hAnsi="Calibri" w:cs="Calibri"/>
                <w:b/>
                <w:bCs/>
                <w:sz w:val="24"/>
                <w:szCs w:val="24"/>
              </w:rPr>
            </w:pPr>
            <w:r>
              <w:rPr>
                <w:rFonts w:ascii="Calibri" w:hAnsi="Calibri" w:cs="Calibri"/>
                <w:b/>
                <w:bCs/>
              </w:rPr>
              <w:t>4 425 019</w:t>
            </w:r>
          </w:p>
        </w:tc>
        <w:tc>
          <w:tcPr>
            <w:tcW w:w="1275" w:type="dxa"/>
            <w:shd w:val="clear" w:color="auto" w:fill="C6D9F1" w:themeFill="text2" w:themeFillTint="33"/>
            <w:vAlign w:val="center"/>
          </w:tcPr>
          <w:p w:rsidR="00F764DE" w:rsidRDefault="00F764DE">
            <w:pPr>
              <w:jc w:val="center"/>
              <w:rPr>
                <w:rFonts w:ascii="Calibri" w:hAnsi="Calibri" w:cs="Calibri"/>
                <w:b/>
                <w:bCs/>
                <w:sz w:val="24"/>
                <w:szCs w:val="24"/>
              </w:rPr>
            </w:pPr>
            <w:r>
              <w:rPr>
                <w:rFonts w:ascii="Calibri" w:hAnsi="Calibri" w:cs="Calibri"/>
                <w:b/>
                <w:bCs/>
              </w:rPr>
              <w:t>2 264 285</w:t>
            </w:r>
          </w:p>
        </w:tc>
        <w:tc>
          <w:tcPr>
            <w:tcW w:w="1418" w:type="dxa"/>
            <w:shd w:val="clear" w:color="auto" w:fill="548DD4" w:themeFill="text2" w:themeFillTint="99"/>
            <w:vAlign w:val="center"/>
          </w:tcPr>
          <w:p w:rsidR="00F764DE" w:rsidRDefault="00F764DE">
            <w:pPr>
              <w:jc w:val="center"/>
              <w:rPr>
                <w:rFonts w:ascii="Calibri" w:hAnsi="Calibri" w:cs="Calibri"/>
                <w:b/>
                <w:bCs/>
                <w:color w:val="FFFFFF"/>
                <w:sz w:val="24"/>
                <w:szCs w:val="24"/>
              </w:rPr>
            </w:pPr>
            <w:r>
              <w:rPr>
                <w:rFonts w:ascii="Calibri" w:hAnsi="Calibri" w:cs="Calibri"/>
                <w:b/>
                <w:bCs/>
                <w:color w:val="FFFFFF"/>
              </w:rPr>
              <w:t>11 182 992</w:t>
            </w:r>
          </w:p>
        </w:tc>
      </w:tr>
    </w:tbl>
    <w:p w:rsidR="008A066B" w:rsidRPr="00FA317B" w:rsidRDefault="008A066B" w:rsidP="008A066B">
      <w:pPr>
        <w:jc w:val="both"/>
        <w:rPr>
          <w:rFonts w:cstheme="minorHAnsi"/>
          <w:lang w:val="ka-GE"/>
        </w:rPr>
      </w:pPr>
    </w:p>
    <w:p w:rsidR="00606B27" w:rsidRDefault="00606B27"/>
    <w:sectPr w:rsidR="00606B27" w:rsidSect="00940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6B"/>
    <w:rsid w:val="0003343D"/>
    <w:rsid w:val="000D6644"/>
    <w:rsid w:val="000D681B"/>
    <w:rsid w:val="001009F6"/>
    <w:rsid w:val="001C4C6C"/>
    <w:rsid w:val="00226E93"/>
    <w:rsid w:val="00230CFA"/>
    <w:rsid w:val="00261642"/>
    <w:rsid w:val="002F322B"/>
    <w:rsid w:val="00307FE8"/>
    <w:rsid w:val="0038190C"/>
    <w:rsid w:val="00410C77"/>
    <w:rsid w:val="0041646E"/>
    <w:rsid w:val="004812F7"/>
    <w:rsid w:val="005044F2"/>
    <w:rsid w:val="00606B27"/>
    <w:rsid w:val="0061259E"/>
    <w:rsid w:val="00634F5D"/>
    <w:rsid w:val="006422F4"/>
    <w:rsid w:val="00643069"/>
    <w:rsid w:val="006F1C50"/>
    <w:rsid w:val="00794DAD"/>
    <w:rsid w:val="00797BE5"/>
    <w:rsid w:val="007C0407"/>
    <w:rsid w:val="007C73C9"/>
    <w:rsid w:val="00801601"/>
    <w:rsid w:val="0083724A"/>
    <w:rsid w:val="008439D9"/>
    <w:rsid w:val="0089761A"/>
    <w:rsid w:val="008A066B"/>
    <w:rsid w:val="00961BB4"/>
    <w:rsid w:val="00A574E4"/>
    <w:rsid w:val="00A63E98"/>
    <w:rsid w:val="00AC50EB"/>
    <w:rsid w:val="00B55CE8"/>
    <w:rsid w:val="00BC0E05"/>
    <w:rsid w:val="00C76BEC"/>
    <w:rsid w:val="00D24DAB"/>
    <w:rsid w:val="00D61F3F"/>
    <w:rsid w:val="00E63844"/>
    <w:rsid w:val="00E86922"/>
    <w:rsid w:val="00F764DE"/>
    <w:rsid w:val="00FC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4DAD"/>
    <w:rPr>
      <w:sz w:val="16"/>
      <w:szCs w:val="16"/>
    </w:rPr>
  </w:style>
  <w:style w:type="paragraph" w:styleId="CommentText">
    <w:name w:val="annotation text"/>
    <w:basedOn w:val="Normal"/>
    <w:link w:val="CommentTextChar"/>
    <w:uiPriority w:val="99"/>
    <w:semiHidden/>
    <w:unhideWhenUsed/>
    <w:rsid w:val="00794DAD"/>
    <w:pPr>
      <w:spacing w:line="240" w:lineRule="auto"/>
    </w:pPr>
    <w:rPr>
      <w:sz w:val="20"/>
      <w:szCs w:val="20"/>
    </w:rPr>
  </w:style>
  <w:style w:type="character" w:customStyle="1" w:styleId="CommentTextChar">
    <w:name w:val="Comment Text Char"/>
    <w:basedOn w:val="DefaultParagraphFont"/>
    <w:link w:val="CommentText"/>
    <w:uiPriority w:val="99"/>
    <w:semiHidden/>
    <w:rsid w:val="00794DAD"/>
    <w:rPr>
      <w:sz w:val="20"/>
      <w:szCs w:val="20"/>
    </w:rPr>
  </w:style>
  <w:style w:type="paragraph" w:styleId="CommentSubject">
    <w:name w:val="annotation subject"/>
    <w:basedOn w:val="CommentText"/>
    <w:next w:val="CommentText"/>
    <w:link w:val="CommentSubjectChar"/>
    <w:uiPriority w:val="99"/>
    <w:semiHidden/>
    <w:unhideWhenUsed/>
    <w:rsid w:val="00794DAD"/>
    <w:rPr>
      <w:b/>
      <w:bCs/>
    </w:rPr>
  </w:style>
  <w:style w:type="character" w:customStyle="1" w:styleId="CommentSubjectChar">
    <w:name w:val="Comment Subject Char"/>
    <w:basedOn w:val="CommentTextChar"/>
    <w:link w:val="CommentSubject"/>
    <w:uiPriority w:val="99"/>
    <w:semiHidden/>
    <w:rsid w:val="00794DAD"/>
    <w:rPr>
      <w:b/>
      <w:bCs/>
      <w:sz w:val="20"/>
      <w:szCs w:val="20"/>
    </w:rPr>
  </w:style>
  <w:style w:type="paragraph" w:styleId="BalloonText">
    <w:name w:val="Balloon Text"/>
    <w:basedOn w:val="Normal"/>
    <w:link w:val="BalloonTextChar"/>
    <w:uiPriority w:val="99"/>
    <w:semiHidden/>
    <w:unhideWhenUsed/>
    <w:rsid w:val="00794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D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4DAD"/>
    <w:rPr>
      <w:sz w:val="16"/>
      <w:szCs w:val="16"/>
    </w:rPr>
  </w:style>
  <w:style w:type="paragraph" w:styleId="CommentText">
    <w:name w:val="annotation text"/>
    <w:basedOn w:val="Normal"/>
    <w:link w:val="CommentTextChar"/>
    <w:uiPriority w:val="99"/>
    <w:semiHidden/>
    <w:unhideWhenUsed/>
    <w:rsid w:val="00794DAD"/>
    <w:pPr>
      <w:spacing w:line="240" w:lineRule="auto"/>
    </w:pPr>
    <w:rPr>
      <w:sz w:val="20"/>
      <w:szCs w:val="20"/>
    </w:rPr>
  </w:style>
  <w:style w:type="character" w:customStyle="1" w:styleId="CommentTextChar">
    <w:name w:val="Comment Text Char"/>
    <w:basedOn w:val="DefaultParagraphFont"/>
    <w:link w:val="CommentText"/>
    <w:uiPriority w:val="99"/>
    <w:semiHidden/>
    <w:rsid w:val="00794DAD"/>
    <w:rPr>
      <w:sz w:val="20"/>
      <w:szCs w:val="20"/>
    </w:rPr>
  </w:style>
  <w:style w:type="paragraph" w:styleId="CommentSubject">
    <w:name w:val="annotation subject"/>
    <w:basedOn w:val="CommentText"/>
    <w:next w:val="CommentText"/>
    <w:link w:val="CommentSubjectChar"/>
    <w:uiPriority w:val="99"/>
    <w:semiHidden/>
    <w:unhideWhenUsed/>
    <w:rsid w:val="00794DAD"/>
    <w:rPr>
      <w:b/>
      <w:bCs/>
    </w:rPr>
  </w:style>
  <w:style w:type="character" w:customStyle="1" w:styleId="CommentSubjectChar">
    <w:name w:val="Comment Subject Char"/>
    <w:basedOn w:val="CommentTextChar"/>
    <w:link w:val="CommentSubject"/>
    <w:uiPriority w:val="99"/>
    <w:semiHidden/>
    <w:rsid w:val="00794DAD"/>
    <w:rPr>
      <w:b/>
      <w:bCs/>
      <w:sz w:val="20"/>
      <w:szCs w:val="20"/>
    </w:rPr>
  </w:style>
  <w:style w:type="paragraph" w:styleId="BalloonText">
    <w:name w:val="Balloon Text"/>
    <w:basedOn w:val="Normal"/>
    <w:link w:val="BalloonTextChar"/>
    <w:uiPriority w:val="99"/>
    <w:semiHidden/>
    <w:unhideWhenUsed/>
    <w:rsid w:val="00794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6872">
      <w:bodyDiv w:val="1"/>
      <w:marLeft w:val="0"/>
      <w:marRight w:val="0"/>
      <w:marTop w:val="0"/>
      <w:marBottom w:val="0"/>
      <w:divBdr>
        <w:top w:val="none" w:sz="0" w:space="0" w:color="auto"/>
        <w:left w:val="none" w:sz="0" w:space="0" w:color="auto"/>
        <w:bottom w:val="none" w:sz="0" w:space="0" w:color="auto"/>
        <w:right w:val="none" w:sz="0" w:space="0" w:color="auto"/>
      </w:divBdr>
    </w:div>
    <w:div w:id="301152535">
      <w:bodyDiv w:val="1"/>
      <w:marLeft w:val="0"/>
      <w:marRight w:val="0"/>
      <w:marTop w:val="0"/>
      <w:marBottom w:val="0"/>
      <w:divBdr>
        <w:top w:val="none" w:sz="0" w:space="0" w:color="auto"/>
        <w:left w:val="none" w:sz="0" w:space="0" w:color="auto"/>
        <w:bottom w:val="none" w:sz="0" w:space="0" w:color="auto"/>
        <w:right w:val="none" w:sz="0" w:space="0" w:color="auto"/>
      </w:divBdr>
    </w:div>
    <w:div w:id="360280887">
      <w:bodyDiv w:val="1"/>
      <w:marLeft w:val="0"/>
      <w:marRight w:val="0"/>
      <w:marTop w:val="0"/>
      <w:marBottom w:val="0"/>
      <w:divBdr>
        <w:top w:val="none" w:sz="0" w:space="0" w:color="auto"/>
        <w:left w:val="none" w:sz="0" w:space="0" w:color="auto"/>
        <w:bottom w:val="none" w:sz="0" w:space="0" w:color="auto"/>
        <w:right w:val="none" w:sz="0" w:space="0" w:color="auto"/>
      </w:divBdr>
    </w:div>
    <w:div w:id="370031398">
      <w:bodyDiv w:val="1"/>
      <w:marLeft w:val="0"/>
      <w:marRight w:val="0"/>
      <w:marTop w:val="0"/>
      <w:marBottom w:val="0"/>
      <w:divBdr>
        <w:top w:val="none" w:sz="0" w:space="0" w:color="auto"/>
        <w:left w:val="none" w:sz="0" w:space="0" w:color="auto"/>
        <w:bottom w:val="none" w:sz="0" w:space="0" w:color="auto"/>
        <w:right w:val="none" w:sz="0" w:space="0" w:color="auto"/>
      </w:divBdr>
    </w:div>
    <w:div w:id="404105253">
      <w:bodyDiv w:val="1"/>
      <w:marLeft w:val="0"/>
      <w:marRight w:val="0"/>
      <w:marTop w:val="0"/>
      <w:marBottom w:val="0"/>
      <w:divBdr>
        <w:top w:val="none" w:sz="0" w:space="0" w:color="auto"/>
        <w:left w:val="none" w:sz="0" w:space="0" w:color="auto"/>
        <w:bottom w:val="none" w:sz="0" w:space="0" w:color="auto"/>
        <w:right w:val="none" w:sz="0" w:space="0" w:color="auto"/>
      </w:divBdr>
    </w:div>
    <w:div w:id="406657620">
      <w:bodyDiv w:val="1"/>
      <w:marLeft w:val="0"/>
      <w:marRight w:val="0"/>
      <w:marTop w:val="0"/>
      <w:marBottom w:val="0"/>
      <w:divBdr>
        <w:top w:val="none" w:sz="0" w:space="0" w:color="auto"/>
        <w:left w:val="none" w:sz="0" w:space="0" w:color="auto"/>
        <w:bottom w:val="none" w:sz="0" w:space="0" w:color="auto"/>
        <w:right w:val="none" w:sz="0" w:space="0" w:color="auto"/>
      </w:divBdr>
    </w:div>
    <w:div w:id="407381522">
      <w:bodyDiv w:val="1"/>
      <w:marLeft w:val="0"/>
      <w:marRight w:val="0"/>
      <w:marTop w:val="0"/>
      <w:marBottom w:val="0"/>
      <w:divBdr>
        <w:top w:val="none" w:sz="0" w:space="0" w:color="auto"/>
        <w:left w:val="none" w:sz="0" w:space="0" w:color="auto"/>
        <w:bottom w:val="none" w:sz="0" w:space="0" w:color="auto"/>
        <w:right w:val="none" w:sz="0" w:space="0" w:color="auto"/>
      </w:divBdr>
    </w:div>
    <w:div w:id="593049721">
      <w:bodyDiv w:val="1"/>
      <w:marLeft w:val="0"/>
      <w:marRight w:val="0"/>
      <w:marTop w:val="0"/>
      <w:marBottom w:val="0"/>
      <w:divBdr>
        <w:top w:val="none" w:sz="0" w:space="0" w:color="auto"/>
        <w:left w:val="none" w:sz="0" w:space="0" w:color="auto"/>
        <w:bottom w:val="none" w:sz="0" w:space="0" w:color="auto"/>
        <w:right w:val="none" w:sz="0" w:space="0" w:color="auto"/>
      </w:divBdr>
    </w:div>
    <w:div w:id="621955827">
      <w:bodyDiv w:val="1"/>
      <w:marLeft w:val="0"/>
      <w:marRight w:val="0"/>
      <w:marTop w:val="0"/>
      <w:marBottom w:val="0"/>
      <w:divBdr>
        <w:top w:val="none" w:sz="0" w:space="0" w:color="auto"/>
        <w:left w:val="none" w:sz="0" w:space="0" w:color="auto"/>
        <w:bottom w:val="none" w:sz="0" w:space="0" w:color="auto"/>
        <w:right w:val="none" w:sz="0" w:space="0" w:color="auto"/>
      </w:divBdr>
    </w:div>
    <w:div w:id="648554972">
      <w:bodyDiv w:val="1"/>
      <w:marLeft w:val="0"/>
      <w:marRight w:val="0"/>
      <w:marTop w:val="0"/>
      <w:marBottom w:val="0"/>
      <w:divBdr>
        <w:top w:val="none" w:sz="0" w:space="0" w:color="auto"/>
        <w:left w:val="none" w:sz="0" w:space="0" w:color="auto"/>
        <w:bottom w:val="none" w:sz="0" w:space="0" w:color="auto"/>
        <w:right w:val="none" w:sz="0" w:space="0" w:color="auto"/>
      </w:divBdr>
    </w:div>
    <w:div w:id="705641245">
      <w:bodyDiv w:val="1"/>
      <w:marLeft w:val="0"/>
      <w:marRight w:val="0"/>
      <w:marTop w:val="0"/>
      <w:marBottom w:val="0"/>
      <w:divBdr>
        <w:top w:val="none" w:sz="0" w:space="0" w:color="auto"/>
        <w:left w:val="none" w:sz="0" w:space="0" w:color="auto"/>
        <w:bottom w:val="none" w:sz="0" w:space="0" w:color="auto"/>
        <w:right w:val="none" w:sz="0" w:space="0" w:color="auto"/>
      </w:divBdr>
    </w:div>
    <w:div w:id="855847936">
      <w:bodyDiv w:val="1"/>
      <w:marLeft w:val="0"/>
      <w:marRight w:val="0"/>
      <w:marTop w:val="0"/>
      <w:marBottom w:val="0"/>
      <w:divBdr>
        <w:top w:val="none" w:sz="0" w:space="0" w:color="auto"/>
        <w:left w:val="none" w:sz="0" w:space="0" w:color="auto"/>
        <w:bottom w:val="none" w:sz="0" w:space="0" w:color="auto"/>
        <w:right w:val="none" w:sz="0" w:space="0" w:color="auto"/>
      </w:divBdr>
    </w:div>
    <w:div w:id="968559736">
      <w:bodyDiv w:val="1"/>
      <w:marLeft w:val="0"/>
      <w:marRight w:val="0"/>
      <w:marTop w:val="0"/>
      <w:marBottom w:val="0"/>
      <w:divBdr>
        <w:top w:val="none" w:sz="0" w:space="0" w:color="auto"/>
        <w:left w:val="none" w:sz="0" w:space="0" w:color="auto"/>
        <w:bottom w:val="none" w:sz="0" w:space="0" w:color="auto"/>
        <w:right w:val="none" w:sz="0" w:space="0" w:color="auto"/>
      </w:divBdr>
    </w:div>
    <w:div w:id="1130241484">
      <w:bodyDiv w:val="1"/>
      <w:marLeft w:val="0"/>
      <w:marRight w:val="0"/>
      <w:marTop w:val="0"/>
      <w:marBottom w:val="0"/>
      <w:divBdr>
        <w:top w:val="none" w:sz="0" w:space="0" w:color="auto"/>
        <w:left w:val="none" w:sz="0" w:space="0" w:color="auto"/>
        <w:bottom w:val="none" w:sz="0" w:space="0" w:color="auto"/>
        <w:right w:val="none" w:sz="0" w:space="0" w:color="auto"/>
      </w:divBdr>
    </w:div>
    <w:div w:id="1157188943">
      <w:bodyDiv w:val="1"/>
      <w:marLeft w:val="0"/>
      <w:marRight w:val="0"/>
      <w:marTop w:val="0"/>
      <w:marBottom w:val="0"/>
      <w:divBdr>
        <w:top w:val="none" w:sz="0" w:space="0" w:color="auto"/>
        <w:left w:val="none" w:sz="0" w:space="0" w:color="auto"/>
        <w:bottom w:val="none" w:sz="0" w:space="0" w:color="auto"/>
        <w:right w:val="none" w:sz="0" w:space="0" w:color="auto"/>
      </w:divBdr>
    </w:div>
    <w:div w:id="1246962441">
      <w:bodyDiv w:val="1"/>
      <w:marLeft w:val="0"/>
      <w:marRight w:val="0"/>
      <w:marTop w:val="0"/>
      <w:marBottom w:val="0"/>
      <w:divBdr>
        <w:top w:val="none" w:sz="0" w:space="0" w:color="auto"/>
        <w:left w:val="none" w:sz="0" w:space="0" w:color="auto"/>
        <w:bottom w:val="none" w:sz="0" w:space="0" w:color="auto"/>
        <w:right w:val="none" w:sz="0" w:space="0" w:color="auto"/>
      </w:divBdr>
    </w:div>
    <w:div w:id="1315842499">
      <w:bodyDiv w:val="1"/>
      <w:marLeft w:val="0"/>
      <w:marRight w:val="0"/>
      <w:marTop w:val="0"/>
      <w:marBottom w:val="0"/>
      <w:divBdr>
        <w:top w:val="none" w:sz="0" w:space="0" w:color="auto"/>
        <w:left w:val="none" w:sz="0" w:space="0" w:color="auto"/>
        <w:bottom w:val="none" w:sz="0" w:space="0" w:color="auto"/>
        <w:right w:val="none" w:sz="0" w:space="0" w:color="auto"/>
      </w:divBdr>
    </w:div>
    <w:div w:id="1392270126">
      <w:bodyDiv w:val="1"/>
      <w:marLeft w:val="0"/>
      <w:marRight w:val="0"/>
      <w:marTop w:val="0"/>
      <w:marBottom w:val="0"/>
      <w:divBdr>
        <w:top w:val="none" w:sz="0" w:space="0" w:color="auto"/>
        <w:left w:val="none" w:sz="0" w:space="0" w:color="auto"/>
        <w:bottom w:val="none" w:sz="0" w:space="0" w:color="auto"/>
        <w:right w:val="none" w:sz="0" w:space="0" w:color="auto"/>
      </w:divBdr>
    </w:div>
    <w:div w:id="1573079479">
      <w:bodyDiv w:val="1"/>
      <w:marLeft w:val="0"/>
      <w:marRight w:val="0"/>
      <w:marTop w:val="0"/>
      <w:marBottom w:val="0"/>
      <w:divBdr>
        <w:top w:val="none" w:sz="0" w:space="0" w:color="auto"/>
        <w:left w:val="none" w:sz="0" w:space="0" w:color="auto"/>
        <w:bottom w:val="none" w:sz="0" w:space="0" w:color="auto"/>
        <w:right w:val="none" w:sz="0" w:space="0" w:color="auto"/>
      </w:divBdr>
    </w:div>
    <w:div w:id="1659990393">
      <w:bodyDiv w:val="1"/>
      <w:marLeft w:val="0"/>
      <w:marRight w:val="0"/>
      <w:marTop w:val="0"/>
      <w:marBottom w:val="0"/>
      <w:divBdr>
        <w:top w:val="none" w:sz="0" w:space="0" w:color="auto"/>
        <w:left w:val="none" w:sz="0" w:space="0" w:color="auto"/>
        <w:bottom w:val="none" w:sz="0" w:space="0" w:color="auto"/>
        <w:right w:val="none" w:sz="0" w:space="0" w:color="auto"/>
      </w:divBdr>
    </w:div>
    <w:div w:id="1734740451">
      <w:bodyDiv w:val="1"/>
      <w:marLeft w:val="0"/>
      <w:marRight w:val="0"/>
      <w:marTop w:val="0"/>
      <w:marBottom w:val="0"/>
      <w:divBdr>
        <w:top w:val="none" w:sz="0" w:space="0" w:color="auto"/>
        <w:left w:val="none" w:sz="0" w:space="0" w:color="auto"/>
        <w:bottom w:val="none" w:sz="0" w:space="0" w:color="auto"/>
        <w:right w:val="none" w:sz="0" w:space="0" w:color="auto"/>
      </w:divBdr>
    </w:div>
    <w:div w:id="2034500473">
      <w:bodyDiv w:val="1"/>
      <w:marLeft w:val="0"/>
      <w:marRight w:val="0"/>
      <w:marTop w:val="0"/>
      <w:marBottom w:val="0"/>
      <w:divBdr>
        <w:top w:val="none" w:sz="0" w:space="0" w:color="auto"/>
        <w:left w:val="none" w:sz="0" w:space="0" w:color="auto"/>
        <w:bottom w:val="none" w:sz="0" w:space="0" w:color="auto"/>
        <w:right w:val="none" w:sz="0" w:space="0" w:color="auto"/>
      </w:divBdr>
    </w:div>
    <w:div w:id="2113549498">
      <w:bodyDiv w:val="1"/>
      <w:marLeft w:val="0"/>
      <w:marRight w:val="0"/>
      <w:marTop w:val="0"/>
      <w:marBottom w:val="0"/>
      <w:divBdr>
        <w:top w:val="none" w:sz="0" w:space="0" w:color="auto"/>
        <w:left w:val="none" w:sz="0" w:space="0" w:color="auto"/>
        <w:bottom w:val="none" w:sz="0" w:space="0" w:color="auto"/>
        <w:right w:val="none" w:sz="0" w:space="0" w:color="auto"/>
      </w:divBdr>
    </w:div>
    <w:div w:id="21437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ncdc</cp:lastModifiedBy>
  <cp:revision>3</cp:revision>
  <dcterms:created xsi:type="dcterms:W3CDTF">2014-03-05T11:05:00Z</dcterms:created>
  <dcterms:modified xsi:type="dcterms:W3CDTF">2014-03-05T11:07:00Z</dcterms:modified>
</cp:coreProperties>
</file>