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748" w:rsidRPr="00181C72" w:rsidRDefault="00B87748" w:rsidP="00295031">
      <w:pPr>
        <w:shd w:val="clear" w:color="auto" w:fill="DBE5F1" w:themeFill="accent1" w:themeFillTint="33"/>
        <w:spacing w:after="0"/>
        <w:jc w:val="center"/>
        <w:rPr>
          <w:rFonts w:ascii="Sylfaen" w:hAnsi="Sylfaen"/>
          <w:b/>
          <w:lang w:val="ka-GE"/>
        </w:rPr>
      </w:pPr>
      <w:r w:rsidRPr="00181C72">
        <w:rPr>
          <w:rFonts w:ascii="Sylfaen" w:hAnsi="Sylfaen"/>
          <w:b/>
          <w:lang w:val="ka-GE"/>
        </w:rPr>
        <w:t>პრესრელიზი</w:t>
      </w:r>
    </w:p>
    <w:p w:rsidR="00B87748" w:rsidRPr="00181C72" w:rsidRDefault="00B87748" w:rsidP="00295031">
      <w:pPr>
        <w:shd w:val="clear" w:color="auto" w:fill="DBE5F1" w:themeFill="accent1" w:themeFillTint="33"/>
        <w:spacing w:after="0"/>
        <w:jc w:val="center"/>
        <w:rPr>
          <w:rFonts w:ascii="Sylfaen" w:hAnsi="Sylfaen"/>
          <w:b/>
          <w:sz w:val="24"/>
          <w:szCs w:val="24"/>
          <w:lang w:val="ka-GE"/>
        </w:rPr>
      </w:pPr>
      <w:r w:rsidRPr="00181C72">
        <w:rPr>
          <w:rFonts w:ascii="Sylfaen" w:hAnsi="Sylfaen"/>
          <w:b/>
          <w:sz w:val="24"/>
          <w:szCs w:val="24"/>
          <w:lang w:val="ka-GE"/>
        </w:rPr>
        <w:t xml:space="preserve">საყოველთაო ჯანდაცვის </w:t>
      </w:r>
      <w:r w:rsidR="00181C72">
        <w:rPr>
          <w:rFonts w:ascii="Sylfaen" w:hAnsi="Sylfaen"/>
          <w:b/>
          <w:sz w:val="24"/>
          <w:szCs w:val="24"/>
          <w:lang w:val="ka-GE"/>
        </w:rPr>
        <w:t xml:space="preserve">ერთი </w:t>
      </w:r>
      <w:r w:rsidRPr="00181C72">
        <w:rPr>
          <w:rFonts w:ascii="Sylfaen" w:hAnsi="Sylfaen"/>
          <w:b/>
          <w:sz w:val="24"/>
          <w:szCs w:val="24"/>
          <w:lang w:val="ka-GE"/>
        </w:rPr>
        <w:t xml:space="preserve">წლის </w:t>
      </w:r>
      <w:r w:rsidR="00181C72">
        <w:rPr>
          <w:rFonts w:ascii="Sylfaen" w:hAnsi="Sylfaen"/>
          <w:b/>
          <w:sz w:val="24"/>
          <w:szCs w:val="24"/>
          <w:lang w:val="ka-GE"/>
        </w:rPr>
        <w:t xml:space="preserve">შედეგები </w:t>
      </w:r>
    </w:p>
    <w:p w:rsidR="00F26B28" w:rsidRPr="00181C72" w:rsidRDefault="00F26B28" w:rsidP="00295031">
      <w:pPr>
        <w:shd w:val="clear" w:color="auto" w:fill="DBE5F1" w:themeFill="accent1" w:themeFillTint="33"/>
        <w:spacing w:after="0"/>
        <w:jc w:val="center"/>
        <w:rPr>
          <w:rFonts w:ascii="Sylfaen" w:hAnsi="Sylfaen"/>
          <w:lang w:val="ka-GE"/>
        </w:rPr>
      </w:pPr>
    </w:p>
    <w:p w:rsidR="00181C72" w:rsidRPr="008E3F50" w:rsidRDefault="00B87748" w:rsidP="00295031">
      <w:pPr>
        <w:shd w:val="clear" w:color="auto" w:fill="DBE5F1" w:themeFill="accent1" w:themeFillTint="33"/>
        <w:spacing w:after="0"/>
        <w:jc w:val="center"/>
        <w:rPr>
          <w:rFonts w:ascii="Sylfaen" w:hAnsi="Sylfaen"/>
          <w:sz w:val="20"/>
          <w:szCs w:val="20"/>
          <w:lang w:val="ka-GE"/>
        </w:rPr>
      </w:pPr>
      <w:r w:rsidRPr="008E3F50">
        <w:rPr>
          <w:rFonts w:ascii="Sylfaen" w:hAnsi="Sylfaen"/>
          <w:sz w:val="20"/>
          <w:szCs w:val="20"/>
          <w:lang w:val="ka-GE"/>
        </w:rPr>
        <w:t>2014 წლის 8 მაისი</w:t>
      </w:r>
      <w:r w:rsidR="008E3F50" w:rsidRPr="008E3F50">
        <w:rPr>
          <w:rFonts w:ascii="Sylfaen" w:hAnsi="Sylfaen"/>
          <w:sz w:val="20"/>
          <w:szCs w:val="20"/>
          <w:lang w:val="ka-GE"/>
        </w:rPr>
        <w:t xml:space="preserve"> </w:t>
      </w:r>
    </w:p>
    <w:p w:rsidR="00181C72" w:rsidRPr="008E3F50" w:rsidRDefault="00181C72" w:rsidP="00295031">
      <w:pPr>
        <w:shd w:val="clear" w:color="auto" w:fill="DBE5F1" w:themeFill="accent1" w:themeFillTint="33"/>
        <w:spacing w:after="0"/>
        <w:jc w:val="center"/>
        <w:rPr>
          <w:rFonts w:ascii="Sylfaen" w:hAnsi="Sylfaen"/>
          <w:sz w:val="20"/>
          <w:szCs w:val="20"/>
          <w:lang w:val="ka-GE"/>
        </w:rPr>
      </w:pPr>
      <w:r w:rsidRPr="008E3F50">
        <w:rPr>
          <w:rFonts w:ascii="Sylfaen" w:hAnsi="Sylfaen"/>
          <w:sz w:val="20"/>
          <w:szCs w:val="20"/>
          <w:lang w:val="ka-GE"/>
        </w:rPr>
        <w:t xml:space="preserve">18:00 – 20:00 </w:t>
      </w:r>
    </w:p>
    <w:p w:rsidR="00B87748" w:rsidRPr="008E3F50" w:rsidRDefault="00B87748" w:rsidP="008E3F50">
      <w:pPr>
        <w:shd w:val="clear" w:color="auto" w:fill="DBE5F1" w:themeFill="accent1" w:themeFillTint="33"/>
        <w:spacing w:after="0"/>
        <w:jc w:val="center"/>
        <w:rPr>
          <w:rFonts w:ascii="Sylfaen" w:hAnsi="Sylfaen"/>
          <w:b/>
          <w:sz w:val="20"/>
          <w:szCs w:val="20"/>
          <w:lang w:val="ka-GE"/>
        </w:rPr>
      </w:pPr>
      <w:r w:rsidRPr="008E3F50">
        <w:rPr>
          <w:rFonts w:ascii="Sylfaen" w:hAnsi="Sylfaen"/>
          <w:sz w:val="20"/>
          <w:szCs w:val="20"/>
          <w:lang w:val="ka-GE"/>
        </w:rPr>
        <w:t>ექსპო-ჯორჯია მე-3 პავილიონი</w:t>
      </w:r>
    </w:p>
    <w:p w:rsidR="00181C72" w:rsidRDefault="00181C72" w:rsidP="00295031">
      <w:pPr>
        <w:spacing w:after="0"/>
        <w:jc w:val="both"/>
        <w:rPr>
          <w:rFonts w:ascii="Sylfaen" w:eastAsia="Times New Roman" w:hAnsi="Sylfaen" w:cs="Times New Roman"/>
          <w:b/>
          <w:lang w:val="ka-GE"/>
        </w:rPr>
      </w:pPr>
    </w:p>
    <w:p w:rsidR="00B87748" w:rsidRPr="008E3F50" w:rsidRDefault="00786E2D" w:rsidP="00295031">
      <w:pPr>
        <w:spacing w:after="0"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8E3F50">
        <w:rPr>
          <w:rFonts w:ascii="Sylfaen" w:eastAsia="Times New Roman" w:hAnsi="Sylfaen" w:cs="Times New Roman"/>
          <w:b/>
          <w:sz w:val="20"/>
          <w:szCs w:val="20"/>
          <w:lang w:val="ka-GE"/>
        </w:rPr>
        <w:t>2014 წლის  8 მაისს საქართველოს შრომის, ჯანმრთელობისა</w:t>
      </w:r>
      <w:r w:rsidR="00B87748" w:rsidRPr="008E3F50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 და სოციალური დაცვის სამინისტრო </w:t>
      </w:r>
      <w:r w:rsidR="00B87748" w:rsidRPr="008E3F50">
        <w:rPr>
          <w:rFonts w:ascii="Sylfaen" w:hAnsi="Sylfaen"/>
          <w:b/>
          <w:sz w:val="20"/>
          <w:szCs w:val="20"/>
          <w:lang w:val="ka-GE"/>
        </w:rPr>
        <w:t>ჯანმრთელობის მსოფლიო ორგან</w:t>
      </w:r>
      <w:r w:rsidR="003138B5" w:rsidRPr="008E3F50">
        <w:rPr>
          <w:rFonts w:ascii="Sylfaen" w:hAnsi="Sylfaen"/>
          <w:b/>
          <w:sz w:val="20"/>
          <w:szCs w:val="20"/>
          <w:lang w:val="ka-GE"/>
        </w:rPr>
        <w:t>იზაციი</w:t>
      </w:r>
      <w:r w:rsidR="00B87748" w:rsidRPr="008E3F50">
        <w:rPr>
          <w:rFonts w:ascii="Sylfaen" w:hAnsi="Sylfaen"/>
          <w:b/>
          <w:sz w:val="20"/>
          <w:szCs w:val="20"/>
          <w:lang w:val="ka-GE"/>
        </w:rPr>
        <w:t xml:space="preserve">ს, აშშ-ის განვითარების </w:t>
      </w:r>
      <w:r w:rsidR="00B87748" w:rsidRPr="008E3F50">
        <w:rPr>
          <w:rFonts w:ascii="Sylfaen" w:hAnsi="Sylfaen"/>
          <w:b/>
          <w:sz w:val="20"/>
          <w:szCs w:val="20"/>
        </w:rPr>
        <w:t xml:space="preserve"> </w:t>
      </w:r>
      <w:r w:rsidR="003138B5" w:rsidRPr="008E3F50">
        <w:rPr>
          <w:rFonts w:ascii="Sylfaen" w:hAnsi="Sylfaen"/>
          <w:b/>
          <w:sz w:val="20"/>
          <w:szCs w:val="20"/>
          <w:lang w:val="ka-GE"/>
        </w:rPr>
        <w:t>სააგენტოს</w:t>
      </w:r>
      <w:r w:rsidR="008E3F50">
        <w:rPr>
          <w:rFonts w:ascii="Sylfaen" w:hAnsi="Sylfaen"/>
          <w:b/>
          <w:sz w:val="20"/>
          <w:szCs w:val="20"/>
          <w:lang w:val="ka-GE"/>
        </w:rPr>
        <w:t>ა</w:t>
      </w:r>
      <w:r w:rsidR="003138B5" w:rsidRPr="008E3F50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B87748" w:rsidRPr="008E3F50">
        <w:rPr>
          <w:rFonts w:ascii="Sylfaen" w:hAnsi="Sylfaen"/>
          <w:b/>
          <w:sz w:val="20"/>
          <w:szCs w:val="20"/>
        </w:rPr>
        <w:t>(USAID)</w:t>
      </w:r>
      <w:r w:rsidR="00B87748" w:rsidRPr="008E3F50">
        <w:rPr>
          <w:rFonts w:ascii="Sylfaen" w:hAnsi="Sylfaen"/>
          <w:b/>
          <w:sz w:val="20"/>
          <w:szCs w:val="20"/>
          <w:lang w:val="ka-GE"/>
        </w:rPr>
        <w:t xml:space="preserve"> და მსოფლიო ბანკის წარმომადგენლებთან ერთად </w:t>
      </w:r>
      <w:r w:rsidR="00B87748" w:rsidRPr="008E3F50">
        <w:rPr>
          <w:rFonts w:ascii="Sylfaen" w:eastAsia="Times New Roman" w:hAnsi="Sylfaen" w:cs="Times New Roman"/>
          <w:b/>
          <w:sz w:val="20"/>
          <w:szCs w:val="20"/>
          <w:lang w:val="ka-GE"/>
        </w:rPr>
        <w:t>მართავს</w:t>
      </w:r>
      <w:r w:rsidRPr="008E3F50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 </w:t>
      </w:r>
      <w:r w:rsidR="003138B5" w:rsidRPr="008E3F50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ერთობლივ </w:t>
      </w:r>
      <w:r w:rsidRPr="008E3F50">
        <w:rPr>
          <w:rFonts w:ascii="Sylfaen" w:eastAsia="Times New Roman" w:hAnsi="Sylfaen" w:cs="Times New Roman"/>
          <w:b/>
          <w:sz w:val="20"/>
          <w:szCs w:val="20"/>
          <w:lang w:val="ka-GE"/>
        </w:rPr>
        <w:t>კონფერენცია</w:t>
      </w:r>
      <w:r w:rsidR="00B87748" w:rsidRPr="008E3F50">
        <w:rPr>
          <w:rFonts w:ascii="Sylfaen" w:eastAsia="Times New Roman" w:hAnsi="Sylfaen" w:cs="Times New Roman"/>
          <w:b/>
          <w:sz w:val="20"/>
          <w:szCs w:val="20"/>
          <w:lang w:val="ka-GE"/>
        </w:rPr>
        <w:t>ს</w:t>
      </w:r>
      <w:r w:rsidRPr="008E3F50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 თემაზე: „საყოველთაო ჯანდაცვის პროგრამა: ერთი წლის შედეგების შეფასება“. </w:t>
      </w:r>
    </w:p>
    <w:p w:rsidR="00B87748" w:rsidRPr="008E3F50" w:rsidRDefault="00B87748" w:rsidP="00295031">
      <w:pPr>
        <w:spacing w:after="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3138B5" w:rsidRPr="008E3F50" w:rsidRDefault="00786E2D" w:rsidP="00295031">
      <w:pPr>
        <w:spacing w:after="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8E3F50">
        <w:rPr>
          <w:rFonts w:ascii="Sylfaen" w:eastAsia="Times New Roman" w:hAnsi="Sylfaen" w:cs="Times New Roman"/>
          <w:sz w:val="20"/>
          <w:szCs w:val="20"/>
          <w:lang w:val="ka-GE"/>
        </w:rPr>
        <w:t>აღნიშნული ღონისძიების მიზანია  საყოველთაო ჯანდაცვის პროგრამასთან დაკავშირებით ჩატარებული კვლევის შედეგების გაცნობა, მიმდინარე სიტუაციის ანალიზი</w:t>
      </w:r>
      <w:r w:rsidR="00B87748" w:rsidRPr="008E3F50">
        <w:rPr>
          <w:rFonts w:ascii="Sylfaen" w:eastAsia="Times New Roman" w:hAnsi="Sylfaen" w:cs="Times New Roman"/>
          <w:sz w:val="20"/>
          <w:szCs w:val="20"/>
          <w:lang w:val="ka-GE"/>
        </w:rPr>
        <w:t xml:space="preserve">, </w:t>
      </w:r>
      <w:r w:rsidRPr="008E3F50">
        <w:rPr>
          <w:rFonts w:ascii="Sylfaen" w:eastAsia="Times New Roman" w:hAnsi="Sylfaen" w:cs="Times New Roman"/>
          <w:sz w:val="20"/>
          <w:szCs w:val="20"/>
          <w:lang w:val="ka-GE"/>
        </w:rPr>
        <w:t>მიღწეული შედეგების</w:t>
      </w:r>
      <w:r w:rsidR="00B87748" w:rsidRPr="008E3F50">
        <w:rPr>
          <w:rFonts w:ascii="Sylfaen" w:eastAsia="Times New Roman" w:hAnsi="Sylfaen" w:cs="Times New Roman"/>
          <w:sz w:val="20"/>
          <w:szCs w:val="20"/>
          <w:lang w:val="ka-GE"/>
        </w:rPr>
        <w:t>ა და რეკომენდაციების განხილვა</w:t>
      </w:r>
      <w:r w:rsidRPr="008E3F50">
        <w:rPr>
          <w:rFonts w:ascii="Sylfaen" w:eastAsia="Times New Roman" w:hAnsi="Sylfaen" w:cs="Times New Roman"/>
          <w:sz w:val="20"/>
          <w:szCs w:val="20"/>
          <w:lang w:val="ka-GE"/>
        </w:rPr>
        <w:t xml:space="preserve">. </w:t>
      </w:r>
      <w:r w:rsidRPr="008E3F50">
        <w:rPr>
          <w:rFonts w:ascii="Sylfaen" w:eastAsia="Times New Roman" w:hAnsi="Sylfaen" w:cs="Times New Roman"/>
          <w:sz w:val="20"/>
          <w:szCs w:val="20"/>
        </w:rPr>
        <w:t> </w:t>
      </w:r>
    </w:p>
    <w:p w:rsidR="003138B5" w:rsidRPr="008E3F50" w:rsidRDefault="003138B5" w:rsidP="00295031">
      <w:pPr>
        <w:spacing w:after="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</w:p>
    <w:p w:rsidR="003138B5" w:rsidRPr="008E3F50" w:rsidRDefault="003138B5" w:rsidP="00295031">
      <w:pPr>
        <w:spacing w:after="0"/>
        <w:jc w:val="both"/>
        <w:rPr>
          <w:rFonts w:ascii="Sylfaen" w:eastAsia="Times New Roman" w:hAnsi="Sylfaen" w:cs="Times New Roman"/>
          <w:sz w:val="20"/>
          <w:szCs w:val="20"/>
          <w:lang w:val="ka-GE"/>
        </w:rPr>
      </w:pPr>
      <w:r w:rsidRPr="008E3F50">
        <w:rPr>
          <w:rFonts w:ascii="Sylfaen" w:eastAsia="Times New Roman" w:hAnsi="Sylfaen" w:cs="Times New Roman"/>
          <w:sz w:val="20"/>
          <w:szCs w:val="20"/>
          <w:lang w:val="ka-GE"/>
        </w:rPr>
        <w:t>შეხვედრას დაესწრება საქართველოს პრემიერ-მინისტრი, საქართველოს შრომის, ჯანმრთელობისა და სოციალური დაცვის მინისტრი,</w:t>
      </w:r>
      <w:r w:rsidR="00EF34EC">
        <w:rPr>
          <w:rFonts w:ascii="Sylfaen" w:eastAsia="Times New Roman" w:hAnsi="Sylfaen" w:cs="Times New Roman"/>
          <w:sz w:val="20"/>
          <w:szCs w:val="20"/>
          <w:lang w:val="ka-GE"/>
        </w:rPr>
        <w:t xml:space="preserve"> გაერთიანებული ერების ორგნიზაციის, </w:t>
      </w:r>
      <w:r w:rsidRPr="008E3F50">
        <w:rPr>
          <w:rFonts w:ascii="Sylfaen" w:hAnsi="Sylfaen"/>
          <w:sz w:val="20"/>
          <w:szCs w:val="20"/>
          <w:lang w:val="ka-GE"/>
        </w:rPr>
        <w:t xml:space="preserve">ჯანმრთელობის მსოფლიო ორგანიზაციის, </w:t>
      </w:r>
      <w:r w:rsidR="008E3F50" w:rsidRPr="008E3F50">
        <w:rPr>
          <w:rFonts w:ascii="Sylfaen" w:hAnsi="Sylfaen"/>
          <w:sz w:val="20"/>
          <w:szCs w:val="20"/>
          <w:lang w:val="ka-GE"/>
        </w:rPr>
        <w:t xml:space="preserve">საქართველოში </w:t>
      </w:r>
      <w:r w:rsidRPr="008E3F50">
        <w:rPr>
          <w:rFonts w:ascii="Sylfaen" w:hAnsi="Sylfaen"/>
          <w:sz w:val="20"/>
          <w:szCs w:val="20"/>
          <w:lang w:val="ka-GE"/>
        </w:rPr>
        <w:t>აშშ</w:t>
      </w:r>
      <w:r w:rsidR="008E3F50" w:rsidRPr="008E3F50">
        <w:rPr>
          <w:rFonts w:ascii="Sylfaen" w:hAnsi="Sylfaen"/>
          <w:sz w:val="20"/>
          <w:szCs w:val="20"/>
          <w:lang w:val="ka-GE"/>
        </w:rPr>
        <w:t xml:space="preserve"> საელჩოს, აშშ</w:t>
      </w:r>
      <w:r w:rsidRPr="008E3F50">
        <w:rPr>
          <w:rFonts w:ascii="Sylfaen" w:hAnsi="Sylfaen"/>
          <w:sz w:val="20"/>
          <w:szCs w:val="20"/>
          <w:lang w:val="ka-GE"/>
        </w:rPr>
        <w:t xml:space="preserve">-ის განვითარების </w:t>
      </w:r>
      <w:r w:rsidRPr="008E3F50">
        <w:rPr>
          <w:rFonts w:ascii="Sylfaen" w:hAnsi="Sylfaen"/>
          <w:sz w:val="20"/>
          <w:szCs w:val="20"/>
        </w:rPr>
        <w:t xml:space="preserve"> </w:t>
      </w:r>
      <w:r w:rsidRPr="008E3F50">
        <w:rPr>
          <w:rFonts w:ascii="Sylfaen" w:hAnsi="Sylfaen"/>
          <w:sz w:val="20"/>
          <w:szCs w:val="20"/>
          <w:lang w:val="ka-GE"/>
        </w:rPr>
        <w:t xml:space="preserve">სააგენტოსა </w:t>
      </w:r>
      <w:r w:rsidRPr="008E3F50">
        <w:rPr>
          <w:rFonts w:ascii="Sylfaen" w:hAnsi="Sylfaen"/>
          <w:sz w:val="20"/>
          <w:szCs w:val="20"/>
        </w:rPr>
        <w:t>(USAID)</w:t>
      </w:r>
      <w:r w:rsidRPr="008E3F50">
        <w:rPr>
          <w:rFonts w:ascii="Sylfaen" w:hAnsi="Sylfaen"/>
          <w:sz w:val="20"/>
          <w:szCs w:val="20"/>
          <w:lang w:val="ka-GE"/>
        </w:rPr>
        <w:t xml:space="preserve"> და მსოფლიო ბანკის</w:t>
      </w:r>
      <w:r w:rsidR="00181C72" w:rsidRPr="008E3F50">
        <w:rPr>
          <w:rFonts w:ascii="Sylfaen" w:hAnsi="Sylfaen"/>
          <w:sz w:val="20"/>
          <w:szCs w:val="20"/>
          <w:lang w:val="ka-GE"/>
        </w:rPr>
        <w:t xml:space="preserve"> ამიერკავკასიისა და საქართველოს წარმომადგენლობის ხელმძღ</w:t>
      </w:r>
      <w:r w:rsidRPr="008E3F50">
        <w:rPr>
          <w:rFonts w:ascii="Sylfaen" w:hAnsi="Sylfaen"/>
          <w:sz w:val="20"/>
          <w:szCs w:val="20"/>
          <w:lang w:val="ka-GE"/>
        </w:rPr>
        <w:t xml:space="preserve">ვანელი პირები და ექსპერტები. </w:t>
      </w:r>
      <w:r w:rsidRPr="008E3F50">
        <w:rPr>
          <w:rFonts w:ascii="Sylfaen" w:eastAsia="Times New Roman" w:hAnsi="Sylfaen" w:cs="Times New Roman"/>
          <w:sz w:val="20"/>
          <w:szCs w:val="20"/>
          <w:lang w:val="ka-GE"/>
        </w:rPr>
        <w:t xml:space="preserve">კონფერენციაში მონაწილეობას მიიღებენ სამთავრობო და არასამთავრობო ორგანიზაციებისა და სამედიცინო სფეროს 150-მდე წარმომადგენელი. </w:t>
      </w:r>
      <w:r w:rsidRPr="008E3F50">
        <w:rPr>
          <w:rFonts w:ascii="Sylfaen" w:hAnsi="Sylfaen"/>
          <w:sz w:val="20"/>
          <w:szCs w:val="20"/>
          <w:lang w:val="ka-GE"/>
        </w:rPr>
        <w:t xml:space="preserve">ასევე შეხვედრას დაესწრება გერმანიის ჯანდაცვის სამინისტროს მრჩეველი, რამდენადაც გერმანიის ჯანდაცვის უწყებამ გამოთქვა მზაობა მხარი დაუჭიროს </w:t>
      </w:r>
      <w:r w:rsidR="008E3F50" w:rsidRPr="008E3F50">
        <w:rPr>
          <w:rFonts w:ascii="Sylfaen" w:hAnsi="Sylfaen"/>
          <w:sz w:val="20"/>
          <w:szCs w:val="20"/>
          <w:lang w:val="ka-GE"/>
        </w:rPr>
        <w:t xml:space="preserve">საქართველოში </w:t>
      </w:r>
      <w:r w:rsidRPr="008E3F50">
        <w:rPr>
          <w:rFonts w:ascii="Sylfaen" w:hAnsi="Sylfaen"/>
          <w:sz w:val="20"/>
          <w:szCs w:val="20"/>
          <w:lang w:val="ka-GE"/>
        </w:rPr>
        <w:t xml:space="preserve">საყოველთაო ჯანდაცვის პროგრამის შემდგომ განვითარებას. </w:t>
      </w:r>
    </w:p>
    <w:p w:rsidR="008E3F50" w:rsidRPr="008E3F50" w:rsidRDefault="008E3F50" w:rsidP="00295031">
      <w:pPr>
        <w:spacing w:after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</w:p>
    <w:p w:rsidR="003138B5" w:rsidRPr="008E3F50" w:rsidRDefault="003138B5" w:rsidP="00295031">
      <w:pPr>
        <w:spacing w:after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8E3F50">
        <w:rPr>
          <w:rFonts w:ascii="Sylfaen" w:hAnsi="Sylfaen"/>
          <w:b/>
          <w:sz w:val="20"/>
          <w:szCs w:val="20"/>
          <w:u w:val="single"/>
          <w:lang w:val="ka-GE"/>
        </w:rPr>
        <w:t xml:space="preserve">საყოველთაო ჯანდაცვის </w:t>
      </w:r>
      <w:r w:rsidR="00181C72" w:rsidRPr="008E3F50">
        <w:rPr>
          <w:rFonts w:ascii="Sylfaen" w:hAnsi="Sylfaen"/>
          <w:b/>
          <w:sz w:val="20"/>
          <w:szCs w:val="20"/>
          <w:u w:val="single"/>
          <w:lang w:val="ka-GE"/>
        </w:rPr>
        <w:t xml:space="preserve">1 წლის </w:t>
      </w:r>
      <w:r w:rsidRPr="008E3F50">
        <w:rPr>
          <w:rFonts w:ascii="Sylfaen" w:hAnsi="Sylfaen"/>
          <w:b/>
          <w:sz w:val="20"/>
          <w:szCs w:val="20"/>
          <w:u w:val="single"/>
          <w:lang w:val="ka-GE"/>
        </w:rPr>
        <w:t xml:space="preserve">შეფასების ძირითადი შედეგები </w:t>
      </w:r>
    </w:p>
    <w:p w:rsidR="00F26B28" w:rsidRPr="008E3F50" w:rsidRDefault="00C65BCA" w:rsidP="00295031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8E3F50">
        <w:rPr>
          <w:rFonts w:ascii="Sylfaen" w:hAnsi="Sylfaen"/>
          <w:sz w:val="20"/>
          <w:szCs w:val="20"/>
          <w:lang w:val="ka-GE"/>
        </w:rPr>
        <w:t xml:space="preserve">ჯანმრთელობის მსოფლიო ორგანზიაციის, </w:t>
      </w:r>
      <w:r w:rsidR="00B87748" w:rsidRPr="008E3F50">
        <w:rPr>
          <w:rFonts w:ascii="Sylfaen" w:hAnsi="Sylfaen"/>
          <w:sz w:val="20"/>
          <w:szCs w:val="20"/>
        </w:rPr>
        <w:t>USAID</w:t>
      </w:r>
      <w:r w:rsidR="00B87748" w:rsidRPr="008E3F50">
        <w:rPr>
          <w:rFonts w:ascii="Sylfaen" w:hAnsi="Sylfaen"/>
          <w:sz w:val="20"/>
          <w:szCs w:val="20"/>
          <w:lang w:val="ka-GE"/>
        </w:rPr>
        <w:t xml:space="preserve"> </w:t>
      </w:r>
      <w:r w:rsidRPr="008E3F50">
        <w:rPr>
          <w:rFonts w:ascii="Sylfaen" w:hAnsi="Sylfaen"/>
          <w:sz w:val="20"/>
          <w:szCs w:val="20"/>
          <w:lang w:val="ka-GE"/>
        </w:rPr>
        <w:t xml:space="preserve">და მსოფლიო ბანკის ექსპერტების მიერ მიმდინარე წლის </w:t>
      </w:r>
      <w:r w:rsidR="00B87748" w:rsidRPr="008E3F50">
        <w:rPr>
          <w:rFonts w:ascii="Sylfaen" w:hAnsi="Sylfaen"/>
          <w:sz w:val="20"/>
          <w:szCs w:val="20"/>
          <w:lang w:val="ka-GE"/>
        </w:rPr>
        <w:t xml:space="preserve">თებერვალი-აპრილის პერიოდში </w:t>
      </w:r>
      <w:r w:rsidR="00930412" w:rsidRPr="008E3F50">
        <w:rPr>
          <w:rFonts w:ascii="Sylfaen" w:hAnsi="Sylfaen"/>
          <w:sz w:val="20"/>
          <w:szCs w:val="20"/>
          <w:lang w:val="ka-GE"/>
        </w:rPr>
        <w:t>განხორციელდა</w:t>
      </w:r>
      <w:r w:rsidRPr="008E3F50">
        <w:rPr>
          <w:rFonts w:ascii="Sylfaen" w:hAnsi="Sylfaen"/>
          <w:sz w:val="20"/>
          <w:szCs w:val="20"/>
          <w:lang w:val="ka-GE"/>
        </w:rPr>
        <w:t xml:space="preserve"> საყოველთაო ჯანდაცვის სახელმწიფო პროგრამის </w:t>
      </w:r>
      <w:r w:rsidR="00AA0E2A" w:rsidRPr="008E3F50">
        <w:rPr>
          <w:rFonts w:ascii="Sylfaen" w:hAnsi="Sylfaen"/>
          <w:sz w:val="20"/>
          <w:szCs w:val="20"/>
          <w:lang w:val="ka-GE"/>
        </w:rPr>
        <w:t xml:space="preserve">ერთი წლის შედეგების </w:t>
      </w:r>
      <w:r w:rsidRPr="008E3F50">
        <w:rPr>
          <w:rFonts w:ascii="Sylfaen" w:hAnsi="Sylfaen"/>
          <w:sz w:val="20"/>
          <w:szCs w:val="20"/>
          <w:lang w:val="ka-GE"/>
        </w:rPr>
        <w:t>შეფასება</w:t>
      </w:r>
      <w:r w:rsidR="00B87748" w:rsidRPr="008E3F50">
        <w:rPr>
          <w:rFonts w:ascii="Sylfaen" w:hAnsi="Sylfaen"/>
          <w:sz w:val="20"/>
          <w:szCs w:val="20"/>
          <w:lang w:val="ka-GE"/>
        </w:rPr>
        <w:t xml:space="preserve"> და ანალიზი</w:t>
      </w:r>
      <w:r w:rsidRPr="008E3F50">
        <w:rPr>
          <w:rFonts w:ascii="Sylfaen" w:hAnsi="Sylfaen"/>
          <w:sz w:val="20"/>
          <w:szCs w:val="20"/>
          <w:lang w:val="ka-GE"/>
        </w:rPr>
        <w:t xml:space="preserve">. </w:t>
      </w:r>
      <w:r w:rsidR="00786E2D" w:rsidRPr="008E3F50">
        <w:rPr>
          <w:rFonts w:ascii="Sylfaen" w:hAnsi="Sylfaen"/>
          <w:sz w:val="20"/>
          <w:szCs w:val="20"/>
          <w:lang w:val="ka-GE"/>
        </w:rPr>
        <w:t xml:space="preserve">პარალელურად, </w:t>
      </w:r>
      <w:r w:rsidR="00AA0E2A" w:rsidRPr="008E3F50">
        <w:rPr>
          <w:rFonts w:ascii="Sylfaen" w:hAnsi="Sylfaen"/>
          <w:sz w:val="20"/>
          <w:szCs w:val="20"/>
          <w:lang w:val="ka-GE"/>
        </w:rPr>
        <w:t>ა</w:t>
      </w:r>
      <w:r w:rsidR="00786E2D" w:rsidRPr="008E3F50">
        <w:rPr>
          <w:rFonts w:ascii="Sylfaen" w:hAnsi="Sylfaen"/>
          <w:sz w:val="20"/>
          <w:szCs w:val="20"/>
          <w:lang w:val="ka-GE"/>
        </w:rPr>
        <w:t xml:space="preserve">შშ-ის განვითარების სააგენტოს ჯანდაცვის სისტემის განმტკიცების პროექტის </w:t>
      </w:r>
      <w:r w:rsidR="00B87748" w:rsidRPr="008E3F50">
        <w:rPr>
          <w:rFonts w:ascii="Sylfaen" w:hAnsi="Sylfaen"/>
          <w:sz w:val="20"/>
          <w:szCs w:val="20"/>
          <w:lang w:val="ka-GE"/>
        </w:rPr>
        <w:t>(</w:t>
      </w:r>
      <w:r w:rsidR="00B87748" w:rsidRPr="008E3F50">
        <w:rPr>
          <w:rFonts w:ascii="Sylfaen" w:hAnsi="Sylfaen"/>
          <w:sz w:val="20"/>
          <w:szCs w:val="20"/>
        </w:rPr>
        <w:t>USAID</w:t>
      </w:r>
      <w:r w:rsidR="00B87748" w:rsidRPr="008E3F50">
        <w:rPr>
          <w:rFonts w:ascii="Sylfaen" w:hAnsi="Sylfaen"/>
          <w:sz w:val="20"/>
          <w:szCs w:val="20"/>
          <w:lang w:val="ka-GE"/>
        </w:rPr>
        <w:t>/</w:t>
      </w:r>
      <w:r w:rsidR="00B87748" w:rsidRPr="008E3F50">
        <w:rPr>
          <w:rFonts w:ascii="Sylfaen" w:hAnsi="Sylfaen"/>
          <w:sz w:val="20"/>
          <w:szCs w:val="20"/>
        </w:rPr>
        <w:t>HSS</w:t>
      </w:r>
      <w:r w:rsidR="00B87748" w:rsidRPr="008E3F50">
        <w:rPr>
          <w:rFonts w:ascii="Sylfaen" w:hAnsi="Sylfaen"/>
          <w:sz w:val="20"/>
          <w:szCs w:val="20"/>
          <w:lang w:val="ka-GE"/>
        </w:rPr>
        <w:t xml:space="preserve">) </w:t>
      </w:r>
      <w:r w:rsidR="00786E2D" w:rsidRPr="008E3F50">
        <w:rPr>
          <w:rFonts w:ascii="Sylfaen" w:hAnsi="Sylfaen"/>
          <w:sz w:val="20"/>
          <w:szCs w:val="20"/>
          <w:lang w:val="ka-GE"/>
        </w:rPr>
        <w:t xml:space="preserve">ფინანსური და ტექნიკური დახმარებით ჩატარდა </w:t>
      </w:r>
      <w:r w:rsidRPr="008E3F50">
        <w:rPr>
          <w:rFonts w:ascii="Sylfaen" w:hAnsi="Sylfaen"/>
          <w:sz w:val="20"/>
          <w:szCs w:val="20"/>
          <w:lang w:val="ka-GE"/>
        </w:rPr>
        <w:t>მოსახლეობის სატელეფონო გამოკით</w:t>
      </w:r>
      <w:r w:rsidR="00AD7943" w:rsidRPr="008E3F50">
        <w:rPr>
          <w:rFonts w:ascii="Sylfaen" w:hAnsi="Sylfaen"/>
          <w:sz w:val="20"/>
          <w:szCs w:val="20"/>
          <w:lang w:val="ka-GE"/>
        </w:rPr>
        <w:t>ხ</w:t>
      </w:r>
      <w:r w:rsidR="00786E2D" w:rsidRPr="008E3F50">
        <w:rPr>
          <w:rFonts w:ascii="Sylfaen" w:hAnsi="Sylfaen"/>
          <w:sz w:val="20"/>
          <w:szCs w:val="20"/>
          <w:lang w:val="ka-GE"/>
        </w:rPr>
        <w:t>ვა</w:t>
      </w:r>
      <w:r w:rsidRPr="008E3F50">
        <w:rPr>
          <w:rFonts w:ascii="Sylfaen" w:hAnsi="Sylfaen"/>
          <w:sz w:val="20"/>
          <w:szCs w:val="20"/>
          <w:lang w:val="ka-GE"/>
        </w:rPr>
        <w:t xml:space="preserve"> </w:t>
      </w:r>
      <w:r w:rsidR="00AA0E2A" w:rsidRPr="008E3F50">
        <w:rPr>
          <w:rFonts w:ascii="Sylfaen" w:hAnsi="Sylfaen"/>
          <w:sz w:val="20"/>
          <w:szCs w:val="20"/>
          <w:lang w:val="ka-GE"/>
        </w:rPr>
        <w:t xml:space="preserve">მიღებული მომსახურებით კმაყოფილების შესახებ და პროვაიდერებისა და მოსარგებლეების ხარისხობრივი კვლევა (ფოკუს-ჯგუფების დისკუსია) საყოველთაო ჯანდაცვის პროგრამის მიმდინარეობის შეფასების </w:t>
      </w:r>
      <w:r w:rsidR="00B87748" w:rsidRPr="008E3F50">
        <w:rPr>
          <w:rFonts w:ascii="Sylfaen" w:hAnsi="Sylfaen"/>
          <w:sz w:val="20"/>
          <w:szCs w:val="20"/>
          <w:lang w:val="ka-GE"/>
        </w:rPr>
        <w:t>მიზნით</w:t>
      </w:r>
      <w:r w:rsidR="00AA0E2A" w:rsidRPr="008E3F50">
        <w:rPr>
          <w:rFonts w:ascii="Sylfaen" w:hAnsi="Sylfaen"/>
          <w:sz w:val="20"/>
          <w:szCs w:val="20"/>
          <w:lang w:val="ka-GE"/>
        </w:rPr>
        <w:t>.</w:t>
      </w:r>
      <w:r w:rsidR="00930412" w:rsidRPr="008E3F50">
        <w:rPr>
          <w:rFonts w:ascii="Sylfaen" w:hAnsi="Sylfaen"/>
          <w:sz w:val="20"/>
          <w:szCs w:val="20"/>
          <w:lang w:val="ka-GE"/>
        </w:rPr>
        <w:t xml:space="preserve"> </w:t>
      </w:r>
    </w:p>
    <w:p w:rsidR="00F26B28" w:rsidRPr="008E3F50" w:rsidRDefault="00F26B28" w:rsidP="00295031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</w:p>
    <w:p w:rsidR="00181C72" w:rsidRPr="008E3F50" w:rsidRDefault="00930412" w:rsidP="00295031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8E3F50">
        <w:rPr>
          <w:rFonts w:ascii="Sylfaen" w:hAnsi="Sylfaen"/>
          <w:sz w:val="20"/>
          <w:szCs w:val="20"/>
          <w:lang w:val="ka-GE"/>
        </w:rPr>
        <w:t xml:space="preserve">კვლევის </w:t>
      </w:r>
      <w:r w:rsidR="00AA0E2A" w:rsidRPr="008E3F50">
        <w:rPr>
          <w:rFonts w:ascii="Sylfaen" w:hAnsi="Sylfaen"/>
          <w:sz w:val="20"/>
          <w:szCs w:val="20"/>
          <w:lang w:val="ka-GE"/>
        </w:rPr>
        <w:t xml:space="preserve"> </w:t>
      </w:r>
      <w:r w:rsidRPr="008E3F50">
        <w:rPr>
          <w:rFonts w:ascii="Sylfaen" w:hAnsi="Sylfaen"/>
          <w:sz w:val="20"/>
          <w:szCs w:val="20"/>
          <w:lang w:val="ka-GE"/>
        </w:rPr>
        <w:t>პირველ კომპონენტში, რომელიც აფასებდა გეგმიური ამბულატორიული მომსახურებით მოსახლეობის კმაყოფილებას, მონაწილეობა მიიღო 431 მოსარგებლემ. მეორე კომპონენტი შეეხებოდა გადაუდებელი ამბულატორიული და გეგმიური სტაციონარული სერვისების შეფასებას</w:t>
      </w:r>
      <w:r w:rsidR="00B87748" w:rsidRPr="008E3F50">
        <w:rPr>
          <w:rFonts w:ascii="Sylfaen" w:hAnsi="Sylfaen"/>
          <w:sz w:val="20"/>
          <w:szCs w:val="20"/>
          <w:lang w:val="ka-GE"/>
        </w:rPr>
        <w:t xml:space="preserve"> და მონაწილეთა საერთო რიცხვმა </w:t>
      </w:r>
      <w:r w:rsidRPr="008E3F50">
        <w:rPr>
          <w:rFonts w:ascii="Sylfaen" w:hAnsi="Sylfaen"/>
          <w:sz w:val="20"/>
          <w:szCs w:val="20"/>
          <w:lang w:val="ka-GE"/>
        </w:rPr>
        <w:t>შეადგენდა</w:t>
      </w:r>
      <w:r w:rsidR="00B87748" w:rsidRPr="008E3F50">
        <w:rPr>
          <w:rFonts w:ascii="Sylfaen" w:hAnsi="Sylfaen"/>
          <w:sz w:val="20"/>
          <w:szCs w:val="20"/>
          <w:lang w:val="ka-GE"/>
        </w:rPr>
        <w:t xml:space="preserve"> 358 ბენეფიციარი</w:t>
      </w:r>
      <w:r w:rsidRPr="008E3F50">
        <w:rPr>
          <w:rFonts w:ascii="Sylfaen" w:hAnsi="Sylfaen"/>
          <w:sz w:val="20"/>
          <w:szCs w:val="20"/>
          <w:lang w:val="ka-GE"/>
        </w:rPr>
        <w:t xml:space="preserve">. </w:t>
      </w:r>
    </w:p>
    <w:p w:rsidR="00181C72" w:rsidRPr="008E3F50" w:rsidRDefault="00181C72" w:rsidP="00295031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</w:p>
    <w:p w:rsidR="00B87748" w:rsidRPr="008E3F50" w:rsidRDefault="00930412" w:rsidP="00295031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8E3F50">
        <w:rPr>
          <w:rFonts w:ascii="Sylfaen" w:hAnsi="Sylfaen"/>
          <w:sz w:val="20"/>
          <w:szCs w:val="20"/>
          <w:lang w:val="ka-GE"/>
        </w:rPr>
        <w:t>ექსპერტული ანალიზისა და კვლევის შედეგების</w:t>
      </w:r>
      <w:r w:rsidR="00700B0F" w:rsidRPr="008E3F50">
        <w:rPr>
          <w:rFonts w:ascii="Sylfaen" w:hAnsi="Sylfaen"/>
          <w:sz w:val="20"/>
          <w:szCs w:val="20"/>
          <w:lang w:val="ka-GE"/>
        </w:rPr>
        <w:t xml:space="preserve"> </w:t>
      </w:r>
      <w:r w:rsidR="006372CD" w:rsidRPr="008E3F50">
        <w:rPr>
          <w:rFonts w:ascii="Sylfaen" w:hAnsi="Sylfaen"/>
          <w:sz w:val="20"/>
          <w:szCs w:val="20"/>
          <w:lang w:val="ka-GE"/>
        </w:rPr>
        <w:t>ძირითადი მესიჯები:</w:t>
      </w:r>
    </w:p>
    <w:p w:rsidR="008E3F50" w:rsidRPr="008E3F50" w:rsidRDefault="008E3F50" w:rsidP="00295031">
      <w:pPr>
        <w:spacing w:after="0"/>
        <w:jc w:val="both"/>
        <w:rPr>
          <w:rFonts w:ascii="Sylfaen" w:hAnsi="Sylfaen"/>
          <w:sz w:val="20"/>
          <w:szCs w:val="20"/>
          <w:lang w:val="ka-GE"/>
        </w:rPr>
      </w:pPr>
    </w:p>
    <w:p w:rsidR="00B87748" w:rsidRPr="008E3F50" w:rsidRDefault="006372CD" w:rsidP="00295031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8E3F50">
        <w:rPr>
          <w:rFonts w:ascii="Sylfaen" w:hAnsi="Sylfaen"/>
          <w:b/>
          <w:sz w:val="20"/>
          <w:szCs w:val="20"/>
          <w:lang w:val="ka-GE"/>
        </w:rPr>
        <w:t>საქართველოს მთავრობის უმთავრეს პრიორიტეტს წარმოადგენს მოსახლეობისთვის სამედიცინო მომსახურებაზე ხელმისაწვდომობის გაზრდა</w:t>
      </w:r>
      <w:r w:rsidRPr="008E3F50">
        <w:rPr>
          <w:rFonts w:ascii="Sylfaen" w:hAnsi="Sylfaen"/>
          <w:sz w:val="20"/>
          <w:szCs w:val="20"/>
          <w:lang w:val="ka-GE"/>
        </w:rPr>
        <w:t xml:space="preserve"> და მისი ხარისხის გაუმჯობესება, რაც აისახა </w:t>
      </w:r>
      <w:proofErr w:type="spellStart"/>
      <w:r w:rsidRPr="008E3F50">
        <w:rPr>
          <w:rFonts w:ascii="Sylfaen" w:hAnsi="Sylfaen" w:cs="Sylfaen"/>
          <w:sz w:val="20"/>
          <w:szCs w:val="20"/>
        </w:rPr>
        <w:t>ჯანდაცვის</w:t>
      </w:r>
      <w:proofErr w:type="spellEnd"/>
      <w:r w:rsidRPr="008E3F5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E3F50">
        <w:rPr>
          <w:rFonts w:ascii="Sylfaen" w:hAnsi="Sylfaen" w:cs="Sylfaen"/>
          <w:sz w:val="20"/>
          <w:szCs w:val="20"/>
        </w:rPr>
        <w:t>სექტორისთვის</w:t>
      </w:r>
      <w:proofErr w:type="spellEnd"/>
      <w:r w:rsidRPr="008E3F5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E3F50">
        <w:rPr>
          <w:rFonts w:ascii="Sylfaen" w:hAnsi="Sylfaen" w:cs="Sylfaen"/>
          <w:sz w:val="20"/>
          <w:szCs w:val="20"/>
        </w:rPr>
        <w:t>გამოყოფილი</w:t>
      </w:r>
      <w:proofErr w:type="spellEnd"/>
      <w:r w:rsidRPr="008E3F5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E3F50">
        <w:rPr>
          <w:rFonts w:ascii="Sylfaen" w:hAnsi="Sylfaen" w:cs="Sylfaen"/>
          <w:sz w:val="20"/>
          <w:szCs w:val="20"/>
        </w:rPr>
        <w:t>სახელმწიფო</w:t>
      </w:r>
      <w:proofErr w:type="spellEnd"/>
      <w:r w:rsidRPr="008E3F5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E3F50">
        <w:rPr>
          <w:rFonts w:ascii="Sylfaen" w:hAnsi="Sylfaen" w:cs="Sylfaen"/>
          <w:sz w:val="20"/>
          <w:szCs w:val="20"/>
        </w:rPr>
        <w:t>ასიგნებების</w:t>
      </w:r>
      <w:proofErr w:type="spellEnd"/>
      <w:r w:rsidRPr="008E3F50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8E3F50">
        <w:rPr>
          <w:rFonts w:ascii="Sylfaen" w:hAnsi="Sylfaen" w:cs="Sylfaen"/>
          <w:sz w:val="20"/>
          <w:szCs w:val="20"/>
        </w:rPr>
        <w:t>მოცულობ</w:t>
      </w:r>
      <w:proofErr w:type="spellEnd"/>
      <w:r w:rsidRPr="008E3F50">
        <w:rPr>
          <w:rFonts w:ascii="Sylfaen" w:hAnsi="Sylfaen" w:cs="Sylfaen"/>
          <w:sz w:val="20"/>
          <w:szCs w:val="20"/>
          <w:lang w:val="ka-GE"/>
        </w:rPr>
        <w:t>ის</w:t>
      </w:r>
      <w:r w:rsidRPr="008E3F50">
        <w:rPr>
          <w:rFonts w:ascii="Sylfaen" w:hAnsi="Sylfaen" w:cs="Sylfaen"/>
          <w:sz w:val="20"/>
          <w:szCs w:val="20"/>
        </w:rPr>
        <w:t xml:space="preserve"> </w:t>
      </w:r>
      <w:r w:rsidR="00B87748" w:rsidRPr="008E3F50">
        <w:rPr>
          <w:rFonts w:ascii="Sylfaen" w:hAnsi="Sylfaen" w:cs="Sylfaen"/>
          <w:sz w:val="20"/>
          <w:szCs w:val="20"/>
          <w:lang w:val="ka-GE"/>
        </w:rPr>
        <w:t>უპრეცედენტო გაზრდით (თითქმის გაორმაგებით 365 მლნ ლარიდან 2012 წელს 634 მლნ ლარამდე 2013 წელს)</w:t>
      </w:r>
      <w:r w:rsidR="00295031" w:rsidRPr="008E3F50">
        <w:rPr>
          <w:rFonts w:ascii="Sylfaen" w:hAnsi="Sylfaen" w:cs="Sylfaen"/>
          <w:sz w:val="20"/>
          <w:szCs w:val="20"/>
          <w:lang w:val="ka-GE"/>
        </w:rPr>
        <w:t>;</w:t>
      </w:r>
      <w:r w:rsidR="00B87748" w:rsidRPr="008E3F50"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8E3F50" w:rsidRPr="008E3F50" w:rsidRDefault="008E3F50" w:rsidP="008E3F50">
      <w:pPr>
        <w:pStyle w:val="ListParagraph"/>
        <w:spacing w:after="0"/>
        <w:jc w:val="both"/>
        <w:rPr>
          <w:rFonts w:ascii="Sylfaen" w:hAnsi="Sylfaen"/>
          <w:sz w:val="20"/>
          <w:szCs w:val="20"/>
          <w:lang w:val="ka-GE"/>
        </w:rPr>
      </w:pPr>
    </w:p>
    <w:p w:rsidR="00B87748" w:rsidRPr="008E3F50" w:rsidRDefault="006372CD" w:rsidP="00295031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8E3F50">
        <w:rPr>
          <w:rFonts w:ascii="Sylfaen" w:hAnsi="Sylfaen"/>
          <w:b/>
          <w:sz w:val="20"/>
          <w:szCs w:val="20"/>
          <w:lang w:val="ka-GE"/>
        </w:rPr>
        <w:t>საქართველო</w:t>
      </w:r>
      <w:r w:rsidR="006A6959">
        <w:rPr>
          <w:rFonts w:ascii="Sylfaen" w:hAnsi="Sylfaen"/>
          <w:b/>
          <w:sz w:val="20"/>
          <w:szCs w:val="20"/>
          <w:lang w:val="ka-GE"/>
        </w:rPr>
        <w:t xml:space="preserve">ს მთავრობამ თითოეული მოქალაქისათვის შექმნა ჯანდაცვის უფლებით უნივერსალური სარგებლობის ფუნდამენტი -  </w:t>
      </w:r>
      <w:r w:rsidRPr="008E3F50">
        <w:rPr>
          <w:rFonts w:ascii="Sylfaen" w:hAnsi="Sylfaen"/>
          <w:sz w:val="20"/>
          <w:szCs w:val="20"/>
          <w:lang w:val="ka-GE"/>
        </w:rPr>
        <w:t>2</w:t>
      </w:r>
      <w:r w:rsidR="00700B0F" w:rsidRPr="008E3F50">
        <w:rPr>
          <w:rFonts w:ascii="Sylfaen" w:hAnsi="Sylfaen"/>
          <w:noProof/>
          <w:sz w:val="20"/>
          <w:szCs w:val="20"/>
        </w:rPr>
        <w:t xml:space="preserve">014 </w:t>
      </w:r>
      <w:r w:rsidR="00700B0F" w:rsidRPr="008E3F50">
        <w:rPr>
          <w:rFonts w:ascii="Sylfaen" w:hAnsi="Sylfaen"/>
          <w:noProof/>
          <w:sz w:val="20"/>
          <w:szCs w:val="20"/>
          <w:lang w:val="ka-GE"/>
        </w:rPr>
        <w:t>წ</w:t>
      </w:r>
      <w:r w:rsidR="00F850CB">
        <w:rPr>
          <w:rFonts w:ascii="Sylfaen" w:hAnsi="Sylfaen"/>
          <w:noProof/>
          <w:sz w:val="20"/>
          <w:szCs w:val="20"/>
          <w:lang w:val="ka-GE"/>
        </w:rPr>
        <w:t>.</w:t>
      </w:r>
      <w:r w:rsidR="00700B0F" w:rsidRPr="008E3F50">
        <w:rPr>
          <w:rFonts w:ascii="Sylfaen" w:hAnsi="Sylfaen"/>
          <w:noProof/>
          <w:sz w:val="20"/>
          <w:szCs w:val="20"/>
          <w:lang w:val="ka-GE"/>
        </w:rPr>
        <w:t xml:space="preserve"> აპრილის მონაცემებით, საქართველოს ყველა მოქალაქე უზრუნველყოფილია საბაზისო სამედიცინო მომსახურებით, მათ შორის დაახლოებით 3.4 მილიონი ადამიანი მოცულია </w:t>
      </w:r>
      <w:r w:rsidR="00700B0F" w:rsidRPr="008E3F50">
        <w:rPr>
          <w:rFonts w:ascii="Sylfaen" w:eastAsia="Sylfaen" w:hAnsi="Sylfaen"/>
          <w:sz w:val="20"/>
          <w:szCs w:val="20"/>
          <w:lang w:val="ka-GE"/>
        </w:rPr>
        <w:t xml:space="preserve">საყოველთაო ჯანდაცვის სახელმწიფო პროგრამით, </w:t>
      </w:r>
      <w:r w:rsidR="00363C47" w:rsidRPr="008E3F50">
        <w:rPr>
          <w:rFonts w:ascii="Sylfaen" w:hAnsi="Sylfaen"/>
          <w:noProof/>
          <w:sz w:val="20"/>
          <w:szCs w:val="20"/>
        </w:rPr>
        <w:t>560</w:t>
      </w:r>
      <w:r w:rsidR="00363C47" w:rsidRPr="008E3F50">
        <w:rPr>
          <w:rFonts w:ascii="Sylfaen" w:hAnsi="Sylfaen"/>
          <w:noProof/>
          <w:sz w:val="20"/>
          <w:szCs w:val="20"/>
          <w:lang w:val="ka-GE"/>
        </w:rPr>
        <w:t xml:space="preserve"> ათასი ადამიანი ჯანმრთელობის დაზღვევის სახელმწიფო პროგრამის მოსარგებლეა, </w:t>
      </w:r>
      <w:r w:rsidR="00700B0F" w:rsidRPr="008E3F50">
        <w:rPr>
          <w:rFonts w:ascii="Sylfaen" w:eastAsia="Sylfaen" w:hAnsi="Sylfaen"/>
          <w:sz w:val="20"/>
          <w:szCs w:val="20"/>
          <w:lang w:val="ka-GE"/>
        </w:rPr>
        <w:t xml:space="preserve">ხოლო 546 ათასამდე პირს აქვს </w:t>
      </w:r>
      <w:r w:rsidR="00700B0F" w:rsidRPr="008E3F50">
        <w:rPr>
          <w:rFonts w:ascii="Sylfaen" w:hAnsi="Sylfaen"/>
          <w:noProof/>
          <w:sz w:val="20"/>
          <w:szCs w:val="20"/>
          <w:lang w:val="ka-GE"/>
        </w:rPr>
        <w:t>კერძო ან კორპორატიული დაზღვევა</w:t>
      </w:r>
      <w:r w:rsidR="00930412" w:rsidRPr="008E3F50">
        <w:rPr>
          <w:rFonts w:ascii="Sylfaen" w:hAnsi="Sylfaen"/>
          <w:noProof/>
          <w:sz w:val="20"/>
          <w:szCs w:val="20"/>
          <w:lang w:val="ka-GE"/>
        </w:rPr>
        <w:t>;</w:t>
      </w:r>
      <w:r w:rsidR="00B87748" w:rsidRPr="008E3F50">
        <w:rPr>
          <w:rFonts w:ascii="Sylfaen" w:hAnsi="Sylfaen"/>
          <w:noProof/>
          <w:sz w:val="20"/>
          <w:szCs w:val="20"/>
          <w:lang w:val="ka-GE"/>
        </w:rPr>
        <w:t xml:space="preserve"> </w:t>
      </w:r>
    </w:p>
    <w:p w:rsidR="008E3F50" w:rsidRPr="008E3F50" w:rsidRDefault="008E3F50" w:rsidP="008E3F50">
      <w:pPr>
        <w:pStyle w:val="ListParagraph"/>
        <w:rPr>
          <w:rFonts w:ascii="Sylfaen" w:hAnsi="Sylfaen"/>
          <w:sz w:val="20"/>
          <w:szCs w:val="20"/>
          <w:lang w:val="ka-GE"/>
        </w:rPr>
      </w:pPr>
    </w:p>
    <w:p w:rsidR="00B87748" w:rsidRPr="008E3F50" w:rsidRDefault="006A6959" w:rsidP="00295031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2014</w:t>
      </w:r>
      <w:r w:rsidR="006372CD" w:rsidRPr="008E3F50">
        <w:rPr>
          <w:rFonts w:ascii="Sylfaen" w:hAnsi="Sylfaen"/>
          <w:sz w:val="20"/>
          <w:szCs w:val="20"/>
          <w:lang w:val="ka-GE"/>
        </w:rPr>
        <w:t xml:space="preserve"> წლის </w:t>
      </w:r>
      <w:r w:rsidR="008E3F50" w:rsidRPr="008E3F50">
        <w:rPr>
          <w:rFonts w:ascii="Sylfaen" w:hAnsi="Sylfaen"/>
          <w:sz w:val="20"/>
          <w:szCs w:val="20"/>
          <w:lang w:val="ka-GE"/>
        </w:rPr>
        <w:t>5</w:t>
      </w:r>
      <w:r w:rsidR="006372CD" w:rsidRPr="008E3F50">
        <w:rPr>
          <w:rFonts w:ascii="Sylfaen" w:hAnsi="Sylfaen"/>
          <w:sz w:val="20"/>
          <w:szCs w:val="20"/>
          <w:lang w:val="ka-GE"/>
        </w:rPr>
        <w:t xml:space="preserve"> მაისის</w:t>
      </w:r>
      <w:r w:rsidR="00B87748" w:rsidRPr="008E3F50">
        <w:rPr>
          <w:rFonts w:ascii="Sylfaen" w:hAnsi="Sylfaen"/>
          <w:sz w:val="20"/>
          <w:szCs w:val="20"/>
          <w:lang w:val="ka-GE"/>
        </w:rPr>
        <w:t>ა</w:t>
      </w:r>
      <w:r w:rsidR="006372CD" w:rsidRPr="008E3F50">
        <w:rPr>
          <w:rFonts w:ascii="Sylfaen" w:hAnsi="Sylfaen"/>
          <w:sz w:val="20"/>
          <w:szCs w:val="20"/>
          <w:lang w:val="ka-GE"/>
        </w:rPr>
        <w:t xml:space="preserve">თვის </w:t>
      </w:r>
      <w:r w:rsidR="000A03F5" w:rsidRPr="000A03F5">
        <w:rPr>
          <w:rFonts w:ascii="Sylfaen" w:hAnsi="Sylfaen"/>
          <w:b/>
          <w:sz w:val="20"/>
          <w:szCs w:val="20"/>
        </w:rPr>
        <w:t>2.3</w:t>
      </w:r>
      <w:r w:rsidR="00C36E1B">
        <w:rPr>
          <w:rFonts w:ascii="Sylfaen" w:hAnsi="Sylfaen"/>
          <w:b/>
          <w:sz w:val="20"/>
          <w:szCs w:val="20"/>
        </w:rPr>
        <w:t xml:space="preserve"> </w:t>
      </w:r>
      <w:r w:rsidR="006372CD" w:rsidRPr="008E3F50">
        <w:rPr>
          <w:rFonts w:ascii="Sylfaen" w:hAnsi="Sylfaen"/>
          <w:b/>
          <w:sz w:val="20"/>
          <w:szCs w:val="20"/>
          <w:lang w:val="ka-GE"/>
        </w:rPr>
        <w:t xml:space="preserve">მლნ </w:t>
      </w:r>
      <w:r>
        <w:rPr>
          <w:rFonts w:ascii="Sylfaen" w:hAnsi="Sylfaen"/>
          <w:b/>
          <w:sz w:val="20"/>
          <w:szCs w:val="20"/>
          <w:lang w:val="ka-GE"/>
        </w:rPr>
        <w:t>ბენეფიციარი</w:t>
      </w:r>
      <w:r w:rsidR="006372CD" w:rsidRPr="008E3F50">
        <w:rPr>
          <w:rFonts w:ascii="Sylfaen" w:hAnsi="Sylfaen"/>
          <w:sz w:val="20"/>
          <w:szCs w:val="20"/>
          <w:lang w:val="ka-GE"/>
        </w:rPr>
        <w:t xml:space="preserve"> </w:t>
      </w:r>
      <w:r w:rsidRPr="006A6959">
        <w:rPr>
          <w:rFonts w:ascii="Sylfaen" w:hAnsi="Sylfaen"/>
          <w:sz w:val="20"/>
          <w:szCs w:val="20"/>
          <w:lang w:val="ka-GE"/>
        </w:rPr>
        <w:t>უკვე დარეგისტრირებულია საყოველთაო ჯანდაცვის პროგრამის ფარგლებში</w:t>
      </w:r>
      <w:r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6372CD" w:rsidRPr="008E3F50">
        <w:rPr>
          <w:rFonts w:ascii="Sylfaen" w:hAnsi="Sylfaen"/>
          <w:b/>
          <w:sz w:val="20"/>
          <w:szCs w:val="20"/>
          <w:lang w:val="ka-GE"/>
        </w:rPr>
        <w:t>პირველადი ჯანდაცვის ცენტრებში</w:t>
      </w:r>
      <w:r>
        <w:rPr>
          <w:rFonts w:ascii="Sylfaen" w:hAnsi="Sylfaen"/>
          <w:b/>
          <w:sz w:val="20"/>
          <w:szCs w:val="20"/>
          <w:lang w:val="ka-GE"/>
        </w:rPr>
        <w:t>. სულ საყოველთაო ჯანდაცვის პ</w:t>
      </w:r>
      <w:r w:rsidR="00295031" w:rsidRPr="008E3F50">
        <w:rPr>
          <w:rFonts w:ascii="Sylfaen" w:hAnsi="Sylfaen"/>
          <w:b/>
          <w:sz w:val="20"/>
          <w:szCs w:val="20"/>
          <w:lang w:val="ka-GE"/>
        </w:rPr>
        <w:t>როგრამის ფარგლებში დაფიქსირდა 383 707</w:t>
      </w:r>
      <w:r w:rsidR="00286BE9" w:rsidRPr="008E3F50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295031" w:rsidRPr="008E3F50">
        <w:rPr>
          <w:rFonts w:ascii="Sylfaen" w:hAnsi="Sylfaen"/>
          <w:b/>
          <w:sz w:val="20"/>
          <w:szCs w:val="20"/>
          <w:lang w:val="ka-GE"/>
        </w:rPr>
        <w:t>შემთხვევა</w:t>
      </w:r>
      <w:r w:rsidR="00286BE9" w:rsidRPr="008E3F50">
        <w:rPr>
          <w:rFonts w:ascii="Sylfaen" w:hAnsi="Sylfaen"/>
          <w:b/>
          <w:sz w:val="20"/>
          <w:szCs w:val="20"/>
          <w:lang w:val="ka-GE"/>
        </w:rPr>
        <w:t>,</w:t>
      </w:r>
      <w:r w:rsidR="00286BE9" w:rsidRPr="008E3F50">
        <w:rPr>
          <w:rFonts w:ascii="Sylfaen" w:hAnsi="Sylfaen"/>
          <w:sz w:val="20"/>
          <w:szCs w:val="20"/>
          <w:lang w:val="ka-GE"/>
        </w:rPr>
        <w:t xml:space="preserve"> </w:t>
      </w:r>
      <w:r w:rsidR="00B87748" w:rsidRPr="008E3F50">
        <w:rPr>
          <w:rFonts w:ascii="Sylfaen" w:hAnsi="Sylfaen"/>
          <w:sz w:val="20"/>
          <w:szCs w:val="20"/>
          <w:lang w:val="ka-GE"/>
        </w:rPr>
        <w:t xml:space="preserve">მ.შ. </w:t>
      </w:r>
      <w:r w:rsidR="00286BE9" w:rsidRPr="008E3F50">
        <w:rPr>
          <w:rFonts w:ascii="Sylfaen" w:hAnsi="Sylfaen"/>
          <w:sz w:val="20"/>
          <w:szCs w:val="20"/>
          <w:lang w:val="ka-GE"/>
        </w:rPr>
        <w:t xml:space="preserve">გადაუდებელი ამბულატორიული მომსახურება - </w:t>
      </w:r>
      <w:r w:rsidR="00295031" w:rsidRPr="008E3F50">
        <w:rPr>
          <w:rFonts w:ascii="Sylfaen" w:hAnsi="Sylfaen"/>
          <w:sz w:val="20"/>
          <w:szCs w:val="20"/>
          <w:lang w:val="ka-GE"/>
        </w:rPr>
        <w:t>229 480</w:t>
      </w:r>
      <w:r w:rsidR="00286BE9" w:rsidRPr="008E3F50">
        <w:rPr>
          <w:rFonts w:ascii="Sylfaen" w:hAnsi="Sylfaen"/>
          <w:sz w:val="20"/>
          <w:szCs w:val="20"/>
          <w:lang w:val="ka-GE"/>
        </w:rPr>
        <w:t xml:space="preserve">, გადაუდებელი </w:t>
      </w:r>
      <w:r w:rsidR="003E4D6A" w:rsidRPr="008E3F50">
        <w:rPr>
          <w:rFonts w:ascii="Sylfaen" w:hAnsi="Sylfaen"/>
          <w:sz w:val="20"/>
          <w:szCs w:val="20"/>
          <w:lang w:val="ka-GE"/>
        </w:rPr>
        <w:t>სტაც</w:t>
      </w:r>
      <w:r w:rsidR="00286BE9" w:rsidRPr="008E3F50">
        <w:rPr>
          <w:rFonts w:ascii="Sylfaen" w:hAnsi="Sylfaen"/>
          <w:sz w:val="20"/>
          <w:szCs w:val="20"/>
          <w:lang w:val="ka-GE"/>
        </w:rPr>
        <w:t xml:space="preserve">იონარი - </w:t>
      </w:r>
      <w:r w:rsidR="00295031" w:rsidRPr="008E3F50">
        <w:rPr>
          <w:rFonts w:ascii="Sylfaen" w:hAnsi="Sylfaen"/>
          <w:sz w:val="20"/>
          <w:szCs w:val="20"/>
          <w:lang w:val="ka-GE"/>
        </w:rPr>
        <w:t>81 495</w:t>
      </w:r>
      <w:r w:rsidR="00EC2A37" w:rsidRPr="008E3F50">
        <w:rPr>
          <w:rFonts w:ascii="Sylfaen" w:hAnsi="Sylfaen"/>
          <w:sz w:val="20"/>
          <w:szCs w:val="20"/>
          <w:lang w:val="ka-GE"/>
        </w:rPr>
        <w:t xml:space="preserve">; </w:t>
      </w:r>
      <w:r w:rsidR="00286BE9" w:rsidRPr="008E3F50">
        <w:rPr>
          <w:rFonts w:ascii="Sylfaen" w:hAnsi="Sylfaen"/>
          <w:sz w:val="20"/>
          <w:szCs w:val="20"/>
          <w:lang w:val="ka-GE"/>
        </w:rPr>
        <w:t>გეგმიური ქირურგია</w:t>
      </w:r>
      <w:r w:rsidR="00295031" w:rsidRPr="008E3F50">
        <w:rPr>
          <w:rFonts w:ascii="Sylfaen" w:hAnsi="Sylfaen"/>
          <w:sz w:val="20"/>
          <w:szCs w:val="20"/>
          <w:lang w:val="ka-GE"/>
        </w:rPr>
        <w:t xml:space="preserve"> (გარდა კარდიოქირურგიისა)</w:t>
      </w:r>
      <w:bookmarkStart w:id="0" w:name="_GoBack"/>
      <w:bookmarkEnd w:id="0"/>
      <w:r w:rsidR="00286BE9" w:rsidRPr="008E3F50">
        <w:rPr>
          <w:rFonts w:ascii="Sylfaen" w:hAnsi="Sylfaen"/>
          <w:sz w:val="20"/>
          <w:szCs w:val="20"/>
          <w:lang w:val="ka-GE"/>
        </w:rPr>
        <w:t xml:space="preserve"> </w:t>
      </w:r>
      <w:r w:rsidR="00295031" w:rsidRPr="008E3F50">
        <w:rPr>
          <w:rFonts w:ascii="Sylfaen" w:hAnsi="Sylfaen"/>
          <w:sz w:val="20"/>
          <w:szCs w:val="20"/>
          <w:lang w:val="ka-GE"/>
        </w:rPr>
        <w:t>–</w:t>
      </w:r>
      <w:r w:rsidR="00286BE9" w:rsidRPr="008E3F50">
        <w:rPr>
          <w:rFonts w:ascii="Sylfaen" w:hAnsi="Sylfaen"/>
          <w:sz w:val="20"/>
          <w:szCs w:val="20"/>
          <w:lang w:val="ka-GE"/>
        </w:rPr>
        <w:t xml:space="preserve"> </w:t>
      </w:r>
      <w:r w:rsidR="00295031" w:rsidRPr="008E3F50">
        <w:rPr>
          <w:rFonts w:ascii="Sylfaen" w:hAnsi="Sylfaen"/>
          <w:sz w:val="20"/>
          <w:szCs w:val="20"/>
          <w:lang w:val="ka-GE"/>
        </w:rPr>
        <w:t>27 030</w:t>
      </w:r>
      <w:r w:rsidR="00EC2A37" w:rsidRPr="008E3F50">
        <w:rPr>
          <w:rFonts w:ascii="Sylfaen" w:hAnsi="Sylfaen"/>
          <w:sz w:val="20"/>
          <w:szCs w:val="20"/>
          <w:lang w:val="ka-GE"/>
        </w:rPr>
        <w:t>;</w:t>
      </w:r>
      <w:r w:rsidR="00286BE9" w:rsidRPr="008E3F50">
        <w:rPr>
          <w:rFonts w:ascii="Sylfaen" w:hAnsi="Sylfaen"/>
          <w:sz w:val="20"/>
          <w:szCs w:val="20"/>
          <w:lang w:val="ka-GE"/>
        </w:rPr>
        <w:t xml:space="preserve"> კარდიო ქირურგია - </w:t>
      </w:r>
      <w:r w:rsidR="00295031" w:rsidRPr="008E3F50">
        <w:rPr>
          <w:rFonts w:ascii="Sylfaen" w:hAnsi="Sylfaen"/>
          <w:sz w:val="20"/>
          <w:szCs w:val="20"/>
          <w:lang w:val="ka-GE"/>
        </w:rPr>
        <w:t>1 107</w:t>
      </w:r>
      <w:r w:rsidR="00EC2A37" w:rsidRPr="008E3F50">
        <w:rPr>
          <w:rFonts w:ascii="Sylfaen" w:hAnsi="Sylfaen"/>
          <w:sz w:val="20"/>
          <w:szCs w:val="20"/>
          <w:lang w:val="ka-GE"/>
        </w:rPr>
        <w:t>;</w:t>
      </w:r>
      <w:r w:rsidR="00286BE9" w:rsidRPr="008E3F50">
        <w:rPr>
          <w:rFonts w:ascii="Sylfaen" w:hAnsi="Sylfaen"/>
          <w:sz w:val="20"/>
          <w:szCs w:val="20"/>
          <w:lang w:val="ka-GE"/>
        </w:rPr>
        <w:t xml:space="preserve"> ქიმიო-, ჰორმონო- და სხივური თერაპია -</w:t>
      </w:r>
      <w:r w:rsidR="00295031" w:rsidRPr="008E3F50">
        <w:rPr>
          <w:rFonts w:ascii="Sylfaen" w:hAnsi="Sylfaen"/>
          <w:sz w:val="20"/>
          <w:szCs w:val="20"/>
          <w:lang w:val="ka-GE"/>
        </w:rPr>
        <w:t>12 308</w:t>
      </w:r>
      <w:r w:rsidR="00286BE9" w:rsidRPr="008E3F50">
        <w:rPr>
          <w:rFonts w:ascii="Sylfaen" w:hAnsi="Sylfaen"/>
          <w:sz w:val="20"/>
          <w:szCs w:val="20"/>
          <w:lang w:val="ka-GE"/>
        </w:rPr>
        <w:t xml:space="preserve">; მშობიარობა - </w:t>
      </w:r>
      <w:r w:rsidR="00EC2A37" w:rsidRPr="008E3F50">
        <w:rPr>
          <w:rFonts w:ascii="Sylfaen" w:hAnsi="Sylfaen"/>
          <w:sz w:val="20"/>
          <w:szCs w:val="20"/>
          <w:lang w:val="ka-GE"/>
        </w:rPr>
        <w:t>31</w:t>
      </w:r>
      <w:r w:rsidR="00930412" w:rsidRPr="008E3F50">
        <w:rPr>
          <w:rFonts w:ascii="Sylfaen" w:hAnsi="Sylfaen"/>
          <w:sz w:val="20"/>
          <w:szCs w:val="20"/>
          <w:lang w:val="ka-GE"/>
        </w:rPr>
        <w:t> </w:t>
      </w:r>
      <w:r w:rsidR="00295031" w:rsidRPr="008E3F50">
        <w:rPr>
          <w:rFonts w:ascii="Sylfaen" w:hAnsi="Sylfaen"/>
          <w:sz w:val="20"/>
          <w:szCs w:val="20"/>
          <w:lang w:val="ka-GE"/>
        </w:rPr>
        <w:t>867</w:t>
      </w:r>
      <w:r w:rsidR="00930412" w:rsidRPr="008E3F50">
        <w:rPr>
          <w:rFonts w:ascii="Sylfaen" w:hAnsi="Sylfaen"/>
          <w:sz w:val="20"/>
          <w:szCs w:val="20"/>
          <w:lang w:val="ka-GE"/>
        </w:rPr>
        <w:t>;</w:t>
      </w:r>
      <w:r w:rsidR="00286BE9" w:rsidRPr="008E3F50">
        <w:rPr>
          <w:rFonts w:ascii="Sylfaen" w:hAnsi="Sylfaen"/>
          <w:sz w:val="20"/>
          <w:szCs w:val="20"/>
          <w:lang w:val="ka-GE"/>
        </w:rPr>
        <w:t xml:space="preserve"> </w:t>
      </w:r>
    </w:p>
    <w:p w:rsidR="008E3F50" w:rsidRPr="008E3F50" w:rsidRDefault="008E3F50" w:rsidP="008E3F50">
      <w:pPr>
        <w:pStyle w:val="ListParagraph"/>
        <w:rPr>
          <w:rFonts w:ascii="Sylfaen" w:hAnsi="Sylfaen"/>
          <w:sz w:val="20"/>
          <w:szCs w:val="20"/>
          <w:lang w:val="ka-GE"/>
        </w:rPr>
      </w:pPr>
    </w:p>
    <w:p w:rsidR="00B87748" w:rsidRPr="008E3F50" w:rsidRDefault="006A6959" w:rsidP="00295031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bCs/>
          <w:sz w:val="20"/>
          <w:szCs w:val="20"/>
          <w:lang w:val="ka-GE"/>
        </w:rPr>
        <w:t xml:space="preserve">გამოკითხვის შედეგად, საყოველთაო ჯანდაცვის </w:t>
      </w:r>
      <w:r w:rsidR="0014647A" w:rsidRPr="008E3F50">
        <w:rPr>
          <w:rFonts w:ascii="Sylfaen" w:hAnsi="Sylfaen"/>
          <w:bCs/>
          <w:sz w:val="20"/>
          <w:szCs w:val="20"/>
          <w:lang w:val="ka-GE"/>
        </w:rPr>
        <w:t xml:space="preserve">მოსარგებლეების </w:t>
      </w:r>
      <w:r w:rsidR="0014647A" w:rsidRPr="008E3F50">
        <w:rPr>
          <w:rFonts w:ascii="Sylfaen" w:hAnsi="Sylfaen"/>
          <w:b/>
          <w:bCs/>
          <w:sz w:val="20"/>
          <w:szCs w:val="20"/>
          <w:lang w:val="ka-GE"/>
        </w:rPr>
        <w:t xml:space="preserve">აბსოლუტური უმრავლესობა (96.4%) კმაყოფილი ან ძალიან კმაყოფილია </w:t>
      </w:r>
      <w:r w:rsidR="0014647A" w:rsidRPr="008E3F50">
        <w:rPr>
          <w:rFonts w:ascii="Sylfaen" w:hAnsi="Sylfaen"/>
          <w:bCs/>
          <w:sz w:val="20"/>
          <w:szCs w:val="20"/>
          <w:lang w:val="ka-GE"/>
        </w:rPr>
        <w:t xml:space="preserve">ჰოსპიტალური და/ან გადაუდებელი ამბულატორიული მომსახურებით, ხოლო </w:t>
      </w:r>
      <w:r w:rsidR="00836681" w:rsidRPr="008E3F50">
        <w:rPr>
          <w:rFonts w:ascii="Sylfaen" w:hAnsi="Sylfaen"/>
          <w:bCs/>
          <w:sz w:val="20"/>
          <w:szCs w:val="20"/>
          <w:lang w:val="ka-GE"/>
        </w:rPr>
        <w:t xml:space="preserve">მოსარგებლეების </w:t>
      </w:r>
      <w:r w:rsidR="00B87748" w:rsidRPr="008E3F50">
        <w:rPr>
          <w:rFonts w:ascii="Sylfaen" w:hAnsi="Sylfaen"/>
          <w:b/>
          <w:bCs/>
          <w:sz w:val="20"/>
          <w:szCs w:val="20"/>
          <w:lang w:val="ka-GE"/>
        </w:rPr>
        <w:t>80.3%</w:t>
      </w:r>
      <w:r w:rsidR="00836681" w:rsidRPr="008E3F50">
        <w:rPr>
          <w:rFonts w:ascii="Sylfaen" w:hAnsi="Sylfaen"/>
          <w:b/>
          <w:bCs/>
          <w:sz w:val="20"/>
          <w:szCs w:val="20"/>
          <w:lang w:val="ka-GE"/>
        </w:rPr>
        <w:t xml:space="preserve"> კმაყოფილია</w:t>
      </w:r>
      <w:r w:rsidR="00836681" w:rsidRPr="008E3F50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="00B87748" w:rsidRPr="008E3F50">
        <w:rPr>
          <w:rFonts w:ascii="Sylfaen" w:hAnsi="Sylfaen"/>
          <w:b/>
          <w:bCs/>
          <w:sz w:val="20"/>
          <w:szCs w:val="20"/>
          <w:lang w:val="ka-GE"/>
        </w:rPr>
        <w:t xml:space="preserve">ან </w:t>
      </w:r>
      <w:r w:rsidR="00836681" w:rsidRPr="008E3F50">
        <w:rPr>
          <w:rFonts w:ascii="Sylfaen" w:hAnsi="Sylfaen"/>
          <w:b/>
          <w:bCs/>
          <w:sz w:val="20"/>
          <w:szCs w:val="20"/>
          <w:lang w:val="ka-GE"/>
        </w:rPr>
        <w:t>ძალიან კმაყოფილია</w:t>
      </w:r>
      <w:r w:rsidR="00836681" w:rsidRPr="008E3F50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="0014647A" w:rsidRPr="008E3F50">
        <w:rPr>
          <w:rFonts w:ascii="Sylfaen" w:hAnsi="Sylfaen"/>
          <w:bCs/>
          <w:sz w:val="20"/>
          <w:szCs w:val="20"/>
          <w:lang w:val="ka-GE"/>
        </w:rPr>
        <w:t>გეგმიური ამბულატორიული</w:t>
      </w:r>
      <w:r w:rsidR="00836681" w:rsidRPr="008E3F50">
        <w:rPr>
          <w:rFonts w:ascii="Sylfaen" w:hAnsi="Sylfaen"/>
          <w:bCs/>
          <w:sz w:val="20"/>
          <w:szCs w:val="20"/>
          <w:lang w:val="ka-GE"/>
        </w:rPr>
        <w:t xml:space="preserve"> მომსახურებით</w:t>
      </w:r>
      <w:r w:rsidR="00930412" w:rsidRPr="008E3F50">
        <w:rPr>
          <w:rFonts w:ascii="Sylfaen" w:hAnsi="Sylfaen"/>
          <w:bCs/>
          <w:sz w:val="20"/>
          <w:szCs w:val="20"/>
          <w:lang w:val="ka-GE"/>
        </w:rPr>
        <w:t>;</w:t>
      </w:r>
    </w:p>
    <w:p w:rsidR="008E3F50" w:rsidRPr="008E3F50" w:rsidRDefault="008E3F50" w:rsidP="008E3F50">
      <w:pPr>
        <w:pStyle w:val="ListParagraph"/>
        <w:rPr>
          <w:rFonts w:ascii="Sylfaen" w:hAnsi="Sylfaen"/>
          <w:sz w:val="20"/>
          <w:szCs w:val="20"/>
        </w:rPr>
      </w:pPr>
    </w:p>
    <w:p w:rsidR="00B87748" w:rsidRPr="008E3F50" w:rsidRDefault="00D14B68" w:rsidP="00295031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sz w:val="20"/>
          <w:szCs w:val="20"/>
        </w:rPr>
      </w:pPr>
      <w:r w:rsidRPr="008E3F50">
        <w:rPr>
          <w:rFonts w:ascii="Sylfaen" w:hAnsi="Sylfaen"/>
          <w:bCs/>
          <w:sz w:val="20"/>
          <w:szCs w:val="20"/>
          <w:lang w:val="ka-GE"/>
        </w:rPr>
        <w:t>გეგმიური ამბულატორი</w:t>
      </w:r>
      <w:r w:rsidR="00F26B28" w:rsidRPr="008E3F50">
        <w:rPr>
          <w:rFonts w:ascii="Sylfaen" w:hAnsi="Sylfaen"/>
          <w:bCs/>
          <w:sz w:val="20"/>
          <w:szCs w:val="20"/>
          <w:lang w:val="ka-GE"/>
        </w:rPr>
        <w:t xml:space="preserve">ის კომპონენტში გამოკითხულთა </w:t>
      </w:r>
      <w:r w:rsidRPr="008E3F50">
        <w:rPr>
          <w:rFonts w:ascii="Sylfaen" w:hAnsi="Sylfaen"/>
          <w:bCs/>
          <w:sz w:val="20"/>
          <w:szCs w:val="20"/>
          <w:lang w:val="ka-GE"/>
        </w:rPr>
        <w:t>84</w:t>
      </w:r>
      <w:r w:rsidR="00F850CB">
        <w:rPr>
          <w:rFonts w:ascii="Sylfaen" w:hAnsi="Sylfaen"/>
          <w:bCs/>
          <w:sz w:val="20"/>
          <w:szCs w:val="20"/>
          <w:lang w:val="ka-GE"/>
        </w:rPr>
        <w:t>.</w:t>
      </w:r>
      <w:r w:rsidRPr="008E3F50">
        <w:rPr>
          <w:rFonts w:ascii="Sylfaen" w:hAnsi="Sylfaen"/>
          <w:bCs/>
          <w:sz w:val="20"/>
          <w:szCs w:val="20"/>
          <w:lang w:val="ka-GE"/>
        </w:rPr>
        <w:t>1%</w:t>
      </w:r>
      <w:r w:rsidR="00F26B28" w:rsidRPr="008E3F50">
        <w:rPr>
          <w:rFonts w:ascii="Sylfaen" w:hAnsi="Sylfaen"/>
          <w:bCs/>
          <w:sz w:val="20"/>
          <w:szCs w:val="20"/>
          <w:lang w:val="ka-GE"/>
        </w:rPr>
        <w:t xml:space="preserve"> და </w:t>
      </w:r>
      <w:r w:rsidRPr="008E3F50">
        <w:rPr>
          <w:rFonts w:ascii="Sylfaen" w:hAnsi="Sylfaen"/>
          <w:bCs/>
          <w:sz w:val="20"/>
          <w:szCs w:val="20"/>
          <w:lang w:val="ka-GE"/>
        </w:rPr>
        <w:t xml:space="preserve"> გეგმიური ჰოსპიტალზიაცი</w:t>
      </w:r>
      <w:r w:rsidR="00F26B28" w:rsidRPr="008E3F50">
        <w:rPr>
          <w:rFonts w:ascii="Sylfaen" w:hAnsi="Sylfaen"/>
          <w:bCs/>
          <w:sz w:val="20"/>
          <w:szCs w:val="20"/>
          <w:lang w:val="ka-GE"/>
        </w:rPr>
        <w:t xml:space="preserve">ისა და </w:t>
      </w:r>
      <w:r w:rsidRPr="008E3F50">
        <w:rPr>
          <w:rFonts w:ascii="Sylfaen" w:hAnsi="Sylfaen"/>
          <w:bCs/>
          <w:sz w:val="20"/>
          <w:szCs w:val="20"/>
          <w:lang w:val="ka-GE"/>
        </w:rPr>
        <w:t xml:space="preserve">გადაუდებელი </w:t>
      </w:r>
      <w:r w:rsidR="00F26B28" w:rsidRPr="008E3F50">
        <w:rPr>
          <w:rFonts w:ascii="Sylfaen" w:hAnsi="Sylfaen"/>
          <w:bCs/>
          <w:sz w:val="20"/>
          <w:szCs w:val="20"/>
          <w:lang w:val="ka-GE"/>
        </w:rPr>
        <w:t>ამბულატორიის კომპონენტშ</w:t>
      </w:r>
      <w:r w:rsidR="006A6959">
        <w:rPr>
          <w:rFonts w:ascii="Sylfaen" w:hAnsi="Sylfaen"/>
          <w:bCs/>
          <w:sz w:val="20"/>
          <w:szCs w:val="20"/>
          <w:lang w:val="ka-GE"/>
        </w:rPr>
        <w:t>ი</w:t>
      </w:r>
      <w:r w:rsidR="00F26B28" w:rsidRPr="008E3F50">
        <w:rPr>
          <w:rFonts w:ascii="Sylfaen" w:hAnsi="Sylfaen"/>
          <w:bCs/>
          <w:sz w:val="20"/>
          <w:szCs w:val="20"/>
          <w:lang w:val="ka-GE"/>
        </w:rPr>
        <w:t xml:space="preserve"> რესპონდენტთა 78.2% აღნიშნავს, რომ  </w:t>
      </w:r>
      <w:r w:rsidR="00F26B28" w:rsidRPr="008E3F50">
        <w:rPr>
          <w:rFonts w:ascii="Sylfaen" w:hAnsi="Sylfaen"/>
          <w:b/>
          <w:bCs/>
          <w:sz w:val="20"/>
          <w:szCs w:val="20"/>
          <w:lang w:val="ka-GE"/>
        </w:rPr>
        <w:t xml:space="preserve">საყოველთაო ჯანდაცვის პროგრამის ყველაზე დადებითი მხარეს წარმოადგენს მოსახლეობის ფინანსური მხარდაჭერა. </w:t>
      </w:r>
      <w:r w:rsidR="00F26B28" w:rsidRPr="008E3F50">
        <w:rPr>
          <w:rFonts w:ascii="Sylfaen" w:hAnsi="Sylfaen"/>
          <w:bCs/>
          <w:sz w:val="20"/>
          <w:szCs w:val="20"/>
          <w:lang w:val="ka-GE"/>
        </w:rPr>
        <w:t>ასევე მოსარგებლეთა უმრავლესობა მიუთითებს</w:t>
      </w:r>
      <w:r w:rsidR="00F26B28" w:rsidRPr="008E3F50">
        <w:rPr>
          <w:rFonts w:ascii="Sylfaen" w:hAnsi="Sylfaen"/>
          <w:b/>
          <w:bCs/>
          <w:sz w:val="20"/>
          <w:szCs w:val="20"/>
          <w:lang w:val="ka-GE"/>
        </w:rPr>
        <w:t xml:space="preserve"> თავისუფალი არჩევანის უფლებაზე</w:t>
      </w:r>
      <w:r w:rsidR="00F26B28" w:rsidRPr="008E3F50">
        <w:rPr>
          <w:rFonts w:ascii="Sylfaen" w:hAnsi="Sylfaen"/>
          <w:bCs/>
          <w:sz w:val="20"/>
          <w:szCs w:val="20"/>
          <w:lang w:val="ka-GE"/>
        </w:rPr>
        <w:t>, როგორც საყოველთაო ჯანდაცვის პროგრამის ერთ-ერთ მთავარ დადებით მხარეზე</w:t>
      </w:r>
      <w:r w:rsidR="00295031" w:rsidRPr="008E3F50">
        <w:rPr>
          <w:rFonts w:ascii="Sylfaen" w:hAnsi="Sylfaen"/>
          <w:bCs/>
          <w:sz w:val="20"/>
          <w:szCs w:val="20"/>
          <w:lang w:val="ka-GE"/>
        </w:rPr>
        <w:t>;</w:t>
      </w:r>
    </w:p>
    <w:p w:rsidR="008E3F50" w:rsidRPr="008E3F50" w:rsidRDefault="008E3F50" w:rsidP="008E3F50">
      <w:pPr>
        <w:pStyle w:val="ListParagraph"/>
        <w:rPr>
          <w:rFonts w:ascii="Sylfaen" w:hAnsi="Sylfaen"/>
          <w:sz w:val="20"/>
          <w:szCs w:val="20"/>
        </w:rPr>
      </w:pPr>
    </w:p>
    <w:p w:rsidR="00F26B28" w:rsidRPr="008E3F50" w:rsidRDefault="00F26B28" w:rsidP="00295031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sz w:val="20"/>
          <w:szCs w:val="20"/>
          <w:lang w:val="ka-GE"/>
        </w:rPr>
      </w:pPr>
      <w:r w:rsidRPr="008E3F50">
        <w:rPr>
          <w:rFonts w:ascii="Sylfaen" w:hAnsi="Sylfaen"/>
          <w:sz w:val="20"/>
          <w:szCs w:val="20"/>
          <w:lang w:val="ka-GE"/>
        </w:rPr>
        <w:t xml:space="preserve">გამოკითხით </w:t>
      </w:r>
      <w:r w:rsidRPr="008E3F50">
        <w:rPr>
          <w:rFonts w:ascii="Sylfaen" w:hAnsi="Sylfaen"/>
          <w:b/>
          <w:sz w:val="20"/>
          <w:szCs w:val="20"/>
          <w:lang w:val="ka-GE"/>
        </w:rPr>
        <w:t xml:space="preserve">ნათელია, რომ </w:t>
      </w:r>
      <w:r w:rsidR="00B87748" w:rsidRPr="008E3F50">
        <w:rPr>
          <w:rFonts w:ascii="Sylfaen" w:hAnsi="Sylfaen"/>
          <w:b/>
          <w:sz w:val="20"/>
          <w:szCs w:val="20"/>
          <w:lang w:val="ka-GE"/>
        </w:rPr>
        <w:t xml:space="preserve">საყოველთაო ჯანდაცვის პროგრამის ამოქმედებამ გაზარდა </w:t>
      </w:r>
      <w:r w:rsidRPr="008E3F50">
        <w:rPr>
          <w:rFonts w:ascii="Sylfaen" w:hAnsi="Sylfaen"/>
          <w:b/>
          <w:sz w:val="20"/>
          <w:szCs w:val="20"/>
          <w:lang w:val="ka-GE"/>
        </w:rPr>
        <w:t xml:space="preserve">სამედიცინო სერვისების </w:t>
      </w:r>
      <w:r w:rsidR="00B87748" w:rsidRPr="008E3F50">
        <w:rPr>
          <w:rFonts w:ascii="Sylfaen" w:hAnsi="Sylfaen"/>
          <w:b/>
          <w:sz w:val="20"/>
          <w:szCs w:val="20"/>
          <w:lang w:val="ka-GE"/>
        </w:rPr>
        <w:t>ფინანსური ხელმისაწვდომობა,</w:t>
      </w:r>
      <w:r w:rsidR="00B87748" w:rsidRPr="008E3F50">
        <w:rPr>
          <w:rFonts w:ascii="Sylfaen" w:hAnsi="Sylfaen"/>
          <w:sz w:val="20"/>
          <w:szCs w:val="20"/>
          <w:lang w:val="ka-GE"/>
        </w:rPr>
        <w:t xml:space="preserve"> </w:t>
      </w:r>
      <w:r w:rsidRPr="008E3F50">
        <w:rPr>
          <w:rFonts w:ascii="Sylfaen" w:hAnsi="Sylfaen"/>
          <w:b/>
          <w:sz w:val="20"/>
          <w:szCs w:val="20"/>
          <w:lang w:val="ka-GE"/>
        </w:rPr>
        <w:t xml:space="preserve">თუმცა </w:t>
      </w:r>
      <w:r w:rsidR="00B63101" w:rsidRPr="008E3F50">
        <w:rPr>
          <w:rFonts w:ascii="Sylfaen" w:hAnsi="Sylfaen"/>
          <w:b/>
          <w:sz w:val="20"/>
          <w:szCs w:val="20"/>
          <w:lang w:val="ka-GE"/>
        </w:rPr>
        <w:t xml:space="preserve">2014 წლის სექტემბრისთვის დასრულდება </w:t>
      </w:r>
      <w:r w:rsidRPr="008E3F50">
        <w:rPr>
          <w:rFonts w:ascii="Sylfaen" w:hAnsi="Sylfaen"/>
          <w:b/>
          <w:sz w:val="20"/>
          <w:szCs w:val="20"/>
          <w:lang w:val="ka-GE"/>
        </w:rPr>
        <w:t xml:space="preserve">სრულმასშტაბიანი </w:t>
      </w:r>
      <w:r w:rsidR="00B63101" w:rsidRPr="008E3F50">
        <w:rPr>
          <w:rFonts w:ascii="Sylfaen" w:hAnsi="Sylfaen"/>
          <w:b/>
          <w:sz w:val="20"/>
          <w:szCs w:val="20"/>
          <w:lang w:val="ka-GE"/>
        </w:rPr>
        <w:t>შეფასება</w:t>
      </w:r>
      <w:r w:rsidR="00B63101" w:rsidRPr="008E3F50">
        <w:rPr>
          <w:rFonts w:ascii="Sylfaen" w:hAnsi="Sylfaen"/>
          <w:sz w:val="20"/>
          <w:szCs w:val="20"/>
          <w:lang w:val="ka-GE"/>
        </w:rPr>
        <w:t xml:space="preserve"> ჯანდაცვის უტილიზაციისა და შინამეურნეობების დანახარჯების კვლევით</w:t>
      </w:r>
      <w:r w:rsidR="00B63101" w:rsidRPr="008E3F50">
        <w:rPr>
          <w:rFonts w:ascii="Sylfaen" w:hAnsi="Sylfaen"/>
          <w:sz w:val="20"/>
          <w:szCs w:val="20"/>
        </w:rPr>
        <w:t xml:space="preserve"> (HUES)</w:t>
      </w:r>
      <w:r w:rsidR="00B63101" w:rsidRPr="008E3F50">
        <w:rPr>
          <w:rFonts w:ascii="Sylfaen" w:hAnsi="Sylfaen"/>
          <w:sz w:val="20"/>
          <w:szCs w:val="20"/>
          <w:lang w:val="ka-GE"/>
        </w:rPr>
        <w:t xml:space="preserve">. კვლევა, რომელიც ასევე საერთასორისო ორგანიზაციების </w:t>
      </w:r>
      <w:r w:rsidRPr="008E3F50">
        <w:rPr>
          <w:rFonts w:ascii="Sylfaen" w:hAnsi="Sylfaen"/>
          <w:sz w:val="20"/>
          <w:szCs w:val="20"/>
          <w:lang w:val="ka-GE"/>
        </w:rPr>
        <w:t xml:space="preserve">აქტიური </w:t>
      </w:r>
      <w:r w:rsidR="00B63101" w:rsidRPr="008E3F50">
        <w:rPr>
          <w:rFonts w:ascii="Sylfaen" w:hAnsi="Sylfaen"/>
          <w:sz w:val="20"/>
          <w:szCs w:val="20"/>
          <w:lang w:val="ka-GE"/>
        </w:rPr>
        <w:t xml:space="preserve">მხარდაჭერით </w:t>
      </w:r>
      <w:r w:rsidRPr="008E3F50">
        <w:rPr>
          <w:rFonts w:ascii="Sylfaen" w:hAnsi="Sylfaen"/>
          <w:sz w:val="20"/>
          <w:szCs w:val="20"/>
          <w:lang w:val="ka-GE"/>
        </w:rPr>
        <w:t>განხორციელდება</w:t>
      </w:r>
      <w:r w:rsidR="00B63101" w:rsidRPr="008E3F50">
        <w:rPr>
          <w:rFonts w:ascii="Sylfaen" w:hAnsi="Sylfaen"/>
          <w:sz w:val="20"/>
          <w:szCs w:val="20"/>
          <w:lang w:val="ka-GE"/>
        </w:rPr>
        <w:t xml:space="preserve"> ზუსტად გამოავლენს </w:t>
      </w:r>
      <w:r w:rsidR="00B63101" w:rsidRPr="008E3F50">
        <w:rPr>
          <w:rFonts w:ascii="Sylfaen" w:hAnsi="Sylfaen"/>
          <w:b/>
          <w:sz w:val="20"/>
          <w:szCs w:val="20"/>
          <w:lang w:val="ka-GE"/>
        </w:rPr>
        <w:t>რამდენად შემცირდა მთავარი მაჩვენებელი - ჯანდაცვაზე 70%-იანი ჯიბიდან გადახდებ</w:t>
      </w:r>
      <w:r w:rsidR="00181C72" w:rsidRPr="008E3F50">
        <w:rPr>
          <w:rFonts w:ascii="Sylfaen" w:hAnsi="Sylfaen"/>
          <w:b/>
          <w:sz w:val="20"/>
          <w:szCs w:val="20"/>
          <w:lang w:val="ka-GE"/>
        </w:rPr>
        <w:t>ა</w:t>
      </w:r>
      <w:r w:rsidR="00B63101" w:rsidRPr="008E3F50">
        <w:rPr>
          <w:rFonts w:ascii="Sylfaen" w:hAnsi="Sylfaen"/>
          <w:b/>
          <w:sz w:val="20"/>
          <w:szCs w:val="20"/>
          <w:lang w:val="ka-GE"/>
        </w:rPr>
        <w:t>,</w:t>
      </w:r>
      <w:r w:rsidR="00B63101" w:rsidRPr="008E3F50">
        <w:rPr>
          <w:rFonts w:ascii="Sylfaen" w:hAnsi="Sylfaen"/>
          <w:sz w:val="20"/>
          <w:szCs w:val="20"/>
          <w:lang w:val="ka-GE"/>
        </w:rPr>
        <w:t xml:space="preserve"> ანუ რამდენად შეუმცირდა მოსახლეობას ჯანდაცვაზე ფინანსური ტვირთი</w:t>
      </w:r>
      <w:r w:rsidR="00295031" w:rsidRPr="008E3F50">
        <w:rPr>
          <w:rFonts w:ascii="Sylfaen" w:hAnsi="Sylfaen"/>
          <w:sz w:val="20"/>
          <w:szCs w:val="20"/>
          <w:lang w:val="ka-GE"/>
        </w:rPr>
        <w:t>;</w:t>
      </w:r>
      <w:r w:rsidR="00B63101" w:rsidRPr="008E3F50">
        <w:rPr>
          <w:rFonts w:ascii="Sylfaen" w:hAnsi="Sylfaen"/>
          <w:sz w:val="20"/>
          <w:szCs w:val="20"/>
          <w:lang w:val="ka-GE"/>
        </w:rPr>
        <w:t xml:space="preserve"> </w:t>
      </w:r>
    </w:p>
    <w:p w:rsidR="008E3F50" w:rsidRPr="008E3F50" w:rsidRDefault="008E3F50" w:rsidP="008E3F50">
      <w:pPr>
        <w:pStyle w:val="ListParagraph"/>
        <w:rPr>
          <w:rFonts w:ascii="Sylfaen" w:hAnsi="Sylfaen"/>
          <w:sz w:val="20"/>
          <w:szCs w:val="20"/>
          <w:lang w:val="ka-GE"/>
        </w:rPr>
      </w:pPr>
    </w:p>
    <w:p w:rsidR="00B87748" w:rsidRPr="008E3F50" w:rsidRDefault="002C0238" w:rsidP="00295031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sz w:val="20"/>
          <w:szCs w:val="20"/>
        </w:rPr>
      </w:pPr>
      <w:r w:rsidRPr="008E3F50">
        <w:rPr>
          <w:rFonts w:ascii="Sylfaen" w:hAnsi="Sylfaen"/>
          <w:bCs/>
          <w:sz w:val="20"/>
          <w:szCs w:val="20"/>
          <w:lang w:val="ka-GE"/>
        </w:rPr>
        <w:t xml:space="preserve">მომსახურების ცალკეული კომპონენტებით კმაყოფილების შეფასებამ </w:t>
      </w:r>
      <w:r w:rsidR="00B63101" w:rsidRPr="008E3F50">
        <w:rPr>
          <w:rFonts w:ascii="Sylfaen" w:hAnsi="Sylfaen"/>
          <w:bCs/>
          <w:sz w:val="20"/>
          <w:szCs w:val="20"/>
          <w:lang w:val="ka-GE"/>
        </w:rPr>
        <w:t xml:space="preserve">ამასთანავე </w:t>
      </w:r>
      <w:r w:rsidRPr="008E3F50">
        <w:rPr>
          <w:rFonts w:ascii="Sylfaen" w:hAnsi="Sylfaen"/>
          <w:bCs/>
          <w:sz w:val="20"/>
          <w:szCs w:val="20"/>
          <w:lang w:val="ka-GE"/>
        </w:rPr>
        <w:t xml:space="preserve">აჩვენა, რომ </w:t>
      </w:r>
      <w:r w:rsidRPr="008E3F50">
        <w:rPr>
          <w:rFonts w:ascii="Sylfaen" w:hAnsi="Sylfaen"/>
          <w:b/>
          <w:bCs/>
          <w:sz w:val="20"/>
          <w:szCs w:val="20"/>
          <w:lang w:val="ka-GE"/>
        </w:rPr>
        <w:t>უკმაყოფილების ყველაზე მაღალი მაჩვენებელი  (7.6%)</w:t>
      </w:r>
      <w:r w:rsidR="001809F5" w:rsidRPr="008E3F50">
        <w:rPr>
          <w:rFonts w:ascii="Sylfaen" w:hAnsi="Sylfaen"/>
          <w:b/>
          <w:bCs/>
          <w:sz w:val="20"/>
          <w:szCs w:val="20"/>
          <w:lang w:val="ka-GE"/>
        </w:rPr>
        <w:t xml:space="preserve"> </w:t>
      </w:r>
      <w:r w:rsidRPr="008E3F50">
        <w:rPr>
          <w:rFonts w:ascii="Sylfaen" w:hAnsi="Sylfaen"/>
          <w:b/>
          <w:bCs/>
          <w:sz w:val="20"/>
          <w:szCs w:val="20"/>
          <w:lang w:val="ka-GE"/>
        </w:rPr>
        <w:t xml:space="preserve">”სასურველი მომსახურების მიღებამდე ლოდინის პერიოდის ხანგრძლოვობაზე” </w:t>
      </w:r>
      <w:r w:rsidRPr="008E3F50">
        <w:rPr>
          <w:rFonts w:ascii="Sylfaen" w:hAnsi="Sylfaen"/>
          <w:bCs/>
          <w:sz w:val="20"/>
          <w:szCs w:val="20"/>
          <w:lang w:val="ka-GE"/>
        </w:rPr>
        <w:t>მოდის</w:t>
      </w:r>
      <w:r w:rsidR="00295031" w:rsidRPr="008E3F50">
        <w:rPr>
          <w:rFonts w:ascii="Sylfaen" w:hAnsi="Sylfaen"/>
          <w:bCs/>
          <w:sz w:val="20"/>
          <w:szCs w:val="20"/>
          <w:lang w:val="ka-GE"/>
        </w:rPr>
        <w:t>;</w:t>
      </w:r>
      <w:r w:rsidR="00F26B28" w:rsidRPr="008E3F50">
        <w:rPr>
          <w:rFonts w:ascii="Sylfaen" w:hAnsi="Sylfaen"/>
          <w:bCs/>
          <w:sz w:val="20"/>
          <w:szCs w:val="20"/>
          <w:lang w:val="ka-GE"/>
        </w:rPr>
        <w:t xml:space="preserve"> </w:t>
      </w:r>
    </w:p>
    <w:p w:rsidR="008E3F50" w:rsidRPr="008E3F50" w:rsidRDefault="008E3F50" w:rsidP="008E3F50">
      <w:pPr>
        <w:pStyle w:val="ListParagraph"/>
        <w:rPr>
          <w:rFonts w:ascii="Sylfaen" w:hAnsi="Sylfaen"/>
          <w:sz w:val="20"/>
          <w:szCs w:val="20"/>
        </w:rPr>
      </w:pPr>
    </w:p>
    <w:p w:rsidR="00B87748" w:rsidRPr="008E3F50" w:rsidRDefault="001809F5" w:rsidP="00295031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sz w:val="20"/>
          <w:szCs w:val="20"/>
        </w:rPr>
      </w:pPr>
      <w:r w:rsidRPr="008E3F50">
        <w:rPr>
          <w:rFonts w:ascii="Sylfaen" w:hAnsi="Sylfaen"/>
          <w:b/>
          <w:bCs/>
          <w:sz w:val="20"/>
          <w:szCs w:val="20"/>
          <w:lang w:val="ka-GE"/>
        </w:rPr>
        <w:t>პროგრამის</w:t>
      </w:r>
      <w:r w:rsidR="00B63101" w:rsidRPr="008E3F50">
        <w:rPr>
          <w:rFonts w:ascii="Sylfaen" w:hAnsi="Sylfaen"/>
          <w:b/>
          <w:bCs/>
          <w:sz w:val="20"/>
          <w:szCs w:val="20"/>
          <w:lang w:val="ka-GE"/>
        </w:rPr>
        <w:t>ა</w:t>
      </w:r>
      <w:r w:rsidRPr="008E3F50">
        <w:rPr>
          <w:rFonts w:ascii="Sylfaen" w:hAnsi="Sylfaen"/>
          <w:b/>
          <w:bCs/>
          <w:sz w:val="20"/>
          <w:szCs w:val="20"/>
          <w:lang w:val="ka-GE"/>
        </w:rPr>
        <w:t xml:space="preserve">თვის მედიკამენტების </w:t>
      </w:r>
      <w:r w:rsidRPr="008E3F50">
        <w:rPr>
          <w:rFonts w:ascii="Sylfaen" w:hAnsi="Sylfaen"/>
          <w:bCs/>
          <w:sz w:val="20"/>
          <w:szCs w:val="20"/>
          <w:lang w:val="ka-GE"/>
        </w:rPr>
        <w:t>ანაზღაურების კომპონენტის</w:t>
      </w:r>
      <w:r w:rsidRPr="008E3F50">
        <w:rPr>
          <w:rFonts w:ascii="Sylfaen" w:hAnsi="Sylfaen"/>
          <w:b/>
          <w:bCs/>
          <w:sz w:val="20"/>
          <w:szCs w:val="20"/>
          <w:lang w:val="ka-GE"/>
        </w:rPr>
        <w:t xml:space="preserve"> დამატების სურვილი გამოთქვა გეგმიური ამბულატორიის სერვისების კომპონენტით გამოკითხულთა 78%-მა და სტაციონარული სერვისების კომპონენტით გამოკითხულთა 60%-მა;</w:t>
      </w:r>
    </w:p>
    <w:p w:rsidR="008E3F50" w:rsidRPr="008E3F50" w:rsidRDefault="008E3F50" w:rsidP="008E3F50">
      <w:pPr>
        <w:pStyle w:val="ListParagraph"/>
        <w:rPr>
          <w:rFonts w:ascii="Sylfaen" w:hAnsi="Sylfaen"/>
          <w:sz w:val="20"/>
          <w:szCs w:val="20"/>
        </w:rPr>
      </w:pPr>
    </w:p>
    <w:p w:rsidR="00B87748" w:rsidRPr="008E3F50" w:rsidRDefault="00B87748" w:rsidP="00295031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sz w:val="20"/>
          <w:szCs w:val="20"/>
        </w:rPr>
      </w:pPr>
      <w:r w:rsidRPr="008E3F50">
        <w:rPr>
          <w:rFonts w:ascii="Sylfaen" w:hAnsi="Sylfaen"/>
          <w:b/>
          <w:sz w:val="20"/>
          <w:szCs w:val="20"/>
          <w:lang w:val="ka-GE"/>
        </w:rPr>
        <w:t>აღნიშნული რეკომენდაციები საფუძვლად დაედება საყოველთაო ჯანდაცვის შემდეგი განვითარების პროცესს,</w:t>
      </w:r>
      <w:r w:rsidRPr="008E3F50">
        <w:rPr>
          <w:rFonts w:ascii="Sylfaen" w:hAnsi="Sylfaen"/>
          <w:sz w:val="20"/>
          <w:szCs w:val="20"/>
          <w:lang w:val="ka-GE"/>
        </w:rPr>
        <w:t xml:space="preserve"> რომელიც ასევე მთავარ საერთაშორისო პარტნიორ ორგანიზაციებთან ერთად განხორციელდება. </w:t>
      </w:r>
    </w:p>
    <w:sectPr w:rsidR="00B87748" w:rsidRPr="008E3F50" w:rsidSect="008E3F50">
      <w:pgSz w:w="12240" w:h="15840"/>
      <w:pgMar w:top="709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E0E" w:rsidRDefault="00C05E0E" w:rsidP="00700B0F">
      <w:pPr>
        <w:spacing w:after="0" w:line="240" w:lineRule="auto"/>
      </w:pPr>
      <w:r>
        <w:separator/>
      </w:r>
    </w:p>
  </w:endnote>
  <w:endnote w:type="continuationSeparator" w:id="0">
    <w:p w:rsidR="00C05E0E" w:rsidRDefault="00C05E0E" w:rsidP="00700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E0E" w:rsidRDefault="00C05E0E" w:rsidP="00700B0F">
      <w:pPr>
        <w:spacing w:after="0" w:line="240" w:lineRule="auto"/>
      </w:pPr>
      <w:r>
        <w:separator/>
      </w:r>
    </w:p>
  </w:footnote>
  <w:footnote w:type="continuationSeparator" w:id="0">
    <w:p w:rsidR="00C05E0E" w:rsidRDefault="00C05E0E" w:rsidP="00700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B4736"/>
    <w:multiLevelType w:val="hybridMultilevel"/>
    <w:tmpl w:val="106C6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D5EA0"/>
    <w:multiLevelType w:val="hybridMultilevel"/>
    <w:tmpl w:val="B3FEA160"/>
    <w:lvl w:ilvl="0" w:tplc="757EFD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6C6B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941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E6C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26C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1AA4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90EF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B6F1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588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1813F15"/>
    <w:multiLevelType w:val="hybridMultilevel"/>
    <w:tmpl w:val="8BEC5E9A"/>
    <w:lvl w:ilvl="0" w:tplc="9C0AD8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AEF4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1CF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4CB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2E7A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08D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D60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98E5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4E4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8187C56"/>
    <w:multiLevelType w:val="hybridMultilevel"/>
    <w:tmpl w:val="9E06F720"/>
    <w:lvl w:ilvl="0" w:tplc="0B5E5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FC5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D4D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042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E21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3A81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E1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28C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E66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5E73606"/>
    <w:multiLevelType w:val="hybridMultilevel"/>
    <w:tmpl w:val="9F8E9D26"/>
    <w:lvl w:ilvl="0" w:tplc="331E6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2CC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764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123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328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2CC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E8A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129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8F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BCA"/>
    <w:rsid w:val="000549E6"/>
    <w:rsid w:val="000A03F5"/>
    <w:rsid w:val="0014647A"/>
    <w:rsid w:val="0014741B"/>
    <w:rsid w:val="00162503"/>
    <w:rsid w:val="00171B17"/>
    <w:rsid w:val="001809F5"/>
    <w:rsid w:val="00181C72"/>
    <w:rsid w:val="001C24A0"/>
    <w:rsid w:val="00286BE9"/>
    <w:rsid w:val="00295031"/>
    <w:rsid w:val="002C0238"/>
    <w:rsid w:val="00307BD7"/>
    <w:rsid w:val="003138B5"/>
    <w:rsid w:val="00363C47"/>
    <w:rsid w:val="003E4D6A"/>
    <w:rsid w:val="004465D0"/>
    <w:rsid w:val="004871EB"/>
    <w:rsid w:val="004A6771"/>
    <w:rsid w:val="004B0864"/>
    <w:rsid w:val="004D6CE9"/>
    <w:rsid w:val="00513DAE"/>
    <w:rsid w:val="005531FB"/>
    <w:rsid w:val="005E6D9B"/>
    <w:rsid w:val="006372CD"/>
    <w:rsid w:val="006A6959"/>
    <w:rsid w:val="006B1B5B"/>
    <w:rsid w:val="00700B0F"/>
    <w:rsid w:val="00786E2D"/>
    <w:rsid w:val="007C6AAE"/>
    <w:rsid w:val="00836681"/>
    <w:rsid w:val="00851F51"/>
    <w:rsid w:val="008E3F50"/>
    <w:rsid w:val="00930412"/>
    <w:rsid w:val="00963C5C"/>
    <w:rsid w:val="00AA0E2A"/>
    <w:rsid w:val="00AD6CD3"/>
    <w:rsid w:val="00AD7943"/>
    <w:rsid w:val="00B63101"/>
    <w:rsid w:val="00B87748"/>
    <w:rsid w:val="00BA2030"/>
    <w:rsid w:val="00BC4232"/>
    <w:rsid w:val="00BD1131"/>
    <w:rsid w:val="00C05E0E"/>
    <w:rsid w:val="00C36E1B"/>
    <w:rsid w:val="00C65BCA"/>
    <w:rsid w:val="00C95046"/>
    <w:rsid w:val="00CB33F5"/>
    <w:rsid w:val="00D10811"/>
    <w:rsid w:val="00D14B68"/>
    <w:rsid w:val="00D84BFE"/>
    <w:rsid w:val="00DB40DF"/>
    <w:rsid w:val="00E90765"/>
    <w:rsid w:val="00EC2A37"/>
    <w:rsid w:val="00EF34EC"/>
    <w:rsid w:val="00F26B28"/>
    <w:rsid w:val="00F850CB"/>
    <w:rsid w:val="00FE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700B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700B0F"/>
    <w:pPr>
      <w:spacing w:before="40" w:after="40" w:line="240" w:lineRule="auto"/>
    </w:pPr>
    <w:rPr>
      <w:rFonts w:ascii="Garamond" w:eastAsia="MS Mincho" w:hAnsi="Garamond"/>
      <w:kern w:val="21"/>
      <w:sz w:val="18"/>
      <w:szCs w:val="18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0B0F"/>
    <w:rPr>
      <w:rFonts w:ascii="Garamond" w:eastAsia="MS Mincho" w:hAnsi="Garamond"/>
      <w:kern w:val="21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363C47"/>
    <w:pPr>
      <w:ind w:left="720"/>
      <w:contextualSpacing/>
    </w:pPr>
  </w:style>
  <w:style w:type="table" w:styleId="TableGrid">
    <w:name w:val="Table Grid"/>
    <w:basedOn w:val="TableNormal"/>
    <w:uiPriority w:val="59"/>
    <w:rsid w:val="00F26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700B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700B0F"/>
    <w:pPr>
      <w:spacing w:before="40" w:after="40" w:line="240" w:lineRule="auto"/>
    </w:pPr>
    <w:rPr>
      <w:rFonts w:ascii="Garamond" w:eastAsia="MS Mincho" w:hAnsi="Garamond"/>
      <w:kern w:val="21"/>
      <w:sz w:val="18"/>
      <w:szCs w:val="18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00B0F"/>
    <w:rPr>
      <w:rFonts w:ascii="Garamond" w:eastAsia="MS Mincho" w:hAnsi="Garamond"/>
      <w:kern w:val="21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363C47"/>
    <w:pPr>
      <w:ind w:left="720"/>
      <w:contextualSpacing/>
    </w:pPr>
  </w:style>
  <w:style w:type="table" w:styleId="TableGrid">
    <w:name w:val="Table Grid"/>
    <w:basedOn w:val="TableNormal"/>
    <w:uiPriority w:val="59"/>
    <w:rsid w:val="00F26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Mariam Jashi</cp:lastModifiedBy>
  <cp:revision>6</cp:revision>
  <dcterms:created xsi:type="dcterms:W3CDTF">2014-05-07T13:41:00Z</dcterms:created>
  <dcterms:modified xsi:type="dcterms:W3CDTF">2014-05-07T15:09:00Z</dcterms:modified>
</cp:coreProperties>
</file>