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18E5" w:rsidRPr="007B6FDB" w:rsidRDefault="00BC32D8" w:rsidP="00BC32D8">
      <w:pPr>
        <w:jc w:val="right"/>
        <w:rPr>
          <w:rFonts w:ascii="Sylfaen" w:hAnsi="Sylfaen"/>
          <w:b/>
          <w:lang w:val="ka-GE"/>
        </w:rPr>
      </w:pPr>
      <w:r w:rsidRPr="00BC32D8">
        <w:rPr>
          <w:rFonts w:ascii="Sylfaen" w:hAnsi="Sylfaen"/>
          <w:b/>
          <w:noProof/>
        </w:rPr>
        <w:drawing>
          <wp:inline distT="0" distB="0" distL="0" distR="0">
            <wp:extent cx="1114425" cy="476250"/>
            <wp:effectExtent l="19050" t="0" r="9525" b="0"/>
            <wp:docPr id="4" name="Picture 1" descr="C:\Users\user\Desktop\logoebi\Moh Logo Geo.jpg"/>
            <wp:cNvGraphicFramePr/>
            <a:graphic xmlns:a="http://schemas.openxmlformats.org/drawingml/2006/main">
              <a:graphicData uri="http://schemas.openxmlformats.org/drawingml/2006/picture">
                <pic:pic xmlns:pic="http://schemas.openxmlformats.org/drawingml/2006/picture">
                  <pic:nvPicPr>
                    <pic:cNvPr id="0" name="Picture 4" descr="C:\Users\user\Desktop\logoebi\Moh Logo Geo.jpg"/>
                    <pic:cNvPicPr>
                      <a:picLocks noChangeAspect="1" noChangeArrowheads="1"/>
                    </pic:cNvPicPr>
                  </pic:nvPicPr>
                  <pic:blipFill>
                    <a:blip r:embed="rId6" cstate="print"/>
                    <a:srcRect/>
                    <a:stretch>
                      <a:fillRect/>
                    </a:stretch>
                  </pic:blipFill>
                  <pic:spPr bwMode="auto">
                    <a:xfrm>
                      <a:off x="0" y="0"/>
                      <a:ext cx="1114556" cy="476306"/>
                    </a:xfrm>
                    <a:prstGeom prst="rect">
                      <a:avLst/>
                    </a:prstGeom>
                    <a:noFill/>
                    <a:ln w="9525">
                      <a:noFill/>
                      <a:miter lim="800000"/>
                      <a:headEnd/>
                      <a:tailEnd/>
                    </a:ln>
                  </pic:spPr>
                </pic:pic>
              </a:graphicData>
            </a:graphic>
          </wp:inline>
        </w:drawing>
      </w:r>
      <w:r>
        <w:rPr>
          <w:rFonts w:ascii="Sylfaen" w:hAnsi="Sylfaen"/>
          <w:b/>
          <w:lang w:val="ka-GE"/>
        </w:rPr>
        <w:t xml:space="preserve">                                                                                                   </w:t>
      </w:r>
      <w:r w:rsidRPr="00BC32D8">
        <w:rPr>
          <w:rFonts w:ascii="Sylfaen" w:hAnsi="Sylfaen"/>
          <w:b/>
          <w:noProof/>
        </w:rPr>
        <w:drawing>
          <wp:inline distT="0" distB="0" distL="0" distR="0">
            <wp:extent cx="704850" cy="533400"/>
            <wp:effectExtent l="19050" t="0" r="0" b="0"/>
            <wp:docPr id="2" name="Picture 1" descr="C:\Users\user\Desktop\NCDC gamchvirvale new.png"/>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srcRect/>
                    <a:stretch>
                      <a:fillRect/>
                    </a:stretch>
                  </pic:blipFill>
                  <pic:spPr bwMode="auto">
                    <a:xfrm>
                      <a:off x="0" y="0"/>
                      <a:ext cx="704850" cy="533400"/>
                    </a:xfrm>
                    <a:prstGeom prst="rect">
                      <a:avLst/>
                    </a:prstGeom>
                    <a:noFill/>
                    <a:ln w="9525">
                      <a:noFill/>
                      <a:miter lim="800000"/>
                      <a:headEnd/>
                      <a:tailEnd/>
                    </a:ln>
                  </pic:spPr>
                </pic:pic>
              </a:graphicData>
            </a:graphic>
          </wp:inline>
        </w:drawing>
      </w:r>
    </w:p>
    <w:p w:rsidR="008D18E5" w:rsidRDefault="008D18E5" w:rsidP="00F74A2D">
      <w:pPr>
        <w:jc w:val="center"/>
        <w:rPr>
          <w:rFonts w:ascii="Sylfaen" w:hAnsi="Sylfaen"/>
          <w:b/>
          <w:spacing w:val="80"/>
          <w:sz w:val="24"/>
          <w:lang w:val="ka-GE"/>
        </w:rPr>
      </w:pPr>
      <w:r w:rsidRPr="00F61F69">
        <w:rPr>
          <w:rFonts w:ascii="Sylfaen" w:hAnsi="Sylfaen"/>
          <w:b/>
          <w:spacing w:val="80"/>
          <w:sz w:val="24"/>
          <w:lang w:val="ka-GE"/>
        </w:rPr>
        <w:t>პრესრელიზი</w:t>
      </w:r>
    </w:p>
    <w:p w:rsidR="00A54532" w:rsidRDefault="00634FB6" w:rsidP="00F74A2D">
      <w:pPr>
        <w:pStyle w:val="ListParagraph"/>
        <w:spacing w:after="120" w:line="240" w:lineRule="auto"/>
        <w:ind w:left="0"/>
        <w:jc w:val="both"/>
        <w:rPr>
          <w:rFonts w:ascii="Sylfaen" w:hAnsi="Sylfaen"/>
          <w:lang w:val="ka-GE"/>
        </w:rPr>
      </w:pPr>
      <w:r w:rsidRPr="007B6FDB">
        <w:rPr>
          <w:rFonts w:ascii="Sylfaen" w:hAnsi="Sylfaen"/>
          <w:b/>
          <w:lang w:val="ka-GE"/>
        </w:rPr>
        <w:t>2017 წლის 29 მარტს 14:00 საათზე</w:t>
      </w:r>
      <w:r w:rsidR="00A54532">
        <w:rPr>
          <w:rFonts w:ascii="Sylfaen" w:hAnsi="Sylfaen"/>
          <w:lang w:val="ka-GE"/>
        </w:rPr>
        <w:t xml:space="preserve"> </w:t>
      </w:r>
      <w:proofErr w:type="spellStart"/>
      <w:r w:rsidR="00A54532">
        <w:rPr>
          <w:rFonts w:ascii="Sylfaen" w:hAnsi="Sylfaen"/>
        </w:rPr>
        <w:t>შრომის</w:t>
      </w:r>
      <w:proofErr w:type="spellEnd"/>
      <w:r w:rsidR="00A54532">
        <w:rPr>
          <w:rFonts w:ascii="Sylfaen" w:hAnsi="Sylfaen"/>
        </w:rPr>
        <w:t xml:space="preserve">, </w:t>
      </w:r>
      <w:proofErr w:type="spellStart"/>
      <w:r w:rsidR="00A54532">
        <w:rPr>
          <w:rFonts w:ascii="Sylfaen" w:hAnsi="Sylfaen"/>
        </w:rPr>
        <w:t>ჯანმრთელობისა</w:t>
      </w:r>
      <w:proofErr w:type="spellEnd"/>
      <w:r w:rsidR="00A54532">
        <w:rPr>
          <w:rFonts w:ascii="Sylfaen" w:hAnsi="Sylfaen"/>
        </w:rPr>
        <w:t xml:space="preserve"> </w:t>
      </w:r>
      <w:proofErr w:type="spellStart"/>
      <w:r w:rsidR="00A54532">
        <w:rPr>
          <w:rFonts w:ascii="Sylfaen" w:hAnsi="Sylfaen"/>
        </w:rPr>
        <w:t>და</w:t>
      </w:r>
      <w:proofErr w:type="spellEnd"/>
      <w:r w:rsidR="00A54532">
        <w:rPr>
          <w:rFonts w:ascii="Sylfaen" w:hAnsi="Sylfaen"/>
        </w:rPr>
        <w:t xml:space="preserve"> </w:t>
      </w:r>
      <w:proofErr w:type="spellStart"/>
      <w:r w:rsidR="00A54532">
        <w:rPr>
          <w:rFonts w:ascii="Sylfaen" w:hAnsi="Sylfaen"/>
        </w:rPr>
        <w:t>სოციალური</w:t>
      </w:r>
      <w:proofErr w:type="spellEnd"/>
      <w:r w:rsidR="00A54532">
        <w:rPr>
          <w:rFonts w:ascii="Sylfaen" w:hAnsi="Sylfaen"/>
        </w:rPr>
        <w:t xml:space="preserve"> </w:t>
      </w:r>
      <w:proofErr w:type="spellStart"/>
      <w:r w:rsidR="00A54532">
        <w:rPr>
          <w:rFonts w:ascii="Sylfaen" w:hAnsi="Sylfaen"/>
        </w:rPr>
        <w:t>დაცვის</w:t>
      </w:r>
      <w:proofErr w:type="spellEnd"/>
      <w:r w:rsidR="00A54532">
        <w:rPr>
          <w:rFonts w:ascii="Sylfaen" w:hAnsi="Sylfaen"/>
        </w:rPr>
        <w:t xml:space="preserve"> </w:t>
      </w:r>
      <w:proofErr w:type="spellStart"/>
      <w:r w:rsidR="00A54532">
        <w:rPr>
          <w:rFonts w:ascii="Sylfaen" w:hAnsi="Sylfaen"/>
        </w:rPr>
        <w:t>სამინისტროს</w:t>
      </w:r>
      <w:proofErr w:type="spellEnd"/>
      <w:r w:rsidR="00A54532">
        <w:rPr>
          <w:rFonts w:ascii="Sylfaen" w:hAnsi="Sylfaen"/>
        </w:rPr>
        <w:t xml:space="preserve"> </w:t>
      </w:r>
      <w:r w:rsidRPr="007B6FDB">
        <w:rPr>
          <w:rFonts w:ascii="Sylfaen" w:hAnsi="Sylfaen"/>
          <w:lang w:val="ka-GE"/>
        </w:rPr>
        <w:t>დაავადებათა კონტროლისა და საზოგადოებრივი ჯანმრთელობის ეროვნული ცენტრი</w:t>
      </w:r>
      <w:r w:rsidR="00A54532">
        <w:rPr>
          <w:rFonts w:ascii="Sylfaen" w:hAnsi="Sylfaen"/>
          <w:lang w:val="ka-GE"/>
        </w:rPr>
        <w:t>ს და</w:t>
      </w:r>
      <w:r w:rsidRPr="007B6FDB">
        <w:rPr>
          <w:rFonts w:ascii="Sylfaen" w:hAnsi="Sylfaen"/>
          <w:lang w:val="ka-GE"/>
        </w:rPr>
        <w:t xml:space="preserve"> თბილისის სახელმწიფო სამედიცინო უნივესიტეტ</w:t>
      </w:r>
      <w:r w:rsidR="00A54532">
        <w:rPr>
          <w:rFonts w:ascii="Sylfaen" w:hAnsi="Sylfaen"/>
          <w:lang w:val="ka-GE"/>
        </w:rPr>
        <w:t>ის ორგანიზებით გაიმართება</w:t>
      </w:r>
      <w:r w:rsidRPr="007B6FDB">
        <w:rPr>
          <w:rFonts w:ascii="Sylfaen" w:hAnsi="Sylfaen"/>
          <w:lang w:val="ka-GE"/>
        </w:rPr>
        <w:t xml:space="preserve">  </w:t>
      </w:r>
      <w:r w:rsidR="001F110F" w:rsidRPr="007B6FDB">
        <w:rPr>
          <w:rFonts w:ascii="Sylfaen" w:hAnsi="Sylfaen"/>
          <w:lang w:val="ka-GE"/>
        </w:rPr>
        <w:t>პრესკონფერენცია</w:t>
      </w:r>
      <w:r w:rsidR="00A54532">
        <w:rPr>
          <w:rFonts w:ascii="Sylfaen" w:hAnsi="Sylfaen"/>
          <w:lang w:val="ka-GE"/>
        </w:rPr>
        <w:t xml:space="preserve">  თემაზე</w:t>
      </w:r>
    </w:p>
    <w:p w:rsidR="00A54532" w:rsidRDefault="00A54532" w:rsidP="00F74A2D">
      <w:pPr>
        <w:pStyle w:val="ListParagraph"/>
        <w:spacing w:after="0" w:line="240" w:lineRule="auto"/>
        <w:ind w:left="0"/>
        <w:jc w:val="both"/>
        <w:rPr>
          <w:rFonts w:ascii="Sylfaen" w:hAnsi="Sylfaen"/>
          <w:b/>
          <w:spacing w:val="40"/>
          <w:sz w:val="24"/>
          <w:lang w:val="ka-GE"/>
        </w:rPr>
      </w:pPr>
    </w:p>
    <w:p w:rsidR="00A54532" w:rsidRDefault="00E7102C" w:rsidP="00F74A2D">
      <w:pPr>
        <w:pStyle w:val="ListParagraph"/>
        <w:spacing w:after="0" w:line="240" w:lineRule="auto"/>
        <w:ind w:left="0"/>
        <w:jc w:val="center"/>
        <w:rPr>
          <w:rFonts w:ascii="Sylfaen" w:hAnsi="Sylfaen"/>
          <w:b/>
          <w:spacing w:val="40"/>
          <w:sz w:val="24"/>
          <w:lang w:val="ka-GE"/>
        </w:rPr>
      </w:pPr>
      <w:r>
        <w:rPr>
          <w:rFonts w:ascii="Sylfaen" w:hAnsi="Sylfaen"/>
          <w:b/>
          <w:spacing w:val="40"/>
          <w:sz w:val="24"/>
          <w:lang w:val="ka-GE"/>
        </w:rPr>
        <w:t xml:space="preserve">     </w:t>
      </w:r>
      <w:r w:rsidR="00A54532" w:rsidRPr="00F61F69">
        <w:rPr>
          <w:rFonts w:ascii="Sylfaen" w:hAnsi="Sylfaen"/>
          <w:b/>
          <w:spacing w:val="40"/>
          <w:sz w:val="24"/>
          <w:lang w:val="ka-GE"/>
        </w:rPr>
        <w:t>29 მარტი - „საქართველო თამბაქოს გარეშე“</w:t>
      </w:r>
    </w:p>
    <w:p w:rsidR="00A54532" w:rsidRPr="00F61F69" w:rsidRDefault="00A54532" w:rsidP="00F74A2D">
      <w:pPr>
        <w:pStyle w:val="ListParagraph"/>
        <w:spacing w:after="0" w:line="240" w:lineRule="auto"/>
        <w:ind w:left="0"/>
        <w:jc w:val="both"/>
        <w:rPr>
          <w:rFonts w:ascii="Sylfaen" w:hAnsi="Sylfaen"/>
          <w:b/>
          <w:spacing w:val="40"/>
          <w:sz w:val="24"/>
          <w:lang w:val="ka-GE"/>
        </w:rPr>
      </w:pPr>
    </w:p>
    <w:p w:rsidR="00A54532" w:rsidRDefault="00A54532" w:rsidP="00F74A2D">
      <w:pPr>
        <w:spacing w:after="120" w:line="240" w:lineRule="auto"/>
        <w:jc w:val="both"/>
        <w:rPr>
          <w:rFonts w:ascii="Sylfaen" w:hAnsi="Sylfaen"/>
          <w:lang w:val="ka-GE"/>
        </w:rPr>
      </w:pPr>
      <w:r w:rsidRPr="007B6FDB">
        <w:rPr>
          <w:rFonts w:ascii="Sylfaen" w:hAnsi="Sylfaen"/>
          <w:lang w:val="ka-GE"/>
        </w:rPr>
        <w:t>პრეს-კონფერენცი</w:t>
      </w:r>
      <w:r>
        <w:rPr>
          <w:rFonts w:ascii="Sylfaen" w:hAnsi="Sylfaen"/>
          <w:lang w:val="ka-GE"/>
        </w:rPr>
        <w:t>აში</w:t>
      </w:r>
      <w:r w:rsidRPr="007B6FDB">
        <w:rPr>
          <w:rFonts w:ascii="Sylfaen" w:hAnsi="Sylfaen"/>
          <w:lang w:val="ka-GE"/>
        </w:rPr>
        <w:t xml:space="preserve"> მონაწილეობას მიიღებენ </w:t>
      </w:r>
      <w:r>
        <w:rPr>
          <w:rFonts w:ascii="Sylfaen" w:hAnsi="Sylfaen"/>
          <w:lang w:val="ka-GE"/>
        </w:rPr>
        <w:t xml:space="preserve">შრომის, ჯანმრთელობის და სოციალური დაცვის სამინისტროს, დაავადებათა კონტროლისა და საზოგადოებრივი ჯანმრთელობის ეროვნული ცენტრის და </w:t>
      </w:r>
      <w:r w:rsidRPr="007B6FDB">
        <w:rPr>
          <w:rFonts w:ascii="Sylfaen" w:hAnsi="Sylfaen"/>
          <w:lang w:val="ka-GE"/>
        </w:rPr>
        <w:t xml:space="preserve">თბილისის სახელმწიფო სამედიცინო უნივესიტეტის </w:t>
      </w:r>
      <w:r>
        <w:rPr>
          <w:rFonts w:ascii="Sylfaen" w:hAnsi="Sylfaen"/>
          <w:lang w:val="ka-GE"/>
        </w:rPr>
        <w:t xml:space="preserve">ხელმძღვანელი პირები, </w:t>
      </w:r>
      <w:r w:rsidR="003E25B4">
        <w:rPr>
          <w:rFonts w:ascii="Sylfaen" w:hAnsi="Sylfaen"/>
          <w:lang w:val="ka-GE"/>
        </w:rPr>
        <w:t xml:space="preserve">თამბაქოს კონტროლის სახელმწიფო კომისიაში შემავალი სამინსტროების, ჯანმრთელობის მსოფლიო ორგანიზაციის, არასამთავრობო ორგანიზაციების წარმომადგენლები, დარგის ექსპერტები და </w:t>
      </w:r>
      <w:r>
        <w:rPr>
          <w:rFonts w:ascii="Sylfaen" w:hAnsi="Sylfaen"/>
          <w:lang w:val="ka-GE"/>
        </w:rPr>
        <w:t>სტუდენტები</w:t>
      </w:r>
      <w:r w:rsidR="003E25B4">
        <w:rPr>
          <w:rFonts w:ascii="Sylfaen" w:hAnsi="Sylfaen"/>
          <w:lang w:val="ka-GE"/>
        </w:rPr>
        <w:t>.</w:t>
      </w:r>
      <w:r>
        <w:rPr>
          <w:rFonts w:ascii="Sylfaen" w:hAnsi="Sylfaen"/>
          <w:lang w:val="ka-GE"/>
        </w:rPr>
        <w:t xml:space="preserve"> </w:t>
      </w:r>
      <w:r w:rsidRPr="007B6FDB">
        <w:rPr>
          <w:rFonts w:ascii="Sylfaen" w:hAnsi="Sylfaen"/>
          <w:lang w:val="ka-GE"/>
        </w:rPr>
        <w:t xml:space="preserve"> </w:t>
      </w:r>
      <w:r>
        <w:rPr>
          <w:rFonts w:ascii="Sylfaen" w:hAnsi="Sylfaen"/>
          <w:lang w:val="ka-GE"/>
        </w:rPr>
        <w:t>გარდა ამისა,</w:t>
      </w:r>
      <w:r w:rsidRPr="007B6FDB">
        <w:rPr>
          <w:rFonts w:ascii="Sylfaen" w:hAnsi="Sylfaen"/>
          <w:lang w:val="ka-GE"/>
        </w:rPr>
        <w:t xml:space="preserve"> </w:t>
      </w:r>
      <w:r>
        <w:rPr>
          <w:rFonts w:ascii="Sylfaen" w:hAnsi="Sylfaen"/>
          <w:lang w:val="ka-GE"/>
        </w:rPr>
        <w:t xml:space="preserve">პრეს-კონფერენციას დაესწრებიან </w:t>
      </w:r>
      <w:r w:rsidRPr="007B6FDB">
        <w:rPr>
          <w:rFonts w:ascii="Sylfaen" w:hAnsi="Sylfaen"/>
          <w:lang w:val="ka-GE"/>
        </w:rPr>
        <w:t>გაეროს გა</w:t>
      </w:r>
      <w:r>
        <w:rPr>
          <w:rFonts w:ascii="Sylfaen" w:hAnsi="Sylfaen"/>
          <w:lang w:val="ka-GE"/>
        </w:rPr>
        <w:t>ნ</w:t>
      </w:r>
      <w:r w:rsidRPr="007B6FDB">
        <w:rPr>
          <w:rFonts w:ascii="Sylfaen" w:hAnsi="Sylfaen"/>
          <w:lang w:val="ka-GE"/>
        </w:rPr>
        <w:t xml:space="preserve">ვითარების პროგრამისა და ჯანმრთელობის მსოფლიო ორგანიზაციის თამბაქოს მოხმარების ტვირთის შეფასების საერთაშორისო მისიის წარმომადგენლები. </w:t>
      </w:r>
    </w:p>
    <w:p w:rsidR="00F74A2D" w:rsidRPr="007B6FDB" w:rsidRDefault="00F74A2D" w:rsidP="00F74A2D">
      <w:pPr>
        <w:pStyle w:val="ListParagraph"/>
        <w:spacing w:after="120"/>
        <w:ind w:left="0" w:right="9"/>
        <w:jc w:val="both"/>
        <w:rPr>
          <w:rFonts w:ascii="Sylfaen" w:hAnsi="Sylfaen"/>
          <w:lang w:val="ka-GE"/>
        </w:rPr>
      </w:pPr>
      <w:r w:rsidRPr="007B6FDB">
        <w:rPr>
          <w:rFonts w:ascii="Sylfaen" w:hAnsi="Sylfaen"/>
          <w:lang w:val="ka-GE"/>
        </w:rPr>
        <w:t>პრეს-კონფერენციის ძირითადი თემაა თამბაქოს კონტროლის საკითხებზე მრავალსექტორული თანამშრომლობის გაძლიერება და პარლამ</w:t>
      </w:r>
      <w:r>
        <w:rPr>
          <w:rFonts w:ascii="Sylfaen" w:hAnsi="Sylfaen"/>
          <w:lang w:val="ka-GE"/>
        </w:rPr>
        <w:t>ე</w:t>
      </w:r>
      <w:r w:rsidRPr="007B6FDB">
        <w:rPr>
          <w:rFonts w:ascii="Sylfaen" w:hAnsi="Sylfaen"/>
          <w:lang w:val="ka-GE"/>
        </w:rPr>
        <w:t xml:space="preserve">ნტში ინიცირებული თამბაქოს კონტროლის კანონმდებლობის ცვლილებათა პაკეტის მხარდაჭერა. </w:t>
      </w:r>
    </w:p>
    <w:p w:rsidR="00F74A2D" w:rsidRPr="007B6FDB" w:rsidRDefault="00F74A2D" w:rsidP="00F74A2D">
      <w:pPr>
        <w:spacing w:after="120"/>
        <w:ind w:right="9"/>
        <w:jc w:val="both"/>
        <w:rPr>
          <w:rFonts w:ascii="Sylfaen" w:hAnsi="Sylfaen"/>
          <w:lang w:val="ka-GE"/>
        </w:rPr>
      </w:pPr>
      <w:r w:rsidRPr="007B6FDB">
        <w:rPr>
          <w:rFonts w:ascii="Sylfaen" w:hAnsi="Sylfaen"/>
          <w:lang w:val="ka-GE"/>
        </w:rPr>
        <w:t>დღის წესრიგის საკითხებია:</w:t>
      </w:r>
    </w:p>
    <w:p w:rsidR="00F74A2D" w:rsidRPr="00CC3DFA" w:rsidRDefault="00F74A2D" w:rsidP="00F74A2D">
      <w:pPr>
        <w:pStyle w:val="ListParagraph"/>
        <w:numPr>
          <w:ilvl w:val="0"/>
          <w:numId w:val="3"/>
        </w:numPr>
        <w:spacing w:after="120"/>
        <w:ind w:left="450"/>
        <w:jc w:val="both"/>
        <w:rPr>
          <w:rFonts w:ascii="Sylfaen" w:hAnsi="Sylfaen"/>
          <w:lang w:val="ka-GE"/>
        </w:rPr>
      </w:pPr>
      <w:r w:rsidRPr="00CC3DFA">
        <w:rPr>
          <w:rFonts w:ascii="Sylfaen" w:hAnsi="Sylfaen"/>
          <w:lang w:val="ka-GE"/>
        </w:rPr>
        <w:t xml:space="preserve">ჯანმრთელობის მსოფლიო ორგანიზაციის თამბაქოს კონტროლის ჩარჩო კონვენციის </w:t>
      </w:r>
      <w:r>
        <w:rPr>
          <w:rFonts w:ascii="Sylfaen" w:hAnsi="Sylfaen"/>
          <w:lang w:val="ka-GE"/>
        </w:rPr>
        <w:t>დანერგვ</w:t>
      </w:r>
      <w:r w:rsidRPr="00CC3DFA">
        <w:rPr>
          <w:rFonts w:ascii="Sylfaen" w:hAnsi="Sylfaen"/>
          <w:lang w:val="ka-GE"/>
        </w:rPr>
        <w:t>ის სტატუსი საქართველოში</w:t>
      </w:r>
    </w:p>
    <w:p w:rsidR="00F74A2D" w:rsidRPr="00CC3DFA" w:rsidRDefault="00F74A2D" w:rsidP="00F74A2D">
      <w:pPr>
        <w:pStyle w:val="ListParagraph"/>
        <w:numPr>
          <w:ilvl w:val="0"/>
          <w:numId w:val="3"/>
        </w:numPr>
        <w:tabs>
          <w:tab w:val="left" w:pos="0"/>
        </w:tabs>
        <w:spacing w:after="120"/>
        <w:ind w:left="450"/>
        <w:jc w:val="both"/>
        <w:rPr>
          <w:rFonts w:ascii="Sylfaen" w:hAnsi="Sylfaen"/>
          <w:lang w:val="ka-GE"/>
        </w:rPr>
      </w:pPr>
      <w:r w:rsidRPr="00CC3DFA">
        <w:rPr>
          <w:rFonts w:ascii="Sylfaen" w:hAnsi="Sylfaen"/>
          <w:lang w:val="ka-GE"/>
        </w:rPr>
        <w:t>მრავალსექტორული გუნდის მუშაობის გაუმჯობესებისთვის საჭირო ნაბიჯების განსაზღვრა</w:t>
      </w:r>
    </w:p>
    <w:p w:rsidR="00F74A2D" w:rsidRPr="00CC3DFA" w:rsidRDefault="00F74A2D" w:rsidP="00F74A2D">
      <w:pPr>
        <w:pStyle w:val="ListParagraph"/>
        <w:numPr>
          <w:ilvl w:val="0"/>
          <w:numId w:val="3"/>
        </w:numPr>
        <w:spacing w:after="120"/>
        <w:ind w:left="450"/>
        <w:jc w:val="both"/>
        <w:rPr>
          <w:rFonts w:ascii="Sylfaen" w:hAnsi="Sylfaen"/>
          <w:lang w:val="ka-GE"/>
        </w:rPr>
      </w:pPr>
      <w:r w:rsidRPr="00CC3DFA">
        <w:rPr>
          <w:rFonts w:ascii="Sylfaen" w:hAnsi="Sylfaen"/>
          <w:lang w:val="ka-GE"/>
        </w:rPr>
        <w:t xml:space="preserve">კონვენციის </w:t>
      </w:r>
      <w:r>
        <w:rPr>
          <w:rFonts w:ascii="Sylfaen" w:hAnsi="Sylfaen"/>
          <w:lang w:val="ka-GE"/>
        </w:rPr>
        <w:t xml:space="preserve">მოთხოვნების </w:t>
      </w:r>
      <w:r w:rsidRPr="00CC3DFA">
        <w:rPr>
          <w:rFonts w:ascii="Sylfaen" w:hAnsi="Sylfaen"/>
          <w:lang w:val="ka-GE"/>
        </w:rPr>
        <w:t>განხორციელებასთან დაკავშირებული ბარიერები და ამ ბარიერების მოხსნის სტრატეგიული ნაბიჯების განსაზღვრა</w:t>
      </w:r>
    </w:p>
    <w:p w:rsidR="00F74A2D" w:rsidRPr="00CC3DFA" w:rsidRDefault="00F74A2D" w:rsidP="00F74A2D">
      <w:pPr>
        <w:pStyle w:val="ListParagraph"/>
        <w:numPr>
          <w:ilvl w:val="0"/>
          <w:numId w:val="3"/>
        </w:numPr>
        <w:spacing w:after="120"/>
        <w:ind w:left="450"/>
        <w:jc w:val="both"/>
        <w:rPr>
          <w:rFonts w:ascii="Sylfaen" w:hAnsi="Sylfaen"/>
          <w:lang w:val="ka-GE"/>
        </w:rPr>
      </w:pPr>
      <w:r w:rsidRPr="00CC3DFA">
        <w:rPr>
          <w:rFonts w:ascii="Sylfaen" w:hAnsi="Sylfaen"/>
          <w:lang w:val="ka-GE"/>
        </w:rPr>
        <w:t>თამბაქოს ინდუსტრიის გავლენის თავიდან ასაცილებლად საჭირო ნაბიჯების განსაზღვრა</w:t>
      </w:r>
    </w:p>
    <w:p w:rsidR="00F74A2D" w:rsidRPr="00CC3DFA" w:rsidRDefault="00F74A2D" w:rsidP="00F74A2D">
      <w:pPr>
        <w:pStyle w:val="ListParagraph"/>
        <w:numPr>
          <w:ilvl w:val="0"/>
          <w:numId w:val="3"/>
        </w:numPr>
        <w:spacing w:after="120"/>
        <w:ind w:left="450"/>
        <w:jc w:val="both"/>
        <w:rPr>
          <w:rFonts w:ascii="Sylfaen" w:hAnsi="Sylfaen"/>
          <w:lang w:val="ka-GE"/>
        </w:rPr>
      </w:pPr>
      <w:r w:rsidRPr="00CC3DFA">
        <w:rPr>
          <w:rFonts w:ascii="Sylfaen" w:hAnsi="Sylfaen"/>
          <w:lang w:val="ka-GE"/>
        </w:rPr>
        <w:t xml:space="preserve">თამბაქოს ნაწარმზე მაღალი გადასახადები - მომგებიანი ღონისძიება, როგორც </w:t>
      </w:r>
      <w:r>
        <w:rPr>
          <w:rFonts w:ascii="Sylfaen" w:hAnsi="Sylfaen"/>
          <w:lang w:val="ka-GE"/>
        </w:rPr>
        <w:t>ჯანდაც</w:t>
      </w:r>
      <w:r w:rsidRPr="00CC3DFA">
        <w:rPr>
          <w:rFonts w:ascii="Sylfaen" w:hAnsi="Sylfaen"/>
          <w:lang w:val="ka-GE"/>
        </w:rPr>
        <w:t>ვ</w:t>
      </w:r>
      <w:r>
        <w:rPr>
          <w:rFonts w:ascii="Sylfaen" w:hAnsi="Sylfaen"/>
          <w:lang w:val="ka-GE"/>
        </w:rPr>
        <w:t>ი</w:t>
      </w:r>
      <w:r w:rsidRPr="00CC3DFA">
        <w:rPr>
          <w:rFonts w:ascii="Sylfaen" w:hAnsi="Sylfaen"/>
          <w:lang w:val="ka-GE"/>
        </w:rPr>
        <w:t xml:space="preserve">ს, ასევე ეკონიმიკისათვის </w:t>
      </w:r>
    </w:p>
    <w:p w:rsidR="00F74A2D" w:rsidRPr="00CC3DFA" w:rsidRDefault="00F74A2D" w:rsidP="00F74A2D">
      <w:pPr>
        <w:pStyle w:val="ListParagraph"/>
        <w:numPr>
          <w:ilvl w:val="0"/>
          <w:numId w:val="3"/>
        </w:numPr>
        <w:spacing w:after="120"/>
        <w:ind w:left="450"/>
        <w:jc w:val="both"/>
        <w:rPr>
          <w:rFonts w:ascii="Sylfaen" w:hAnsi="Sylfaen"/>
          <w:lang w:val="ka-GE"/>
        </w:rPr>
      </w:pPr>
      <w:r w:rsidRPr="00CC3DFA">
        <w:rPr>
          <w:rFonts w:ascii="Sylfaen" w:hAnsi="Sylfaen"/>
          <w:lang w:val="ka-GE"/>
        </w:rPr>
        <w:t>საერთაშორისო ორგანიზაციებთან და არასამთავრობო სექტორთან თანამშრომლობის გა</w:t>
      </w:r>
      <w:r>
        <w:rPr>
          <w:rFonts w:ascii="Sylfaen" w:hAnsi="Sylfaen"/>
          <w:lang w:val="ka-GE"/>
        </w:rPr>
        <w:t>სა</w:t>
      </w:r>
      <w:r w:rsidRPr="00CC3DFA">
        <w:rPr>
          <w:rFonts w:ascii="Sylfaen" w:hAnsi="Sylfaen"/>
          <w:lang w:val="ka-GE"/>
        </w:rPr>
        <w:t>ძლიერებ</w:t>
      </w:r>
      <w:r>
        <w:rPr>
          <w:rFonts w:ascii="Sylfaen" w:hAnsi="Sylfaen"/>
          <w:lang w:val="ka-GE"/>
        </w:rPr>
        <w:t>ლად</w:t>
      </w:r>
      <w:r w:rsidRPr="00CC3DFA">
        <w:rPr>
          <w:rFonts w:ascii="Sylfaen" w:hAnsi="Sylfaen"/>
          <w:lang w:val="ka-GE"/>
        </w:rPr>
        <w:t xml:space="preserve"> არსებული შესაძლებლობების განხილვა თითოეული </w:t>
      </w:r>
      <w:r>
        <w:rPr>
          <w:rFonts w:ascii="Sylfaen" w:hAnsi="Sylfaen"/>
          <w:lang w:val="ka-GE"/>
        </w:rPr>
        <w:t xml:space="preserve">დაინტერესებული </w:t>
      </w:r>
      <w:r w:rsidRPr="00CC3DFA">
        <w:rPr>
          <w:rFonts w:ascii="Sylfaen" w:hAnsi="Sylfaen"/>
          <w:lang w:val="ka-GE"/>
        </w:rPr>
        <w:t>უწყებისათვის</w:t>
      </w:r>
    </w:p>
    <w:p w:rsidR="00F74A2D" w:rsidRPr="007B6FDB" w:rsidRDefault="00F74A2D" w:rsidP="00F74A2D">
      <w:pPr>
        <w:spacing w:after="120"/>
        <w:ind w:right="9"/>
        <w:jc w:val="both"/>
        <w:rPr>
          <w:rFonts w:ascii="Sylfaen" w:hAnsi="Sylfaen"/>
          <w:lang w:val="ka-GE"/>
        </w:rPr>
      </w:pPr>
      <w:r w:rsidRPr="007B6FDB">
        <w:rPr>
          <w:rFonts w:ascii="Sylfaen" w:hAnsi="Sylfaen"/>
          <w:lang w:val="ka-GE"/>
        </w:rPr>
        <w:t>მსოფლიოში</w:t>
      </w:r>
      <w:r>
        <w:rPr>
          <w:rFonts w:ascii="Sylfaen" w:hAnsi="Sylfaen"/>
          <w:lang w:val="ka-GE"/>
        </w:rPr>
        <w:t>,</w:t>
      </w:r>
      <w:r w:rsidRPr="007B6FDB">
        <w:rPr>
          <w:rFonts w:ascii="Sylfaen" w:hAnsi="Sylfaen"/>
          <w:lang w:val="ka-GE"/>
        </w:rPr>
        <w:t xml:space="preserve"> თამბაქოს მოხმარების გამო,</w:t>
      </w:r>
      <w:r>
        <w:rPr>
          <w:rFonts w:ascii="Sylfaen" w:hAnsi="Sylfaen"/>
          <w:lang w:val="ka-GE"/>
        </w:rPr>
        <w:t xml:space="preserve"> </w:t>
      </w:r>
      <w:r w:rsidRPr="007B6FDB">
        <w:rPr>
          <w:rFonts w:ascii="Sylfaen" w:hAnsi="Sylfaen"/>
          <w:lang w:val="ka-GE"/>
        </w:rPr>
        <w:t>დაახლოებით 6 მილიონი ადამიანი იღუპება ყოველწლიურად</w:t>
      </w:r>
      <w:r>
        <w:rPr>
          <w:rFonts w:ascii="Sylfaen" w:hAnsi="Sylfaen"/>
          <w:lang w:val="ka-GE"/>
        </w:rPr>
        <w:t>;</w:t>
      </w:r>
      <w:r w:rsidRPr="007B6FDB">
        <w:rPr>
          <w:rFonts w:ascii="Sylfaen" w:hAnsi="Sylfaen"/>
          <w:lang w:val="ka-GE"/>
        </w:rPr>
        <w:t xml:space="preserve"> დაახლოებით 600 000 ადამიანის ნაადრევი სიკვდილის მიზეზი კი ე.წ. პასიური მწეველობაა. პასიური მწეველობით დაღუპულთა 31% ბავშვებზე, ხოლო 64%</w:t>
      </w:r>
      <w:r>
        <w:rPr>
          <w:rFonts w:ascii="Sylfaen" w:hAnsi="Sylfaen"/>
          <w:lang w:val="ka-GE"/>
        </w:rPr>
        <w:t xml:space="preserve"> კი </w:t>
      </w:r>
      <w:r w:rsidRPr="007B6FDB">
        <w:rPr>
          <w:rFonts w:ascii="Sylfaen" w:hAnsi="Sylfaen"/>
          <w:lang w:val="ka-GE"/>
        </w:rPr>
        <w:t>ქალებზე</w:t>
      </w:r>
      <w:r>
        <w:rPr>
          <w:rFonts w:ascii="Sylfaen" w:hAnsi="Sylfaen"/>
          <w:lang w:val="ka-GE"/>
        </w:rPr>
        <w:t xml:space="preserve"> </w:t>
      </w:r>
      <w:r w:rsidRPr="007B6FDB">
        <w:rPr>
          <w:rFonts w:ascii="Sylfaen" w:hAnsi="Sylfaen"/>
          <w:lang w:val="ka-GE"/>
        </w:rPr>
        <w:t xml:space="preserve">მოდის. </w:t>
      </w:r>
    </w:p>
    <w:p w:rsidR="00F74A2D" w:rsidRPr="007B6FDB" w:rsidRDefault="00F74A2D" w:rsidP="00F74A2D">
      <w:pPr>
        <w:spacing w:after="120"/>
        <w:ind w:right="9"/>
        <w:jc w:val="both"/>
        <w:rPr>
          <w:rFonts w:ascii="Sylfaen" w:hAnsi="Sylfaen"/>
          <w:lang w:val="ka-GE"/>
        </w:rPr>
      </w:pPr>
      <w:r w:rsidRPr="007B6FDB">
        <w:rPr>
          <w:rFonts w:ascii="Sylfaen" w:hAnsi="Sylfaen"/>
          <w:lang w:val="ka-GE"/>
        </w:rPr>
        <w:lastRenderedPageBreak/>
        <w:t>საქართველოში</w:t>
      </w:r>
      <w:r>
        <w:rPr>
          <w:rFonts w:ascii="Sylfaen" w:hAnsi="Sylfaen"/>
          <w:lang w:val="ka-GE"/>
        </w:rPr>
        <w:t xml:space="preserve"> </w:t>
      </w:r>
      <w:r w:rsidRPr="007B6FDB">
        <w:rPr>
          <w:rFonts w:ascii="Sylfaen" w:hAnsi="Sylfaen"/>
          <w:lang w:val="ka-GE"/>
        </w:rPr>
        <w:t>მწეველთა რაოდენობა ძალიან მაღალია. არაგადამდებ დაავადებ</w:t>
      </w:r>
      <w:r>
        <w:rPr>
          <w:rFonts w:ascii="Sylfaen" w:hAnsi="Sylfaen"/>
          <w:lang w:val="ka-GE"/>
        </w:rPr>
        <w:t>ათა</w:t>
      </w:r>
      <w:r w:rsidRPr="007B6FDB">
        <w:rPr>
          <w:rFonts w:ascii="Sylfaen" w:hAnsi="Sylfaen"/>
          <w:lang w:val="ka-GE"/>
        </w:rPr>
        <w:t xml:space="preserve"> რისკ-ფაქტორების კვლევის (</w:t>
      </w:r>
      <w:r w:rsidRPr="005B5678">
        <w:rPr>
          <w:rFonts w:ascii="Sylfaen" w:hAnsi="Sylfaen" w:cs="AcadNusx"/>
          <w:lang w:val="ka-GE"/>
        </w:rPr>
        <w:t>STEPS</w:t>
      </w:r>
      <w:r>
        <w:rPr>
          <w:rFonts w:ascii="Sylfaen" w:hAnsi="Sylfaen"/>
          <w:lang w:val="ka-GE"/>
        </w:rPr>
        <w:t>, 2010</w:t>
      </w:r>
      <w:r w:rsidRPr="007B6FDB">
        <w:rPr>
          <w:rFonts w:ascii="Sylfaen" w:hAnsi="Sylfaen"/>
          <w:lang w:val="ka-GE"/>
        </w:rPr>
        <w:t>) მონაცემებით მწეველობის გავრცელება საქართველო</w:t>
      </w:r>
      <w:r>
        <w:rPr>
          <w:rFonts w:ascii="Sylfaen" w:hAnsi="Sylfaen"/>
          <w:lang w:val="ka-GE"/>
        </w:rPr>
        <w:t>ს</w:t>
      </w:r>
      <w:r w:rsidRPr="007B6FDB">
        <w:rPr>
          <w:rFonts w:ascii="Sylfaen" w:hAnsi="Sylfaen"/>
          <w:lang w:val="ka-GE"/>
        </w:rPr>
        <w:t xml:space="preserve">  მოზრდილ</w:t>
      </w:r>
      <w:r>
        <w:rPr>
          <w:rFonts w:ascii="Sylfaen" w:hAnsi="Sylfaen"/>
          <w:lang w:val="ka-GE"/>
        </w:rPr>
        <w:t xml:space="preserve"> მოსახლეობის</w:t>
      </w:r>
      <w:r w:rsidRPr="007B6FDB">
        <w:rPr>
          <w:rFonts w:ascii="Sylfaen" w:hAnsi="Sylfaen"/>
          <w:lang w:val="ka-GE"/>
        </w:rPr>
        <w:t xml:space="preserve"> 30%-ს </w:t>
      </w:r>
      <w:r>
        <w:rPr>
          <w:rFonts w:ascii="Sylfaen" w:hAnsi="Sylfaen"/>
          <w:lang w:val="ka-GE"/>
        </w:rPr>
        <w:t>შეადგენდა</w:t>
      </w:r>
      <w:r w:rsidRPr="00784A2E">
        <w:rPr>
          <w:rFonts w:ascii="Sylfaen" w:hAnsi="Sylfaen"/>
          <w:lang w:val="ka-GE"/>
        </w:rPr>
        <w:t xml:space="preserve">, </w:t>
      </w:r>
      <w:r>
        <w:rPr>
          <w:rFonts w:ascii="Sylfaen" w:hAnsi="Sylfaen"/>
          <w:lang w:val="ka-GE"/>
        </w:rPr>
        <w:t xml:space="preserve">მწეველი იყო </w:t>
      </w:r>
      <w:r w:rsidRPr="00784A2E">
        <w:rPr>
          <w:rFonts w:ascii="Sylfaen" w:hAnsi="Sylfaen"/>
          <w:lang w:val="ka-GE"/>
        </w:rPr>
        <w:t>მამაკაც</w:t>
      </w:r>
      <w:r>
        <w:rPr>
          <w:rFonts w:ascii="Sylfaen" w:hAnsi="Sylfaen"/>
          <w:lang w:val="ka-GE"/>
        </w:rPr>
        <w:t>თა 55% და ქ</w:t>
      </w:r>
      <w:r w:rsidRPr="00784A2E">
        <w:rPr>
          <w:rFonts w:ascii="Sylfaen" w:hAnsi="Sylfaen"/>
          <w:lang w:val="ka-GE"/>
        </w:rPr>
        <w:t>ალ</w:t>
      </w:r>
      <w:r>
        <w:rPr>
          <w:rFonts w:ascii="Sylfaen" w:hAnsi="Sylfaen"/>
          <w:lang w:val="ka-GE"/>
        </w:rPr>
        <w:t>თა 5%</w:t>
      </w:r>
      <w:r w:rsidRPr="00784A2E">
        <w:rPr>
          <w:rFonts w:ascii="Sylfaen" w:hAnsi="Sylfaen"/>
          <w:lang w:val="ka-GE"/>
        </w:rPr>
        <w:t xml:space="preserve">. </w:t>
      </w:r>
      <w:r>
        <w:rPr>
          <w:rFonts w:ascii="Sylfaen" w:hAnsi="Sylfaen"/>
          <w:lang w:val="ka-GE"/>
        </w:rPr>
        <w:t>2016 წელს ჩატარებული იგივე კვლევის</w:t>
      </w:r>
      <w:r w:rsidRPr="005B5678">
        <w:rPr>
          <w:rFonts w:ascii="Sylfaen" w:hAnsi="Sylfaen"/>
          <w:lang w:val="ka-GE"/>
        </w:rPr>
        <w:t xml:space="preserve"> </w:t>
      </w:r>
      <w:r>
        <w:rPr>
          <w:rFonts w:ascii="Sylfaen" w:hAnsi="Sylfaen"/>
          <w:lang w:val="ka-GE"/>
        </w:rPr>
        <w:t>წინასწარი მონაცემებით სიტუაცია გაუარესდა - ქვეყნის ზრდასრული მოსახლეობის 33% ეწევა, თამბაქოს მოიხმარს მამაკაცების 57% და ქალების 7% (</w:t>
      </w:r>
      <w:r w:rsidRPr="005B5678">
        <w:rPr>
          <w:rFonts w:ascii="Sylfaen" w:hAnsi="Sylfaen"/>
          <w:lang w:val="ka-GE"/>
        </w:rPr>
        <w:t>STEPS, 2016).</w:t>
      </w:r>
      <w:r>
        <w:rPr>
          <w:rFonts w:ascii="Sylfaen" w:hAnsi="Sylfaen"/>
          <w:lang w:val="ka-GE"/>
        </w:rPr>
        <w:t xml:space="preserve"> </w:t>
      </w:r>
      <w:r w:rsidRPr="00784A2E">
        <w:rPr>
          <w:rFonts w:ascii="Sylfaen" w:hAnsi="Sylfaen"/>
          <w:lang w:val="ka-GE"/>
        </w:rPr>
        <w:t xml:space="preserve">ახალგაზრდებში </w:t>
      </w:r>
      <w:r>
        <w:rPr>
          <w:rFonts w:ascii="Sylfaen" w:hAnsi="Sylfaen"/>
          <w:lang w:val="ka-GE"/>
        </w:rPr>
        <w:t xml:space="preserve">თამბაქოს, </w:t>
      </w:r>
      <w:r w:rsidRPr="00784A2E">
        <w:rPr>
          <w:rFonts w:ascii="Sylfaen" w:hAnsi="Sylfaen"/>
          <w:lang w:val="ka-GE"/>
        </w:rPr>
        <w:t>ალკოჰოლისა და ნარკოტიკების მოხმარების შესახებ 201</w:t>
      </w:r>
      <w:r>
        <w:rPr>
          <w:rFonts w:ascii="Sylfaen" w:hAnsi="Sylfaen"/>
          <w:lang w:val="ka-GE"/>
        </w:rPr>
        <w:t>5</w:t>
      </w:r>
      <w:r w:rsidRPr="00784A2E">
        <w:rPr>
          <w:rFonts w:ascii="Sylfaen" w:hAnsi="Sylfaen"/>
          <w:lang w:val="ka-GE"/>
        </w:rPr>
        <w:t xml:space="preserve"> წელს ჩატარებულმა კვლევამ (</w:t>
      </w:r>
      <w:r w:rsidRPr="005B5678">
        <w:rPr>
          <w:rFonts w:ascii="Sylfaen" w:hAnsi="Sylfaen"/>
          <w:lang w:val="ka-GE"/>
        </w:rPr>
        <w:t>ES</w:t>
      </w:r>
      <w:r w:rsidRPr="00784A2E">
        <w:rPr>
          <w:rFonts w:ascii="Sylfaen" w:hAnsi="Sylfaen"/>
          <w:lang w:val="ka-GE"/>
        </w:rPr>
        <w:t>PAD 201</w:t>
      </w:r>
      <w:r>
        <w:rPr>
          <w:rFonts w:ascii="Sylfaen" w:hAnsi="Sylfaen"/>
          <w:lang w:val="ka-GE"/>
        </w:rPr>
        <w:t>5</w:t>
      </w:r>
      <w:r w:rsidRPr="00784A2E">
        <w:rPr>
          <w:rFonts w:ascii="Sylfaen" w:hAnsi="Sylfaen"/>
          <w:lang w:val="ka-GE"/>
        </w:rPr>
        <w:t xml:space="preserve">) აჩვენა, რომ </w:t>
      </w:r>
      <w:r w:rsidRPr="005B5678">
        <w:rPr>
          <w:rFonts w:ascii="Sylfaen" w:hAnsi="Sylfaen"/>
          <w:lang w:val="ka-GE"/>
        </w:rPr>
        <w:t xml:space="preserve">16 </w:t>
      </w:r>
      <w:r>
        <w:rPr>
          <w:rFonts w:ascii="Sylfaen" w:hAnsi="Sylfaen"/>
          <w:lang w:val="ka-GE"/>
        </w:rPr>
        <w:t xml:space="preserve">წლის ასაკის </w:t>
      </w:r>
      <w:r w:rsidRPr="00784A2E">
        <w:rPr>
          <w:rFonts w:ascii="Sylfaen" w:hAnsi="Sylfaen"/>
          <w:lang w:val="ka-GE"/>
        </w:rPr>
        <w:t>მოზარდების</w:t>
      </w:r>
      <w:r>
        <w:rPr>
          <w:rFonts w:ascii="Sylfaen" w:hAnsi="Sylfaen"/>
          <w:lang w:val="ka-GE"/>
        </w:rPr>
        <w:t xml:space="preserve"> 1</w:t>
      </w:r>
      <w:r w:rsidRPr="005B5678">
        <w:rPr>
          <w:rFonts w:ascii="Sylfaen" w:hAnsi="Sylfaen"/>
          <w:lang w:val="ka-GE"/>
        </w:rPr>
        <w:t>8</w:t>
      </w:r>
      <w:r w:rsidRPr="00784A2E">
        <w:rPr>
          <w:rFonts w:ascii="Sylfaen" w:hAnsi="Sylfaen"/>
          <w:lang w:val="ka-GE"/>
        </w:rPr>
        <w:t xml:space="preserve">% </w:t>
      </w:r>
      <w:r>
        <w:rPr>
          <w:rFonts w:ascii="Sylfaen" w:hAnsi="Sylfaen"/>
          <w:lang w:val="ka-GE"/>
        </w:rPr>
        <w:t>რეგულარულად მოიხმარს თამბაქოს, ხოლო 2014 წელს ჩატარებული ახალგაზრდებში თამბაქოს გლობალური კვლევის (</w:t>
      </w:r>
      <w:r w:rsidRPr="005B5678">
        <w:rPr>
          <w:rFonts w:ascii="Sylfaen" w:hAnsi="Sylfaen"/>
          <w:lang w:val="ka-GE"/>
        </w:rPr>
        <w:t>GYTS 2014)</w:t>
      </w:r>
      <w:r w:rsidRPr="007B6FDB">
        <w:rPr>
          <w:rFonts w:ascii="Sylfaen" w:hAnsi="Sylfaen"/>
          <w:lang w:val="ka-GE"/>
        </w:rPr>
        <w:t xml:space="preserve"> </w:t>
      </w:r>
      <w:r>
        <w:rPr>
          <w:rFonts w:ascii="Sylfaen" w:hAnsi="Sylfaen"/>
          <w:lang w:val="ka-GE"/>
        </w:rPr>
        <w:t xml:space="preserve">შედეგების მიხედვით 13-15 წლის ასაკის მოზარდების 7% თამბაქოს ამჟამინდელი მომხმარებლია. </w:t>
      </w:r>
      <w:r w:rsidRPr="007B6FDB">
        <w:rPr>
          <w:rFonts w:ascii="Sylfaen" w:hAnsi="Sylfaen"/>
          <w:lang w:val="ka-GE"/>
        </w:rPr>
        <w:t xml:space="preserve">თამბაქოსაგან გამოწვეული დაავადებებით საქართველოში ყოველწლიურად 9,000-დან 11,000-მდე ადამიანი იღუპება, მათ შორის 3,000 პასიური მოწევის </w:t>
      </w:r>
      <w:r>
        <w:rPr>
          <w:rFonts w:ascii="Sylfaen" w:hAnsi="Sylfaen"/>
          <w:lang w:val="ka-GE"/>
        </w:rPr>
        <w:t>მსხვერპლი და 300 ბავშვია</w:t>
      </w:r>
      <w:r w:rsidRPr="007B6FDB">
        <w:rPr>
          <w:rFonts w:ascii="Sylfaen" w:hAnsi="Sylfaen"/>
          <w:lang w:val="ka-GE"/>
        </w:rPr>
        <w:t xml:space="preserve"> (თამბაქოსთან დაკავშირებული </w:t>
      </w:r>
      <w:r>
        <w:rPr>
          <w:rFonts w:ascii="Sylfaen" w:hAnsi="Sylfaen"/>
          <w:lang w:val="ka-GE"/>
        </w:rPr>
        <w:t>სიკვდილიანობის</w:t>
      </w:r>
      <w:r w:rsidRPr="007B6FDB">
        <w:rPr>
          <w:rFonts w:ascii="Sylfaen" w:hAnsi="Sylfaen"/>
          <w:lang w:val="ka-GE"/>
        </w:rPr>
        <w:t xml:space="preserve"> შესწავლა, 2011).</w:t>
      </w:r>
      <w:r>
        <w:rPr>
          <w:rFonts w:ascii="Sylfaen" w:hAnsi="Sylfaen"/>
          <w:lang w:val="ka-GE"/>
        </w:rPr>
        <w:t xml:space="preserve"> </w:t>
      </w:r>
    </w:p>
    <w:p w:rsidR="00F74A2D" w:rsidRPr="00FF00C8" w:rsidRDefault="00F74A2D" w:rsidP="00F74A2D">
      <w:pPr>
        <w:pStyle w:val="Default"/>
        <w:spacing w:after="120" w:line="276" w:lineRule="auto"/>
        <w:jc w:val="both"/>
        <w:rPr>
          <w:rFonts w:asciiTheme="minorHAnsi" w:eastAsia="Times New Roman" w:hAnsiTheme="minorHAnsi" w:cs="Times New Roman"/>
          <w:sz w:val="22"/>
          <w:szCs w:val="20"/>
          <w:lang w:val="en-US" w:eastAsia="ka-GE"/>
        </w:rPr>
      </w:pPr>
      <w:r w:rsidRPr="00FF00C8">
        <w:rPr>
          <w:sz w:val="22"/>
        </w:rPr>
        <w:t>საქართველო ჯანმრთელობის მსოფლიო ორგანიზაციის თამბაქოს კონტროლის ჩარჩო კონვენციის მხარეა 2006 წლიდან</w:t>
      </w:r>
      <w:r>
        <w:rPr>
          <w:sz w:val="22"/>
        </w:rPr>
        <w:t>; ამ ნაბიჯით</w:t>
      </w:r>
      <w:r w:rsidRPr="00FF00C8">
        <w:rPr>
          <w:sz w:val="22"/>
        </w:rPr>
        <w:t xml:space="preserve"> </w:t>
      </w:r>
      <w:r w:rsidRPr="00FF00C8">
        <w:rPr>
          <w:rFonts w:eastAsia="Times New Roman"/>
          <w:bCs/>
          <w:sz w:val="22"/>
          <w:szCs w:val="20"/>
          <w:lang w:val="fi-FI" w:eastAsia="ka-GE"/>
        </w:rPr>
        <w:t>ქვეყანამ</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აიღო</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საერთაშორისო</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ვალდებულება</w:t>
      </w:r>
      <w:r w:rsidRPr="00FF00C8">
        <w:rPr>
          <w:rFonts w:asciiTheme="minorHAnsi" w:eastAsia="Times New Roman" w:hAnsiTheme="minorHAnsi" w:cs="Times New Roman"/>
          <w:bCs/>
          <w:sz w:val="22"/>
          <w:szCs w:val="20"/>
          <w:lang w:val="fi-FI" w:eastAsia="ka-GE"/>
        </w:rPr>
        <w:t xml:space="preserve"> </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განეხორციელებინა</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კონვენციით</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ნაკისრი</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ყველა</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მოთხოვნა</w:t>
      </w:r>
      <w:r w:rsidRPr="00FF00C8">
        <w:rPr>
          <w:rFonts w:asciiTheme="minorHAnsi" w:eastAsia="Times New Roman" w:hAnsiTheme="minorHAnsi" w:cs="Times New Roman"/>
          <w:bCs/>
          <w:sz w:val="22"/>
          <w:szCs w:val="20"/>
          <w:lang w:val="fi-FI" w:eastAsia="ka-GE"/>
        </w:rPr>
        <w:t>.</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ამ</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ვალდებულებებიდან</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მხოლოდ</w:t>
      </w:r>
      <w:r w:rsidRPr="00FF00C8">
        <w:rPr>
          <w:rFonts w:asciiTheme="minorHAnsi" w:eastAsia="Times New Roman" w:hAnsiTheme="minorHAnsi" w:cs="Times New Roman"/>
          <w:bCs/>
          <w:sz w:val="22"/>
          <w:szCs w:val="20"/>
          <w:lang w:val="fi-FI" w:eastAsia="ka-GE"/>
        </w:rPr>
        <w:t xml:space="preserve"> </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ძალიან</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val="fi-FI" w:eastAsia="ka-GE"/>
        </w:rPr>
        <w:t>მცირე</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ნაწილი</w:t>
      </w:r>
      <w:r w:rsidRPr="00FF00C8">
        <w:rPr>
          <w:rFonts w:asciiTheme="minorHAnsi" w:eastAsia="Times New Roman" w:hAnsiTheme="minorHAnsi" w:cs="Times New Roman"/>
          <w:bCs/>
          <w:sz w:val="22"/>
          <w:szCs w:val="20"/>
          <w:lang w:val="fi-FI" w:eastAsia="ka-GE"/>
        </w:rPr>
        <w:t xml:space="preserve"> </w:t>
      </w:r>
      <w:r w:rsidRPr="00FF00C8">
        <w:rPr>
          <w:rFonts w:eastAsia="Times New Roman"/>
          <w:bCs/>
          <w:sz w:val="22"/>
          <w:szCs w:val="20"/>
          <w:lang w:val="fi-FI" w:eastAsia="ka-GE"/>
        </w:rPr>
        <w:t>იქნა</w:t>
      </w:r>
      <w:r w:rsidRPr="00FF00C8">
        <w:rPr>
          <w:rFonts w:asciiTheme="minorHAnsi" w:eastAsia="Times New Roman" w:hAnsiTheme="minorHAnsi" w:cs="Times New Roman"/>
          <w:bCs/>
          <w:sz w:val="22"/>
          <w:szCs w:val="20"/>
          <w:lang w:eastAsia="ka-GE"/>
        </w:rPr>
        <w:t xml:space="preserve"> </w:t>
      </w:r>
      <w:r w:rsidRPr="00FF00C8">
        <w:rPr>
          <w:rFonts w:eastAsia="Times New Roman"/>
          <w:bCs/>
          <w:sz w:val="22"/>
          <w:szCs w:val="20"/>
          <w:lang w:eastAsia="ka-GE"/>
        </w:rPr>
        <w:t>დანერგილი</w:t>
      </w:r>
      <w:r w:rsidRPr="00FF00C8">
        <w:rPr>
          <w:sz w:val="22"/>
          <w:szCs w:val="22"/>
        </w:rPr>
        <w:t>.</w:t>
      </w:r>
      <w:r w:rsidRPr="007B6FDB">
        <w:t xml:space="preserve"> </w:t>
      </w:r>
    </w:p>
    <w:p w:rsidR="00F74A2D" w:rsidRDefault="00F74A2D" w:rsidP="00F74A2D">
      <w:pPr>
        <w:spacing w:after="120"/>
        <w:ind w:right="9"/>
        <w:jc w:val="both"/>
        <w:rPr>
          <w:rFonts w:ascii="Sylfaen" w:hAnsi="Sylfaen"/>
          <w:lang w:val="ka-GE"/>
        </w:rPr>
      </w:pPr>
      <w:r w:rsidRPr="007B6FDB">
        <w:rPr>
          <w:rFonts w:ascii="Sylfaen" w:hAnsi="Sylfaen"/>
          <w:lang w:val="ka-GE"/>
        </w:rPr>
        <w:t>2013 წელს</w:t>
      </w:r>
      <w:r>
        <w:rPr>
          <w:rFonts w:ascii="Sylfaen" w:hAnsi="Sylfaen"/>
          <w:lang w:val="ka-GE"/>
        </w:rPr>
        <w:t>,</w:t>
      </w:r>
      <w:r w:rsidRPr="007B6FDB">
        <w:rPr>
          <w:rFonts w:ascii="Sylfaen" w:hAnsi="Sylfaen"/>
          <w:lang w:val="ka-GE"/>
        </w:rPr>
        <w:t xml:space="preserve"> თამბქოს მოხმარებით გამოწვეული ჯანმრთელობის და ეკონომიკური ტვირთის შემსუბუქებისა და საქართველოს მოსახლეობის ჯანმრთელობის დაცვის მიზნით, საქართველოს პრემიერ მინისტრის ხელმძღვანელობით</w:t>
      </w:r>
      <w:r>
        <w:rPr>
          <w:rFonts w:ascii="Sylfaen" w:hAnsi="Sylfaen"/>
          <w:lang w:val="ka-GE"/>
        </w:rPr>
        <w:t xml:space="preserve"> </w:t>
      </w:r>
      <w:r w:rsidRPr="007B6FDB">
        <w:rPr>
          <w:rFonts w:ascii="Sylfaen" w:hAnsi="Sylfaen"/>
          <w:lang w:val="ka-GE"/>
        </w:rPr>
        <w:t>შეიქმნა თამბაქოს კონტროლის მრავალსექტორული სახელმწიფო კომი</w:t>
      </w:r>
      <w:r>
        <w:rPr>
          <w:rFonts w:ascii="Sylfaen" w:hAnsi="Sylfaen"/>
          <w:lang w:val="ka-GE"/>
        </w:rPr>
        <w:t>სი</w:t>
      </w:r>
      <w:r w:rsidRPr="007B6FDB">
        <w:rPr>
          <w:rFonts w:ascii="Sylfaen" w:hAnsi="Sylfaen"/>
          <w:lang w:val="ka-GE"/>
        </w:rPr>
        <w:t>ა. კომისიის მუშაობის მანძილზე შემუშა</w:t>
      </w:r>
      <w:r>
        <w:rPr>
          <w:rFonts w:ascii="Sylfaen" w:hAnsi="Sylfaen"/>
          <w:lang w:val="ka-GE"/>
        </w:rPr>
        <w:t>ვ</w:t>
      </w:r>
      <w:r w:rsidRPr="007B6FDB">
        <w:rPr>
          <w:rFonts w:ascii="Sylfaen" w:hAnsi="Sylfaen"/>
          <w:lang w:val="ka-GE"/>
        </w:rPr>
        <w:t xml:space="preserve">და </w:t>
      </w:r>
      <w:r>
        <w:rPr>
          <w:rFonts w:ascii="Sylfaen" w:hAnsi="Sylfaen"/>
          <w:lang w:val="ka-GE"/>
        </w:rPr>
        <w:t xml:space="preserve">და მთავრობის მიერ </w:t>
      </w:r>
      <w:r w:rsidRPr="007B6FDB">
        <w:rPr>
          <w:rFonts w:ascii="Sylfaen" w:hAnsi="Sylfaen"/>
          <w:lang w:val="ka-GE"/>
        </w:rPr>
        <w:t>დამტკიცდა თამბაქოს კონტროლის სახელმწიფო სტრ</w:t>
      </w:r>
      <w:r>
        <w:rPr>
          <w:rFonts w:ascii="Sylfaen" w:hAnsi="Sylfaen"/>
          <w:lang w:val="ka-GE"/>
        </w:rPr>
        <w:t>ა</w:t>
      </w:r>
      <w:r w:rsidRPr="007B6FDB">
        <w:rPr>
          <w:rFonts w:ascii="Sylfaen" w:hAnsi="Sylfaen"/>
          <w:lang w:val="ka-GE"/>
        </w:rPr>
        <w:t xml:space="preserve">ტეგია და სამოქმედო გეგმა. </w:t>
      </w:r>
      <w:r>
        <w:rPr>
          <w:rFonts w:ascii="Sylfaen" w:hAnsi="Sylfaen"/>
          <w:lang w:val="ka-GE"/>
        </w:rPr>
        <w:t xml:space="preserve">შემუშავებულია </w:t>
      </w:r>
      <w:r w:rsidRPr="007B6FDB">
        <w:rPr>
          <w:rFonts w:ascii="Sylfaen" w:hAnsi="Sylfaen"/>
          <w:lang w:val="ka-GE"/>
        </w:rPr>
        <w:t xml:space="preserve">და </w:t>
      </w:r>
      <w:r>
        <w:rPr>
          <w:rFonts w:ascii="Sylfaen" w:hAnsi="Sylfaen"/>
          <w:lang w:val="ka-GE"/>
        </w:rPr>
        <w:t>საქართველოს პარლამენტში ინიცირებულია თამბაქოს კონტროლის საკანონმდებლო ცვლილებების პაკეტი, რომელიც შეესაბამება საერთაშორისო სტანდარტებსა და კონვენციის მოთხოვნებს. მოსახლეობის, და განსაკუთრებით ახალგაზრდების, თამბაქოს მოხმარების პრევენციის მიზნით, გადახედილ იქნა თამბაქოზე არსებული გადასახადებისა და ფასის პოლიტიკა. ფინანსთა სამინისტრო რეგულარულად ახდენს თამბაქოს ნაწარმზე გადასახადების მატებას. დაავადებათა კონტროლისა და საზოგაოდოებრივი ჯანმრთელობის ცენტრის მიერ ჩატარდა მნიშვნელოვანი ეპიდემიოლოგიური კვლევები და საინფორმაციო კამპანიები, მნიშვნელოვნად გაუმჯობესდა თამბაქოსთვის თავის დანებების სერვისების ინფრასტრუქტურა, შეიქმნა თამბაქოსთვის თავის დანებების მობილური აპლიკაცია „თავს ვანებებ“, ფუნქციონირებს ცხელი ხაზი „</w:t>
      </w:r>
      <w:proofErr w:type="spellStart"/>
      <w:r>
        <w:rPr>
          <w:rFonts w:ascii="Sylfaen" w:hAnsi="Sylfaen"/>
        </w:rPr>
        <w:t>QuitLine</w:t>
      </w:r>
      <w:proofErr w:type="spellEnd"/>
      <w:r>
        <w:rPr>
          <w:rFonts w:ascii="Sylfaen" w:hAnsi="Sylfaen"/>
        </w:rPr>
        <w:t>”</w:t>
      </w:r>
      <w:r>
        <w:rPr>
          <w:rFonts w:ascii="Sylfaen" w:hAnsi="Sylfaen"/>
          <w:lang w:val="ka-GE"/>
        </w:rPr>
        <w:t>, იქმნება ნიკოტინდამოკიდებულების მკურნალობის პილოტური ცენტრები</w:t>
      </w:r>
      <w:r>
        <w:rPr>
          <w:rFonts w:ascii="Sylfaen" w:hAnsi="Sylfaen"/>
        </w:rPr>
        <w:t>;</w:t>
      </w:r>
      <w:r>
        <w:rPr>
          <w:rFonts w:ascii="Sylfaen" w:hAnsi="Sylfaen"/>
          <w:lang w:val="ka-GE"/>
        </w:rPr>
        <w:t xml:space="preserve"> და ამ საკითხებზე მუშაობა კვლავ</w:t>
      </w:r>
      <w:r>
        <w:rPr>
          <w:rFonts w:ascii="Sylfaen" w:hAnsi="Sylfaen"/>
        </w:rPr>
        <w:t xml:space="preserve"> </w:t>
      </w:r>
      <w:proofErr w:type="spellStart"/>
      <w:r>
        <w:rPr>
          <w:rFonts w:ascii="Sylfaen" w:hAnsi="Sylfaen"/>
        </w:rPr>
        <w:t>გრძელდება</w:t>
      </w:r>
      <w:proofErr w:type="spellEnd"/>
      <w:r>
        <w:rPr>
          <w:rFonts w:ascii="Sylfaen" w:hAnsi="Sylfaen"/>
          <w:lang w:val="ka-GE"/>
        </w:rPr>
        <w:t xml:space="preserve">. დაავადებათა კონტროლისა და საზოგადოებრივი ჯანმრთელობის ეროვნული ცენტრი მჭიდროდ თანამშრომლობს თამბაქოს კონტროლის საკითხებზე მომუშავე ადგილობრივ არასამათავრობო სექტორთან, მიმდინარეობს ერთობლივი სამუშაოები სამედიცინო პერსონალის და მედიის წარმომადგენლების ტრენინგების და თამბაქოს კონტროლის კანონმდებლობის დარღვევების მონიტორინგის კუთხით. გაძლიერებულია პროფესიულ ასოციაციებთან თანამშრომლობა ეროვნული სტრატეგიებისა და სამედიცინო გაიდლაინების შემუშავების საკითხში. მაღალი დონის მხარდაჭერაა მოპოვებული </w:t>
      </w:r>
      <w:r>
        <w:rPr>
          <w:rFonts w:ascii="Sylfaen" w:hAnsi="Sylfaen"/>
          <w:lang w:val="ka-GE"/>
        </w:rPr>
        <w:lastRenderedPageBreak/>
        <w:t>ჯანმრთელობის მსოფლიო ორგანიზაციის თამბაქოს კონტროლის ჩარჩო კონვენციის სამდივნოს, ჯანმრთელობის მსოფლიო ორგანიზაციის ევროპის რეგიონული ოფისისა და გაეროს ქვეყნის გუნდის მხრიდან. მნიშვნელოვანი ტექნიკური და ფინანსური მხარდაჭერაა ასევე უზრუნველყოფილი ისეთი წამყავანი საერთაშორისო არასამთავრობო ორგანიზაციების მხრიდან, როგორიცაა ტუბერკულოზისა და ფილტვის დაავადებების საწინააღმდეგო კავშირი (</w:t>
      </w:r>
      <w:r>
        <w:rPr>
          <w:rFonts w:ascii="Sylfaen" w:hAnsi="Sylfaen"/>
        </w:rPr>
        <w:t>The Union)</w:t>
      </w:r>
      <w:r>
        <w:rPr>
          <w:rFonts w:ascii="Sylfaen" w:hAnsi="Sylfaen"/>
          <w:lang w:val="ka-GE"/>
        </w:rPr>
        <w:t>, ბლუმბერგ ფილანტროპი</w:t>
      </w:r>
      <w:r>
        <w:rPr>
          <w:rFonts w:ascii="Sylfaen" w:hAnsi="Sylfaen"/>
        </w:rPr>
        <w:t xml:space="preserve"> (Bloomberg Philanthropies)</w:t>
      </w:r>
      <w:r>
        <w:rPr>
          <w:rFonts w:ascii="Sylfaen" w:hAnsi="Sylfaen"/>
          <w:lang w:val="ka-GE"/>
        </w:rPr>
        <w:t>, თამბაქოსგან თავისუფალი ბავშვები</w:t>
      </w:r>
      <w:r>
        <w:rPr>
          <w:rFonts w:ascii="Sylfaen" w:hAnsi="Sylfaen"/>
        </w:rPr>
        <w:t xml:space="preserve"> (Tobacco-free Kids)</w:t>
      </w:r>
      <w:r>
        <w:rPr>
          <w:rFonts w:ascii="Sylfaen" w:hAnsi="Sylfaen"/>
          <w:lang w:val="ka-GE"/>
        </w:rPr>
        <w:t xml:space="preserve"> და ა.შ.  </w:t>
      </w:r>
    </w:p>
    <w:p w:rsidR="00F74A2D" w:rsidRDefault="00F74A2D" w:rsidP="00F74A2D">
      <w:pPr>
        <w:spacing w:after="120"/>
        <w:ind w:right="9"/>
        <w:jc w:val="both"/>
        <w:rPr>
          <w:rFonts w:ascii="Sylfaen" w:hAnsi="Sylfaen"/>
          <w:lang w:val="ka-GE"/>
        </w:rPr>
      </w:pPr>
      <w:r w:rsidRPr="007B6FDB">
        <w:rPr>
          <w:rFonts w:ascii="Sylfaen" w:hAnsi="Sylfaen"/>
          <w:lang w:val="ka-GE"/>
        </w:rPr>
        <w:t xml:space="preserve">მიუხედავად თამბაქოს წინააღმდეგ </w:t>
      </w:r>
      <w:r>
        <w:rPr>
          <w:rFonts w:ascii="Sylfaen" w:hAnsi="Sylfaen"/>
          <w:lang w:val="ka-GE"/>
        </w:rPr>
        <w:t xml:space="preserve">დაწყებული ინტენსიური </w:t>
      </w:r>
      <w:r w:rsidRPr="007B6FDB">
        <w:rPr>
          <w:rFonts w:ascii="Sylfaen" w:hAnsi="Sylfaen"/>
          <w:lang w:val="ka-GE"/>
        </w:rPr>
        <w:t>ბრძოლისა, საქართველოში თამბაქოს მოხმარების შემცირებას ჯერ-ჯერობით ადგილი არ ჰქონია</w:t>
      </w:r>
      <w:r>
        <w:rPr>
          <w:rFonts w:ascii="Sylfaen" w:hAnsi="Sylfaen"/>
          <w:lang w:val="ka-GE"/>
        </w:rPr>
        <w:t>;</w:t>
      </w:r>
      <w:r w:rsidRPr="007B6FDB">
        <w:rPr>
          <w:rFonts w:ascii="Sylfaen" w:hAnsi="Sylfaen"/>
          <w:lang w:val="ka-GE"/>
        </w:rPr>
        <w:t xml:space="preserve"> პირიქით</w:t>
      </w:r>
      <w:r>
        <w:rPr>
          <w:rFonts w:ascii="Sylfaen" w:hAnsi="Sylfaen"/>
          <w:lang w:val="ka-GE"/>
        </w:rPr>
        <w:t>,</w:t>
      </w:r>
      <w:r w:rsidRPr="007B6FDB">
        <w:rPr>
          <w:rFonts w:ascii="Sylfaen" w:hAnsi="Sylfaen"/>
          <w:lang w:val="ka-GE"/>
        </w:rPr>
        <w:t xml:space="preserve"> შეიმჩნევა მატების ტენდენცია, განსაკუთრებით ახალგაზრდებსა და ქალებში. </w:t>
      </w:r>
    </w:p>
    <w:p w:rsidR="00F74A2D" w:rsidRDefault="00F74A2D" w:rsidP="00F74A2D">
      <w:pPr>
        <w:spacing w:after="120"/>
        <w:ind w:right="9"/>
        <w:jc w:val="both"/>
        <w:rPr>
          <w:rFonts w:ascii="Sylfaen" w:hAnsi="Sylfaen"/>
          <w:lang w:val="ka-GE"/>
        </w:rPr>
      </w:pPr>
      <w:r>
        <w:rPr>
          <w:rFonts w:ascii="Sylfaen" w:hAnsi="Sylfaen"/>
          <w:lang w:val="ka-GE"/>
        </w:rPr>
        <w:t xml:space="preserve">უკიდურესად მნიშვნელოვნია თამბაქოს კონტროლის საკანონმდებლო ცვლილებების პაკეტის დროული დამტკიცება და მათი დანერგვა, რათა თამბაქოს კონტროლის ღონისძიებების გაძლიერება მოხდეს საერთაშორისოდ აღიარებული სტანდარტებისა და საუკეთესო პრაქტიკის შესაბამისად. </w:t>
      </w:r>
    </w:p>
    <w:p w:rsidR="00F74A2D" w:rsidRPr="007B6FDB" w:rsidRDefault="00F74A2D" w:rsidP="00F74A2D">
      <w:pPr>
        <w:spacing w:after="120"/>
        <w:ind w:right="9"/>
        <w:jc w:val="both"/>
        <w:rPr>
          <w:rFonts w:ascii="Sylfaen" w:hAnsi="Sylfaen"/>
          <w:lang w:val="ka-GE"/>
        </w:rPr>
      </w:pPr>
    </w:p>
    <w:p w:rsidR="00E7102C" w:rsidRDefault="008D18E5" w:rsidP="00F74A2D">
      <w:pPr>
        <w:pStyle w:val="ListParagraph"/>
        <w:spacing w:after="120" w:line="240" w:lineRule="auto"/>
        <w:ind w:left="0"/>
        <w:jc w:val="both"/>
        <w:rPr>
          <w:rFonts w:ascii="Sylfaen" w:hAnsi="Sylfaen"/>
          <w:lang w:val="ka-GE"/>
        </w:rPr>
      </w:pPr>
      <w:r w:rsidRPr="007B6FDB">
        <w:rPr>
          <w:rFonts w:ascii="Sylfaen" w:hAnsi="Sylfaen"/>
          <w:lang w:val="ka-GE"/>
        </w:rPr>
        <w:t xml:space="preserve">პრეს-კონფერენცია </w:t>
      </w:r>
      <w:r w:rsidR="00E7102C">
        <w:rPr>
          <w:rFonts w:ascii="Sylfaen" w:hAnsi="Sylfaen"/>
          <w:lang w:val="ka-GE"/>
        </w:rPr>
        <w:t>გაიმართება</w:t>
      </w:r>
      <w:r w:rsidRPr="007B6FDB">
        <w:rPr>
          <w:rFonts w:ascii="Sylfaen" w:hAnsi="Sylfaen"/>
          <w:lang w:val="ka-GE"/>
        </w:rPr>
        <w:t xml:space="preserve"> </w:t>
      </w:r>
      <w:r w:rsidRPr="00CC3DFA">
        <w:rPr>
          <w:rFonts w:ascii="Sylfaen" w:hAnsi="Sylfaen"/>
          <w:b/>
          <w:lang w:val="ka-GE"/>
        </w:rPr>
        <w:t>თბილისი</w:t>
      </w:r>
      <w:r w:rsidR="005B5678" w:rsidRPr="00CC3DFA">
        <w:rPr>
          <w:rFonts w:ascii="Sylfaen" w:hAnsi="Sylfaen"/>
          <w:b/>
          <w:lang w:val="ka-GE"/>
        </w:rPr>
        <w:t>ს</w:t>
      </w:r>
      <w:r w:rsidRPr="00CC3DFA">
        <w:rPr>
          <w:rFonts w:ascii="Sylfaen" w:hAnsi="Sylfaen"/>
          <w:b/>
          <w:lang w:val="ka-GE"/>
        </w:rPr>
        <w:t xml:space="preserve"> სახელმწიფო სამედიცინო უნივესტიტეტის ადმინისტრაციული კორპუსის საკონფერ</w:t>
      </w:r>
      <w:r w:rsidR="00CC3DFA">
        <w:rPr>
          <w:rFonts w:ascii="Sylfaen" w:hAnsi="Sylfaen"/>
          <w:b/>
          <w:lang w:val="ka-GE"/>
        </w:rPr>
        <w:t>ე</w:t>
      </w:r>
      <w:r w:rsidRPr="00CC3DFA">
        <w:rPr>
          <w:rFonts w:ascii="Sylfaen" w:hAnsi="Sylfaen"/>
          <w:b/>
          <w:lang w:val="ka-GE"/>
        </w:rPr>
        <w:t>ნციო დარბაზში.</w:t>
      </w:r>
      <w:r w:rsidRPr="007B6FDB">
        <w:rPr>
          <w:rFonts w:ascii="Sylfaen" w:hAnsi="Sylfaen"/>
          <w:lang w:val="ka-GE"/>
        </w:rPr>
        <w:t xml:space="preserve"> </w:t>
      </w:r>
    </w:p>
    <w:p w:rsidR="00E7102C" w:rsidRPr="00E7102C" w:rsidRDefault="00E7102C" w:rsidP="00F74A2D">
      <w:pPr>
        <w:pStyle w:val="ListParagraph"/>
        <w:spacing w:after="120"/>
        <w:ind w:left="0"/>
        <w:jc w:val="both"/>
        <w:rPr>
          <w:rFonts w:ascii="Sylfaen" w:hAnsi="Sylfaen"/>
          <w:sz w:val="18"/>
          <w:szCs w:val="18"/>
          <w:lang w:val="ka-GE"/>
        </w:rPr>
      </w:pPr>
    </w:p>
    <w:p w:rsidR="00E7102C" w:rsidRPr="00E7102C" w:rsidRDefault="00E7102C" w:rsidP="00F74A2D">
      <w:pPr>
        <w:pStyle w:val="ListParagraph"/>
        <w:ind w:left="0"/>
        <w:jc w:val="both"/>
        <w:rPr>
          <w:rFonts w:ascii="Sylfaen" w:hAnsi="Sylfaen"/>
          <w:b/>
          <w:sz w:val="20"/>
          <w:szCs w:val="20"/>
          <w:lang w:val="ka-GE"/>
        </w:rPr>
      </w:pPr>
      <w:r w:rsidRPr="00E7102C">
        <w:rPr>
          <w:rFonts w:ascii="Sylfaen" w:hAnsi="Sylfaen"/>
          <w:b/>
          <w:sz w:val="20"/>
          <w:szCs w:val="20"/>
          <w:lang w:val="ka-GE"/>
        </w:rPr>
        <w:t xml:space="preserve">ვებ გვერდი - </w:t>
      </w:r>
      <w:hyperlink r:id="rId8" w:history="1">
        <w:r w:rsidRPr="00E7102C">
          <w:rPr>
            <w:rStyle w:val="Hyperlink"/>
            <w:rFonts w:ascii="Sylfaen" w:hAnsi="Sylfaen"/>
            <w:b/>
            <w:color w:val="0E0640"/>
            <w:sz w:val="20"/>
            <w:szCs w:val="20"/>
            <w:lang w:val="ka-GE"/>
          </w:rPr>
          <w:t>www.ncdc.ge</w:t>
        </w:r>
      </w:hyperlink>
      <w:r w:rsidRPr="00E7102C">
        <w:rPr>
          <w:rFonts w:ascii="Sylfaen" w:hAnsi="Sylfaen"/>
          <w:b/>
          <w:sz w:val="20"/>
          <w:szCs w:val="20"/>
          <w:lang w:val="ka-GE"/>
        </w:rPr>
        <w:t xml:space="preserve">   </w:t>
      </w:r>
    </w:p>
    <w:p w:rsidR="00E7102C" w:rsidRPr="00E7102C" w:rsidRDefault="00E7102C" w:rsidP="00F74A2D">
      <w:pPr>
        <w:pStyle w:val="ListParagraph"/>
        <w:ind w:left="0"/>
        <w:jc w:val="both"/>
        <w:rPr>
          <w:rFonts w:ascii="Sylfaen" w:hAnsi="Sylfaen"/>
          <w:sz w:val="20"/>
          <w:szCs w:val="20"/>
          <w:lang w:val="ka-GE"/>
        </w:rPr>
      </w:pPr>
      <w:r w:rsidRPr="00E7102C">
        <w:rPr>
          <w:rFonts w:ascii="Sylfaen" w:hAnsi="Sylfaen"/>
          <w:b/>
          <w:sz w:val="20"/>
          <w:szCs w:val="20"/>
          <w:lang w:val="ka-GE"/>
        </w:rPr>
        <w:t xml:space="preserve">ფეისბუქი - </w:t>
      </w:r>
      <w:r w:rsidRPr="00E7102C">
        <w:rPr>
          <w:rFonts w:ascii="Helvetica" w:hAnsi="Helvetica" w:cs="Helvetica"/>
          <w:b/>
          <w:color w:val="0E0640"/>
          <w:sz w:val="20"/>
          <w:szCs w:val="20"/>
          <w:shd w:val="clear" w:color="auto" w:fill="FFFFFF"/>
          <w:lang w:val="ka-GE"/>
        </w:rPr>
        <w:t>National Center for Disease Control &amp; Public Health, Georgia (NCDC &amp; PH)</w:t>
      </w:r>
    </w:p>
    <w:p w:rsidR="00E7102C" w:rsidRPr="00E7102C" w:rsidRDefault="00E7102C" w:rsidP="00F74A2D">
      <w:pPr>
        <w:spacing w:after="0"/>
        <w:jc w:val="both"/>
        <w:rPr>
          <w:rFonts w:ascii="Sylfaen" w:hAnsi="Sylfaen"/>
          <w:bCs/>
          <w:sz w:val="20"/>
          <w:szCs w:val="20"/>
          <w:lang w:val="ka-GE"/>
        </w:rPr>
      </w:pPr>
      <w:r w:rsidRPr="00E7102C">
        <w:rPr>
          <w:rFonts w:ascii="Sylfaen" w:hAnsi="Sylfaen" w:cs="MyriadPro-BoldCond"/>
          <w:b/>
          <w:bCs/>
          <w:color w:val="000000"/>
          <w:sz w:val="20"/>
          <w:szCs w:val="20"/>
          <w:lang w:val="ka-GE"/>
        </w:rPr>
        <w:t>მისამართი</w:t>
      </w:r>
      <w:r w:rsidRPr="00E7102C">
        <w:rPr>
          <w:rFonts w:ascii="Sylfaen" w:hAnsi="Sylfaen" w:cs="MyriadPro-BoldCond"/>
          <w:bCs/>
          <w:color w:val="000000"/>
          <w:sz w:val="20"/>
          <w:szCs w:val="20"/>
          <w:lang w:val="ka-GE"/>
        </w:rPr>
        <w:t>: თბილისი, მ. ასათიანის ქუჩა 7</w:t>
      </w:r>
    </w:p>
    <w:p w:rsidR="00E7102C" w:rsidRPr="00E7102C" w:rsidRDefault="00E7102C" w:rsidP="00F74A2D">
      <w:pPr>
        <w:spacing w:after="0"/>
        <w:jc w:val="both"/>
        <w:rPr>
          <w:rFonts w:ascii="Sylfaen" w:hAnsi="Sylfaen"/>
          <w:sz w:val="20"/>
          <w:szCs w:val="20"/>
          <w:lang w:val="ka-GE"/>
        </w:rPr>
      </w:pPr>
      <w:r w:rsidRPr="00E7102C">
        <w:rPr>
          <w:rFonts w:ascii="Sylfaen" w:hAnsi="Sylfaen"/>
          <w:b/>
          <w:sz w:val="20"/>
          <w:szCs w:val="20"/>
          <w:lang w:val="ka-GE"/>
        </w:rPr>
        <w:t>საკონტაქტო პირი:</w:t>
      </w:r>
      <w:r w:rsidRPr="00E7102C">
        <w:rPr>
          <w:rFonts w:ascii="Sylfaen" w:hAnsi="Sylfaen"/>
          <w:sz w:val="20"/>
          <w:szCs w:val="20"/>
          <w:lang w:val="ka-GE"/>
        </w:rPr>
        <w:t xml:space="preserve"> ნინო მამუკაშვილი 595 956 103</w:t>
      </w:r>
      <w:r>
        <w:rPr>
          <w:rFonts w:ascii="Sylfaen" w:hAnsi="Sylfaen"/>
          <w:sz w:val="20"/>
          <w:szCs w:val="20"/>
          <w:lang w:val="ka-GE"/>
        </w:rPr>
        <w:t>, ამბროსი კეკელიძე 599 94 64 31</w:t>
      </w:r>
    </w:p>
    <w:p w:rsidR="00E7102C" w:rsidRDefault="00E7102C" w:rsidP="00CC3DFA">
      <w:pPr>
        <w:pStyle w:val="ListParagraph"/>
        <w:spacing w:after="120"/>
        <w:ind w:left="0" w:right="9"/>
        <w:jc w:val="both"/>
        <w:rPr>
          <w:rFonts w:ascii="Sylfaen" w:hAnsi="Sylfaen"/>
          <w:lang w:val="ka-GE"/>
        </w:rPr>
      </w:pPr>
    </w:p>
    <w:p w:rsidR="00E7102C" w:rsidRDefault="00E7102C" w:rsidP="00CC3DFA">
      <w:pPr>
        <w:pStyle w:val="ListParagraph"/>
        <w:spacing w:after="120"/>
        <w:ind w:left="0" w:right="9"/>
        <w:jc w:val="both"/>
        <w:rPr>
          <w:rFonts w:ascii="Sylfaen" w:hAnsi="Sylfaen"/>
          <w:lang w:val="ka-GE"/>
        </w:rPr>
      </w:pPr>
    </w:p>
    <w:p w:rsidR="008427EE" w:rsidRPr="007B6FDB" w:rsidRDefault="008427EE" w:rsidP="008427EE">
      <w:pPr>
        <w:jc w:val="right"/>
        <w:rPr>
          <w:rFonts w:ascii="Sylfaen" w:hAnsi="Sylfaen"/>
          <w:b/>
          <w:lang w:val="ka-GE"/>
        </w:rPr>
      </w:pPr>
      <w:r w:rsidRPr="00BC32D8">
        <w:rPr>
          <w:rFonts w:ascii="Sylfaen" w:hAnsi="Sylfaen"/>
          <w:b/>
          <w:noProof/>
        </w:rPr>
        <w:drawing>
          <wp:inline distT="0" distB="0" distL="0" distR="0">
            <wp:extent cx="1114425" cy="476250"/>
            <wp:effectExtent l="19050" t="0" r="9525" b="0"/>
            <wp:docPr id="1" name="Picture 1" descr="C:\Users\user\Desktop\logoebi\Moh Logo Geo.jpg"/>
            <wp:cNvGraphicFramePr/>
            <a:graphic xmlns:a="http://schemas.openxmlformats.org/drawingml/2006/main">
              <a:graphicData uri="http://schemas.openxmlformats.org/drawingml/2006/picture">
                <pic:pic xmlns:pic="http://schemas.openxmlformats.org/drawingml/2006/picture">
                  <pic:nvPicPr>
                    <pic:cNvPr id="0" name="Picture 4" descr="C:\Users\user\Desktop\logoebi\Moh Logo Geo.jpg"/>
                    <pic:cNvPicPr>
                      <a:picLocks noChangeAspect="1" noChangeArrowheads="1"/>
                    </pic:cNvPicPr>
                  </pic:nvPicPr>
                  <pic:blipFill>
                    <a:blip r:embed="rId6" cstate="print"/>
                    <a:srcRect/>
                    <a:stretch>
                      <a:fillRect/>
                    </a:stretch>
                  </pic:blipFill>
                  <pic:spPr bwMode="auto">
                    <a:xfrm>
                      <a:off x="0" y="0"/>
                      <a:ext cx="1114556" cy="476306"/>
                    </a:xfrm>
                    <a:prstGeom prst="rect">
                      <a:avLst/>
                    </a:prstGeom>
                    <a:noFill/>
                    <a:ln w="9525">
                      <a:noFill/>
                      <a:miter lim="800000"/>
                      <a:headEnd/>
                      <a:tailEnd/>
                    </a:ln>
                  </pic:spPr>
                </pic:pic>
              </a:graphicData>
            </a:graphic>
          </wp:inline>
        </w:drawing>
      </w:r>
      <w:r>
        <w:rPr>
          <w:rFonts w:ascii="Sylfaen" w:hAnsi="Sylfaen"/>
          <w:b/>
          <w:lang w:val="ka-GE"/>
        </w:rPr>
        <w:t xml:space="preserve">                                                                                                   </w:t>
      </w:r>
      <w:r w:rsidRPr="00BC32D8">
        <w:rPr>
          <w:rFonts w:ascii="Sylfaen" w:hAnsi="Sylfaen"/>
          <w:b/>
          <w:noProof/>
        </w:rPr>
        <w:drawing>
          <wp:inline distT="0" distB="0" distL="0" distR="0">
            <wp:extent cx="704850" cy="533400"/>
            <wp:effectExtent l="19050" t="0" r="0" b="0"/>
            <wp:docPr id="3" name="Picture 1" descr="C:\Users\user\Desktop\NCDC gamchvirvale new.png"/>
            <wp:cNvGraphicFramePr/>
            <a:graphic xmlns:a="http://schemas.openxmlformats.org/drawingml/2006/main">
              <a:graphicData uri="http://schemas.openxmlformats.org/drawingml/2006/picture">
                <pic:pic xmlns:pic="http://schemas.openxmlformats.org/drawingml/2006/picture">
                  <pic:nvPicPr>
                    <pic:cNvPr id="0" name="Picture 1" descr="C:\Users\user\Desktop\NCDC gamchvirvale new.png"/>
                    <pic:cNvPicPr>
                      <a:picLocks noChangeAspect="1" noChangeArrowheads="1"/>
                    </pic:cNvPicPr>
                  </pic:nvPicPr>
                  <pic:blipFill>
                    <a:blip r:embed="rId7" cstate="print"/>
                    <a:srcRect/>
                    <a:stretch>
                      <a:fillRect/>
                    </a:stretch>
                  </pic:blipFill>
                  <pic:spPr bwMode="auto">
                    <a:xfrm>
                      <a:off x="0" y="0"/>
                      <a:ext cx="704850" cy="533400"/>
                    </a:xfrm>
                    <a:prstGeom prst="rect">
                      <a:avLst/>
                    </a:prstGeom>
                    <a:noFill/>
                    <a:ln w="9525">
                      <a:noFill/>
                      <a:miter lim="800000"/>
                      <a:headEnd/>
                      <a:tailEnd/>
                    </a:ln>
                  </pic:spPr>
                </pic:pic>
              </a:graphicData>
            </a:graphic>
          </wp:inline>
        </w:drawing>
      </w:r>
    </w:p>
    <w:p w:rsidR="00CC3DFA" w:rsidRPr="007B6FDB" w:rsidRDefault="00CC3DFA">
      <w:pPr>
        <w:spacing w:after="120"/>
        <w:jc w:val="both"/>
        <w:rPr>
          <w:rFonts w:ascii="Sylfaen" w:hAnsi="Sylfaen"/>
          <w:lang w:val="ka-GE"/>
        </w:rPr>
      </w:pPr>
    </w:p>
    <w:sectPr w:rsidR="00CC3DFA" w:rsidRPr="007B6FDB" w:rsidSect="00F74A2D">
      <w:pgSz w:w="12240" w:h="15840"/>
      <w:pgMar w:top="1080" w:right="1530" w:bottom="72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Helvetica">
    <w:panose1 w:val="020B0604020202020204"/>
    <w:charset w:val="00"/>
    <w:family w:val="swiss"/>
    <w:pitch w:val="variable"/>
    <w:sig w:usb0="E0002AFF" w:usb1="C0007843" w:usb2="00000009" w:usb3="00000000" w:csb0="000001FF" w:csb1="00000000"/>
  </w:font>
  <w:font w:name="MyriadPro-BoldCond">
    <w:panose1 w:val="00000000000000000000"/>
    <w:charset w:val="CC"/>
    <w:family w:val="swiss"/>
    <w:notTrueType/>
    <w:pitch w:val="default"/>
    <w:sig w:usb0="00000201" w:usb1="00000000" w:usb2="00000000" w:usb3="00000000" w:csb0="00000004"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536EEF"/>
    <w:multiLevelType w:val="hybridMultilevel"/>
    <w:tmpl w:val="5198BC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514C0BF8"/>
    <w:multiLevelType w:val="hybridMultilevel"/>
    <w:tmpl w:val="BA2A4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6E020526"/>
    <w:multiLevelType w:val="hybridMultilevel"/>
    <w:tmpl w:val="70CA5A7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110F"/>
    <w:rsid w:val="000C03E9"/>
    <w:rsid w:val="001077AC"/>
    <w:rsid w:val="00174D0C"/>
    <w:rsid w:val="001F110F"/>
    <w:rsid w:val="001F2E08"/>
    <w:rsid w:val="002402B7"/>
    <w:rsid w:val="00247EF3"/>
    <w:rsid w:val="002634DB"/>
    <w:rsid w:val="0029691D"/>
    <w:rsid w:val="002B144F"/>
    <w:rsid w:val="003A781E"/>
    <w:rsid w:val="003C5F52"/>
    <w:rsid w:val="003E25B4"/>
    <w:rsid w:val="003F013A"/>
    <w:rsid w:val="005B5678"/>
    <w:rsid w:val="00634FB6"/>
    <w:rsid w:val="0067091F"/>
    <w:rsid w:val="00784A2E"/>
    <w:rsid w:val="007B6FDB"/>
    <w:rsid w:val="00813FC7"/>
    <w:rsid w:val="008427EE"/>
    <w:rsid w:val="008D18E5"/>
    <w:rsid w:val="009F7898"/>
    <w:rsid w:val="00A54532"/>
    <w:rsid w:val="00B57D6F"/>
    <w:rsid w:val="00B71070"/>
    <w:rsid w:val="00B726A1"/>
    <w:rsid w:val="00BC32D8"/>
    <w:rsid w:val="00BC51D9"/>
    <w:rsid w:val="00C51735"/>
    <w:rsid w:val="00CC3DFA"/>
    <w:rsid w:val="00CD7B4F"/>
    <w:rsid w:val="00CE4AD8"/>
    <w:rsid w:val="00E15CBD"/>
    <w:rsid w:val="00E24B89"/>
    <w:rsid w:val="00E7102C"/>
    <w:rsid w:val="00F61F69"/>
    <w:rsid w:val="00F74A2D"/>
    <w:rsid w:val="00FF00C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5C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
    <w:name w:val="_"/>
    <w:basedOn w:val="DefaultParagraphFont"/>
    <w:rsid w:val="00174D0C"/>
  </w:style>
  <w:style w:type="paragraph" w:styleId="ListParagraph">
    <w:name w:val="List Paragraph"/>
    <w:basedOn w:val="Normal"/>
    <w:uiPriority w:val="34"/>
    <w:qFormat/>
    <w:rsid w:val="00174D0C"/>
    <w:pPr>
      <w:ind w:left="720"/>
      <w:contextualSpacing/>
    </w:pPr>
  </w:style>
  <w:style w:type="paragraph" w:styleId="BalloonText">
    <w:name w:val="Balloon Text"/>
    <w:basedOn w:val="Normal"/>
    <w:link w:val="BalloonTextChar"/>
    <w:uiPriority w:val="99"/>
    <w:semiHidden/>
    <w:unhideWhenUsed/>
    <w:rsid w:val="00B710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1070"/>
    <w:rPr>
      <w:rFonts w:ascii="Tahoma" w:hAnsi="Tahoma" w:cs="Tahoma"/>
      <w:sz w:val="16"/>
      <w:szCs w:val="16"/>
    </w:rPr>
  </w:style>
  <w:style w:type="paragraph" w:customStyle="1" w:styleId="Default">
    <w:name w:val="Default"/>
    <w:rsid w:val="00FF00C8"/>
    <w:pPr>
      <w:autoSpaceDE w:val="0"/>
      <w:autoSpaceDN w:val="0"/>
      <w:adjustRightInd w:val="0"/>
      <w:spacing w:after="0" w:line="240" w:lineRule="auto"/>
    </w:pPr>
    <w:rPr>
      <w:rFonts w:ascii="Sylfaen" w:hAnsi="Sylfaen" w:cs="Sylfaen"/>
      <w:color w:val="000000"/>
      <w:sz w:val="24"/>
      <w:szCs w:val="24"/>
      <w:lang w:val="ka-GE"/>
    </w:rPr>
  </w:style>
  <w:style w:type="character" w:styleId="Hyperlink">
    <w:name w:val="Hyperlink"/>
    <w:basedOn w:val="DefaultParagraphFont"/>
    <w:uiPriority w:val="99"/>
    <w:unhideWhenUsed/>
    <w:rsid w:val="00E7102C"/>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20842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cdc.ge" TargetMode="External"/><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E7E0DB1-7C2C-46E1-964A-5D892A32E4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Pages>
  <Words>978</Words>
  <Characters>5578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Nuka</dc:creator>
  <cp:lastModifiedBy>Administrator</cp:lastModifiedBy>
  <cp:revision>3</cp:revision>
  <cp:lastPrinted>2017-03-28T10:20:00Z</cp:lastPrinted>
  <dcterms:created xsi:type="dcterms:W3CDTF">2017-03-28T10:15:00Z</dcterms:created>
  <dcterms:modified xsi:type="dcterms:W3CDTF">2017-03-28T10:23:00Z</dcterms:modified>
</cp:coreProperties>
</file>