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474" w:rsidRPr="008B4474" w:rsidRDefault="00B2667E" w:rsidP="008B4474">
      <w:pPr>
        <w:spacing w:after="0" w:line="240" w:lineRule="auto"/>
        <w:ind w:firstLine="720"/>
        <w:jc w:val="both"/>
        <w:rPr>
          <w:rFonts w:ascii="Arial" w:eastAsia="Times New Roman" w:hAnsi="Arial" w:cs="Arial"/>
          <w:color w:val="000000"/>
        </w:rPr>
      </w:pPr>
      <w:r w:rsidRPr="008B4474">
        <w:rPr>
          <w:rFonts w:ascii="Sylfaen" w:hAnsi="Sylfaen"/>
          <w:lang w:val="ka-GE"/>
        </w:rPr>
        <w:t xml:space="preserve">,,წამლისა და ფარმაცევტული საქმიანობის შესახებ“ </w:t>
      </w:r>
      <w:r w:rsidRPr="008B4474">
        <w:rPr>
          <w:rFonts w:ascii="Sylfaen" w:hAnsi="Sylfaen"/>
        </w:rPr>
        <w:t xml:space="preserve"> 2013 </w:t>
      </w:r>
      <w:r w:rsidRPr="008B4474">
        <w:rPr>
          <w:rFonts w:ascii="Sylfaen" w:hAnsi="Sylfaen"/>
          <w:lang w:val="ka-GE"/>
        </w:rPr>
        <w:t xml:space="preserve">წლის </w:t>
      </w:r>
      <w:r w:rsidR="00555CD5" w:rsidRPr="008B4474">
        <w:rPr>
          <w:rFonts w:ascii="Sylfaen" w:hAnsi="Sylfaen"/>
          <w:lang w:val="ka-GE"/>
        </w:rPr>
        <w:t xml:space="preserve">30 ივლისს  </w:t>
      </w:r>
      <w:r w:rsidRPr="008B4474">
        <w:rPr>
          <w:rFonts w:ascii="Sylfaen" w:hAnsi="Sylfaen"/>
          <w:lang w:val="ka-GE"/>
        </w:rPr>
        <w:t xml:space="preserve">საქართველოს კანონში  </w:t>
      </w:r>
      <w:r w:rsidR="00555CD5" w:rsidRPr="008B4474">
        <w:rPr>
          <w:rFonts w:ascii="Sylfaen" w:hAnsi="Sylfaen"/>
          <w:lang w:val="ka-GE"/>
        </w:rPr>
        <w:t xml:space="preserve">შევიდა ცვლილება, რომლის მიხედვითაც აიკრძალა მეორე ჯგუფს მიკუთვნებული ფარმაცევტული პროდუქტის რეალიზაცია რეცეპტის გარეშე. თუმცა, პარალელურად, კანონქვემდებარე აქტში </w:t>
      </w:r>
      <w:r w:rsidRPr="008B4474">
        <w:rPr>
          <w:rFonts w:ascii="Sylfaen" w:hAnsi="Sylfaen"/>
          <w:lang w:val="ka-GE"/>
        </w:rPr>
        <w:t>არსებობდა</w:t>
      </w:r>
      <w:r w:rsidR="00555CD5" w:rsidRPr="008B4474">
        <w:rPr>
          <w:rFonts w:ascii="Sylfaen" w:hAnsi="Sylfaen"/>
          <w:lang w:val="ka-GE"/>
        </w:rPr>
        <w:t xml:space="preserve"> </w:t>
      </w:r>
      <w:r w:rsidRPr="008B4474">
        <w:rPr>
          <w:rFonts w:ascii="Sylfaen" w:hAnsi="Sylfaen"/>
          <w:lang w:val="ka-GE"/>
        </w:rPr>
        <w:t xml:space="preserve">  მეორე, „ნონ სენსური“ ჩანაწერი, </w:t>
      </w:r>
      <w:r w:rsidR="00555CD5" w:rsidRPr="008B4474">
        <w:rPr>
          <w:rFonts w:ascii="Sylfaen" w:hAnsi="Sylfaen"/>
          <w:lang w:val="ka-GE"/>
        </w:rPr>
        <w:t xml:space="preserve">რომ </w:t>
      </w:r>
      <w:r w:rsidRPr="008B4474">
        <w:rPr>
          <w:rFonts w:ascii="Sylfaen" w:hAnsi="Sylfaen"/>
          <w:lang w:val="ka-GE"/>
        </w:rPr>
        <w:t>ფარმაცევტულ დაწესებულებას არ აქვს უფლება უარი თქვას პრეპარატის გაცემაზე, იმ შემთხვევაში, თუ მომხმარებელი ვერ წარადგენს  რეცეპტი.</w:t>
      </w:r>
      <w:r w:rsidR="00DD4303" w:rsidRPr="008B4474">
        <w:rPr>
          <w:rFonts w:ascii="Sylfaen" w:hAnsi="Sylfaen"/>
          <w:lang w:val="ka-GE"/>
        </w:rPr>
        <w:t xml:space="preserve"> ზემოაღნიშნული საკანონმდებლო ცვლილების აუცილებლობა გამომდინარეობდა ფარმაცევტული პროდუქტის არარაციონალური გამოყენებით ქვეყანაში შექმნილი სავალალო მდგომარეობიდან. კერძოდ, არსებობდა თვითმკურნალობით გამოწვეული გვერდითი ეფექტების მაღალი რისკი,  ექიმების მიერ </w:t>
      </w:r>
      <w:proofErr w:type="spellStart"/>
      <w:r w:rsidR="00DD4303" w:rsidRPr="008B4474">
        <w:rPr>
          <w:rFonts w:ascii="Sylfaen" w:eastAsia="Times New Roman" w:hAnsi="Sylfaen" w:cs="Sylfaen"/>
        </w:rPr>
        <w:t>მედიკამენტების</w:t>
      </w:r>
      <w:proofErr w:type="spellEnd"/>
      <w:r w:rsidR="00DD4303" w:rsidRPr="008B4474">
        <w:rPr>
          <w:rFonts w:ascii="Times New Roman" w:eastAsia="Times New Roman" w:hAnsi="Times New Roman" w:cs="Times New Roman"/>
        </w:rPr>
        <w:t xml:space="preserve">  </w:t>
      </w:r>
      <w:proofErr w:type="spellStart"/>
      <w:r w:rsidR="00DD4303" w:rsidRPr="008B4474">
        <w:rPr>
          <w:rFonts w:ascii="Sylfaen" w:eastAsia="Times New Roman" w:hAnsi="Sylfaen" w:cs="Sylfaen"/>
        </w:rPr>
        <w:t>არა</w:t>
      </w:r>
      <w:proofErr w:type="spellEnd"/>
      <w:r w:rsidR="00DD4303" w:rsidRPr="008B4474">
        <w:rPr>
          <w:rFonts w:ascii="Sylfaen" w:eastAsia="Times New Roman" w:hAnsi="Sylfaen" w:cs="Sylfaen"/>
          <w:lang w:val="ka-GE"/>
        </w:rPr>
        <w:t>რაციონალურად</w:t>
      </w:r>
      <w:r w:rsidR="00DD4303" w:rsidRPr="008B4474">
        <w:rPr>
          <w:rFonts w:ascii="Times New Roman" w:eastAsia="Times New Roman" w:hAnsi="Times New Roman" w:cs="Times New Roman"/>
        </w:rPr>
        <w:t xml:space="preserve"> </w:t>
      </w:r>
      <w:r w:rsidR="00DD4303" w:rsidRPr="008B4474">
        <w:rPr>
          <w:rFonts w:ascii="Sylfaen" w:eastAsia="Times New Roman" w:hAnsi="Sylfaen" w:cs="Sylfaen"/>
          <w:lang w:val="ka-GE"/>
        </w:rPr>
        <w:t xml:space="preserve">დანიშნულების,  </w:t>
      </w:r>
      <w:r w:rsidR="00DD4303" w:rsidRPr="008B4474">
        <w:rPr>
          <w:rFonts w:ascii="Times New Roman" w:eastAsia="Times New Roman" w:hAnsi="Times New Roman" w:cs="Times New Roman"/>
        </w:rPr>
        <w:t xml:space="preserve"> </w:t>
      </w:r>
      <w:r w:rsidR="00DD4303" w:rsidRPr="008B4474">
        <w:rPr>
          <w:rFonts w:ascii="Sylfaen" w:eastAsia="Times New Roman" w:hAnsi="Sylfaen" w:cs="Times New Roman"/>
          <w:lang w:val="ka-GE"/>
        </w:rPr>
        <w:t xml:space="preserve">ფარმაცევტების მიერ მედიკამენტების არამიზნობრივად შერჩევის პრაქტიკა, იყო მოსახლეობის ინფორმირების დეფიციტი არარაციონალური ფარმაკოთერაპიით გამოწვეული გვერდითი ეფექტების შესახებ, ასევე, ე.წ. „სააფთიაქო ნარკომანიასთან“ დაკავშირებით ქვეყანაში არსებული პრობლემები. </w:t>
      </w:r>
      <w:r w:rsidR="008B4474" w:rsidRPr="008B4474">
        <w:rPr>
          <w:rFonts w:ascii="Sylfaen" w:eastAsia="Times New Roman" w:hAnsi="Sylfaen" w:cs="Arial"/>
          <w:color w:val="000000"/>
          <w:lang w:val="ka-GE"/>
        </w:rPr>
        <w:t xml:space="preserve"> „სააფთიაქო ნარკომანიის“ წინააღმდეგ ბრძოლა არის ქვეყნის სერიოზული სოციალური პრობლემის წანააღმდეგ ბრძოლა, რომლის მიზანია ახალგაზრდა თაობის ჯანმრთელობაზე ზრუნვა და ერის გენოფონდის შენარჩუნება. შესაბამისად, საზოგადოების ნაწილის მიერ ეს ღონისძიება არ უნდა იქნას აღქმული მათი „ნარკომანებისთვის შეწირვად“.</w:t>
      </w:r>
    </w:p>
    <w:p w:rsidR="008B4474" w:rsidRPr="008B4474" w:rsidRDefault="008B4474" w:rsidP="004B76DF">
      <w:pPr>
        <w:spacing w:after="0" w:line="240" w:lineRule="auto"/>
        <w:ind w:firstLine="720"/>
        <w:jc w:val="both"/>
        <w:rPr>
          <w:rFonts w:ascii="Sylfaen" w:eastAsia="Times New Roman" w:hAnsi="Sylfaen" w:cs="Times New Roman"/>
          <w:lang w:val="ka-GE"/>
        </w:rPr>
      </w:pPr>
    </w:p>
    <w:p w:rsidR="008B4474" w:rsidRPr="008B4474" w:rsidRDefault="008B4474" w:rsidP="004B76DF">
      <w:pPr>
        <w:spacing w:after="0" w:line="240" w:lineRule="auto"/>
        <w:ind w:firstLine="720"/>
        <w:jc w:val="both"/>
        <w:rPr>
          <w:rFonts w:ascii="Sylfaen" w:eastAsia="Times New Roman" w:hAnsi="Sylfaen" w:cs="Times New Roman"/>
          <w:lang w:val="ka-GE"/>
        </w:rPr>
      </w:pPr>
    </w:p>
    <w:p w:rsidR="004B76DF" w:rsidRPr="008B4474" w:rsidRDefault="004B76DF" w:rsidP="004B76DF">
      <w:pPr>
        <w:spacing w:after="0" w:line="240" w:lineRule="auto"/>
        <w:ind w:firstLine="720"/>
        <w:jc w:val="both"/>
        <w:rPr>
          <w:rFonts w:ascii="Sylfaen" w:eastAsia="Times New Roman" w:hAnsi="Sylfaen" w:cs="Times New Roman"/>
          <w:lang w:val="ka-GE"/>
        </w:rPr>
      </w:pPr>
      <w:r w:rsidRPr="008B4474">
        <w:rPr>
          <w:rFonts w:ascii="Sylfaen" w:eastAsia="Times New Roman" w:hAnsi="Sylfaen" w:cs="Times New Roman"/>
          <w:lang w:val="ka-GE"/>
        </w:rPr>
        <w:t xml:space="preserve">სააფთიაქო ნარკომანიასთან დაკავშირებით გატარებულია </w:t>
      </w:r>
      <w:r w:rsidR="00FD5B33">
        <w:rPr>
          <w:rFonts w:ascii="Sylfaen" w:eastAsia="Times New Roman" w:hAnsi="Sylfaen" w:cs="Times New Roman"/>
          <w:lang w:val="ka-GE"/>
        </w:rPr>
        <w:t xml:space="preserve">მთელი </w:t>
      </w:r>
      <w:r w:rsidRPr="008B4474">
        <w:rPr>
          <w:rFonts w:ascii="Sylfaen" w:eastAsia="Times New Roman" w:hAnsi="Sylfaen" w:cs="Times New Roman"/>
          <w:lang w:val="ka-GE"/>
        </w:rPr>
        <w:t>რიგი ღონისძიებები:</w:t>
      </w:r>
    </w:p>
    <w:p w:rsidR="0074372C" w:rsidRPr="008B4474" w:rsidRDefault="00D722D6" w:rsidP="00D722D6">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cs="Sylfaen"/>
          <w:bCs/>
          <w:sz w:val="22"/>
          <w:szCs w:val="22"/>
          <w:lang w:val="ka-GE"/>
        </w:rPr>
      </w:pPr>
      <w:r w:rsidRPr="008B4474">
        <w:rPr>
          <w:rFonts w:ascii="Sylfaen" w:eastAsia="Times New Roman" w:hAnsi="Sylfaen" w:cs="Times New Roman"/>
          <w:sz w:val="22"/>
          <w:szCs w:val="22"/>
          <w:lang w:val="ka-GE"/>
        </w:rPr>
        <w:t xml:space="preserve"> </w:t>
      </w:r>
      <w:r w:rsidR="004B76DF" w:rsidRPr="008B4474">
        <w:rPr>
          <w:rFonts w:ascii="Sylfaen" w:hAnsi="Sylfaen"/>
          <w:b/>
          <w:color w:val="FF0000"/>
          <w:sz w:val="22"/>
          <w:szCs w:val="22"/>
          <w:lang w:val="ka-GE"/>
        </w:rPr>
        <w:t xml:space="preserve">    </w:t>
      </w:r>
      <w:r w:rsidR="004B76DF" w:rsidRPr="008B4474">
        <w:rPr>
          <w:rFonts w:ascii="Sylfaen" w:hAnsi="Sylfaen"/>
          <w:sz w:val="22"/>
          <w:szCs w:val="22"/>
          <w:lang w:val="ka-GE"/>
        </w:rPr>
        <w:t xml:space="preserve">,,ფარმაცევტულ ბაზარზე პირველი ჯგუფისთვის მიკუთვნებული ფარმაცევტული პროდუქტის ლეგალურ ბრუნვაზე კონტროლისა და ზედამხედველობის ერთობლივი ღონისძიებების განხორციელების შესახებ“ 2013 წლის 9 აგვისტოს თანამშრომლობის მემორანდუმის, ასევე საქართველოს შინაგან საქმეთა მინისტრის და შრომის, ჯანმრთელობისა და სოციალური დაცვის მინისტრის 2013 წლის 16 სექტემბრის N01-182/ო-N722 ერთობლივი ბრძანების საფუძველზე, </w:t>
      </w:r>
      <w:r w:rsidR="004B76DF" w:rsidRPr="008B4474">
        <w:rPr>
          <w:rFonts w:ascii="Sylfaen" w:hAnsi="Sylfaen"/>
          <w:color w:val="000000" w:themeColor="text1"/>
          <w:sz w:val="22"/>
          <w:szCs w:val="22"/>
          <w:lang w:val="ka-GE"/>
        </w:rPr>
        <w:t xml:space="preserve"> სამედიცინო საქმიანობის სახელმწიფო რეგულირების სააგენტოს ფარმაცევტული საქმიანობის დეპარტამენტის სპეციალისტების მიერ საქართველოს შინაგან საქმეთა სამინისტროს ცენტრალური კრიმინალური პოლიციის დეპარტამენტის თანამშრომლებთან ერთად განხორციელებული ფარმაცევტულ ბაზარზე პირველ ჯგუფს მიკუთვნებული ფარმაცევტული პროდუქტის ლეგალური ბრუნვის კონტროლისა და ზედამხედველობის  ღონისძიებების შედეგად </w:t>
      </w:r>
      <w:r w:rsidRPr="008B4474">
        <w:rPr>
          <w:rFonts w:ascii="Sylfaen" w:hAnsi="Sylfaen"/>
          <w:color w:val="000000" w:themeColor="text1"/>
          <w:sz w:val="22"/>
          <w:szCs w:val="22"/>
          <w:lang w:val="ka-GE"/>
        </w:rPr>
        <w:t xml:space="preserve">გამოვლინდა, რომ განსაკუთრებით </w:t>
      </w:r>
      <w:r w:rsidR="004B76DF" w:rsidRPr="008B4474">
        <w:rPr>
          <w:rFonts w:ascii="Sylfaen" w:hAnsi="Sylfaen"/>
          <w:color w:val="000000" w:themeColor="text1"/>
          <w:sz w:val="22"/>
          <w:szCs w:val="22"/>
          <w:lang w:val="ka-GE"/>
        </w:rPr>
        <w:t>ფართო მას</w:t>
      </w:r>
      <w:r w:rsidR="00FD5B33">
        <w:rPr>
          <w:rFonts w:ascii="Sylfaen" w:hAnsi="Sylfaen"/>
          <w:color w:val="000000" w:themeColor="text1"/>
          <w:sz w:val="22"/>
          <w:szCs w:val="22"/>
          <w:lang w:val="ka-GE"/>
        </w:rPr>
        <w:t>შ</w:t>
      </w:r>
      <w:r w:rsidR="004B76DF" w:rsidRPr="008B4474">
        <w:rPr>
          <w:rFonts w:ascii="Sylfaen" w:hAnsi="Sylfaen"/>
          <w:color w:val="000000" w:themeColor="text1"/>
          <w:sz w:val="22"/>
          <w:szCs w:val="22"/>
          <w:lang w:val="ka-GE"/>
        </w:rPr>
        <w:t xml:space="preserve">ტაბებს მიაღწია </w:t>
      </w:r>
      <w:r w:rsidR="00532471" w:rsidRPr="008B4474">
        <w:rPr>
          <w:rFonts w:ascii="Sylfaen" w:hAnsi="Sylfaen"/>
          <w:color w:val="000000" w:themeColor="text1"/>
          <w:sz w:val="22"/>
          <w:szCs w:val="22"/>
          <w:lang w:val="ka-GE"/>
        </w:rPr>
        <w:t>კოდეინის</w:t>
      </w:r>
      <w:r w:rsidR="00FD5B33">
        <w:rPr>
          <w:rFonts w:ascii="Sylfaen" w:hAnsi="Sylfaen"/>
          <w:color w:val="000000" w:themeColor="text1"/>
          <w:sz w:val="22"/>
          <w:szCs w:val="22"/>
          <w:lang w:val="ka-GE"/>
        </w:rPr>
        <w:t xml:space="preserve"> (,,კრაკადილი“)</w:t>
      </w:r>
      <w:r w:rsidR="00532471" w:rsidRPr="008B4474">
        <w:rPr>
          <w:rFonts w:ascii="Sylfaen" w:hAnsi="Sylfaen"/>
          <w:color w:val="000000" w:themeColor="text1"/>
          <w:sz w:val="22"/>
          <w:szCs w:val="22"/>
          <w:lang w:val="ka-GE"/>
        </w:rPr>
        <w:t xml:space="preserve">, </w:t>
      </w:r>
      <w:r w:rsidR="004B76DF" w:rsidRPr="008B4474">
        <w:rPr>
          <w:rFonts w:ascii="Sylfaen" w:hAnsi="Sylfaen"/>
          <w:color w:val="000000" w:themeColor="text1"/>
          <w:sz w:val="22"/>
          <w:szCs w:val="22"/>
          <w:lang w:val="ka-GE"/>
        </w:rPr>
        <w:t xml:space="preserve">ეფედრინის, ნორეფედრინისა და ფსევდოეფედრინის </w:t>
      </w:r>
      <w:r w:rsidR="00FD5B33">
        <w:rPr>
          <w:rFonts w:ascii="Sylfaen" w:hAnsi="Sylfaen"/>
          <w:color w:val="000000" w:themeColor="text1"/>
          <w:sz w:val="22"/>
          <w:szCs w:val="22"/>
          <w:lang w:val="ka-GE"/>
        </w:rPr>
        <w:t xml:space="preserve"> (,,ვინტი“, ,,ჯეფი“) </w:t>
      </w:r>
      <w:r w:rsidR="004B76DF" w:rsidRPr="008B4474">
        <w:rPr>
          <w:rFonts w:ascii="Sylfaen" w:hAnsi="Sylfaen"/>
          <w:color w:val="000000" w:themeColor="text1"/>
          <w:sz w:val="22"/>
          <w:szCs w:val="22"/>
          <w:lang w:val="ka-GE"/>
        </w:rPr>
        <w:t xml:space="preserve">შემცველი კომბინირებული პრეპარატების ბრუნვამ. </w:t>
      </w:r>
      <w:r w:rsidRPr="008B4474">
        <w:rPr>
          <w:rFonts w:ascii="Sylfaen" w:hAnsi="Sylfaen"/>
          <w:bCs/>
          <w:color w:val="000000" w:themeColor="text1"/>
          <w:sz w:val="22"/>
          <w:szCs w:val="22"/>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კანონში  შეტანილი ცვლილების შესაბამისად,</w:t>
      </w:r>
      <w:r w:rsidR="00FD5B33">
        <w:rPr>
          <w:rFonts w:ascii="Sylfaen" w:hAnsi="Sylfaen"/>
          <w:bCs/>
          <w:color w:val="000000" w:themeColor="text1"/>
          <w:sz w:val="22"/>
          <w:szCs w:val="22"/>
          <w:lang w:val="ka-GE"/>
        </w:rPr>
        <w:t>15.03.2014 წელს</w:t>
      </w:r>
      <w:r w:rsidRPr="008B4474">
        <w:rPr>
          <w:rFonts w:ascii="Sylfaen" w:hAnsi="Sylfaen"/>
          <w:bCs/>
          <w:color w:val="000000" w:themeColor="text1"/>
          <w:sz w:val="22"/>
          <w:szCs w:val="22"/>
          <w:lang w:val="ka-GE"/>
        </w:rPr>
        <w:t xml:space="preserve"> </w:t>
      </w:r>
      <w:r w:rsidR="00532471" w:rsidRPr="008B4474">
        <w:rPr>
          <w:rFonts w:ascii="Sylfaen" w:hAnsi="Sylfaen"/>
          <w:color w:val="000000" w:themeColor="text1"/>
          <w:sz w:val="22"/>
          <w:szCs w:val="22"/>
          <w:lang w:val="ka-GE"/>
        </w:rPr>
        <w:t>კოდეინის შემცველი ფარმაცევტული პროდუქტი გადატანილი</w:t>
      </w:r>
      <w:r w:rsidR="00FD5B33">
        <w:rPr>
          <w:rFonts w:ascii="Sylfaen" w:hAnsi="Sylfaen"/>
          <w:color w:val="000000" w:themeColor="text1"/>
          <w:sz w:val="22"/>
          <w:szCs w:val="22"/>
          <w:lang w:val="ka-GE"/>
        </w:rPr>
        <w:t>ა</w:t>
      </w:r>
      <w:r w:rsidR="00532471" w:rsidRPr="008B4474">
        <w:rPr>
          <w:rFonts w:ascii="Sylfaen" w:hAnsi="Sylfaen"/>
          <w:color w:val="000000" w:themeColor="text1"/>
          <w:sz w:val="22"/>
          <w:szCs w:val="22"/>
          <w:lang w:val="ka-GE"/>
        </w:rPr>
        <w:t xml:space="preserve"> </w:t>
      </w:r>
      <w:r w:rsidR="008B4474" w:rsidRPr="008B4474">
        <w:rPr>
          <w:rFonts w:ascii="Sylfaen" w:eastAsiaTheme="minorHAnsi" w:hAnsi="Sylfaen" w:cstheme="minorBidi"/>
          <w:bCs/>
          <w:color w:val="000000" w:themeColor="text1"/>
          <w:sz w:val="22"/>
          <w:szCs w:val="22"/>
          <w:lang w:val="ka-GE"/>
        </w:rPr>
        <w:t xml:space="preserve"> II </w:t>
      </w:r>
      <w:r w:rsidRPr="008B4474">
        <w:rPr>
          <w:rFonts w:ascii="Sylfaen" w:hAnsi="Sylfaen"/>
          <w:bCs/>
          <w:color w:val="000000" w:themeColor="text1"/>
          <w:sz w:val="22"/>
          <w:szCs w:val="22"/>
          <w:lang w:val="ka-GE"/>
        </w:rPr>
        <w:t>სიაში (</w:t>
      </w:r>
      <w:r w:rsidRPr="008B4474">
        <w:rPr>
          <w:rFonts w:ascii="Sylfaen" w:hAnsi="Sylfaen" w:cs="Sylfaen"/>
          <w:bCs/>
          <w:sz w:val="22"/>
          <w:szCs w:val="22"/>
          <w:lang w:val="ka-GE"/>
        </w:rPr>
        <w:t xml:space="preserve">ბრუნვისათვის შეზღუდული ნარკოტიკული საშუალებები). </w:t>
      </w:r>
      <w:r w:rsidR="008B4474" w:rsidRPr="008B4474">
        <w:rPr>
          <w:rFonts w:ascii="Sylfaen" w:hAnsi="Sylfaen" w:cs="Sylfaen"/>
          <w:bCs/>
          <w:sz w:val="22"/>
          <w:szCs w:val="22"/>
          <w:lang w:val="ka-GE"/>
        </w:rPr>
        <w:t xml:space="preserve">კოდეინის შემცველი კომბინირებული პრეპარატების რეცეპტის გარეშე რეალიზაცია </w:t>
      </w:r>
      <w:r w:rsidRPr="008B4474">
        <w:rPr>
          <w:rFonts w:ascii="Sylfaen" w:hAnsi="Sylfaen" w:cs="Sylfaen"/>
          <w:bCs/>
          <w:sz w:val="22"/>
          <w:szCs w:val="22"/>
          <w:lang w:val="ka-GE"/>
        </w:rPr>
        <w:t xml:space="preserve"> </w:t>
      </w:r>
      <w:r w:rsidR="008B4474" w:rsidRPr="008B4474">
        <w:rPr>
          <w:rFonts w:ascii="Sylfaen" w:hAnsi="Sylfaen" w:cs="Sylfaen"/>
          <w:bCs/>
          <w:sz w:val="22"/>
          <w:szCs w:val="22"/>
          <w:lang w:val="ka-GE"/>
        </w:rPr>
        <w:t>იწვევს აფთიაქისთვის (როგორც იურიდიული, ასევე მათ უკან მდგომი ფიზიკური პირებისთვის) სისხლის სამართლებრივ პასუხისმგებლობას</w:t>
      </w:r>
      <w:r w:rsidRPr="008B4474">
        <w:rPr>
          <w:rFonts w:ascii="Sylfaen" w:hAnsi="Sylfaen" w:cs="Sylfaen"/>
          <w:bCs/>
          <w:sz w:val="22"/>
          <w:szCs w:val="22"/>
          <w:lang w:val="ka-GE"/>
        </w:rPr>
        <w:t>.</w:t>
      </w:r>
    </w:p>
    <w:p w:rsidR="0074372C" w:rsidRDefault="008B4474" w:rsidP="00D722D6">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cs="Sylfaen"/>
          <w:bCs/>
          <w:sz w:val="22"/>
          <w:szCs w:val="22"/>
          <w:lang w:val="ka-GE"/>
        </w:rPr>
      </w:pPr>
      <w:r w:rsidRPr="008B4474">
        <w:rPr>
          <w:rFonts w:ascii="Sylfaen" w:hAnsi="Sylfaen" w:cs="Sylfaen"/>
          <w:bCs/>
          <w:sz w:val="22"/>
          <w:szCs w:val="22"/>
          <w:lang w:val="ka-GE"/>
        </w:rPr>
        <w:t>ეფედრინმა, ფსევდოეფედრინმა და ნორეფედრინმა  გადაინაცვლა</w:t>
      </w:r>
      <w:r w:rsidR="00D722D6" w:rsidRPr="008B4474">
        <w:rPr>
          <w:rFonts w:ascii="Sylfaen" w:hAnsi="Sylfaen" w:cs="Sylfaen"/>
          <w:bCs/>
          <w:sz w:val="22"/>
          <w:szCs w:val="22"/>
          <w:lang w:val="ka-GE"/>
        </w:rPr>
        <w:t xml:space="preserve"> </w:t>
      </w:r>
      <w:r w:rsidRPr="008B4474">
        <w:rPr>
          <w:rFonts w:ascii="Sylfaen" w:hAnsi="Sylfaen" w:cs="Sylfaen"/>
          <w:bCs/>
          <w:sz w:val="22"/>
          <w:szCs w:val="22"/>
          <w:lang w:val="ka-GE"/>
        </w:rPr>
        <w:t>ფსიქოტროპული ნივთიერებების III სიაში</w:t>
      </w:r>
      <w:r w:rsidR="00D722D6" w:rsidRPr="008B4474">
        <w:rPr>
          <w:rFonts w:ascii="Sylfaen" w:hAnsi="Sylfaen" w:cs="Sylfaen"/>
          <w:bCs/>
          <w:sz w:val="22"/>
          <w:szCs w:val="22"/>
          <w:lang w:val="ka-GE"/>
        </w:rPr>
        <w:t xml:space="preserve">. </w:t>
      </w:r>
      <w:r w:rsidRPr="008B4474">
        <w:rPr>
          <w:rFonts w:ascii="Sylfaen" w:hAnsi="Sylfaen" w:cs="Sylfaen"/>
          <w:bCs/>
          <w:sz w:val="22"/>
          <w:szCs w:val="22"/>
          <w:lang w:val="ka-GE"/>
        </w:rPr>
        <w:t xml:space="preserve">მათი შემცველი კომბინირებული პრეპარატები უთანაბრდება III </w:t>
      </w:r>
      <w:r w:rsidRPr="008B4474">
        <w:rPr>
          <w:rFonts w:ascii="Sylfaen" w:hAnsi="Sylfaen" w:cs="Sylfaen"/>
          <w:bCs/>
          <w:sz w:val="22"/>
          <w:szCs w:val="22"/>
          <w:lang w:val="ka-GE"/>
        </w:rPr>
        <w:lastRenderedPageBreak/>
        <w:t>სიას</w:t>
      </w:r>
      <w:r w:rsidR="00D722D6" w:rsidRPr="008B4474">
        <w:rPr>
          <w:rFonts w:ascii="Sylfaen" w:hAnsi="Sylfaen" w:cs="Sylfaen"/>
          <w:bCs/>
          <w:sz w:val="22"/>
          <w:szCs w:val="22"/>
          <w:lang w:val="ka-GE"/>
        </w:rPr>
        <w:t xml:space="preserve">. </w:t>
      </w:r>
      <w:r w:rsidRPr="008B4474">
        <w:rPr>
          <w:rFonts w:ascii="Sylfaen" w:hAnsi="Sylfaen" w:cs="Sylfaen"/>
          <w:bCs/>
          <w:sz w:val="22"/>
          <w:szCs w:val="22"/>
          <w:lang w:val="ka-GE"/>
        </w:rPr>
        <w:t xml:space="preserve">განისაზღვრა მათი </w:t>
      </w:r>
      <w:r w:rsidR="00FD5B33">
        <w:rPr>
          <w:rFonts w:ascii="Sylfaen" w:hAnsi="Sylfaen" w:cs="Sylfaen"/>
          <w:bCs/>
          <w:sz w:val="22"/>
          <w:szCs w:val="22"/>
          <w:lang w:val="ka-GE"/>
        </w:rPr>
        <w:t xml:space="preserve">მცირე, დიდი და განსაკუთრებით დიდი </w:t>
      </w:r>
      <w:r w:rsidRPr="008B4474">
        <w:rPr>
          <w:rFonts w:ascii="Sylfaen" w:hAnsi="Sylfaen" w:cs="Sylfaen"/>
          <w:bCs/>
          <w:sz w:val="22"/>
          <w:szCs w:val="22"/>
          <w:lang w:val="ka-GE"/>
        </w:rPr>
        <w:t>ოდენობები</w:t>
      </w:r>
      <w:r w:rsidR="00D722D6" w:rsidRPr="008B4474">
        <w:rPr>
          <w:rFonts w:ascii="Sylfaen" w:hAnsi="Sylfaen" w:cs="Sylfaen"/>
          <w:bCs/>
          <w:sz w:val="22"/>
          <w:szCs w:val="22"/>
          <w:lang w:val="ka-GE"/>
        </w:rPr>
        <w:t>ც.</w:t>
      </w:r>
    </w:p>
    <w:p w:rsidR="00FD5B33" w:rsidRDefault="00FD5B33" w:rsidP="00D722D6">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cs="Sylfaen"/>
          <w:bCs/>
          <w:sz w:val="22"/>
          <w:szCs w:val="22"/>
          <w:lang w:val="ka-GE"/>
        </w:rPr>
      </w:pPr>
      <w:r>
        <w:rPr>
          <w:rFonts w:ascii="Sylfaen" w:hAnsi="Sylfaen" w:cs="Sylfaen"/>
          <w:bCs/>
          <w:sz w:val="22"/>
          <w:szCs w:val="22"/>
          <w:lang w:val="ka-GE"/>
        </w:rPr>
        <w:tab/>
        <w:t>აღნიშნული საკანონმდებლო ცვლილების შედეგად, შინაგან საქმეთა სამინისტროდან მოწოდებული ინფორმაციის საფუძველზე,  90%-ით შეცირდა ზემოთ მოყვანილი ნივთიერებების არამიზნობრივი გამოყენების ფაქტები.</w:t>
      </w:r>
    </w:p>
    <w:p w:rsidR="00FD5B33" w:rsidRPr="008B4474" w:rsidRDefault="00FD5B33" w:rsidP="00D722D6">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cs="Sylfaen"/>
          <w:bCs/>
          <w:sz w:val="22"/>
          <w:szCs w:val="22"/>
          <w:lang w:val="ka-GE"/>
        </w:rPr>
      </w:pPr>
      <w:r>
        <w:rPr>
          <w:rFonts w:ascii="Sylfaen" w:hAnsi="Sylfaen" w:cs="Sylfaen"/>
          <w:bCs/>
          <w:sz w:val="22"/>
          <w:szCs w:val="22"/>
          <w:lang w:val="ka-GE"/>
        </w:rPr>
        <w:tab/>
      </w:r>
      <w:r w:rsidR="001E6BEF">
        <w:rPr>
          <w:rFonts w:ascii="Sylfaen" w:hAnsi="Sylfaen" w:cs="Sylfaen"/>
          <w:bCs/>
          <w:sz w:val="22"/>
          <w:szCs w:val="22"/>
          <w:lang w:val="ka-GE"/>
        </w:rPr>
        <w:tab/>
      </w:r>
      <w:r>
        <w:rPr>
          <w:rFonts w:ascii="Sylfaen" w:hAnsi="Sylfaen" w:cs="Sylfaen"/>
          <w:bCs/>
          <w:sz w:val="22"/>
          <w:szCs w:val="22"/>
          <w:lang w:val="ka-GE"/>
        </w:rPr>
        <w:t xml:space="preserve">ცვლილებების განხორციელების მიზნით საკითხის  (იმპორტის, საბითუმო და საცალო რეალიზაციის, უკანონო არხებში გადინების, ავად გამოყენების) დეტალური შესწავლისა და დამუშავებას დასჭირდა 6-7 თვე, ხოლო საკანონდებლო ცვლილებების პროვედურების (ინიცირება აღმასრულებელ და საკანონდებლო ორგანოებში) 3 თვე საერთო ჯამში </w:t>
      </w:r>
      <w:r w:rsidR="001E6BEF">
        <w:rPr>
          <w:rFonts w:ascii="Sylfaen" w:hAnsi="Sylfaen" w:cs="Sylfaen"/>
          <w:bCs/>
          <w:sz w:val="22"/>
          <w:szCs w:val="22"/>
          <w:lang w:val="ka-GE"/>
        </w:rPr>
        <w:t xml:space="preserve">9-10 თვე. </w:t>
      </w:r>
    </w:p>
    <w:p w:rsidR="0074372C" w:rsidRPr="008B4474" w:rsidRDefault="004737E2" w:rsidP="00D722D6">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cs="Sylfaen"/>
          <w:bCs/>
          <w:sz w:val="22"/>
          <w:szCs w:val="22"/>
          <w:lang w:val="ka-GE"/>
        </w:rPr>
      </w:pPr>
      <w:r w:rsidRPr="008B4474">
        <w:rPr>
          <w:rFonts w:ascii="Sylfaen" w:hAnsi="Sylfaen" w:cs="Sylfaen"/>
          <w:bCs/>
          <w:sz w:val="22"/>
          <w:szCs w:val="22"/>
          <w:lang w:val="ka-GE"/>
        </w:rPr>
        <w:tab/>
      </w:r>
      <w:r w:rsidR="001E6BEF">
        <w:rPr>
          <w:rFonts w:ascii="Sylfaen" w:hAnsi="Sylfaen" w:cs="Sylfaen"/>
          <w:bCs/>
          <w:sz w:val="22"/>
          <w:szCs w:val="22"/>
          <w:lang w:val="ka-GE"/>
        </w:rPr>
        <w:tab/>
      </w:r>
      <w:r w:rsidR="00D722D6" w:rsidRPr="008B4474">
        <w:rPr>
          <w:rFonts w:ascii="Sylfaen" w:hAnsi="Sylfaen" w:cs="Sylfaen"/>
          <w:bCs/>
          <w:sz w:val="22"/>
          <w:szCs w:val="22"/>
          <w:lang w:val="ka-GE"/>
        </w:rPr>
        <w:t xml:space="preserve">ცვლილებები </w:t>
      </w:r>
      <w:r w:rsidR="00770677" w:rsidRPr="008B4474">
        <w:rPr>
          <w:rFonts w:ascii="Sylfaen" w:hAnsi="Sylfaen" w:cs="Sylfaen"/>
          <w:bCs/>
          <w:sz w:val="22"/>
          <w:szCs w:val="22"/>
          <w:lang w:val="ka-GE"/>
        </w:rPr>
        <w:t xml:space="preserve">განხორციელდა </w:t>
      </w:r>
      <w:r w:rsidR="00D722D6" w:rsidRPr="008B4474">
        <w:rPr>
          <w:rFonts w:ascii="Sylfaen" w:hAnsi="Sylfaen" w:cs="Sylfaen"/>
          <w:bCs/>
          <w:sz w:val="22"/>
          <w:szCs w:val="22"/>
          <w:lang w:val="ka-GE"/>
        </w:rPr>
        <w:t xml:space="preserve"> „ნარკოტიკული საშუალებების, ფსიქოტროპული ნივთიერებების, პრეკურსორებისა და ზოგიერთი ფსიქოაქტიური ნივთიერებების შემცველი სამკურნალო საშუალებების ნუსხისა და მათი ლეგალური ბრუნვის წესების დამტკიცების შესახებ“  საქართველოს შრომის, ჯანმრთელობისა და სოციალური დაცვის მინისტრის N22/ნ ბრძანებაში, კერძოდ, დამტკიცებულ ნუსხას დაემატა 6 ნივთიერების  (</w:t>
      </w:r>
      <w:r w:rsidR="008B4474" w:rsidRPr="008B4474">
        <w:rPr>
          <w:rFonts w:ascii="Sylfaen" w:hAnsi="Sylfaen" w:cs="Sylfaen"/>
          <w:bCs/>
          <w:sz w:val="22"/>
          <w:szCs w:val="22"/>
          <w:lang w:val="ka-GE"/>
        </w:rPr>
        <w:t>ბაკლოფენი</w:t>
      </w:r>
      <w:r w:rsidR="00D722D6" w:rsidRPr="008B4474">
        <w:rPr>
          <w:rFonts w:ascii="Sylfaen" w:hAnsi="Sylfaen" w:cs="Sylfaen"/>
          <w:bCs/>
          <w:sz w:val="22"/>
          <w:szCs w:val="22"/>
          <w:lang w:val="ka-GE"/>
        </w:rPr>
        <w:t xml:space="preserve">, </w:t>
      </w:r>
      <w:r w:rsidR="008B4474" w:rsidRPr="008B4474">
        <w:rPr>
          <w:rFonts w:ascii="Sylfaen" w:hAnsi="Sylfaen" w:cs="Sylfaen"/>
          <w:bCs/>
          <w:sz w:val="22"/>
          <w:szCs w:val="22"/>
          <w:lang w:val="ka-GE"/>
        </w:rPr>
        <w:t>გაბაპენტინი</w:t>
      </w:r>
      <w:r w:rsidR="00D722D6" w:rsidRPr="008B4474">
        <w:rPr>
          <w:rFonts w:ascii="Sylfaen" w:hAnsi="Sylfaen" w:cs="Sylfaen"/>
          <w:bCs/>
          <w:sz w:val="22"/>
          <w:szCs w:val="22"/>
          <w:lang w:val="ka-GE"/>
        </w:rPr>
        <w:t>,  დ</w:t>
      </w:r>
      <w:r w:rsidR="008B4474" w:rsidRPr="008B4474">
        <w:rPr>
          <w:rFonts w:ascii="Sylfaen" w:hAnsi="Sylfaen" w:cs="Sylfaen"/>
          <w:bCs/>
          <w:sz w:val="22"/>
          <w:szCs w:val="22"/>
          <w:lang w:val="ka-GE"/>
        </w:rPr>
        <w:t>ექსტრომეტო</w:t>
      </w:r>
      <w:r w:rsidR="00D722D6" w:rsidRPr="008B4474">
        <w:rPr>
          <w:rFonts w:ascii="Sylfaen" w:hAnsi="Sylfaen" w:cs="Sylfaen"/>
          <w:bCs/>
          <w:sz w:val="22"/>
          <w:szCs w:val="22"/>
          <w:lang w:val="ka-GE"/>
        </w:rPr>
        <w:t>რფანი,</w:t>
      </w:r>
      <w:r w:rsidR="008B4474" w:rsidRPr="008B4474">
        <w:rPr>
          <w:rFonts w:ascii="Sylfaen" w:hAnsi="Sylfaen" w:cs="Sylfaen"/>
          <w:bCs/>
          <w:sz w:val="22"/>
          <w:szCs w:val="22"/>
          <w:lang w:val="ka-GE"/>
        </w:rPr>
        <w:t>ზოპიკლონი</w:t>
      </w:r>
      <w:r w:rsidR="00D722D6" w:rsidRPr="008B4474">
        <w:rPr>
          <w:rFonts w:ascii="Sylfaen" w:hAnsi="Sylfaen" w:cs="Sylfaen"/>
          <w:bCs/>
          <w:sz w:val="22"/>
          <w:szCs w:val="22"/>
          <w:lang w:val="ka-GE"/>
        </w:rPr>
        <w:t xml:space="preserve">, </w:t>
      </w:r>
      <w:r w:rsidR="008B4474" w:rsidRPr="008B4474">
        <w:rPr>
          <w:rFonts w:ascii="Sylfaen" w:hAnsi="Sylfaen" w:cs="Sylfaen"/>
          <w:bCs/>
          <w:sz w:val="22"/>
          <w:szCs w:val="22"/>
          <w:lang w:val="ka-GE"/>
        </w:rPr>
        <w:t>ზალეპლონი</w:t>
      </w:r>
      <w:r w:rsidR="00D722D6" w:rsidRPr="008B4474">
        <w:rPr>
          <w:rFonts w:ascii="Sylfaen" w:hAnsi="Sylfaen" w:cs="Sylfaen"/>
          <w:bCs/>
          <w:sz w:val="22"/>
          <w:szCs w:val="22"/>
          <w:lang w:val="ka-GE"/>
        </w:rPr>
        <w:t xml:space="preserve">, </w:t>
      </w:r>
      <w:r w:rsidR="008B4474" w:rsidRPr="008B4474">
        <w:rPr>
          <w:rFonts w:ascii="Sylfaen" w:hAnsi="Sylfaen" w:cs="Sylfaen"/>
          <w:bCs/>
          <w:sz w:val="22"/>
          <w:szCs w:val="22"/>
          <w:lang w:val="ka-GE"/>
        </w:rPr>
        <w:t>ტროპიკამიდი</w:t>
      </w:r>
      <w:r w:rsidR="00D722D6" w:rsidRPr="008B4474">
        <w:rPr>
          <w:rFonts w:ascii="Sylfaen" w:hAnsi="Sylfaen" w:cs="Sylfaen"/>
          <w:bCs/>
          <w:sz w:val="22"/>
          <w:szCs w:val="22"/>
          <w:lang w:val="ka-GE"/>
        </w:rPr>
        <w:t xml:space="preserve">) შეცველი სამკურნალო საშუალებები, რომლებიც გადანაცვლა </w:t>
      </w:r>
      <w:r w:rsidR="00D722D6" w:rsidRPr="008B4474">
        <w:rPr>
          <w:rFonts w:ascii="Sylfaen" w:hAnsi="Sylfaen" w:cs="Sylfaen"/>
          <w:bCs/>
          <w:sz w:val="22"/>
          <w:szCs w:val="22"/>
        </w:rPr>
        <w:t>II</w:t>
      </w:r>
      <w:r w:rsidR="00D722D6" w:rsidRPr="008B4474">
        <w:rPr>
          <w:rFonts w:ascii="Sylfaen" w:hAnsi="Sylfaen" w:cs="Sylfaen"/>
          <w:bCs/>
          <w:sz w:val="22"/>
          <w:szCs w:val="22"/>
          <w:lang w:val="ka-GE"/>
        </w:rPr>
        <w:t xml:space="preserve"> ჯგუფიდან  </w:t>
      </w:r>
      <w:r w:rsidR="00D722D6" w:rsidRPr="008B4474">
        <w:rPr>
          <w:rFonts w:ascii="Sylfaen" w:hAnsi="Sylfaen" w:cs="Sylfaen"/>
          <w:bCs/>
          <w:sz w:val="22"/>
          <w:szCs w:val="22"/>
        </w:rPr>
        <w:t xml:space="preserve">I </w:t>
      </w:r>
      <w:r w:rsidR="00D722D6" w:rsidRPr="008B4474">
        <w:rPr>
          <w:rFonts w:ascii="Sylfaen" w:hAnsi="Sylfaen" w:cs="Sylfaen"/>
          <w:bCs/>
          <w:sz w:val="22"/>
          <w:szCs w:val="22"/>
          <w:lang w:val="ka-GE"/>
        </w:rPr>
        <w:t>ჯგუფში.</w:t>
      </w:r>
      <w:r w:rsidR="00D722D6" w:rsidRPr="008B4474">
        <w:rPr>
          <w:rFonts w:ascii="Sylfaen" w:hAnsi="Sylfaen" w:cs="Sylfaen"/>
          <w:bCs/>
          <w:sz w:val="22"/>
          <w:szCs w:val="22"/>
        </w:rPr>
        <w:t xml:space="preserve"> </w:t>
      </w:r>
      <w:r w:rsidR="00D722D6" w:rsidRPr="008B4474">
        <w:rPr>
          <w:rFonts w:ascii="Sylfaen" w:hAnsi="Sylfaen" w:cs="Sylfaen"/>
          <w:bCs/>
          <w:sz w:val="22"/>
          <w:szCs w:val="22"/>
          <w:lang w:val="ka-GE"/>
        </w:rPr>
        <w:t>მათზე დაწესდა ისეთივე კონტროლის რეჟიმი, როგორც ფსიქოტროპულ ნივთიერებებზე.</w:t>
      </w:r>
      <w:r w:rsidR="001E6BEF">
        <w:rPr>
          <w:rFonts w:ascii="Sylfaen" w:hAnsi="Sylfaen" w:cs="Sylfaen"/>
          <w:bCs/>
          <w:sz w:val="22"/>
          <w:szCs w:val="22"/>
          <w:lang w:val="ka-GE"/>
        </w:rPr>
        <w:t xml:space="preserve"> აღნიშნული საკანონმდებლო ცვლილების  შედეგად 70%-მდე შემცირდა მოყვანილი 6 ნივთიერების შემცველი სამკურნალო საშუალებების იმპორტირებული რაოდენობა, განისაზღვრა რეალური პაციენტების რიცხვი, შესაძლებელი გახდა მათზე ქვეყნის შიდა კვოტის დადგენა. </w:t>
      </w:r>
    </w:p>
    <w:p w:rsidR="004737E2" w:rsidRPr="008B4474" w:rsidRDefault="00770677" w:rsidP="004737E2">
      <w:pPr>
        <w:spacing w:before="100" w:beforeAutospacing="1" w:after="100" w:afterAutospacing="1" w:line="240" w:lineRule="auto"/>
        <w:ind w:firstLine="720"/>
        <w:jc w:val="both"/>
        <w:rPr>
          <w:rFonts w:ascii="Sylfaen" w:eastAsia="Times New Roman" w:hAnsi="Sylfaen" w:cs="Times New Roman"/>
          <w:lang w:val="ka-GE"/>
        </w:rPr>
      </w:pPr>
      <w:r w:rsidRPr="008B4474">
        <w:rPr>
          <w:rFonts w:ascii="Sylfaen" w:eastAsia="Times New Roman" w:hAnsi="Sylfaen" w:cs="Times New Roman"/>
          <w:lang w:val="ka-GE"/>
        </w:rPr>
        <w:t xml:space="preserve">ფსიქოაქტიური ნივთიერებების ჯგუფების კრიმინალიზაციის საკითხთან დაკავშირებით,   საქართველოს შრომის, ჯანმრთელობისა და სოციალური დაცვის სამინისტროს მიერ მომზადდა მეორე და მესამე ჯგუფს მიკუთვნებული ფარმაცევტული პროდუქტის შემადგენელი  სუბსტანციების ქიმიური სტრუქტურების ბანკი და შედარდა საქართველოს შინაგან საქმეთა სამინისტროდან მიღებულ ქიმიურ ბირთვებს. რის შედეგად, </w:t>
      </w:r>
      <w:r w:rsidR="004737E2" w:rsidRPr="008B4474">
        <w:rPr>
          <w:rFonts w:ascii="Sylfaen" w:eastAsia="Times New Roman" w:hAnsi="Sylfaen" w:cs="Times New Roman"/>
          <w:lang w:val="ka-GE"/>
        </w:rPr>
        <w:t xml:space="preserve">ფსიქოაქტიური ბირთვების შემცველობა  დადასტურდა </w:t>
      </w:r>
      <w:r w:rsidRPr="008B4474">
        <w:rPr>
          <w:rFonts w:ascii="Sylfaen" w:eastAsia="Times New Roman" w:hAnsi="Sylfaen" w:cs="Times New Roman"/>
          <w:lang w:val="ka-GE"/>
        </w:rPr>
        <w:t>კეტოკონაზოლის</w:t>
      </w:r>
      <w:r w:rsidR="004737E2" w:rsidRPr="008B4474">
        <w:rPr>
          <w:rFonts w:ascii="Sylfaen" w:eastAsia="Times New Roman" w:hAnsi="Sylfaen" w:cs="Times New Roman"/>
          <w:lang w:val="ka-GE"/>
        </w:rPr>
        <w:t xml:space="preserve">, </w:t>
      </w:r>
      <w:r w:rsidRPr="008B4474">
        <w:rPr>
          <w:rFonts w:ascii="Sylfaen" w:eastAsia="Times New Roman" w:hAnsi="Sylfaen" w:cs="Times New Roman"/>
          <w:lang w:val="ka-GE"/>
        </w:rPr>
        <w:t xml:space="preserve"> ცეტირიზინის, </w:t>
      </w:r>
      <w:r w:rsidR="004737E2" w:rsidRPr="008B4474">
        <w:rPr>
          <w:rFonts w:ascii="Sylfaen" w:eastAsia="Times New Roman" w:hAnsi="Sylfaen" w:cs="Times New Roman"/>
          <w:lang w:val="ka-GE"/>
        </w:rPr>
        <w:t>ცინარიზინის სტრუქტურაშებში. აღნიშნულის გათვალისწინებით,  მ</w:t>
      </w:r>
      <w:r w:rsidRPr="008B4474">
        <w:rPr>
          <w:rFonts w:ascii="Sylfaen" w:eastAsia="Times New Roman" w:hAnsi="Sylfaen" w:cs="Times New Roman"/>
          <w:lang w:val="ka-GE"/>
        </w:rPr>
        <w:t>ესამე ჯგუფს მიკუთვნებული, ზემოთმოყვანილი გენერიული საშუალებების შემცველი ფარმაცევტული პროდუქტი,  რეკლასიფიკაციის საფუძველზე გადაყვანილი იქნება მეორე ჯგუფში და გაიცემა ფორმა N3 რეცეპტით, ხოლო მეორე ჯგუფს მიკუთვნებული, რისკის მატარებელი ბირთვების შემცველი სამკურნალო საშუალებები უკვე მოქცეულია განსაზღვრულ რეგულაციაში, რადგან ისინი გაიცემა ფორმა N3 რეცეპტით და მათი გამოყენება მოხდება მხოლოდ ექიმის დანიშნულებით, რაც აისახება კანონმდებლობით დადგენილ სამედიცინო  დოკუმენტაციაში.</w:t>
      </w:r>
      <w:r w:rsidR="004737E2" w:rsidRPr="008B4474">
        <w:rPr>
          <w:rFonts w:ascii="Sylfaen" w:eastAsia="Times New Roman" w:hAnsi="Sylfaen" w:cs="Times New Roman"/>
          <w:lang w:val="ka-GE"/>
        </w:rPr>
        <w:t xml:space="preserve"> </w:t>
      </w:r>
    </w:p>
    <w:p w:rsidR="004B76DF" w:rsidRPr="008B4474" w:rsidRDefault="004737E2" w:rsidP="004737E2">
      <w:pPr>
        <w:spacing w:before="100" w:beforeAutospacing="1" w:after="100" w:afterAutospacing="1" w:line="240" w:lineRule="auto"/>
        <w:ind w:firstLine="720"/>
        <w:jc w:val="both"/>
        <w:rPr>
          <w:rFonts w:ascii="Sylfaen" w:hAnsi="Sylfaen" w:cs="Sylfaen"/>
          <w:bCs/>
          <w:lang w:val="ka-GE"/>
        </w:rPr>
      </w:pPr>
      <w:r w:rsidRPr="008B4474">
        <w:rPr>
          <w:rFonts w:ascii="Sylfaen" w:eastAsia="Times New Roman" w:hAnsi="Sylfaen" w:cs="Times New Roman"/>
          <w:lang w:val="ka-GE"/>
        </w:rPr>
        <w:t xml:space="preserve">        </w:t>
      </w:r>
      <w:r w:rsidR="004B76DF" w:rsidRPr="008B4474">
        <w:rPr>
          <w:rFonts w:ascii="Sylfaen" w:hAnsi="Sylfaen" w:cs="Sylfaen"/>
          <w:bCs/>
          <w:lang w:val="ka-GE"/>
        </w:rPr>
        <w:t xml:space="preserve">ცვლილება საშუალებას იძლევა დაწესდეს მკაცრი მონიტორინგი ავადმოხმარებად სამკურნალო საშუალებებზე, რომელსაც ნარკოტიკული თრობის მისაღებად იყენებენ, განსაკუთრებით მოზარდები. </w:t>
      </w:r>
      <w:r w:rsidRPr="008B4474">
        <w:rPr>
          <w:rFonts w:ascii="Sylfaen" w:hAnsi="Sylfaen" w:cs="Sylfaen"/>
          <w:bCs/>
          <w:lang w:val="ka-GE"/>
        </w:rPr>
        <w:t xml:space="preserve">ამ მიმართულებით გატარებული ყველა </w:t>
      </w:r>
      <w:r w:rsidR="004B76DF" w:rsidRPr="008B4474">
        <w:rPr>
          <w:rFonts w:ascii="Sylfaen" w:hAnsi="Sylfaen" w:cs="Sylfaen"/>
          <w:bCs/>
          <w:lang w:val="ka-GE"/>
        </w:rPr>
        <w:t xml:space="preserve"> ინიციატივა ერთიანობაში საშუალებას გვაძლევს, დავძლიოთ  პრობლემა, რომელსაც სამკურნალო საშუალებების  ნარკოტიკული თრობისათვის ავადმოხმარება ჰქვია.</w:t>
      </w:r>
    </w:p>
    <w:p w:rsidR="008B4474" w:rsidRPr="008B4474" w:rsidRDefault="008B4474" w:rsidP="008B4474">
      <w:pPr>
        <w:shd w:val="clear" w:color="auto" w:fill="FFFFFF"/>
        <w:spacing w:before="100" w:beforeAutospacing="1" w:after="100" w:afterAutospacing="1" w:line="240" w:lineRule="auto"/>
        <w:ind w:firstLine="720"/>
        <w:jc w:val="both"/>
        <w:rPr>
          <w:rFonts w:ascii="Arial" w:eastAsia="Times New Roman" w:hAnsi="Arial" w:cs="Arial"/>
          <w:color w:val="000000"/>
        </w:rPr>
      </w:pPr>
      <w:r w:rsidRPr="008B4474">
        <w:rPr>
          <w:rFonts w:ascii="Sylfaen" w:eastAsia="Times New Roman" w:hAnsi="Sylfaen" w:cs="Arial"/>
          <w:color w:val="000000"/>
          <w:lang w:val="ka-GE"/>
        </w:rPr>
        <w:t xml:space="preserve"> </w:t>
      </w:r>
      <w:r w:rsidR="001E6BEF">
        <w:rPr>
          <w:rFonts w:ascii="Sylfaen" w:eastAsia="Times New Roman" w:hAnsi="Sylfaen" w:cs="Arial"/>
          <w:color w:val="000000"/>
          <w:lang w:val="ka-GE"/>
        </w:rPr>
        <w:t>უმთავრესი</w:t>
      </w:r>
      <w:r>
        <w:rPr>
          <w:rFonts w:ascii="Sylfaen" w:eastAsia="Times New Roman" w:hAnsi="Sylfaen" w:cs="Arial"/>
          <w:color w:val="000000"/>
          <w:lang w:val="ka-GE"/>
        </w:rPr>
        <w:t xml:space="preserve"> მიზეზი რეცეპტის ინსტიტუტის აღდგენისა, არის</w:t>
      </w:r>
      <w:r w:rsidRPr="008B4474">
        <w:rPr>
          <w:rFonts w:ascii="Sylfaen" w:eastAsia="Times New Roman" w:hAnsi="Sylfaen" w:cs="Arial"/>
          <w:color w:val="000000"/>
          <w:lang w:val="ka-GE"/>
        </w:rPr>
        <w:t xml:space="preserve"> არარაციო</w:t>
      </w:r>
      <w:r>
        <w:rPr>
          <w:rFonts w:ascii="Sylfaen" w:eastAsia="Times New Roman" w:hAnsi="Sylfaen" w:cs="Arial"/>
          <w:color w:val="000000"/>
          <w:lang w:val="ka-GE"/>
        </w:rPr>
        <w:t xml:space="preserve">ნალური თვითმკურნალობის არსებული დონე, რაც </w:t>
      </w:r>
      <w:r w:rsidRPr="008B4474">
        <w:rPr>
          <w:rFonts w:ascii="Sylfaen" w:eastAsia="Times New Roman" w:hAnsi="Sylfaen" w:cs="Arial"/>
          <w:color w:val="000000"/>
          <w:lang w:val="ka-GE"/>
        </w:rPr>
        <w:t xml:space="preserve"> ქვეყანაში </w:t>
      </w:r>
      <w:r>
        <w:rPr>
          <w:rFonts w:ascii="Sylfaen" w:eastAsia="Times New Roman" w:hAnsi="Sylfaen" w:cs="Arial"/>
          <w:color w:val="000000"/>
          <w:lang w:val="ka-GE"/>
        </w:rPr>
        <w:t>ქმნის სერიოზულ სოციალურ და ეკონომიკურ პრობლემებს</w:t>
      </w:r>
      <w:r w:rsidRPr="008B4474">
        <w:rPr>
          <w:rFonts w:ascii="Sylfaen" w:eastAsia="Times New Roman" w:hAnsi="Sylfaen" w:cs="Arial"/>
          <w:color w:val="000000"/>
          <w:lang w:val="ka-GE"/>
        </w:rPr>
        <w:t xml:space="preserve">. </w:t>
      </w:r>
      <w:r w:rsidR="001E6BEF">
        <w:rPr>
          <w:rFonts w:ascii="Sylfaen" w:eastAsia="Times New Roman" w:hAnsi="Sylfaen" w:cs="Arial"/>
          <w:color w:val="000000"/>
          <w:lang w:val="ka-GE"/>
        </w:rPr>
        <w:t xml:space="preserve">მედიკამენტებზე გაწეული დანახარჯების პროცენტული </w:t>
      </w:r>
      <w:r w:rsidR="001E6BEF">
        <w:rPr>
          <w:rFonts w:ascii="Sylfaen" w:eastAsia="Times New Roman" w:hAnsi="Sylfaen" w:cs="Arial"/>
          <w:color w:val="000000"/>
          <w:lang w:val="ka-GE"/>
        </w:rPr>
        <w:lastRenderedPageBreak/>
        <w:t xml:space="preserve">მაჩვენებელი საერთო მკურნალობის დანახარჯებში, სხვა ქვეყნებთან შედარებით, თითქმის ორჯერ მაღალია. </w:t>
      </w:r>
      <w:r w:rsidRPr="008B4474">
        <w:rPr>
          <w:rFonts w:ascii="Sylfaen" w:eastAsia="Times New Roman" w:hAnsi="Sylfaen" w:cs="Arial"/>
          <w:color w:val="000000"/>
          <w:lang w:val="ka-GE"/>
        </w:rPr>
        <w:t xml:space="preserve"> დღეის მდგომარეობით, ჯანმრთელობის დაცვის ფუნდამენტურ ჯაჭვში ექიმი-პაციენტი-წამალი-ფარმაცევტი ამოვარდნილია ექიმის როლი. პაციენტები, უმეტეს შემთხვევაში, თვითმკურნალობას ეწევიან დიაგნოზის გარეშე, მეზობლის, მეგობრის თუ ნათესავის რჩევით, რაც, უმეტესად არაეფექტური და საფრთხის შემცველია. იკარგება მკურნალობისთვის საჭირო დრო. წამლისმიერი გართულებებისა და ამ გართულებების შორეული შედეგების სტატისტიკა არ არსებობს. ამას უნდა დაემატოს ის ეკონომიური ხარჯიც, რაც დაკავშირებულია არარაციონალური მკურნალობისთვის საჭირო მედიკამენტების შეძენასთან და წამლისმიერი გართულებების სარეაბილიტაციო ხარჯებთან.</w:t>
      </w:r>
    </w:p>
    <w:p w:rsidR="008B4474" w:rsidRPr="008B4474" w:rsidRDefault="008B4474" w:rsidP="008B4474">
      <w:pPr>
        <w:shd w:val="clear" w:color="auto" w:fill="FFFFFF"/>
        <w:spacing w:before="100" w:beforeAutospacing="1" w:after="100" w:afterAutospacing="1" w:line="240" w:lineRule="auto"/>
        <w:ind w:firstLine="720"/>
        <w:jc w:val="both"/>
        <w:rPr>
          <w:rFonts w:ascii="Arial" w:eastAsia="Times New Roman" w:hAnsi="Arial" w:cs="Arial"/>
          <w:color w:val="000000"/>
        </w:rPr>
      </w:pPr>
      <w:r w:rsidRPr="008B4474">
        <w:rPr>
          <w:rFonts w:ascii="Sylfaen" w:eastAsia="Times New Roman" w:hAnsi="Sylfaen" w:cs="Arial"/>
          <w:color w:val="000000"/>
          <w:lang w:val="ka-GE"/>
        </w:rPr>
        <w:t>განსაკუთრებით აღსანიშნავია არარაციონალური ანტიბიოტიკოთერაპიის სავალალო შედეგები. ანტიბიოტიკების არასაჭირო გამოყენება, ან მათი არასწორად შერჩევა, ან არასწორად შერჩეული დოზირება თუ არასრულად ჩატარებული მკურნალობა მიკრობთა ანტიბიოტიკებისადმი რეზისტენტული შტამების განვითარების წინაპირობაა. აღნიშნული საფრთხეს უქმნის არა მარტო თავად პაციენტს, არამედ მის გარშემომყოფებსა და, ზოგადად, საზოგადოებას. პრობლემის სიღრმისეული ანალიზი გვიჩვენებს, რომ მიკრობთა რეზისტენტული ფორმების სამკურნალოდ მედიცინას უფრო და უფრო ნაკლები ბერკეტები რჩება. უფრო მეტიც, მშობიარობის, ქირორგიული ჩარევების თუ ღია ტრავმული შემთხვევებისას სეფსისის (ინფექციის) განვითა</w:t>
      </w:r>
      <w:r w:rsidR="001E6BEF">
        <w:rPr>
          <w:rFonts w:ascii="Sylfaen" w:eastAsia="Times New Roman" w:hAnsi="Sylfaen" w:cs="Arial"/>
          <w:color w:val="000000"/>
          <w:lang w:val="ka-GE"/>
        </w:rPr>
        <w:t>რების რისკის შემთხვევაში ანტობიო</w:t>
      </w:r>
      <w:r w:rsidRPr="008B4474">
        <w:rPr>
          <w:rFonts w:ascii="Sylfaen" w:eastAsia="Times New Roman" w:hAnsi="Sylfaen" w:cs="Arial"/>
          <w:color w:val="000000"/>
          <w:lang w:val="ka-GE"/>
        </w:rPr>
        <w:t>ტიკებით მკურნალობა ხშირ შემთხვევაში ვეღარ იძლევა დადებით ეფექტს იმის გამო, რომ პაციენტს უკვე საკუთარი ინიციატივით არარაციონალურად  აქვს მიღებული ბოლო თაობის ფართო სპექტრის ანტიბიოტიკები, რომლის სიძლიერით უფრო ეფექტური ანტიბიოტიკი ფაქტიურად აღარ არსებობს.</w:t>
      </w:r>
    </w:p>
    <w:p w:rsidR="008B4474" w:rsidRPr="008B4474" w:rsidRDefault="008B4474" w:rsidP="008B4474">
      <w:pPr>
        <w:shd w:val="clear" w:color="auto" w:fill="FFFFFF"/>
        <w:spacing w:before="100" w:beforeAutospacing="1" w:after="100" w:afterAutospacing="1" w:line="240" w:lineRule="auto"/>
        <w:ind w:firstLine="720"/>
        <w:jc w:val="both"/>
        <w:rPr>
          <w:rFonts w:ascii="Arial" w:eastAsia="Times New Roman" w:hAnsi="Arial" w:cs="Arial"/>
          <w:color w:val="000000"/>
        </w:rPr>
      </w:pPr>
      <w:r w:rsidRPr="008B4474">
        <w:rPr>
          <w:rFonts w:ascii="Sylfaen" w:eastAsia="Times New Roman" w:hAnsi="Sylfaen" w:cs="Arial"/>
          <w:color w:val="000000"/>
          <w:lang w:val="ka-GE"/>
        </w:rPr>
        <w:t xml:space="preserve">ასევე აღსანიშნავია ის ფაქტიც, როდესაც მოსახლეობა ვირუსული ინფექციის - გრიპის გამოვლენისთანავე მიმართავენ ანტიბიოტიკებს. თვითოეულმა მოქალაქემ უნდა გაათვითცნობიეროს, რომ ანტიბიოტიკები არ მოქმედებენ ვირუსებზე და მათი გამოყენება შესაძლებელია მხოლოდ ვირუსული ინფექციის გართულების პერიოდში, რომლის დადგენა და დანიშნულების შერჩევა ექიმის კომპეტენციაა. გასათვალისწინებელია ანტიბიოტიკებით მკურნალობისას შესაძლო გვერდითი ეფექტებით მიღებული რისკებიც, რომელთა შორეული შედეგები (განსაკუთრებით ბავშვებში) ხშირად </w:t>
      </w:r>
      <w:r w:rsidR="001E6BEF">
        <w:rPr>
          <w:rFonts w:ascii="Sylfaen" w:eastAsia="Times New Roman" w:hAnsi="Sylfaen" w:cs="Arial"/>
          <w:color w:val="000000"/>
          <w:lang w:val="ka-GE"/>
        </w:rPr>
        <w:t>არაპროგნოზირებადია.</w:t>
      </w:r>
    </w:p>
    <w:p w:rsidR="008B4474" w:rsidRDefault="008B4474" w:rsidP="008B4474">
      <w:pPr>
        <w:shd w:val="clear" w:color="auto" w:fill="FFFFFF"/>
        <w:spacing w:before="100" w:beforeAutospacing="1" w:after="100" w:afterAutospacing="1" w:line="240" w:lineRule="auto"/>
        <w:ind w:firstLine="720"/>
        <w:jc w:val="both"/>
        <w:rPr>
          <w:rFonts w:ascii="Sylfaen" w:eastAsia="Times New Roman" w:hAnsi="Sylfaen" w:cs="Arial"/>
          <w:color w:val="000000"/>
          <w:lang w:val="ka-GE"/>
        </w:rPr>
      </w:pPr>
      <w:r w:rsidRPr="008B4474">
        <w:rPr>
          <w:rFonts w:ascii="Sylfaen" w:eastAsia="Times New Roman" w:hAnsi="Sylfaen" w:cs="Arial"/>
          <w:color w:val="000000"/>
          <w:lang w:val="ka-GE"/>
        </w:rPr>
        <w:t>            განვმარტავთ, ასევე, რომ  დაავადების მიმდინარეობის სურათი გარკვეული პერიოდის განმავლობაში იცვლება. ამ თვალსაზრისით პაციენტი საჭიროებს განმეორებით სამედიცინო გამოკვლევებს, განმეორებით დიაგნოსტირებას, რის საფუძველზეც საჭირო ხდება მედიკამენტოზურ მკურნალობაში კორექტივის შეტანა. ამიტომ თუნდაც ქრონიკული დაავადების მქონე პაციენტის განმეორებითი ვიზიტი ექიმთან გარკვეული პერიოდულობით აუცილებელია და თავად პაციენტის ინტერესებში შედის. შესაბამისად, ხანგრძლივი მოქმედების რეცეპტისთვის კანონმდებლობით დადგენილი ერთწლიანი ვადა სრულიად რაციონალურია.</w:t>
      </w:r>
    </w:p>
    <w:p w:rsidR="001E6BEF" w:rsidRPr="003531CE" w:rsidRDefault="001E6BEF" w:rsidP="008B4474">
      <w:pPr>
        <w:shd w:val="clear" w:color="auto" w:fill="FFFFFF"/>
        <w:spacing w:before="100" w:beforeAutospacing="1" w:after="100" w:afterAutospacing="1" w:line="240" w:lineRule="auto"/>
        <w:ind w:firstLine="720"/>
        <w:jc w:val="both"/>
        <w:rPr>
          <w:rFonts w:ascii="Arial" w:eastAsia="Times New Roman" w:hAnsi="Arial" w:cs="Arial"/>
          <w:color w:val="000000"/>
          <w:lang w:val="ka-GE"/>
        </w:rPr>
      </w:pPr>
      <w:r>
        <w:rPr>
          <w:rFonts w:ascii="Sylfaen" w:eastAsia="Times New Roman" w:hAnsi="Sylfaen" w:cs="Arial"/>
          <w:color w:val="000000"/>
          <w:lang w:val="ka-GE"/>
        </w:rPr>
        <w:t xml:space="preserve">ზემოაღნიშნულიდან გამომდინარე, რეცეპტის ინსტიტუტის აღდგენა ემსახურება მხოლოდ მოსახლეობის იონტერესებს, რათა შემცირდეს ფარმაცევტული პროდუქტის </w:t>
      </w:r>
      <w:r>
        <w:rPr>
          <w:rFonts w:ascii="Sylfaen" w:eastAsia="Times New Roman" w:hAnsi="Sylfaen" w:cs="Arial"/>
          <w:color w:val="000000"/>
          <w:lang w:val="ka-GE"/>
        </w:rPr>
        <w:lastRenderedPageBreak/>
        <w:t>არარაციონალური, არამიზნობრივი გამოყენება, სააფთიაქო ნარკომანია, პოლიპრაგმაზიის დონე</w:t>
      </w:r>
      <w:r w:rsidR="003531CE">
        <w:rPr>
          <w:rFonts w:ascii="Sylfaen" w:eastAsia="Times New Roman" w:hAnsi="Sylfaen" w:cs="Arial"/>
          <w:color w:val="000000"/>
          <w:lang w:val="ka-GE"/>
        </w:rPr>
        <w:t xml:space="preserve">.  </w:t>
      </w:r>
      <w:bookmarkStart w:id="0" w:name="_GoBack"/>
      <w:bookmarkEnd w:id="0"/>
    </w:p>
    <w:p w:rsidR="008B4474" w:rsidRPr="008B4474" w:rsidRDefault="008B4474" w:rsidP="008B4474">
      <w:pPr>
        <w:shd w:val="clear" w:color="auto" w:fill="FFFFFF"/>
        <w:spacing w:before="100" w:beforeAutospacing="1" w:after="100" w:afterAutospacing="1" w:line="240" w:lineRule="auto"/>
        <w:rPr>
          <w:rFonts w:ascii="Arial" w:eastAsia="Times New Roman" w:hAnsi="Arial" w:cs="Arial"/>
          <w:color w:val="000000"/>
        </w:rPr>
      </w:pPr>
      <w:r w:rsidRPr="008B4474">
        <w:rPr>
          <w:rFonts w:ascii="Sylfaen" w:eastAsia="Times New Roman" w:hAnsi="Sylfaen" w:cs="Arial"/>
          <w:color w:val="000000"/>
          <w:lang w:val="ka-GE"/>
        </w:rPr>
        <w:t> </w:t>
      </w:r>
      <w:r w:rsidRPr="008B4474">
        <w:rPr>
          <w:rFonts w:ascii="Arial" w:eastAsia="Times New Roman" w:hAnsi="Arial" w:cs="Arial"/>
          <w:color w:val="000000"/>
        </w:rPr>
        <w:t> </w:t>
      </w:r>
    </w:p>
    <w:p w:rsidR="00DD4303" w:rsidRPr="008B4474" w:rsidRDefault="00DD4303">
      <w:pPr>
        <w:rPr>
          <w:rFonts w:ascii="Sylfaen" w:hAnsi="Sylfaen"/>
          <w:lang w:val="ka-GE"/>
        </w:rPr>
      </w:pPr>
    </w:p>
    <w:p w:rsidR="00DD4303" w:rsidRPr="008B4474" w:rsidRDefault="00DD4303">
      <w:pPr>
        <w:rPr>
          <w:rFonts w:ascii="Sylfaen" w:hAnsi="Sylfaen"/>
          <w:lang w:val="ka-GE"/>
        </w:rPr>
      </w:pPr>
    </w:p>
    <w:p w:rsidR="00346CA1" w:rsidRPr="008B4474" w:rsidRDefault="00B2667E">
      <w:r w:rsidRPr="008B4474">
        <w:rPr>
          <w:rFonts w:ascii="Sylfaen" w:hAnsi="Sylfaen"/>
          <w:lang w:val="ka-GE"/>
        </w:rPr>
        <w:t xml:space="preserve"> </w:t>
      </w:r>
    </w:p>
    <w:sectPr w:rsidR="00346CA1" w:rsidRPr="008B4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1ED"/>
    <w:multiLevelType w:val="hybridMultilevel"/>
    <w:tmpl w:val="DCF2C46C"/>
    <w:lvl w:ilvl="0" w:tplc="12A6B044">
      <w:start w:val="1"/>
      <w:numFmt w:val="bullet"/>
      <w:lvlText w:val="•"/>
      <w:lvlJc w:val="left"/>
      <w:pPr>
        <w:tabs>
          <w:tab w:val="num" w:pos="720"/>
        </w:tabs>
        <w:ind w:left="720" w:hanging="360"/>
      </w:pPr>
      <w:rPr>
        <w:rFonts w:ascii="Times New Roman" w:hAnsi="Times New Roman" w:hint="default"/>
      </w:rPr>
    </w:lvl>
    <w:lvl w:ilvl="1" w:tplc="906615DE" w:tentative="1">
      <w:start w:val="1"/>
      <w:numFmt w:val="bullet"/>
      <w:lvlText w:val="•"/>
      <w:lvlJc w:val="left"/>
      <w:pPr>
        <w:tabs>
          <w:tab w:val="num" w:pos="1440"/>
        </w:tabs>
        <w:ind w:left="1440" w:hanging="360"/>
      </w:pPr>
      <w:rPr>
        <w:rFonts w:ascii="Times New Roman" w:hAnsi="Times New Roman" w:hint="default"/>
      </w:rPr>
    </w:lvl>
    <w:lvl w:ilvl="2" w:tplc="40EE66F8" w:tentative="1">
      <w:start w:val="1"/>
      <w:numFmt w:val="bullet"/>
      <w:lvlText w:val="•"/>
      <w:lvlJc w:val="left"/>
      <w:pPr>
        <w:tabs>
          <w:tab w:val="num" w:pos="2160"/>
        </w:tabs>
        <w:ind w:left="2160" w:hanging="360"/>
      </w:pPr>
      <w:rPr>
        <w:rFonts w:ascii="Times New Roman" w:hAnsi="Times New Roman" w:hint="default"/>
      </w:rPr>
    </w:lvl>
    <w:lvl w:ilvl="3" w:tplc="CF687C04" w:tentative="1">
      <w:start w:val="1"/>
      <w:numFmt w:val="bullet"/>
      <w:lvlText w:val="•"/>
      <w:lvlJc w:val="left"/>
      <w:pPr>
        <w:tabs>
          <w:tab w:val="num" w:pos="2880"/>
        </w:tabs>
        <w:ind w:left="2880" w:hanging="360"/>
      </w:pPr>
      <w:rPr>
        <w:rFonts w:ascii="Times New Roman" w:hAnsi="Times New Roman" w:hint="default"/>
      </w:rPr>
    </w:lvl>
    <w:lvl w:ilvl="4" w:tplc="3A8A363A" w:tentative="1">
      <w:start w:val="1"/>
      <w:numFmt w:val="bullet"/>
      <w:lvlText w:val="•"/>
      <w:lvlJc w:val="left"/>
      <w:pPr>
        <w:tabs>
          <w:tab w:val="num" w:pos="3600"/>
        </w:tabs>
        <w:ind w:left="3600" w:hanging="360"/>
      </w:pPr>
      <w:rPr>
        <w:rFonts w:ascii="Times New Roman" w:hAnsi="Times New Roman" w:hint="default"/>
      </w:rPr>
    </w:lvl>
    <w:lvl w:ilvl="5" w:tplc="9A0E857E" w:tentative="1">
      <w:start w:val="1"/>
      <w:numFmt w:val="bullet"/>
      <w:lvlText w:val="•"/>
      <w:lvlJc w:val="left"/>
      <w:pPr>
        <w:tabs>
          <w:tab w:val="num" w:pos="4320"/>
        </w:tabs>
        <w:ind w:left="4320" w:hanging="360"/>
      </w:pPr>
      <w:rPr>
        <w:rFonts w:ascii="Times New Roman" w:hAnsi="Times New Roman" w:hint="default"/>
      </w:rPr>
    </w:lvl>
    <w:lvl w:ilvl="6" w:tplc="B4E0AA22" w:tentative="1">
      <w:start w:val="1"/>
      <w:numFmt w:val="bullet"/>
      <w:lvlText w:val="•"/>
      <w:lvlJc w:val="left"/>
      <w:pPr>
        <w:tabs>
          <w:tab w:val="num" w:pos="5040"/>
        </w:tabs>
        <w:ind w:left="5040" w:hanging="360"/>
      </w:pPr>
      <w:rPr>
        <w:rFonts w:ascii="Times New Roman" w:hAnsi="Times New Roman" w:hint="default"/>
      </w:rPr>
    </w:lvl>
    <w:lvl w:ilvl="7" w:tplc="85EAE58A" w:tentative="1">
      <w:start w:val="1"/>
      <w:numFmt w:val="bullet"/>
      <w:lvlText w:val="•"/>
      <w:lvlJc w:val="left"/>
      <w:pPr>
        <w:tabs>
          <w:tab w:val="num" w:pos="5760"/>
        </w:tabs>
        <w:ind w:left="5760" w:hanging="360"/>
      </w:pPr>
      <w:rPr>
        <w:rFonts w:ascii="Times New Roman" w:hAnsi="Times New Roman" w:hint="default"/>
      </w:rPr>
    </w:lvl>
    <w:lvl w:ilvl="8" w:tplc="8AB6FE8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846B0F"/>
    <w:multiLevelType w:val="hybridMultilevel"/>
    <w:tmpl w:val="B870445E"/>
    <w:lvl w:ilvl="0" w:tplc="437C5EC2">
      <w:start w:val="1"/>
      <w:numFmt w:val="bullet"/>
      <w:lvlText w:val="•"/>
      <w:lvlJc w:val="left"/>
      <w:pPr>
        <w:tabs>
          <w:tab w:val="num" w:pos="720"/>
        </w:tabs>
        <w:ind w:left="720" w:hanging="360"/>
      </w:pPr>
      <w:rPr>
        <w:rFonts w:ascii="Times New Roman" w:hAnsi="Times New Roman" w:hint="default"/>
      </w:rPr>
    </w:lvl>
    <w:lvl w:ilvl="1" w:tplc="91C47FA4" w:tentative="1">
      <w:start w:val="1"/>
      <w:numFmt w:val="bullet"/>
      <w:lvlText w:val="•"/>
      <w:lvlJc w:val="left"/>
      <w:pPr>
        <w:tabs>
          <w:tab w:val="num" w:pos="1440"/>
        </w:tabs>
        <w:ind w:left="1440" w:hanging="360"/>
      </w:pPr>
      <w:rPr>
        <w:rFonts w:ascii="Times New Roman" w:hAnsi="Times New Roman" w:hint="default"/>
      </w:rPr>
    </w:lvl>
    <w:lvl w:ilvl="2" w:tplc="4AAAC846" w:tentative="1">
      <w:start w:val="1"/>
      <w:numFmt w:val="bullet"/>
      <w:lvlText w:val="•"/>
      <w:lvlJc w:val="left"/>
      <w:pPr>
        <w:tabs>
          <w:tab w:val="num" w:pos="2160"/>
        </w:tabs>
        <w:ind w:left="2160" w:hanging="360"/>
      </w:pPr>
      <w:rPr>
        <w:rFonts w:ascii="Times New Roman" w:hAnsi="Times New Roman" w:hint="default"/>
      </w:rPr>
    </w:lvl>
    <w:lvl w:ilvl="3" w:tplc="BE7E9706" w:tentative="1">
      <w:start w:val="1"/>
      <w:numFmt w:val="bullet"/>
      <w:lvlText w:val="•"/>
      <w:lvlJc w:val="left"/>
      <w:pPr>
        <w:tabs>
          <w:tab w:val="num" w:pos="2880"/>
        </w:tabs>
        <w:ind w:left="2880" w:hanging="360"/>
      </w:pPr>
      <w:rPr>
        <w:rFonts w:ascii="Times New Roman" w:hAnsi="Times New Roman" w:hint="default"/>
      </w:rPr>
    </w:lvl>
    <w:lvl w:ilvl="4" w:tplc="4A1EF61E" w:tentative="1">
      <w:start w:val="1"/>
      <w:numFmt w:val="bullet"/>
      <w:lvlText w:val="•"/>
      <w:lvlJc w:val="left"/>
      <w:pPr>
        <w:tabs>
          <w:tab w:val="num" w:pos="3600"/>
        </w:tabs>
        <w:ind w:left="3600" w:hanging="360"/>
      </w:pPr>
      <w:rPr>
        <w:rFonts w:ascii="Times New Roman" w:hAnsi="Times New Roman" w:hint="default"/>
      </w:rPr>
    </w:lvl>
    <w:lvl w:ilvl="5" w:tplc="A2700A22" w:tentative="1">
      <w:start w:val="1"/>
      <w:numFmt w:val="bullet"/>
      <w:lvlText w:val="•"/>
      <w:lvlJc w:val="left"/>
      <w:pPr>
        <w:tabs>
          <w:tab w:val="num" w:pos="4320"/>
        </w:tabs>
        <w:ind w:left="4320" w:hanging="360"/>
      </w:pPr>
      <w:rPr>
        <w:rFonts w:ascii="Times New Roman" w:hAnsi="Times New Roman" w:hint="default"/>
      </w:rPr>
    </w:lvl>
    <w:lvl w:ilvl="6" w:tplc="F86A80F4" w:tentative="1">
      <w:start w:val="1"/>
      <w:numFmt w:val="bullet"/>
      <w:lvlText w:val="•"/>
      <w:lvlJc w:val="left"/>
      <w:pPr>
        <w:tabs>
          <w:tab w:val="num" w:pos="5040"/>
        </w:tabs>
        <w:ind w:left="5040" w:hanging="360"/>
      </w:pPr>
      <w:rPr>
        <w:rFonts w:ascii="Times New Roman" w:hAnsi="Times New Roman" w:hint="default"/>
      </w:rPr>
    </w:lvl>
    <w:lvl w:ilvl="7" w:tplc="77EE718A" w:tentative="1">
      <w:start w:val="1"/>
      <w:numFmt w:val="bullet"/>
      <w:lvlText w:val="•"/>
      <w:lvlJc w:val="left"/>
      <w:pPr>
        <w:tabs>
          <w:tab w:val="num" w:pos="5760"/>
        </w:tabs>
        <w:ind w:left="5760" w:hanging="360"/>
      </w:pPr>
      <w:rPr>
        <w:rFonts w:ascii="Times New Roman" w:hAnsi="Times New Roman" w:hint="default"/>
      </w:rPr>
    </w:lvl>
    <w:lvl w:ilvl="8" w:tplc="42B81584" w:tentative="1">
      <w:start w:val="1"/>
      <w:numFmt w:val="bullet"/>
      <w:lvlText w:val="•"/>
      <w:lvlJc w:val="left"/>
      <w:pPr>
        <w:tabs>
          <w:tab w:val="num" w:pos="6480"/>
        </w:tabs>
        <w:ind w:left="6480" w:hanging="360"/>
      </w:pPr>
      <w:rPr>
        <w:rFonts w:ascii="Times New Roman" w:hAnsi="Times New Roman" w:hint="default"/>
      </w:rPr>
    </w:lvl>
  </w:abstractNum>
  <w:abstractNum w:abstractNumId="2">
    <w:nsid w:val="5787158D"/>
    <w:multiLevelType w:val="hybridMultilevel"/>
    <w:tmpl w:val="F392B3BC"/>
    <w:lvl w:ilvl="0" w:tplc="A4A86C26">
      <w:start w:val="1"/>
      <w:numFmt w:val="decimal"/>
      <w:lvlText w:val="%1."/>
      <w:lvlJc w:val="left"/>
      <w:pPr>
        <w:tabs>
          <w:tab w:val="num" w:pos="720"/>
        </w:tabs>
        <w:ind w:left="720" w:hanging="360"/>
      </w:pPr>
    </w:lvl>
    <w:lvl w:ilvl="1" w:tplc="74EAC7C0" w:tentative="1">
      <w:start w:val="1"/>
      <w:numFmt w:val="decimal"/>
      <w:lvlText w:val="%2."/>
      <w:lvlJc w:val="left"/>
      <w:pPr>
        <w:tabs>
          <w:tab w:val="num" w:pos="1440"/>
        </w:tabs>
        <w:ind w:left="1440" w:hanging="360"/>
      </w:pPr>
    </w:lvl>
    <w:lvl w:ilvl="2" w:tplc="A1A23AA4" w:tentative="1">
      <w:start w:val="1"/>
      <w:numFmt w:val="decimal"/>
      <w:lvlText w:val="%3."/>
      <w:lvlJc w:val="left"/>
      <w:pPr>
        <w:tabs>
          <w:tab w:val="num" w:pos="2160"/>
        </w:tabs>
        <w:ind w:left="2160" w:hanging="360"/>
      </w:pPr>
    </w:lvl>
    <w:lvl w:ilvl="3" w:tplc="F5EAC72E" w:tentative="1">
      <w:start w:val="1"/>
      <w:numFmt w:val="decimal"/>
      <w:lvlText w:val="%4."/>
      <w:lvlJc w:val="left"/>
      <w:pPr>
        <w:tabs>
          <w:tab w:val="num" w:pos="2880"/>
        </w:tabs>
        <w:ind w:left="2880" w:hanging="360"/>
      </w:pPr>
    </w:lvl>
    <w:lvl w:ilvl="4" w:tplc="A7F04688" w:tentative="1">
      <w:start w:val="1"/>
      <w:numFmt w:val="decimal"/>
      <w:lvlText w:val="%5."/>
      <w:lvlJc w:val="left"/>
      <w:pPr>
        <w:tabs>
          <w:tab w:val="num" w:pos="3600"/>
        </w:tabs>
        <w:ind w:left="3600" w:hanging="360"/>
      </w:pPr>
    </w:lvl>
    <w:lvl w:ilvl="5" w:tplc="43882D9E" w:tentative="1">
      <w:start w:val="1"/>
      <w:numFmt w:val="decimal"/>
      <w:lvlText w:val="%6."/>
      <w:lvlJc w:val="left"/>
      <w:pPr>
        <w:tabs>
          <w:tab w:val="num" w:pos="4320"/>
        </w:tabs>
        <w:ind w:left="4320" w:hanging="360"/>
      </w:pPr>
    </w:lvl>
    <w:lvl w:ilvl="6" w:tplc="774AB41A" w:tentative="1">
      <w:start w:val="1"/>
      <w:numFmt w:val="decimal"/>
      <w:lvlText w:val="%7."/>
      <w:lvlJc w:val="left"/>
      <w:pPr>
        <w:tabs>
          <w:tab w:val="num" w:pos="5040"/>
        </w:tabs>
        <w:ind w:left="5040" w:hanging="360"/>
      </w:pPr>
    </w:lvl>
    <w:lvl w:ilvl="7" w:tplc="F30A91E2" w:tentative="1">
      <w:start w:val="1"/>
      <w:numFmt w:val="decimal"/>
      <w:lvlText w:val="%8."/>
      <w:lvlJc w:val="left"/>
      <w:pPr>
        <w:tabs>
          <w:tab w:val="num" w:pos="5760"/>
        </w:tabs>
        <w:ind w:left="5760" w:hanging="360"/>
      </w:pPr>
    </w:lvl>
    <w:lvl w:ilvl="8" w:tplc="F0AEC1AA" w:tentative="1">
      <w:start w:val="1"/>
      <w:numFmt w:val="decimal"/>
      <w:lvlText w:val="%9."/>
      <w:lvlJc w:val="left"/>
      <w:pPr>
        <w:tabs>
          <w:tab w:val="num" w:pos="6480"/>
        </w:tabs>
        <w:ind w:left="6480" w:hanging="360"/>
      </w:pPr>
    </w:lvl>
  </w:abstractNum>
  <w:abstractNum w:abstractNumId="3">
    <w:nsid w:val="5C00299A"/>
    <w:multiLevelType w:val="hybridMultilevel"/>
    <w:tmpl w:val="47DE732E"/>
    <w:lvl w:ilvl="0" w:tplc="1DA6C426">
      <w:start w:val="1"/>
      <w:numFmt w:val="bullet"/>
      <w:lvlText w:val="•"/>
      <w:lvlJc w:val="left"/>
      <w:pPr>
        <w:tabs>
          <w:tab w:val="num" w:pos="720"/>
        </w:tabs>
        <w:ind w:left="720" w:hanging="360"/>
      </w:pPr>
      <w:rPr>
        <w:rFonts w:ascii="Times New Roman" w:hAnsi="Times New Roman" w:hint="default"/>
      </w:rPr>
    </w:lvl>
    <w:lvl w:ilvl="1" w:tplc="86645276" w:tentative="1">
      <w:start w:val="1"/>
      <w:numFmt w:val="bullet"/>
      <w:lvlText w:val="•"/>
      <w:lvlJc w:val="left"/>
      <w:pPr>
        <w:tabs>
          <w:tab w:val="num" w:pos="1440"/>
        </w:tabs>
        <w:ind w:left="1440" w:hanging="360"/>
      </w:pPr>
      <w:rPr>
        <w:rFonts w:ascii="Times New Roman" w:hAnsi="Times New Roman" w:hint="default"/>
      </w:rPr>
    </w:lvl>
    <w:lvl w:ilvl="2" w:tplc="D3E6C9FA" w:tentative="1">
      <w:start w:val="1"/>
      <w:numFmt w:val="bullet"/>
      <w:lvlText w:val="•"/>
      <w:lvlJc w:val="left"/>
      <w:pPr>
        <w:tabs>
          <w:tab w:val="num" w:pos="2160"/>
        </w:tabs>
        <w:ind w:left="2160" w:hanging="360"/>
      </w:pPr>
      <w:rPr>
        <w:rFonts w:ascii="Times New Roman" w:hAnsi="Times New Roman" w:hint="default"/>
      </w:rPr>
    </w:lvl>
    <w:lvl w:ilvl="3" w:tplc="33DCDEB0" w:tentative="1">
      <w:start w:val="1"/>
      <w:numFmt w:val="bullet"/>
      <w:lvlText w:val="•"/>
      <w:lvlJc w:val="left"/>
      <w:pPr>
        <w:tabs>
          <w:tab w:val="num" w:pos="2880"/>
        </w:tabs>
        <w:ind w:left="2880" w:hanging="360"/>
      </w:pPr>
      <w:rPr>
        <w:rFonts w:ascii="Times New Roman" w:hAnsi="Times New Roman" w:hint="default"/>
      </w:rPr>
    </w:lvl>
    <w:lvl w:ilvl="4" w:tplc="95E853A0" w:tentative="1">
      <w:start w:val="1"/>
      <w:numFmt w:val="bullet"/>
      <w:lvlText w:val="•"/>
      <w:lvlJc w:val="left"/>
      <w:pPr>
        <w:tabs>
          <w:tab w:val="num" w:pos="3600"/>
        </w:tabs>
        <w:ind w:left="3600" w:hanging="360"/>
      </w:pPr>
      <w:rPr>
        <w:rFonts w:ascii="Times New Roman" w:hAnsi="Times New Roman" w:hint="default"/>
      </w:rPr>
    </w:lvl>
    <w:lvl w:ilvl="5" w:tplc="B51A5448" w:tentative="1">
      <w:start w:val="1"/>
      <w:numFmt w:val="bullet"/>
      <w:lvlText w:val="•"/>
      <w:lvlJc w:val="left"/>
      <w:pPr>
        <w:tabs>
          <w:tab w:val="num" w:pos="4320"/>
        </w:tabs>
        <w:ind w:left="4320" w:hanging="360"/>
      </w:pPr>
      <w:rPr>
        <w:rFonts w:ascii="Times New Roman" w:hAnsi="Times New Roman" w:hint="default"/>
      </w:rPr>
    </w:lvl>
    <w:lvl w:ilvl="6" w:tplc="A96E842E" w:tentative="1">
      <w:start w:val="1"/>
      <w:numFmt w:val="bullet"/>
      <w:lvlText w:val="•"/>
      <w:lvlJc w:val="left"/>
      <w:pPr>
        <w:tabs>
          <w:tab w:val="num" w:pos="5040"/>
        </w:tabs>
        <w:ind w:left="5040" w:hanging="360"/>
      </w:pPr>
      <w:rPr>
        <w:rFonts w:ascii="Times New Roman" w:hAnsi="Times New Roman" w:hint="default"/>
      </w:rPr>
    </w:lvl>
    <w:lvl w:ilvl="7" w:tplc="48287732" w:tentative="1">
      <w:start w:val="1"/>
      <w:numFmt w:val="bullet"/>
      <w:lvlText w:val="•"/>
      <w:lvlJc w:val="left"/>
      <w:pPr>
        <w:tabs>
          <w:tab w:val="num" w:pos="5760"/>
        </w:tabs>
        <w:ind w:left="5760" w:hanging="360"/>
      </w:pPr>
      <w:rPr>
        <w:rFonts w:ascii="Times New Roman" w:hAnsi="Times New Roman" w:hint="default"/>
      </w:rPr>
    </w:lvl>
    <w:lvl w:ilvl="8" w:tplc="2F4CD60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67E"/>
    <w:rsid w:val="001E6BEF"/>
    <w:rsid w:val="00346CA1"/>
    <w:rsid w:val="003531CE"/>
    <w:rsid w:val="004737E2"/>
    <w:rsid w:val="004B76DF"/>
    <w:rsid w:val="00532471"/>
    <w:rsid w:val="00555CD5"/>
    <w:rsid w:val="0074372C"/>
    <w:rsid w:val="00770677"/>
    <w:rsid w:val="008B4474"/>
    <w:rsid w:val="00B2667E"/>
    <w:rsid w:val="00D722D6"/>
    <w:rsid w:val="00DD4303"/>
    <w:rsid w:val="00FD5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76DF"/>
    <w:pPr>
      <w:spacing w:after="0"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D722D6"/>
    <w:pPr>
      <w:spacing w:after="0" w:line="240" w:lineRule="auto"/>
      <w:ind w:left="720"/>
      <w:contextualSpacing/>
    </w:pPr>
    <w:rPr>
      <w:rFonts w:ascii="Times New Roman" w:eastAsia="Times New Roman" w:hAnsi="Times New Roman" w:cs="Times New Roman"/>
      <w:sz w:val="24"/>
      <w:szCs w:val="24"/>
    </w:rPr>
  </w:style>
  <w:style w:type="paragraph" w:customStyle="1" w:styleId="Normal0">
    <w:name w:val="[Normal]"/>
    <w:uiPriority w:val="99"/>
    <w:rsid w:val="00D722D6"/>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apple-converted-space">
    <w:name w:val="apple-converted-space"/>
    <w:basedOn w:val="DefaultParagraphFont"/>
    <w:rsid w:val="008B44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76DF"/>
    <w:pPr>
      <w:spacing w:after="0"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D722D6"/>
    <w:pPr>
      <w:spacing w:after="0" w:line="240" w:lineRule="auto"/>
      <w:ind w:left="720"/>
      <w:contextualSpacing/>
    </w:pPr>
    <w:rPr>
      <w:rFonts w:ascii="Times New Roman" w:eastAsia="Times New Roman" w:hAnsi="Times New Roman" w:cs="Times New Roman"/>
      <w:sz w:val="24"/>
      <w:szCs w:val="24"/>
    </w:rPr>
  </w:style>
  <w:style w:type="paragraph" w:customStyle="1" w:styleId="Normal0">
    <w:name w:val="[Normal]"/>
    <w:uiPriority w:val="99"/>
    <w:rsid w:val="00D722D6"/>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apple-converted-space">
    <w:name w:val="apple-converted-space"/>
    <w:basedOn w:val="DefaultParagraphFont"/>
    <w:rsid w:val="008B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39991">
      <w:bodyDiv w:val="1"/>
      <w:marLeft w:val="0"/>
      <w:marRight w:val="0"/>
      <w:marTop w:val="0"/>
      <w:marBottom w:val="0"/>
      <w:divBdr>
        <w:top w:val="none" w:sz="0" w:space="0" w:color="auto"/>
        <w:left w:val="none" w:sz="0" w:space="0" w:color="auto"/>
        <w:bottom w:val="none" w:sz="0" w:space="0" w:color="auto"/>
        <w:right w:val="none" w:sz="0" w:space="0" w:color="auto"/>
      </w:divBdr>
      <w:divsChild>
        <w:div w:id="1841694779">
          <w:marLeft w:val="547"/>
          <w:marRight w:val="0"/>
          <w:marTop w:val="0"/>
          <w:marBottom w:val="0"/>
          <w:divBdr>
            <w:top w:val="none" w:sz="0" w:space="0" w:color="auto"/>
            <w:left w:val="none" w:sz="0" w:space="0" w:color="auto"/>
            <w:bottom w:val="none" w:sz="0" w:space="0" w:color="auto"/>
            <w:right w:val="none" w:sz="0" w:space="0" w:color="auto"/>
          </w:divBdr>
        </w:div>
        <w:div w:id="993870743">
          <w:marLeft w:val="547"/>
          <w:marRight w:val="0"/>
          <w:marTop w:val="0"/>
          <w:marBottom w:val="0"/>
          <w:divBdr>
            <w:top w:val="none" w:sz="0" w:space="0" w:color="auto"/>
            <w:left w:val="none" w:sz="0" w:space="0" w:color="auto"/>
            <w:bottom w:val="none" w:sz="0" w:space="0" w:color="auto"/>
            <w:right w:val="none" w:sz="0" w:space="0" w:color="auto"/>
          </w:divBdr>
        </w:div>
        <w:div w:id="136190170">
          <w:marLeft w:val="547"/>
          <w:marRight w:val="0"/>
          <w:marTop w:val="0"/>
          <w:marBottom w:val="0"/>
          <w:divBdr>
            <w:top w:val="none" w:sz="0" w:space="0" w:color="auto"/>
            <w:left w:val="none" w:sz="0" w:space="0" w:color="auto"/>
            <w:bottom w:val="none" w:sz="0" w:space="0" w:color="auto"/>
            <w:right w:val="none" w:sz="0" w:space="0" w:color="auto"/>
          </w:divBdr>
        </w:div>
        <w:div w:id="217594492">
          <w:marLeft w:val="547"/>
          <w:marRight w:val="0"/>
          <w:marTop w:val="0"/>
          <w:marBottom w:val="0"/>
          <w:divBdr>
            <w:top w:val="none" w:sz="0" w:space="0" w:color="auto"/>
            <w:left w:val="none" w:sz="0" w:space="0" w:color="auto"/>
            <w:bottom w:val="none" w:sz="0" w:space="0" w:color="auto"/>
            <w:right w:val="none" w:sz="0" w:space="0" w:color="auto"/>
          </w:divBdr>
        </w:div>
        <w:div w:id="928464936">
          <w:marLeft w:val="547"/>
          <w:marRight w:val="0"/>
          <w:marTop w:val="0"/>
          <w:marBottom w:val="0"/>
          <w:divBdr>
            <w:top w:val="none" w:sz="0" w:space="0" w:color="auto"/>
            <w:left w:val="none" w:sz="0" w:space="0" w:color="auto"/>
            <w:bottom w:val="none" w:sz="0" w:space="0" w:color="auto"/>
            <w:right w:val="none" w:sz="0" w:space="0" w:color="auto"/>
          </w:divBdr>
        </w:div>
        <w:div w:id="882450778">
          <w:marLeft w:val="547"/>
          <w:marRight w:val="0"/>
          <w:marTop w:val="0"/>
          <w:marBottom w:val="0"/>
          <w:divBdr>
            <w:top w:val="none" w:sz="0" w:space="0" w:color="auto"/>
            <w:left w:val="none" w:sz="0" w:space="0" w:color="auto"/>
            <w:bottom w:val="none" w:sz="0" w:space="0" w:color="auto"/>
            <w:right w:val="none" w:sz="0" w:space="0" w:color="auto"/>
          </w:divBdr>
        </w:div>
      </w:divsChild>
    </w:div>
    <w:div w:id="193277800">
      <w:bodyDiv w:val="1"/>
      <w:marLeft w:val="0"/>
      <w:marRight w:val="0"/>
      <w:marTop w:val="0"/>
      <w:marBottom w:val="0"/>
      <w:divBdr>
        <w:top w:val="none" w:sz="0" w:space="0" w:color="auto"/>
        <w:left w:val="none" w:sz="0" w:space="0" w:color="auto"/>
        <w:bottom w:val="none" w:sz="0" w:space="0" w:color="auto"/>
        <w:right w:val="none" w:sz="0" w:space="0" w:color="auto"/>
      </w:divBdr>
      <w:divsChild>
        <w:div w:id="670107526">
          <w:marLeft w:val="547"/>
          <w:marRight w:val="0"/>
          <w:marTop w:val="0"/>
          <w:marBottom w:val="0"/>
          <w:divBdr>
            <w:top w:val="none" w:sz="0" w:space="0" w:color="auto"/>
            <w:left w:val="none" w:sz="0" w:space="0" w:color="auto"/>
            <w:bottom w:val="none" w:sz="0" w:space="0" w:color="auto"/>
            <w:right w:val="none" w:sz="0" w:space="0" w:color="auto"/>
          </w:divBdr>
        </w:div>
        <w:div w:id="484591202">
          <w:marLeft w:val="547"/>
          <w:marRight w:val="0"/>
          <w:marTop w:val="0"/>
          <w:marBottom w:val="0"/>
          <w:divBdr>
            <w:top w:val="none" w:sz="0" w:space="0" w:color="auto"/>
            <w:left w:val="none" w:sz="0" w:space="0" w:color="auto"/>
            <w:bottom w:val="none" w:sz="0" w:space="0" w:color="auto"/>
            <w:right w:val="none" w:sz="0" w:space="0" w:color="auto"/>
          </w:divBdr>
        </w:div>
        <w:div w:id="1651446936">
          <w:marLeft w:val="547"/>
          <w:marRight w:val="0"/>
          <w:marTop w:val="0"/>
          <w:marBottom w:val="0"/>
          <w:divBdr>
            <w:top w:val="none" w:sz="0" w:space="0" w:color="auto"/>
            <w:left w:val="none" w:sz="0" w:space="0" w:color="auto"/>
            <w:bottom w:val="none" w:sz="0" w:space="0" w:color="auto"/>
            <w:right w:val="none" w:sz="0" w:space="0" w:color="auto"/>
          </w:divBdr>
        </w:div>
      </w:divsChild>
    </w:div>
    <w:div w:id="723873362">
      <w:bodyDiv w:val="1"/>
      <w:marLeft w:val="0"/>
      <w:marRight w:val="0"/>
      <w:marTop w:val="0"/>
      <w:marBottom w:val="0"/>
      <w:divBdr>
        <w:top w:val="none" w:sz="0" w:space="0" w:color="auto"/>
        <w:left w:val="none" w:sz="0" w:space="0" w:color="auto"/>
        <w:bottom w:val="none" w:sz="0" w:space="0" w:color="auto"/>
        <w:right w:val="none" w:sz="0" w:space="0" w:color="auto"/>
      </w:divBdr>
      <w:divsChild>
        <w:div w:id="683945124">
          <w:marLeft w:val="547"/>
          <w:marRight w:val="0"/>
          <w:marTop w:val="0"/>
          <w:marBottom w:val="0"/>
          <w:divBdr>
            <w:top w:val="none" w:sz="0" w:space="0" w:color="auto"/>
            <w:left w:val="none" w:sz="0" w:space="0" w:color="auto"/>
            <w:bottom w:val="none" w:sz="0" w:space="0" w:color="auto"/>
            <w:right w:val="none" w:sz="0" w:space="0" w:color="auto"/>
          </w:divBdr>
        </w:div>
      </w:divsChild>
    </w:div>
    <w:div w:id="1672489143">
      <w:bodyDiv w:val="1"/>
      <w:marLeft w:val="0"/>
      <w:marRight w:val="0"/>
      <w:marTop w:val="0"/>
      <w:marBottom w:val="0"/>
      <w:divBdr>
        <w:top w:val="none" w:sz="0" w:space="0" w:color="auto"/>
        <w:left w:val="none" w:sz="0" w:space="0" w:color="auto"/>
        <w:bottom w:val="none" w:sz="0" w:space="0" w:color="auto"/>
        <w:right w:val="none" w:sz="0" w:space="0" w:color="auto"/>
      </w:divBdr>
      <w:divsChild>
        <w:div w:id="402139205">
          <w:marLeft w:val="0"/>
          <w:marRight w:val="0"/>
          <w:marTop w:val="0"/>
          <w:marBottom w:val="0"/>
          <w:divBdr>
            <w:top w:val="none" w:sz="0" w:space="0" w:color="auto"/>
            <w:left w:val="none" w:sz="0" w:space="0" w:color="auto"/>
            <w:bottom w:val="none" w:sz="0" w:space="0" w:color="auto"/>
            <w:right w:val="none" w:sz="0" w:space="0" w:color="auto"/>
          </w:divBdr>
        </w:div>
      </w:divsChild>
    </w:div>
    <w:div w:id="1922371806">
      <w:bodyDiv w:val="1"/>
      <w:marLeft w:val="0"/>
      <w:marRight w:val="0"/>
      <w:marTop w:val="0"/>
      <w:marBottom w:val="0"/>
      <w:divBdr>
        <w:top w:val="none" w:sz="0" w:space="0" w:color="auto"/>
        <w:left w:val="none" w:sz="0" w:space="0" w:color="auto"/>
        <w:bottom w:val="none" w:sz="0" w:space="0" w:color="auto"/>
        <w:right w:val="none" w:sz="0" w:space="0" w:color="auto"/>
      </w:divBdr>
      <w:divsChild>
        <w:div w:id="21387893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Shashiashvili</dc:creator>
  <cp:lastModifiedBy>Nana Shashiashvili</cp:lastModifiedBy>
  <cp:revision>2</cp:revision>
  <cp:lastPrinted>2014-08-20T13:34:00Z</cp:lastPrinted>
  <dcterms:created xsi:type="dcterms:W3CDTF">2014-08-20T05:58:00Z</dcterms:created>
  <dcterms:modified xsi:type="dcterms:W3CDTF">2014-08-20T14:24:00Z</dcterms:modified>
</cp:coreProperties>
</file>