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48" w:rsidRPr="00DF25AB" w:rsidRDefault="00DB36DC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  <w:b/>
        </w:rPr>
      </w:pPr>
      <w:r w:rsidRPr="00DF25AB">
        <w:rPr>
          <w:rFonts w:ascii="Garamond" w:hAnsi="Garamond" w:cs="Arial"/>
          <w:b/>
        </w:rPr>
        <w:t xml:space="preserve">Press Release </w:t>
      </w:r>
    </w:p>
    <w:p w:rsidR="00F26B28" w:rsidRPr="00DF25AB" w:rsidRDefault="00F26B28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  <w:b/>
          <w:lang w:val="ka-GE"/>
        </w:rPr>
      </w:pPr>
    </w:p>
    <w:p w:rsidR="00F26B28" w:rsidRPr="00DF25AB" w:rsidRDefault="005957B8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  <w:b/>
        </w:rPr>
      </w:pPr>
      <w:r w:rsidRPr="00DF25AB">
        <w:rPr>
          <w:rFonts w:ascii="Garamond" w:hAnsi="Garamond" w:cs="Arial"/>
          <w:b/>
        </w:rPr>
        <w:t xml:space="preserve">Evaluation of </w:t>
      </w:r>
      <w:r w:rsidR="001F5FCE" w:rsidRPr="00DF25AB">
        <w:rPr>
          <w:rFonts w:ascii="Garamond" w:hAnsi="Garamond" w:cs="Arial"/>
          <w:b/>
        </w:rPr>
        <w:t xml:space="preserve">the </w:t>
      </w:r>
      <w:r w:rsidRPr="00DF25AB">
        <w:rPr>
          <w:rFonts w:ascii="Garamond" w:hAnsi="Garamond" w:cs="Arial"/>
          <w:b/>
        </w:rPr>
        <w:t xml:space="preserve">First-Year Results of </w:t>
      </w:r>
      <w:r w:rsidR="007309B4" w:rsidRPr="00DF25AB">
        <w:rPr>
          <w:rFonts w:ascii="Garamond" w:hAnsi="Garamond" w:cs="Arial"/>
          <w:b/>
        </w:rPr>
        <w:t xml:space="preserve">the </w:t>
      </w:r>
      <w:r w:rsidR="00DB36DC" w:rsidRPr="00DF25AB">
        <w:rPr>
          <w:rFonts w:ascii="Garamond" w:hAnsi="Garamond" w:cs="Arial"/>
          <w:b/>
          <w:lang w:val="ka-GE"/>
        </w:rPr>
        <w:t xml:space="preserve">Universal Healthcare (UCH) Program </w:t>
      </w:r>
    </w:p>
    <w:p w:rsidR="00D02D51" w:rsidRPr="00DF25AB" w:rsidRDefault="00D02D51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</w:rPr>
      </w:pPr>
    </w:p>
    <w:p w:rsidR="00B87748" w:rsidRPr="00DF25AB" w:rsidRDefault="00DB36DC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</w:rPr>
        <w:t>May 8</w:t>
      </w:r>
      <w:r w:rsidR="00D02D51" w:rsidRPr="00DF25AB">
        <w:rPr>
          <w:rFonts w:ascii="Garamond" w:hAnsi="Garamond" w:cs="Arial"/>
        </w:rPr>
        <w:t>,</w:t>
      </w:r>
      <w:r w:rsidRPr="00DF25AB">
        <w:rPr>
          <w:rFonts w:ascii="Garamond" w:hAnsi="Garamond" w:cs="Arial"/>
        </w:rPr>
        <w:t xml:space="preserve"> </w:t>
      </w:r>
      <w:r w:rsidR="00B87748" w:rsidRPr="00DF25AB">
        <w:rPr>
          <w:rFonts w:ascii="Garamond" w:hAnsi="Garamond" w:cs="Arial"/>
          <w:lang w:val="ka-GE"/>
        </w:rPr>
        <w:t xml:space="preserve">2014 </w:t>
      </w:r>
    </w:p>
    <w:p w:rsidR="00B87748" w:rsidRPr="00DF25AB" w:rsidRDefault="00DB36DC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</w:rPr>
      </w:pPr>
      <w:r w:rsidRPr="00DF25AB">
        <w:rPr>
          <w:rFonts w:ascii="Garamond" w:hAnsi="Garamond" w:cs="Arial"/>
        </w:rPr>
        <w:t xml:space="preserve">Pavilion 3, Expo Georgia </w:t>
      </w:r>
    </w:p>
    <w:p w:rsidR="00D46B3F" w:rsidRPr="00DF25AB" w:rsidRDefault="00D46B3F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</w:rPr>
      </w:pPr>
    </w:p>
    <w:p w:rsidR="00D46B3F" w:rsidRPr="00DF25AB" w:rsidRDefault="00D46B3F" w:rsidP="00D46B3F">
      <w:pPr>
        <w:shd w:val="clear" w:color="auto" w:fill="DBE5F1" w:themeFill="accent1" w:themeFillTint="33"/>
        <w:spacing w:after="0" w:line="240" w:lineRule="auto"/>
        <w:jc w:val="center"/>
        <w:rPr>
          <w:rFonts w:ascii="Garamond" w:hAnsi="Garamond" w:cs="Arial"/>
          <w:b/>
        </w:rPr>
      </w:pPr>
    </w:p>
    <w:p w:rsidR="00B87748" w:rsidRPr="00DF25AB" w:rsidRDefault="00B87748" w:rsidP="00F26B28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D46B3F" w:rsidRPr="00DF25AB" w:rsidRDefault="00D46B3F" w:rsidP="00DF25AB">
      <w:pPr>
        <w:spacing w:after="0" w:line="25" w:lineRule="atLeast"/>
        <w:jc w:val="center"/>
        <w:rPr>
          <w:rFonts w:ascii="Garamond" w:hAnsi="Garamond" w:cs="Arial"/>
          <w:b/>
        </w:rPr>
      </w:pPr>
    </w:p>
    <w:p w:rsidR="00B87748" w:rsidRPr="00DF25AB" w:rsidRDefault="00DB36DC" w:rsidP="00DF25AB">
      <w:pPr>
        <w:spacing w:after="0" w:line="25" w:lineRule="atLeast"/>
        <w:jc w:val="both"/>
        <w:rPr>
          <w:rFonts w:ascii="Garamond" w:eastAsia="Times New Roman" w:hAnsi="Garamond" w:cs="Arial"/>
          <w:b/>
        </w:rPr>
      </w:pPr>
      <w:r w:rsidRPr="00DF25AB">
        <w:rPr>
          <w:rFonts w:ascii="Garamond" w:eastAsia="Times New Roman" w:hAnsi="Garamond" w:cs="Arial"/>
          <w:b/>
          <w:lang w:val="ka-GE"/>
        </w:rPr>
        <w:t>On May 8</w:t>
      </w:r>
      <w:r w:rsidR="00CC57C6" w:rsidRPr="00DF25AB">
        <w:rPr>
          <w:rFonts w:ascii="Garamond" w:eastAsia="Times New Roman" w:hAnsi="Garamond" w:cs="Arial"/>
          <w:b/>
        </w:rPr>
        <w:t>,</w:t>
      </w:r>
      <w:r w:rsidRPr="00DF25AB">
        <w:rPr>
          <w:rFonts w:ascii="Garamond" w:eastAsia="Times New Roman" w:hAnsi="Garamond" w:cs="Arial"/>
          <w:b/>
          <w:lang w:val="ka-GE"/>
        </w:rPr>
        <w:t xml:space="preserve"> 2014 </w:t>
      </w:r>
      <w:r w:rsidR="00D46B3F" w:rsidRPr="00DF25AB">
        <w:rPr>
          <w:rFonts w:ascii="Garamond" w:eastAsia="Times New Roman" w:hAnsi="Garamond" w:cs="Arial"/>
          <w:b/>
        </w:rPr>
        <w:t xml:space="preserve">The </w:t>
      </w:r>
      <w:r w:rsidRPr="00DF25AB">
        <w:rPr>
          <w:rFonts w:ascii="Garamond" w:eastAsia="Times New Roman" w:hAnsi="Garamond" w:cs="Arial"/>
          <w:b/>
          <w:lang w:val="ka-GE"/>
        </w:rPr>
        <w:t>M</w:t>
      </w:r>
      <w:r w:rsidR="007309B4" w:rsidRPr="00DF25AB">
        <w:rPr>
          <w:rFonts w:ascii="Garamond" w:eastAsia="Times New Roman" w:hAnsi="Garamond" w:cs="Arial"/>
          <w:b/>
        </w:rPr>
        <w:t xml:space="preserve">inistry </w:t>
      </w:r>
      <w:r w:rsidRPr="00DF25AB">
        <w:rPr>
          <w:rFonts w:ascii="Garamond" w:eastAsia="Times New Roman" w:hAnsi="Garamond" w:cs="Arial"/>
          <w:b/>
          <w:lang w:val="ka-GE"/>
        </w:rPr>
        <w:t>o</w:t>
      </w:r>
      <w:r w:rsidR="007309B4" w:rsidRPr="00DF25AB">
        <w:rPr>
          <w:rFonts w:ascii="Garamond" w:eastAsia="Times New Roman" w:hAnsi="Garamond" w:cs="Arial"/>
          <w:b/>
        </w:rPr>
        <w:t xml:space="preserve">f </w:t>
      </w:r>
      <w:r w:rsidRPr="00DF25AB">
        <w:rPr>
          <w:rFonts w:ascii="Garamond" w:eastAsia="Times New Roman" w:hAnsi="Garamond" w:cs="Arial"/>
          <w:b/>
          <w:lang w:val="ka-GE"/>
        </w:rPr>
        <w:t>L</w:t>
      </w:r>
      <w:r w:rsidR="007309B4" w:rsidRPr="00DF25AB">
        <w:rPr>
          <w:rFonts w:ascii="Garamond" w:eastAsia="Times New Roman" w:hAnsi="Garamond" w:cs="Arial"/>
          <w:b/>
        </w:rPr>
        <w:t xml:space="preserve">abor, </w:t>
      </w:r>
      <w:r w:rsidRPr="00DF25AB">
        <w:rPr>
          <w:rFonts w:ascii="Garamond" w:eastAsia="Times New Roman" w:hAnsi="Garamond" w:cs="Arial"/>
          <w:b/>
          <w:lang w:val="ka-GE"/>
        </w:rPr>
        <w:t>H</w:t>
      </w:r>
      <w:r w:rsidR="007309B4" w:rsidRPr="00DF25AB">
        <w:rPr>
          <w:rFonts w:ascii="Garamond" w:eastAsia="Times New Roman" w:hAnsi="Garamond" w:cs="Arial"/>
          <w:b/>
        </w:rPr>
        <w:t xml:space="preserve">ealth and </w:t>
      </w:r>
      <w:r w:rsidRPr="00DF25AB">
        <w:rPr>
          <w:rFonts w:ascii="Garamond" w:eastAsia="Times New Roman" w:hAnsi="Garamond" w:cs="Arial"/>
          <w:b/>
          <w:lang w:val="ka-GE"/>
        </w:rPr>
        <w:t>S</w:t>
      </w:r>
      <w:r w:rsidR="007309B4" w:rsidRPr="00DF25AB">
        <w:rPr>
          <w:rFonts w:ascii="Garamond" w:eastAsia="Times New Roman" w:hAnsi="Garamond" w:cs="Arial"/>
          <w:b/>
        </w:rPr>
        <w:t xml:space="preserve">ocial </w:t>
      </w:r>
      <w:r w:rsidRPr="00DF25AB">
        <w:rPr>
          <w:rFonts w:ascii="Garamond" w:eastAsia="Times New Roman" w:hAnsi="Garamond" w:cs="Arial"/>
          <w:b/>
          <w:lang w:val="ka-GE"/>
        </w:rPr>
        <w:t>A</w:t>
      </w:r>
      <w:r w:rsidR="00D46B3F" w:rsidRPr="00DF25AB">
        <w:rPr>
          <w:rFonts w:ascii="Garamond" w:eastAsia="Times New Roman" w:hAnsi="Garamond" w:cs="Arial"/>
          <w:b/>
        </w:rPr>
        <w:t xml:space="preserve">ffairs </w:t>
      </w:r>
      <w:r w:rsidR="00AE298D" w:rsidRPr="00DF25AB">
        <w:rPr>
          <w:rFonts w:ascii="Garamond" w:eastAsia="Times New Roman" w:hAnsi="Garamond" w:cs="Arial"/>
          <w:b/>
        </w:rPr>
        <w:t xml:space="preserve">of Georgia, </w:t>
      </w:r>
      <w:r w:rsidRPr="00DF25AB">
        <w:rPr>
          <w:rFonts w:ascii="Garamond" w:eastAsia="Times New Roman" w:hAnsi="Garamond" w:cs="Arial"/>
          <w:b/>
          <w:lang w:val="ka-GE"/>
        </w:rPr>
        <w:t xml:space="preserve">together with </w:t>
      </w:r>
      <w:r w:rsidR="00446F5E" w:rsidRPr="00DF25AB">
        <w:rPr>
          <w:rFonts w:ascii="Garamond" w:eastAsia="Times New Roman" w:hAnsi="Garamond" w:cs="Arial"/>
          <w:b/>
        </w:rPr>
        <w:t xml:space="preserve">the </w:t>
      </w:r>
      <w:r w:rsidRPr="00DF25AB">
        <w:rPr>
          <w:rFonts w:ascii="Garamond" w:eastAsia="Times New Roman" w:hAnsi="Garamond" w:cs="Arial"/>
          <w:b/>
          <w:lang w:val="ka-GE"/>
        </w:rPr>
        <w:t xml:space="preserve">World Health Organizaiton (WHO), </w:t>
      </w:r>
      <w:r w:rsidR="00446F5E" w:rsidRPr="00DF25AB">
        <w:rPr>
          <w:rFonts w:ascii="Garamond" w:eastAsia="Times New Roman" w:hAnsi="Garamond" w:cs="Arial"/>
          <w:b/>
        </w:rPr>
        <w:t xml:space="preserve">the </w:t>
      </w:r>
      <w:r w:rsidRPr="00DF25AB">
        <w:rPr>
          <w:rFonts w:ascii="Garamond" w:eastAsia="Times New Roman" w:hAnsi="Garamond" w:cs="Arial"/>
          <w:b/>
          <w:lang w:val="ka-GE"/>
        </w:rPr>
        <w:t>United States Agency for Interna</w:t>
      </w:r>
      <w:r w:rsidR="002A1D75" w:rsidRPr="00DF25AB">
        <w:rPr>
          <w:rFonts w:ascii="Garamond" w:eastAsia="Times New Roman" w:hAnsi="Garamond" w:cs="Arial"/>
          <w:b/>
          <w:lang w:val="ka-GE"/>
        </w:rPr>
        <w:t>tional Development (USAID) and</w:t>
      </w:r>
      <w:r w:rsidRPr="00DF25AB">
        <w:rPr>
          <w:rFonts w:ascii="Garamond" w:eastAsia="Times New Roman" w:hAnsi="Garamond" w:cs="Arial"/>
          <w:b/>
          <w:lang w:val="ka-GE"/>
        </w:rPr>
        <w:t xml:space="preserve"> the World Bank</w:t>
      </w:r>
      <w:r w:rsidR="00D46B3F" w:rsidRPr="00DF25AB">
        <w:rPr>
          <w:rFonts w:ascii="Garamond" w:eastAsia="Times New Roman" w:hAnsi="Garamond" w:cs="Arial"/>
          <w:b/>
        </w:rPr>
        <w:t xml:space="preserve"> holds a joint conference “</w:t>
      </w:r>
      <w:r w:rsidR="00D46B3F" w:rsidRPr="00DF25AB">
        <w:rPr>
          <w:rFonts w:ascii="Garamond" w:eastAsia="Times New Roman" w:hAnsi="Garamond" w:cs="Arial"/>
          <w:b/>
          <w:lang w:val="ka-GE"/>
        </w:rPr>
        <w:t xml:space="preserve">Universal Healthcare Program: Evaluation of </w:t>
      </w:r>
      <w:r w:rsidR="00D46B3F" w:rsidRPr="00DF25AB">
        <w:rPr>
          <w:rFonts w:ascii="Garamond" w:eastAsia="Times New Roman" w:hAnsi="Garamond" w:cs="Arial"/>
          <w:b/>
        </w:rPr>
        <w:t>First</w:t>
      </w:r>
      <w:r w:rsidR="00D46B3F" w:rsidRPr="00DF25AB">
        <w:rPr>
          <w:rFonts w:ascii="Garamond" w:eastAsia="Times New Roman" w:hAnsi="Garamond" w:cs="Arial"/>
          <w:b/>
          <w:lang w:val="ka-GE"/>
        </w:rPr>
        <w:t>-Year Results</w:t>
      </w:r>
      <w:r w:rsidR="00D46B3F" w:rsidRPr="00DF25AB">
        <w:rPr>
          <w:rFonts w:ascii="Garamond" w:eastAsia="Times New Roman" w:hAnsi="Garamond" w:cs="Arial"/>
          <w:b/>
        </w:rPr>
        <w:t>”</w:t>
      </w:r>
      <w:r w:rsidRPr="00DF25AB">
        <w:rPr>
          <w:rFonts w:ascii="Garamond" w:eastAsia="Times New Roman" w:hAnsi="Garamond" w:cs="Arial"/>
          <w:b/>
        </w:rPr>
        <w:t>.</w:t>
      </w:r>
    </w:p>
    <w:p w:rsidR="00B87748" w:rsidRPr="00DF25AB" w:rsidRDefault="00B87748" w:rsidP="00DF25AB">
      <w:pPr>
        <w:spacing w:after="0" w:line="25" w:lineRule="atLeast"/>
        <w:jc w:val="both"/>
        <w:rPr>
          <w:rFonts w:ascii="Garamond" w:eastAsia="Times New Roman" w:hAnsi="Garamond" w:cs="Arial"/>
          <w:lang w:val="ka-GE"/>
        </w:rPr>
      </w:pPr>
    </w:p>
    <w:p w:rsidR="00D71A6A" w:rsidRPr="00DF25AB" w:rsidRDefault="00DB36DC" w:rsidP="00DF25AB">
      <w:pPr>
        <w:spacing w:after="0" w:line="25" w:lineRule="atLeast"/>
        <w:jc w:val="both"/>
        <w:rPr>
          <w:rFonts w:ascii="Garamond" w:eastAsia="Times New Roman" w:hAnsi="Garamond" w:cs="Arial"/>
        </w:rPr>
      </w:pPr>
      <w:r w:rsidRPr="00DF25AB">
        <w:rPr>
          <w:rFonts w:ascii="Garamond" w:eastAsia="Times New Roman" w:hAnsi="Garamond" w:cs="Arial"/>
          <w:lang w:val="ka-GE"/>
        </w:rPr>
        <w:t xml:space="preserve">The purpose of the event </w:t>
      </w:r>
      <w:r w:rsidR="00446F5E" w:rsidRPr="00DF25AB">
        <w:rPr>
          <w:rFonts w:ascii="Garamond" w:eastAsia="Times New Roman" w:hAnsi="Garamond" w:cs="Arial"/>
          <w:lang w:val="ka-GE"/>
        </w:rPr>
        <w:t xml:space="preserve">is to </w:t>
      </w:r>
      <w:r w:rsidR="00213EEE" w:rsidRPr="00DF25AB">
        <w:rPr>
          <w:rFonts w:ascii="Garamond" w:eastAsia="Times New Roman" w:hAnsi="Garamond" w:cs="Arial"/>
        </w:rPr>
        <w:t>present</w:t>
      </w:r>
      <w:r w:rsidR="00446F5E" w:rsidRPr="00DF25AB">
        <w:rPr>
          <w:rFonts w:ascii="Garamond" w:eastAsia="Times New Roman" w:hAnsi="Garamond" w:cs="Arial"/>
          <w:lang w:val="ka-GE"/>
        </w:rPr>
        <w:t xml:space="preserve"> </w:t>
      </w:r>
      <w:r w:rsidR="00213EEE" w:rsidRPr="00DF25AB">
        <w:rPr>
          <w:rFonts w:ascii="Garamond" w:eastAsia="Times New Roman" w:hAnsi="Garamond" w:cs="Arial"/>
          <w:lang w:val="ka-GE"/>
        </w:rPr>
        <w:t xml:space="preserve">the </w:t>
      </w:r>
      <w:r w:rsidR="00F46C6B" w:rsidRPr="00DF25AB">
        <w:rPr>
          <w:rFonts w:ascii="Garamond" w:eastAsia="Times New Roman" w:hAnsi="Garamond" w:cs="Arial"/>
        </w:rPr>
        <w:t xml:space="preserve">Universal Health Care (UHC) </w:t>
      </w:r>
      <w:r w:rsidR="00213EEE" w:rsidRPr="00DF25AB">
        <w:rPr>
          <w:rFonts w:ascii="Garamond" w:eastAsia="Times New Roman" w:hAnsi="Garamond" w:cs="Arial"/>
          <w:lang w:val="ka-GE"/>
        </w:rPr>
        <w:t>Program s</w:t>
      </w:r>
      <w:r w:rsidR="00213EEE" w:rsidRPr="00DF25AB">
        <w:rPr>
          <w:rFonts w:ascii="Garamond" w:eastAsia="Times New Roman" w:hAnsi="Garamond" w:cs="Arial"/>
        </w:rPr>
        <w:t>urvey results</w:t>
      </w:r>
      <w:r w:rsidR="00446F5E" w:rsidRPr="00DF25AB">
        <w:rPr>
          <w:rFonts w:ascii="Garamond" w:eastAsia="Times New Roman" w:hAnsi="Garamond" w:cs="Arial"/>
        </w:rPr>
        <w:t xml:space="preserve">, </w:t>
      </w:r>
      <w:r w:rsidR="004850CC" w:rsidRPr="00DF25AB">
        <w:rPr>
          <w:rFonts w:ascii="Garamond" w:eastAsia="Times New Roman" w:hAnsi="Garamond" w:cs="Arial"/>
        </w:rPr>
        <w:t xml:space="preserve">provide </w:t>
      </w:r>
      <w:r w:rsidR="00AD51D8" w:rsidRPr="00DF25AB">
        <w:rPr>
          <w:rFonts w:ascii="Garamond" w:eastAsia="Times New Roman" w:hAnsi="Garamond" w:cs="Arial"/>
        </w:rPr>
        <w:t xml:space="preserve">the </w:t>
      </w:r>
      <w:r w:rsidR="00446F5E" w:rsidRPr="00DF25AB">
        <w:rPr>
          <w:rFonts w:ascii="Garamond" w:eastAsia="Times New Roman" w:hAnsi="Garamond" w:cs="Arial"/>
        </w:rPr>
        <w:t xml:space="preserve">current </w:t>
      </w:r>
      <w:r w:rsidR="004850CC" w:rsidRPr="00DF25AB">
        <w:rPr>
          <w:rFonts w:ascii="Garamond" w:eastAsia="Times New Roman" w:hAnsi="Garamond" w:cs="Arial"/>
        </w:rPr>
        <w:t>state</w:t>
      </w:r>
      <w:r w:rsidR="00AD51D8" w:rsidRPr="00DF25AB">
        <w:rPr>
          <w:rFonts w:ascii="Garamond" w:eastAsia="Times New Roman" w:hAnsi="Garamond" w:cs="Arial"/>
        </w:rPr>
        <w:t xml:space="preserve"> analysis</w:t>
      </w:r>
      <w:r w:rsidR="00446F5E" w:rsidRPr="00DF25AB">
        <w:rPr>
          <w:rFonts w:ascii="Garamond" w:eastAsia="Times New Roman" w:hAnsi="Garamond" w:cs="Arial"/>
        </w:rPr>
        <w:t xml:space="preserve">, </w:t>
      </w:r>
      <w:r w:rsidR="00BD2D9B" w:rsidRPr="00DF25AB">
        <w:rPr>
          <w:rFonts w:ascii="Garamond" w:eastAsia="Times New Roman" w:hAnsi="Garamond" w:cs="Arial"/>
        </w:rPr>
        <w:t xml:space="preserve">discuss </w:t>
      </w:r>
      <w:r w:rsidR="00AD51D8" w:rsidRPr="00DF25AB">
        <w:rPr>
          <w:rFonts w:ascii="Garamond" w:eastAsia="Times New Roman" w:hAnsi="Garamond" w:cs="Arial"/>
        </w:rPr>
        <w:t xml:space="preserve">the </w:t>
      </w:r>
      <w:r w:rsidR="00F46C6B" w:rsidRPr="00DF25AB">
        <w:rPr>
          <w:rFonts w:ascii="Garamond" w:eastAsia="Times New Roman" w:hAnsi="Garamond" w:cs="Arial"/>
        </w:rPr>
        <w:t xml:space="preserve">results attained and further </w:t>
      </w:r>
      <w:r w:rsidR="00446F5E" w:rsidRPr="00DF25AB">
        <w:rPr>
          <w:rFonts w:ascii="Garamond" w:eastAsia="Times New Roman" w:hAnsi="Garamond" w:cs="Arial"/>
        </w:rPr>
        <w:t>recommendations</w:t>
      </w:r>
      <w:r w:rsidR="00E113A9" w:rsidRPr="00DF25AB">
        <w:rPr>
          <w:rFonts w:ascii="Garamond" w:eastAsia="Times New Roman" w:hAnsi="Garamond" w:cs="Arial"/>
        </w:rPr>
        <w:t xml:space="preserve">. </w:t>
      </w:r>
    </w:p>
    <w:p w:rsidR="00D71A6A" w:rsidRPr="00DF25AB" w:rsidRDefault="00D71A6A" w:rsidP="00DF25AB">
      <w:pPr>
        <w:spacing w:after="0" w:line="25" w:lineRule="atLeast"/>
        <w:jc w:val="both"/>
        <w:rPr>
          <w:rFonts w:ascii="Garamond" w:eastAsia="Times New Roman" w:hAnsi="Garamond" w:cs="Arial"/>
        </w:rPr>
      </w:pPr>
    </w:p>
    <w:p w:rsidR="00DF25AB" w:rsidRDefault="00F46C6B" w:rsidP="00DF25AB">
      <w:pPr>
        <w:spacing w:after="0" w:line="25" w:lineRule="atLeast"/>
        <w:jc w:val="both"/>
        <w:rPr>
          <w:rFonts w:ascii="Garamond" w:eastAsia="Times New Roman" w:hAnsi="Garamond" w:cs="Arial"/>
          <w:b/>
        </w:rPr>
      </w:pPr>
      <w:r w:rsidRPr="00DF25AB">
        <w:rPr>
          <w:rFonts w:ascii="Garamond" w:eastAsia="Times New Roman" w:hAnsi="Garamond" w:cs="Arial"/>
        </w:rPr>
        <w:t>The meeting will be attended</w:t>
      </w:r>
      <w:r w:rsidR="00D71A6A" w:rsidRPr="00DF25AB">
        <w:rPr>
          <w:rFonts w:ascii="Garamond" w:eastAsia="Times New Roman" w:hAnsi="Garamond" w:cs="Arial"/>
        </w:rPr>
        <w:t xml:space="preserve"> by the Prime Minister of Georgia, The Minister of Labour, Health and Social Affairs and </w:t>
      </w:r>
      <w:r w:rsidRPr="00DF25AB">
        <w:rPr>
          <w:rFonts w:ascii="Garamond" w:eastAsia="Times New Roman" w:hAnsi="Garamond" w:cs="Arial"/>
        </w:rPr>
        <w:t>senior level r</w:t>
      </w:r>
      <w:r w:rsidR="00D71A6A" w:rsidRPr="00DF25AB">
        <w:rPr>
          <w:rFonts w:ascii="Garamond" w:eastAsia="Times New Roman" w:hAnsi="Garamond" w:cs="Arial"/>
        </w:rPr>
        <w:t xml:space="preserve">epresentatives and </w:t>
      </w:r>
      <w:r w:rsidRPr="00DF25AB">
        <w:rPr>
          <w:rFonts w:ascii="Garamond" w:eastAsia="Times New Roman" w:hAnsi="Garamond" w:cs="Arial"/>
        </w:rPr>
        <w:t>e</w:t>
      </w:r>
      <w:r w:rsidR="00D71A6A" w:rsidRPr="00DF25AB">
        <w:rPr>
          <w:rFonts w:ascii="Garamond" w:eastAsia="Times New Roman" w:hAnsi="Garamond" w:cs="Arial"/>
        </w:rPr>
        <w:t xml:space="preserve">xperts from </w:t>
      </w:r>
      <w:r w:rsidRPr="00DF25AB">
        <w:rPr>
          <w:rFonts w:ascii="Garamond" w:eastAsia="Times New Roman" w:hAnsi="Garamond" w:cs="Arial"/>
        </w:rPr>
        <w:t xml:space="preserve">the </w:t>
      </w:r>
      <w:r w:rsidR="000E1EE7">
        <w:rPr>
          <w:rFonts w:ascii="Garamond" w:eastAsia="Times New Roman" w:hAnsi="Garamond" w:cs="Arial"/>
        </w:rPr>
        <w:t xml:space="preserve">United Nations, </w:t>
      </w:r>
      <w:r w:rsidR="00D71A6A" w:rsidRPr="00DF25AB">
        <w:rPr>
          <w:rFonts w:ascii="Garamond" w:eastAsia="Times New Roman" w:hAnsi="Garamond" w:cs="Arial"/>
          <w:lang w:val="ka-GE"/>
        </w:rPr>
        <w:t>World Health Organizat</w:t>
      </w:r>
      <w:r w:rsidRPr="00DF25AB">
        <w:rPr>
          <w:rFonts w:ascii="Garamond" w:eastAsia="Times New Roman" w:hAnsi="Garamond" w:cs="Arial"/>
        </w:rPr>
        <w:t>i</w:t>
      </w:r>
      <w:r w:rsidR="00D71A6A" w:rsidRPr="00DF25AB">
        <w:rPr>
          <w:rFonts w:ascii="Garamond" w:eastAsia="Times New Roman" w:hAnsi="Garamond" w:cs="Arial"/>
          <w:lang w:val="ka-GE"/>
        </w:rPr>
        <w:t xml:space="preserve">on (WHO), </w:t>
      </w:r>
      <w:r w:rsidR="00D71A6A" w:rsidRPr="00DF25AB">
        <w:rPr>
          <w:rFonts w:ascii="Garamond" w:eastAsia="Times New Roman" w:hAnsi="Garamond" w:cs="Arial"/>
        </w:rPr>
        <w:t>the US Embassy</w:t>
      </w:r>
      <w:r w:rsidRPr="00DF25AB">
        <w:rPr>
          <w:rFonts w:ascii="Garamond" w:eastAsia="Times New Roman" w:hAnsi="Garamond" w:cs="Arial"/>
        </w:rPr>
        <w:t xml:space="preserve"> to Georgia</w:t>
      </w:r>
      <w:r w:rsidR="00D71A6A" w:rsidRPr="00DF25AB">
        <w:rPr>
          <w:rFonts w:ascii="Garamond" w:eastAsia="Times New Roman" w:hAnsi="Garamond" w:cs="Arial"/>
        </w:rPr>
        <w:t xml:space="preserve">, the </w:t>
      </w:r>
      <w:r w:rsidR="00D71A6A" w:rsidRPr="00DF25AB">
        <w:rPr>
          <w:rFonts w:ascii="Garamond" w:eastAsia="Times New Roman" w:hAnsi="Garamond" w:cs="Arial"/>
          <w:lang w:val="ka-GE"/>
        </w:rPr>
        <w:t>United States Agency for International Development (USAID) and the World Bank</w:t>
      </w:r>
      <w:r w:rsidR="00D71A6A" w:rsidRPr="00DF25AB">
        <w:rPr>
          <w:rFonts w:ascii="Garamond" w:eastAsia="Times New Roman" w:hAnsi="Garamond" w:cs="Arial"/>
        </w:rPr>
        <w:t xml:space="preserve"> Georgia and Caucasus regional </w:t>
      </w:r>
      <w:r w:rsidRPr="00DF25AB">
        <w:rPr>
          <w:rFonts w:ascii="Garamond" w:eastAsia="Times New Roman" w:hAnsi="Garamond" w:cs="Arial"/>
        </w:rPr>
        <w:t>missions</w:t>
      </w:r>
      <w:r w:rsidR="00D71A6A" w:rsidRPr="00DF25AB">
        <w:rPr>
          <w:rFonts w:ascii="Garamond" w:eastAsia="Times New Roman" w:hAnsi="Garamond" w:cs="Arial"/>
        </w:rPr>
        <w:t>.</w:t>
      </w:r>
      <w:r w:rsidR="00D71A6A" w:rsidRPr="00DF25AB">
        <w:rPr>
          <w:rFonts w:ascii="Garamond" w:eastAsia="Times New Roman" w:hAnsi="Garamond" w:cs="Arial"/>
          <w:b/>
        </w:rPr>
        <w:t xml:space="preserve"> </w:t>
      </w:r>
    </w:p>
    <w:p w:rsidR="00DF25AB" w:rsidRDefault="00DF25AB" w:rsidP="00DF25AB">
      <w:pPr>
        <w:spacing w:after="0" w:line="25" w:lineRule="atLeast"/>
        <w:jc w:val="both"/>
        <w:rPr>
          <w:rFonts w:ascii="Garamond" w:eastAsia="Times New Roman" w:hAnsi="Garamond" w:cs="Arial"/>
          <w:b/>
        </w:rPr>
      </w:pPr>
    </w:p>
    <w:p w:rsidR="00DF25AB" w:rsidRDefault="00967DFC" w:rsidP="00DF25AB">
      <w:pPr>
        <w:spacing w:after="0" w:line="25" w:lineRule="atLeast"/>
        <w:jc w:val="both"/>
        <w:rPr>
          <w:rFonts w:ascii="Garamond" w:eastAsia="Times New Roman" w:hAnsi="Garamond" w:cs="Arial"/>
        </w:rPr>
      </w:pPr>
      <w:r w:rsidRPr="00DF25AB">
        <w:rPr>
          <w:rFonts w:ascii="Garamond" w:eastAsia="Times New Roman" w:hAnsi="Garamond" w:cs="Arial"/>
        </w:rPr>
        <w:t>The meeting will bring together up to</w:t>
      </w:r>
      <w:r w:rsidRPr="00DF25AB">
        <w:rPr>
          <w:rFonts w:ascii="Garamond" w:eastAsia="Times New Roman" w:hAnsi="Garamond" w:cs="Arial"/>
          <w:b/>
        </w:rPr>
        <w:t xml:space="preserve"> </w:t>
      </w:r>
      <w:r w:rsidR="00446F5E" w:rsidRPr="00DF25AB">
        <w:rPr>
          <w:rFonts w:ascii="Garamond" w:eastAsia="Times New Roman" w:hAnsi="Garamond" w:cs="Arial"/>
          <w:lang w:val="ka-GE"/>
        </w:rPr>
        <w:t>150 representatives of governmental and non-governmental organizations and the healthcare sector</w:t>
      </w:r>
      <w:r w:rsidRPr="00DF25AB">
        <w:rPr>
          <w:rFonts w:ascii="Garamond" w:eastAsia="Times New Roman" w:hAnsi="Garamond" w:cs="Arial"/>
          <w:lang w:val="ka-GE"/>
        </w:rPr>
        <w:t>.</w:t>
      </w:r>
    </w:p>
    <w:p w:rsidR="00DF25AB" w:rsidRDefault="00DF25AB" w:rsidP="00DF25AB">
      <w:pPr>
        <w:spacing w:after="0" w:line="25" w:lineRule="atLeast"/>
        <w:jc w:val="both"/>
        <w:rPr>
          <w:rFonts w:ascii="Garamond" w:eastAsia="Times New Roman" w:hAnsi="Garamond" w:cs="Arial"/>
        </w:rPr>
      </w:pPr>
    </w:p>
    <w:p w:rsidR="00D71A6A" w:rsidRPr="00DF25AB" w:rsidRDefault="00D71A6A" w:rsidP="00DF25AB">
      <w:pPr>
        <w:spacing w:after="0" w:line="25" w:lineRule="atLeast"/>
        <w:jc w:val="both"/>
        <w:rPr>
          <w:rFonts w:ascii="Garamond" w:eastAsia="Times New Roman" w:hAnsi="Garamond" w:cs="Arial"/>
          <w:lang w:val="en-GB"/>
        </w:rPr>
      </w:pPr>
      <w:r w:rsidRPr="00DF25AB">
        <w:rPr>
          <w:rFonts w:ascii="Garamond" w:eastAsia="Times New Roman" w:hAnsi="Garamond" w:cs="Arial"/>
        </w:rPr>
        <w:t xml:space="preserve">The meeting will be also attended by </w:t>
      </w:r>
      <w:r w:rsidR="00DF25AB" w:rsidRPr="00DF25AB">
        <w:rPr>
          <w:rFonts w:ascii="Garamond" w:eastAsia="Times New Roman" w:hAnsi="Garamond" w:cs="Arial"/>
        </w:rPr>
        <w:t>a</w:t>
      </w:r>
      <w:r w:rsidRPr="00DF25AB">
        <w:rPr>
          <w:rFonts w:ascii="Garamond" w:eastAsia="Times New Roman" w:hAnsi="Garamond" w:cs="Arial"/>
        </w:rPr>
        <w:t xml:space="preserve"> representative of the Ministry of Health of Germany, as the German Health authority </w:t>
      </w:r>
      <w:r w:rsidRPr="00DF25AB">
        <w:rPr>
          <w:rFonts w:ascii="Garamond" w:eastAsia="Times New Roman" w:hAnsi="Garamond" w:cs="Arial"/>
          <w:lang w:val="en-GB"/>
        </w:rPr>
        <w:t xml:space="preserve">has confirmed its readiness to further support </w:t>
      </w:r>
      <w:r w:rsidR="00967DFC" w:rsidRPr="00DF25AB">
        <w:rPr>
          <w:rFonts w:ascii="Garamond" w:eastAsia="Times New Roman" w:hAnsi="Garamond" w:cs="Arial"/>
          <w:lang w:val="en-GB"/>
        </w:rPr>
        <w:t>UHC reform</w:t>
      </w:r>
      <w:r w:rsidRPr="00DF25AB">
        <w:rPr>
          <w:rFonts w:ascii="Garamond" w:eastAsia="Times New Roman" w:hAnsi="Garamond" w:cs="Arial"/>
          <w:lang w:val="en-GB"/>
        </w:rPr>
        <w:t xml:space="preserve"> of the Georgian government. </w:t>
      </w:r>
    </w:p>
    <w:p w:rsidR="00D46B3F" w:rsidRDefault="00D46B3F" w:rsidP="00DF25AB">
      <w:pPr>
        <w:spacing w:after="0" w:line="25" w:lineRule="atLeast"/>
        <w:jc w:val="both"/>
        <w:rPr>
          <w:rFonts w:ascii="Garamond" w:eastAsia="Times New Roman" w:hAnsi="Garamond" w:cs="Arial"/>
          <w:lang w:val="en-GB"/>
        </w:rPr>
      </w:pPr>
    </w:p>
    <w:p w:rsidR="00DF25AB" w:rsidRPr="00DF25AB" w:rsidRDefault="00DF25AB" w:rsidP="00DF25AB">
      <w:pPr>
        <w:spacing w:after="0" w:line="25" w:lineRule="atLeast"/>
        <w:jc w:val="both"/>
        <w:rPr>
          <w:rFonts w:ascii="Garamond" w:eastAsia="Times New Roman" w:hAnsi="Garamond" w:cs="Arial"/>
          <w:lang w:val="en-GB"/>
        </w:rPr>
      </w:pPr>
    </w:p>
    <w:p w:rsidR="00D71A6A" w:rsidRPr="00DF25AB" w:rsidRDefault="00D71A6A" w:rsidP="00DF25AB">
      <w:pPr>
        <w:spacing w:after="0" w:line="25" w:lineRule="atLeast"/>
        <w:jc w:val="both"/>
        <w:rPr>
          <w:rFonts w:ascii="Garamond" w:hAnsi="Garamond" w:cs="Arial"/>
          <w:b/>
          <w:u w:val="single"/>
        </w:rPr>
      </w:pPr>
      <w:r w:rsidRPr="00DF25AB">
        <w:rPr>
          <w:rFonts w:ascii="Garamond" w:hAnsi="Garamond" w:cs="Arial"/>
          <w:b/>
          <w:u w:val="single"/>
        </w:rPr>
        <w:t>Main findings of the Review</w:t>
      </w:r>
    </w:p>
    <w:p w:rsidR="00D71A6A" w:rsidRPr="00DF25AB" w:rsidRDefault="00D71A6A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F26B28" w:rsidRPr="00DF25AB" w:rsidRDefault="00930849" w:rsidP="00DF25AB">
      <w:p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</w:rPr>
        <w:t>D</w:t>
      </w:r>
      <w:r w:rsidR="002045B7" w:rsidRPr="00DF25AB">
        <w:rPr>
          <w:rFonts w:ascii="Garamond" w:hAnsi="Garamond" w:cs="Arial"/>
        </w:rPr>
        <w:t>uring</w:t>
      </w:r>
      <w:r w:rsidR="002045B7" w:rsidRPr="00DF25AB">
        <w:rPr>
          <w:rFonts w:ascii="Garamond" w:hAnsi="Garamond" w:cs="Arial"/>
          <w:lang w:val="ka-GE"/>
        </w:rPr>
        <w:t xml:space="preserve"> the period </w:t>
      </w:r>
      <w:r w:rsidR="00871981" w:rsidRPr="00DF25AB">
        <w:rPr>
          <w:rFonts w:ascii="Garamond" w:hAnsi="Garamond" w:cs="Arial"/>
        </w:rPr>
        <w:t xml:space="preserve">of </w:t>
      </w:r>
      <w:r w:rsidRPr="00DF25AB">
        <w:rPr>
          <w:rFonts w:ascii="Garamond" w:hAnsi="Garamond" w:cs="Arial"/>
          <w:lang w:val="ka-GE"/>
        </w:rPr>
        <w:t>February-April, 2014</w:t>
      </w:r>
      <w:r w:rsidRPr="00DF25AB">
        <w:rPr>
          <w:rFonts w:ascii="Garamond" w:hAnsi="Garamond" w:cs="Arial"/>
        </w:rPr>
        <w:t>, the</w:t>
      </w:r>
      <w:r w:rsidRPr="00DF25AB">
        <w:rPr>
          <w:rFonts w:ascii="Garamond" w:hAnsi="Garamond" w:cs="Arial"/>
          <w:lang w:val="ka-GE"/>
        </w:rPr>
        <w:t xml:space="preserve"> WHO, USAID and the World Bank </w:t>
      </w:r>
      <w:r w:rsidRPr="00DF25AB">
        <w:rPr>
          <w:rFonts w:ascii="Garamond" w:hAnsi="Garamond" w:cs="Arial"/>
        </w:rPr>
        <w:t xml:space="preserve">experts </w:t>
      </w:r>
      <w:r w:rsidRPr="00DF25AB">
        <w:rPr>
          <w:rFonts w:ascii="Garamond" w:hAnsi="Garamond" w:cs="Arial"/>
          <w:lang w:val="ka-GE"/>
        </w:rPr>
        <w:t xml:space="preserve">performed the evaluation and analysis of </w:t>
      </w:r>
      <w:r w:rsidR="00DE0F3B" w:rsidRPr="00DF25AB">
        <w:rPr>
          <w:rFonts w:ascii="Garamond" w:hAnsi="Garamond" w:cs="Arial"/>
        </w:rPr>
        <w:t xml:space="preserve">the </w:t>
      </w:r>
      <w:r w:rsidR="009C0931" w:rsidRPr="00DF25AB">
        <w:rPr>
          <w:rFonts w:ascii="Garamond" w:hAnsi="Garamond" w:cs="Arial"/>
        </w:rPr>
        <w:t xml:space="preserve">past </w:t>
      </w:r>
      <w:r w:rsidRPr="00DF25AB">
        <w:rPr>
          <w:rFonts w:ascii="Garamond" w:hAnsi="Garamond" w:cs="Arial"/>
          <w:lang w:val="ka-GE"/>
        </w:rPr>
        <w:t>one year of the UCH Program implementation</w:t>
      </w:r>
      <w:r w:rsidR="009C0931" w:rsidRPr="00DF25AB">
        <w:rPr>
          <w:rFonts w:ascii="Garamond" w:hAnsi="Garamond" w:cs="Arial"/>
        </w:rPr>
        <w:t>.</w:t>
      </w:r>
      <w:r w:rsidR="002045B7" w:rsidRPr="00DF25AB">
        <w:rPr>
          <w:rFonts w:ascii="Garamond" w:hAnsi="Garamond" w:cs="Arial"/>
          <w:lang w:val="ka-GE"/>
        </w:rPr>
        <w:t xml:space="preserve"> </w:t>
      </w:r>
      <w:r w:rsidR="009C0931" w:rsidRPr="00DF25AB">
        <w:rPr>
          <w:rFonts w:ascii="Garamond" w:hAnsi="Garamond" w:cs="Arial"/>
        </w:rPr>
        <w:t>In parallel</w:t>
      </w:r>
      <w:r w:rsidR="002045B7" w:rsidRPr="00DF25AB">
        <w:rPr>
          <w:rFonts w:ascii="Garamond" w:hAnsi="Garamond" w:cs="Arial"/>
          <w:lang w:val="ka-GE"/>
        </w:rPr>
        <w:t>, with the financial and technical support of the USAID Health System Strengthening Project (USAID/HSSP</w:t>
      </w:r>
      <w:r w:rsidR="009C0931" w:rsidRPr="00DF25AB">
        <w:rPr>
          <w:rFonts w:ascii="Garamond" w:hAnsi="Garamond" w:cs="Arial"/>
          <w:lang w:val="ka-GE"/>
        </w:rPr>
        <w:t>)</w:t>
      </w:r>
      <w:r w:rsidR="009C0931" w:rsidRPr="00DF25AB">
        <w:rPr>
          <w:rFonts w:ascii="Garamond" w:hAnsi="Garamond" w:cs="Arial"/>
        </w:rPr>
        <w:t>,</w:t>
      </w:r>
      <w:r w:rsidR="009C0931" w:rsidRPr="00DF25AB">
        <w:rPr>
          <w:rFonts w:ascii="Garamond" w:hAnsi="Garamond" w:cs="Arial"/>
          <w:lang w:val="ka-GE"/>
        </w:rPr>
        <w:t xml:space="preserve"> </w:t>
      </w:r>
      <w:r w:rsidR="00554373" w:rsidRPr="00DF25AB">
        <w:rPr>
          <w:rFonts w:ascii="Garamond" w:hAnsi="Garamond" w:cs="Arial"/>
        </w:rPr>
        <w:t>a quantitative survey</w:t>
      </w:r>
      <w:r w:rsidR="002045B7" w:rsidRPr="00DF25AB">
        <w:rPr>
          <w:rFonts w:ascii="Garamond" w:hAnsi="Garamond" w:cs="Arial"/>
          <w:lang w:val="ka-GE"/>
        </w:rPr>
        <w:t xml:space="preserve"> </w:t>
      </w:r>
      <w:r w:rsidR="00DE0F3B" w:rsidRPr="00DF25AB">
        <w:rPr>
          <w:rFonts w:ascii="Garamond" w:hAnsi="Garamond" w:cs="Arial"/>
        </w:rPr>
        <w:t xml:space="preserve">was </w:t>
      </w:r>
      <w:r w:rsidR="00DE0F3B" w:rsidRPr="00DF25AB">
        <w:rPr>
          <w:rFonts w:ascii="Garamond" w:hAnsi="Garamond" w:cs="Arial"/>
          <w:lang w:val="ka-GE"/>
        </w:rPr>
        <w:t>conducted to</w:t>
      </w:r>
      <w:r w:rsidR="00DE0F3B" w:rsidRPr="00DF25AB">
        <w:rPr>
          <w:rFonts w:ascii="Garamond" w:hAnsi="Garamond" w:cs="Arial"/>
        </w:rPr>
        <w:t xml:space="preserve"> </w:t>
      </w:r>
      <w:r w:rsidR="002045B7" w:rsidRPr="00DF25AB">
        <w:rPr>
          <w:rFonts w:ascii="Garamond" w:hAnsi="Garamond" w:cs="Arial"/>
          <w:lang w:val="ka-GE"/>
        </w:rPr>
        <w:t>explore satisfaction of the popula</w:t>
      </w:r>
      <w:r w:rsidR="005E5658" w:rsidRPr="00DF25AB">
        <w:rPr>
          <w:rFonts w:ascii="Garamond" w:hAnsi="Garamond" w:cs="Arial"/>
          <w:lang w:val="ka-GE"/>
        </w:rPr>
        <w:t>tion with received services</w:t>
      </w:r>
      <w:r w:rsidR="00B05AF2" w:rsidRPr="00DF25AB">
        <w:rPr>
          <w:rFonts w:ascii="Garamond" w:hAnsi="Garamond" w:cs="Arial"/>
        </w:rPr>
        <w:t xml:space="preserve"> (component I and component II)</w:t>
      </w:r>
      <w:r w:rsidR="005E5658" w:rsidRPr="00DF25AB">
        <w:rPr>
          <w:rFonts w:ascii="Garamond" w:hAnsi="Garamond" w:cs="Arial"/>
        </w:rPr>
        <w:t xml:space="preserve">; also, a </w:t>
      </w:r>
      <w:r w:rsidR="00E51061" w:rsidRPr="00DF25AB">
        <w:rPr>
          <w:rFonts w:ascii="Garamond" w:hAnsi="Garamond" w:cs="Arial"/>
          <w:lang w:val="ka-GE"/>
        </w:rPr>
        <w:t xml:space="preserve">qualitative survey of providers and </w:t>
      </w:r>
      <w:r w:rsidR="005E5658" w:rsidRPr="00DF25AB">
        <w:rPr>
          <w:rFonts w:ascii="Garamond" w:hAnsi="Garamond" w:cs="Arial"/>
        </w:rPr>
        <w:t xml:space="preserve">program </w:t>
      </w:r>
      <w:r w:rsidR="00E51061" w:rsidRPr="00DF25AB">
        <w:rPr>
          <w:rFonts w:ascii="Garamond" w:hAnsi="Garamond" w:cs="Arial"/>
          <w:lang w:val="ka-GE"/>
        </w:rPr>
        <w:t xml:space="preserve">beneficiaries (focus-group discussions) </w:t>
      </w:r>
      <w:r w:rsidR="006E7524" w:rsidRPr="00DF25AB">
        <w:rPr>
          <w:rFonts w:ascii="Garamond" w:hAnsi="Garamond" w:cs="Arial"/>
        </w:rPr>
        <w:t xml:space="preserve"> </w:t>
      </w:r>
      <w:r w:rsidR="00E51061" w:rsidRPr="00DF25AB">
        <w:rPr>
          <w:rFonts w:ascii="Garamond" w:hAnsi="Garamond" w:cs="Arial"/>
          <w:lang w:val="ka-GE"/>
        </w:rPr>
        <w:t>to evaluate the UHC Program implementation.</w:t>
      </w:r>
      <w:r w:rsidR="00E51061" w:rsidRPr="00DF25AB">
        <w:rPr>
          <w:rFonts w:ascii="Garamond" w:hAnsi="Garamond" w:cs="Arial"/>
        </w:rPr>
        <w:t xml:space="preserve"> </w:t>
      </w:r>
    </w:p>
    <w:p w:rsidR="00F26B28" w:rsidRPr="00DF25AB" w:rsidRDefault="00F26B28" w:rsidP="00DF25AB">
      <w:pPr>
        <w:spacing w:after="0" w:line="25" w:lineRule="atLeast"/>
        <w:jc w:val="both"/>
        <w:rPr>
          <w:rFonts w:ascii="Garamond" w:hAnsi="Garamond" w:cs="Arial"/>
          <w:lang w:val="ka-GE"/>
        </w:rPr>
      </w:pPr>
    </w:p>
    <w:p w:rsidR="00786E2D" w:rsidRPr="00DF25AB" w:rsidRDefault="00E51061" w:rsidP="00DF25AB">
      <w:pPr>
        <w:spacing w:after="0" w:line="25" w:lineRule="atLeast"/>
        <w:jc w:val="both"/>
        <w:rPr>
          <w:rFonts w:ascii="Garamond" w:hAnsi="Garamond" w:cs="Arial"/>
        </w:rPr>
      </w:pPr>
      <w:r w:rsidRPr="00DF25AB">
        <w:rPr>
          <w:rFonts w:ascii="Garamond" w:hAnsi="Garamond" w:cs="Arial"/>
          <w:lang w:val="ka-GE"/>
        </w:rPr>
        <w:t>431 beneficiaries participated in the first component o</w:t>
      </w:r>
      <w:r w:rsidR="00C33278" w:rsidRPr="00DF25AB">
        <w:rPr>
          <w:rFonts w:ascii="Garamond" w:hAnsi="Garamond" w:cs="Arial"/>
          <w:lang w:val="ka-GE"/>
        </w:rPr>
        <w:t xml:space="preserve">f the study that measured </w:t>
      </w:r>
      <w:r w:rsidR="00C33278" w:rsidRPr="00DF25AB">
        <w:rPr>
          <w:rFonts w:ascii="Garamond" w:hAnsi="Garamond" w:cs="Arial"/>
        </w:rPr>
        <w:t>population</w:t>
      </w:r>
      <w:r w:rsidRPr="00DF25AB">
        <w:rPr>
          <w:rFonts w:ascii="Garamond" w:hAnsi="Garamond" w:cs="Arial"/>
          <w:lang w:val="ka-GE"/>
        </w:rPr>
        <w:t xml:space="preserve">’s satisfaction with planned out-patient services. </w:t>
      </w:r>
      <w:r w:rsidR="00B255B5" w:rsidRPr="00DF25AB">
        <w:rPr>
          <w:rFonts w:ascii="Garamond" w:hAnsi="Garamond" w:cs="Arial"/>
          <w:lang w:val="ka-GE"/>
        </w:rPr>
        <w:t>T</w:t>
      </w:r>
      <w:r w:rsidRPr="00DF25AB">
        <w:rPr>
          <w:rFonts w:ascii="Garamond" w:hAnsi="Garamond" w:cs="Arial"/>
          <w:lang w:val="ka-GE"/>
        </w:rPr>
        <w:t xml:space="preserve">he second component evaluated </w:t>
      </w:r>
      <w:r w:rsidR="00B255B5" w:rsidRPr="00DF25AB">
        <w:rPr>
          <w:rFonts w:ascii="Garamond" w:hAnsi="Garamond" w:cs="Arial"/>
          <w:lang w:val="ka-GE"/>
        </w:rPr>
        <w:t xml:space="preserve">emergency out-patient and planned in-patient services and </w:t>
      </w:r>
      <w:r w:rsidR="00EB233B" w:rsidRPr="00DF25AB">
        <w:rPr>
          <w:rFonts w:ascii="Garamond" w:hAnsi="Garamond" w:cs="Arial"/>
        </w:rPr>
        <w:t xml:space="preserve">the </w:t>
      </w:r>
      <w:r w:rsidR="00B255B5" w:rsidRPr="00DF25AB">
        <w:rPr>
          <w:rFonts w:ascii="Garamond" w:hAnsi="Garamond" w:cs="Arial"/>
        </w:rPr>
        <w:t xml:space="preserve">total number of beneficiaries involved </w:t>
      </w:r>
      <w:r w:rsidR="00605395" w:rsidRPr="00DF25AB">
        <w:rPr>
          <w:rFonts w:ascii="Garamond" w:hAnsi="Garamond" w:cs="Arial"/>
        </w:rPr>
        <w:t>equaled</w:t>
      </w:r>
      <w:r w:rsidR="00B255B5" w:rsidRPr="00DF25AB">
        <w:rPr>
          <w:rFonts w:ascii="Garamond" w:hAnsi="Garamond" w:cs="Arial"/>
        </w:rPr>
        <w:t xml:space="preserve"> </w:t>
      </w:r>
      <w:r w:rsidR="00605395" w:rsidRPr="00DF25AB">
        <w:rPr>
          <w:rFonts w:ascii="Garamond" w:hAnsi="Garamond" w:cs="Arial"/>
        </w:rPr>
        <w:t xml:space="preserve">to </w:t>
      </w:r>
      <w:r w:rsidR="00B255B5" w:rsidRPr="00DF25AB">
        <w:rPr>
          <w:rFonts w:ascii="Garamond" w:hAnsi="Garamond" w:cs="Arial"/>
          <w:lang w:val="ka-GE"/>
        </w:rPr>
        <w:t>358</w:t>
      </w:r>
      <w:r w:rsidR="00B255B5" w:rsidRPr="00DF25AB">
        <w:rPr>
          <w:rFonts w:ascii="Garamond" w:hAnsi="Garamond" w:cs="Arial"/>
        </w:rPr>
        <w:t xml:space="preserve">. </w:t>
      </w:r>
      <w:r w:rsidR="00B255B5" w:rsidRPr="00DF25AB">
        <w:rPr>
          <w:rFonts w:ascii="Garamond" w:hAnsi="Garamond" w:cs="Arial"/>
          <w:lang w:val="ka-GE"/>
        </w:rPr>
        <w:t xml:space="preserve"> </w:t>
      </w:r>
    </w:p>
    <w:p w:rsidR="00B255B5" w:rsidRPr="00DF25AB" w:rsidRDefault="00B255B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700B0F" w:rsidRPr="00DF25AB" w:rsidRDefault="00B255B5" w:rsidP="00DF25AB">
      <w:p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</w:rPr>
        <w:t xml:space="preserve">Key messages </w:t>
      </w:r>
      <w:r w:rsidR="00BA43A9" w:rsidRPr="00DF25AB">
        <w:rPr>
          <w:rFonts w:ascii="Garamond" w:hAnsi="Garamond" w:cs="Arial"/>
        </w:rPr>
        <w:t>derived from</w:t>
      </w:r>
      <w:r w:rsidRPr="00DF25AB">
        <w:rPr>
          <w:rFonts w:ascii="Garamond" w:hAnsi="Garamond" w:cs="Arial"/>
        </w:rPr>
        <w:t xml:space="preserve"> the expert</w:t>
      </w:r>
      <w:r w:rsidR="002568DF" w:rsidRPr="00DF25AB">
        <w:rPr>
          <w:rFonts w:ascii="Garamond" w:hAnsi="Garamond" w:cs="Arial"/>
        </w:rPr>
        <w:t>s’</w:t>
      </w:r>
      <w:r w:rsidRPr="00DF25AB">
        <w:rPr>
          <w:rFonts w:ascii="Garamond" w:hAnsi="Garamond" w:cs="Arial"/>
        </w:rPr>
        <w:t xml:space="preserve"> analysis and </w:t>
      </w:r>
      <w:r w:rsidR="00BA43A9" w:rsidRPr="00DF25AB">
        <w:rPr>
          <w:rFonts w:ascii="Garamond" w:hAnsi="Garamond" w:cs="Arial"/>
        </w:rPr>
        <w:t>UHC survey</w:t>
      </w:r>
      <w:r w:rsidR="006372CD" w:rsidRPr="00DF25AB">
        <w:rPr>
          <w:rFonts w:ascii="Garamond" w:hAnsi="Garamond" w:cs="Arial"/>
          <w:lang w:val="ka-GE"/>
        </w:rPr>
        <w:t>:</w:t>
      </w:r>
    </w:p>
    <w:p w:rsidR="00B87748" w:rsidRPr="00DF25AB" w:rsidRDefault="00B87748" w:rsidP="00DF25AB">
      <w:pPr>
        <w:spacing w:after="0" w:line="25" w:lineRule="atLeast"/>
        <w:jc w:val="both"/>
        <w:rPr>
          <w:rFonts w:ascii="Garamond" w:hAnsi="Garamond" w:cs="Arial"/>
          <w:lang w:val="ka-GE"/>
        </w:rPr>
      </w:pPr>
    </w:p>
    <w:p w:rsidR="00B87748" w:rsidRPr="00DF25AB" w:rsidRDefault="00B255B5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b/>
          <w:lang w:val="ka-GE"/>
        </w:rPr>
        <w:t>Improving access to</w:t>
      </w:r>
      <w:r w:rsidR="00967DFC" w:rsidRPr="00DF25AB">
        <w:rPr>
          <w:rFonts w:ascii="Garamond" w:hAnsi="Garamond" w:cs="Arial"/>
          <w:b/>
        </w:rPr>
        <w:t xml:space="preserve">, </w:t>
      </w:r>
      <w:r w:rsidR="00967DFC" w:rsidRPr="00DF25AB">
        <w:rPr>
          <w:rFonts w:ascii="Garamond" w:hAnsi="Garamond" w:cs="Arial"/>
          <w:b/>
          <w:lang w:val="ka-GE"/>
        </w:rPr>
        <w:t xml:space="preserve">affordability </w:t>
      </w:r>
      <w:r w:rsidR="00967DFC" w:rsidRPr="00DF25AB">
        <w:rPr>
          <w:rFonts w:ascii="Garamond" w:hAnsi="Garamond" w:cs="Arial"/>
          <w:b/>
        </w:rPr>
        <w:t xml:space="preserve">and quality of </w:t>
      </w:r>
      <w:r w:rsidRPr="00DF25AB">
        <w:rPr>
          <w:rFonts w:ascii="Garamond" w:hAnsi="Garamond" w:cs="Arial"/>
          <w:b/>
          <w:lang w:val="ka-GE"/>
        </w:rPr>
        <w:t>healthcare services is the main priority for the Government of Georgia</w:t>
      </w:r>
      <w:r w:rsidR="00E01830" w:rsidRPr="00DF25AB">
        <w:rPr>
          <w:rFonts w:ascii="Garamond" w:hAnsi="Garamond" w:cs="Arial"/>
          <w:lang w:val="ka-GE"/>
        </w:rPr>
        <w:t xml:space="preserve"> that is reflected by the unprecedented increase in allocation of funds for the health sector </w:t>
      </w:r>
      <w:r w:rsidRPr="00DF25AB">
        <w:rPr>
          <w:rFonts w:ascii="Garamond" w:hAnsi="Garamond" w:cs="Arial"/>
          <w:b/>
          <w:lang w:val="ka-GE"/>
        </w:rPr>
        <w:t xml:space="preserve"> </w:t>
      </w:r>
      <w:r w:rsidR="001C39F5" w:rsidRPr="00DF25AB">
        <w:rPr>
          <w:rFonts w:ascii="Garamond" w:hAnsi="Garamond" w:cs="Arial"/>
          <w:lang w:val="ka-GE"/>
        </w:rPr>
        <w:t>by the government (365</w:t>
      </w:r>
      <w:r w:rsidR="001C39F5" w:rsidRPr="00DF25AB">
        <w:rPr>
          <w:rFonts w:ascii="Garamond" w:hAnsi="Garamond" w:cs="Arial"/>
        </w:rPr>
        <w:t xml:space="preserve"> ml </w:t>
      </w:r>
      <w:r w:rsidR="00E01830" w:rsidRPr="00DF25AB">
        <w:rPr>
          <w:rFonts w:ascii="Garamond" w:hAnsi="Garamond" w:cs="Arial"/>
          <w:lang w:val="ka-GE"/>
        </w:rPr>
        <w:t xml:space="preserve">GEL allocated in 2012 </w:t>
      </w:r>
      <w:r w:rsidR="00EB233B" w:rsidRPr="00DF25AB">
        <w:rPr>
          <w:rFonts w:ascii="Garamond" w:hAnsi="Garamond" w:cs="Arial"/>
        </w:rPr>
        <w:t xml:space="preserve">was </w:t>
      </w:r>
      <w:r w:rsidR="00EB233B" w:rsidRPr="00DF25AB">
        <w:rPr>
          <w:rFonts w:ascii="Garamond" w:hAnsi="Garamond" w:cs="Arial"/>
          <w:lang w:val="ka-GE"/>
        </w:rPr>
        <w:t xml:space="preserve">almost doubled </w:t>
      </w:r>
      <w:r w:rsidR="00FF3D1C" w:rsidRPr="00DF25AB">
        <w:rPr>
          <w:rFonts w:ascii="Garamond" w:hAnsi="Garamond" w:cs="Arial"/>
        </w:rPr>
        <w:t>in 2013 and</w:t>
      </w:r>
      <w:r w:rsidR="00E01830" w:rsidRPr="00DF25AB">
        <w:rPr>
          <w:rFonts w:ascii="Garamond" w:hAnsi="Garamond" w:cs="Arial"/>
          <w:lang w:val="ka-GE"/>
        </w:rPr>
        <w:t xml:space="preserve"> amounted approximately to 634</w:t>
      </w:r>
      <w:r w:rsidR="001C39F5" w:rsidRPr="00DF25AB">
        <w:rPr>
          <w:rFonts w:ascii="Garamond" w:hAnsi="Garamond" w:cs="Arial"/>
        </w:rPr>
        <w:t xml:space="preserve"> ml</w:t>
      </w:r>
      <w:r w:rsidR="00E01830" w:rsidRPr="00DF25AB">
        <w:rPr>
          <w:rFonts w:ascii="Garamond" w:hAnsi="Garamond" w:cs="Arial"/>
          <w:lang w:val="ka-GE"/>
        </w:rPr>
        <w:t xml:space="preserve"> GEL). </w:t>
      </w:r>
      <w:r w:rsidR="00E01830" w:rsidRPr="00DF25AB">
        <w:rPr>
          <w:rFonts w:ascii="Garamond" w:hAnsi="Garamond" w:cs="Arial"/>
          <w:b/>
          <w:lang w:val="ka-GE"/>
        </w:rPr>
        <w:t xml:space="preserve"> </w:t>
      </w:r>
      <w:r w:rsidRPr="00DF25AB">
        <w:rPr>
          <w:rFonts w:ascii="Garamond" w:hAnsi="Garamond" w:cs="Arial"/>
          <w:b/>
          <w:lang w:val="ka-GE"/>
        </w:rPr>
        <w:t xml:space="preserve">   </w:t>
      </w:r>
    </w:p>
    <w:p w:rsidR="00B87748" w:rsidRPr="00DF25AB" w:rsidRDefault="00B87748" w:rsidP="00DF25AB">
      <w:pPr>
        <w:pStyle w:val="ListParagraph"/>
        <w:spacing w:after="0" w:line="25" w:lineRule="atLeast"/>
        <w:jc w:val="both"/>
        <w:rPr>
          <w:rFonts w:ascii="Garamond" w:hAnsi="Garamond" w:cs="Arial"/>
        </w:rPr>
      </w:pPr>
    </w:p>
    <w:p w:rsidR="006372CD" w:rsidRPr="00DF25AB" w:rsidRDefault="00D71A6A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b/>
        </w:rPr>
        <w:t xml:space="preserve">Government of </w:t>
      </w:r>
      <w:r w:rsidR="001C39F5" w:rsidRPr="00DF25AB">
        <w:rPr>
          <w:rFonts w:ascii="Garamond" w:hAnsi="Garamond" w:cs="Arial"/>
          <w:b/>
          <w:lang w:val="ka-GE"/>
        </w:rPr>
        <w:t xml:space="preserve">Georgia has </w:t>
      </w:r>
      <w:r w:rsidRPr="00DF25AB">
        <w:rPr>
          <w:rFonts w:ascii="Garamond" w:hAnsi="Garamond" w:cs="Arial"/>
          <w:b/>
        </w:rPr>
        <w:t xml:space="preserve">set </w:t>
      </w:r>
      <w:r w:rsidR="001C39F5" w:rsidRPr="00DF25AB">
        <w:rPr>
          <w:rFonts w:ascii="Garamond" w:hAnsi="Garamond" w:cs="Arial"/>
          <w:b/>
          <w:lang w:val="ka-GE"/>
        </w:rPr>
        <w:t xml:space="preserve">foundation </w:t>
      </w:r>
      <w:r w:rsidR="00E01830" w:rsidRPr="00DF25AB">
        <w:rPr>
          <w:rFonts w:ascii="Garamond" w:hAnsi="Garamond" w:cs="Arial"/>
          <w:b/>
          <w:lang w:val="ka-GE"/>
        </w:rPr>
        <w:t xml:space="preserve">for universal rights </w:t>
      </w:r>
      <w:r w:rsidR="001C39F5" w:rsidRPr="00DF25AB">
        <w:rPr>
          <w:rFonts w:ascii="Garamond" w:hAnsi="Garamond" w:cs="Arial"/>
          <w:b/>
        </w:rPr>
        <w:t>in</w:t>
      </w:r>
      <w:r w:rsidR="00E01830" w:rsidRPr="00DF25AB">
        <w:rPr>
          <w:rFonts w:ascii="Garamond" w:hAnsi="Garamond" w:cs="Arial"/>
          <w:b/>
          <w:lang w:val="ka-GE"/>
        </w:rPr>
        <w:t xml:space="preserve"> the healthcare system </w:t>
      </w:r>
      <w:r w:rsidR="00E01830" w:rsidRPr="00DF25AB">
        <w:rPr>
          <w:rFonts w:ascii="Garamond" w:hAnsi="Garamond" w:cs="Arial"/>
          <w:lang w:val="ka-GE"/>
        </w:rPr>
        <w:t>–</w:t>
      </w:r>
      <w:r w:rsidR="006372CD" w:rsidRPr="00DF25AB">
        <w:rPr>
          <w:rFonts w:ascii="Garamond" w:hAnsi="Garamond" w:cs="Arial"/>
          <w:lang w:val="ka-GE"/>
        </w:rPr>
        <w:t xml:space="preserve"> </w:t>
      </w:r>
      <w:r w:rsidR="001C39F5" w:rsidRPr="00DF25AB">
        <w:rPr>
          <w:rFonts w:ascii="Garamond" w:hAnsi="Garamond" w:cs="Arial"/>
          <w:lang w:val="ka-GE"/>
        </w:rPr>
        <w:t xml:space="preserve">data </w:t>
      </w:r>
      <w:r w:rsidR="001C39F5" w:rsidRPr="00DF25AB">
        <w:rPr>
          <w:rFonts w:ascii="Garamond" w:hAnsi="Garamond" w:cs="Arial"/>
        </w:rPr>
        <w:t>from</w:t>
      </w:r>
      <w:r w:rsidR="00E01830" w:rsidRPr="00DF25AB">
        <w:rPr>
          <w:rFonts w:ascii="Garamond" w:hAnsi="Garamond" w:cs="Arial"/>
          <w:lang w:val="ka-GE"/>
        </w:rPr>
        <w:t xml:space="preserve"> April </w:t>
      </w:r>
      <w:r w:rsidR="006372CD" w:rsidRPr="00DF25AB">
        <w:rPr>
          <w:rFonts w:ascii="Garamond" w:hAnsi="Garamond" w:cs="Arial"/>
          <w:lang w:val="ka-GE"/>
        </w:rPr>
        <w:t>2</w:t>
      </w:r>
      <w:r w:rsidR="00700B0F" w:rsidRPr="00DF25AB">
        <w:rPr>
          <w:rFonts w:ascii="Garamond" w:hAnsi="Garamond" w:cs="Arial"/>
          <w:noProof/>
          <w:lang w:val="ka-GE"/>
        </w:rPr>
        <w:t>014</w:t>
      </w:r>
      <w:r w:rsidR="001C39F5" w:rsidRPr="00DF25AB">
        <w:rPr>
          <w:rFonts w:ascii="Garamond" w:hAnsi="Garamond" w:cs="Arial"/>
          <w:noProof/>
        </w:rPr>
        <w:t>,</w:t>
      </w:r>
      <w:r w:rsidR="00700B0F" w:rsidRPr="00DF25AB">
        <w:rPr>
          <w:rFonts w:ascii="Garamond" w:hAnsi="Garamond" w:cs="Arial"/>
          <w:noProof/>
          <w:lang w:val="ka-GE"/>
        </w:rPr>
        <w:t xml:space="preserve"> </w:t>
      </w:r>
      <w:r w:rsidR="00E01830" w:rsidRPr="00DF25AB">
        <w:rPr>
          <w:rFonts w:ascii="Garamond" w:hAnsi="Garamond" w:cs="Arial"/>
          <w:noProof/>
          <w:lang w:val="ka-GE"/>
        </w:rPr>
        <w:t>suggest that all citizens of Georgia are provided with basic healthcare services.</w:t>
      </w:r>
      <w:r w:rsidR="00E01830" w:rsidRPr="00DF25AB">
        <w:rPr>
          <w:rFonts w:ascii="Garamond" w:hAnsi="Garamond" w:cs="Arial"/>
          <w:noProof/>
        </w:rPr>
        <w:t xml:space="preserve"> </w:t>
      </w:r>
      <w:r w:rsidR="00E01830" w:rsidRPr="00DF25AB">
        <w:rPr>
          <w:rFonts w:ascii="Garamond" w:hAnsi="Garamond" w:cs="Arial"/>
          <w:noProof/>
        </w:rPr>
        <w:lastRenderedPageBreak/>
        <w:t>Among them</w:t>
      </w:r>
      <w:r w:rsidR="003102F5" w:rsidRPr="00DF25AB">
        <w:rPr>
          <w:rFonts w:ascii="Garamond" w:hAnsi="Garamond" w:cs="Arial"/>
          <w:noProof/>
        </w:rPr>
        <w:t>,</w:t>
      </w:r>
      <w:r w:rsidR="00E01830" w:rsidRPr="00DF25AB">
        <w:rPr>
          <w:rFonts w:ascii="Garamond" w:hAnsi="Garamond" w:cs="Arial"/>
          <w:noProof/>
        </w:rPr>
        <w:t xml:space="preserve"> approximately 3.4 million people </w:t>
      </w:r>
      <w:r w:rsidR="00CF2114" w:rsidRPr="00DF25AB">
        <w:rPr>
          <w:rFonts w:ascii="Garamond" w:hAnsi="Garamond" w:cs="Arial"/>
          <w:noProof/>
        </w:rPr>
        <w:t xml:space="preserve">are covered </w:t>
      </w:r>
      <w:r w:rsidR="003102F5" w:rsidRPr="00DF25AB">
        <w:rPr>
          <w:rFonts w:ascii="Garamond" w:hAnsi="Garamond" w:cs="Arial"/>
          <w:noProof/>
        </w:rPr>
        <w:t xml:space="preserve">under the State-subsidized UHC </w:t>
      </w:r>
      <w:r w:rsidR="00CF2114" w:rsidRPr="00DF25AB">
        <w:rPr>
          <w:rFonts w:ascii="Garamond" w:hAnsi="Garamond" w:cs="Arial"/>
          <w:noProof/>
        </w:rPr>
        <w:t xml:space="preserve">Program, 560 thousand individuals are beneficiaries of the state-funded health insurance program and about 546 persons have private or corporate health insurance. </w:t>
      </w:r>
    </w:p>
    <w:p w:rsidR="00B87748" w:rsidRPr="00DF25AB" w:rsidRDefault="00B87748" w:rsidP="00DF25AB">
      <w:pPr>
        <w:pStyle w:val="ListParagraph"/>
        <w:spacing w:after="0" w:line="25" w:lineRule="atLeast"/>
        <w:jc w:val="both"/>
        <w:rPr>
          <w:rFonts w:ascii="Garamond" w:hAnsi="Garamond" w:cs="Arial"/>
          <w:lang w:val="ka-GE"/>
        </w:rPr>
      </w:pPr>
    </w:p>
    <w:p w:rsidR="006372CD" w:rsidRPr="00DF25AB" w:rsidRDefault="00D46B3F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</w:rPr>
        <w:t xml:space="preserve">As of </w:t>
      </w:r>
      <w:r w:rsidR="00CF2114" w:rsidRPr="00DF25AB">
        <w:rPr>
          <w:rFonts w:ascii="Garamond" w:hAnsi="Garamond" w:cs="Arial"/>
          <w:lang w:val="ka-GE"/>
        </w:rPr>
        <w:t xml:space="preserve">May </w:t>
      </w:r>
      <w:r w:rsidR="00D71A6A" w:rsidRPr="00DF25AB">
        <w:rPr>
          <w:rFonts w:ascii="Garamond" w:hAnsi="Garamond" w:cs="Arial"/>
        </w:rPr>
        <w:t>5</w:t>
      </w:r>
      <w:r w:rsidR="00002C2B" w:rsidRPr="00DF25AB">
        <w:rPr>
          <w:rFonts w:ascii="Garamond" w:hAnsi="Garamond" w:cs="Arial"/>
        </w:rPr>
        <w:t>,</w:t>
      </w:r>
      <w:r w:rsidR="00CF2114" w:rsidRPr="00DF25AB">
        <w:rPr>
          <w:rFonts w:ascii="Garamond" w:hAnsi="Garamond" w:cs="Arial"/>
          <w:lang w:val="ka-GE"/>
        </w:rPr>
        <w:t xml:space="preserve"> </w:t>
      </w:r>
      <w:r w:rsidR="004950E3" w:rsidRPr="00DF25AB">
        <w:rPr>
          <w:rFonts w:ascii="Garamond" w:hAnsi="Garamond" w:cs="Arial"/>
          <w:lang w:val="ka-GE"/>
        </w:rPr>
        <w:t>201</w:t>
      </w:r>
      <w:r w:rsidR="004950E3" w:rsidRPr="00DF25AB">
        <w:rPr>
          <w:rFonts w:ascii="Garamond" w:hAnsi="Garamond" w:cs="Arial"/>
        </w:rPr>
        <w:t>4</w:t>
      </w:r>
      <w:r w:rsidR="006372CD" w:rsidRPr="00DF25AB">
        <w:rPr>
          <w:rFonts w:ascii="Garamond" w:hAnsi="Garamond" w:cs="Arial"/>
          <w:lang w:val="ka-GE"/>
        </w:rPr>
        <w:t xml:space="preserve"> </w:t>
      </w:r>
      <w:r w:rsidR="000929F0">
        <w:rPr>
          <w:rFonts w:ascii="Garamond" w:hAnsi="Garamond" w:cs="Arial"/>
          <w:b/>
        </w:rPr>
        <w:t>2.3</w:t>
      </w:r>
      <w:bookmarkStart w:id="0" w:name="_GoBack"/>
      <w:bookmarkEnd w:id="0"/>
      <w:r w:rsidR="00CF2114" w:rsidRPr="00DF25AB">
        <w:rPr>
          <w:rFonts w:ascii="Garamond" w:hAnsi="Garamond" w:cs="Arial"/>
          <w:b/>
          <w:lang w:val="ka-GE"/>
        </w:rPr>
        <w:t xml:space="preserve"> million p</w:t>
      </w:r>
      <w:r w:rsidR="00002C2B" w:rsidRPr="00DF25AB">
        <w:rPr>
          <w:rFonts w:ascii="Garamond" w:hAnsi="Garamond" w:cs="Arial"/>
          <w:b/>
          <w:lang w:val="ka-GE"/>
        </w:rPr>
        <w:t xml:space="preserve">eople </w:t>
      </w:r>
      <w:r w:rsidR="00002C2B" w:rsidRPr="00083189">
        <w:rPr>
          <w:rFonts w:ascii="Garamond" w:hAnsi="Garamond" w:cs="Arial"/>
          <w:lang w:val="ka-GE"/>
        </w:rPr>
        <w:t>without health insurance</w:t>
      </w:r>
      <w:r w:rsidR="00083189" w:rsidRPr="00083189">
        <w:rPr>
          <w:rFonts w:ascii="Garamond" w:hAnsi="Garamond" w:cs="Arial"/>
        </w:rPr>
        <w:t xml:space="preserve"> prior to February 2013</w:t>
      </w:r>
      <w:r w:rsidR="00002C2B" w:rsidRPr="00DF25AB">
        <w:rPr>
          <w:rFonts w:ascii="Garamond" w:hAnsi="Garamond" w:cs="Arial"/>
          <w:b/>
          <w:lang w:val="ka-GE"/>
        </w:rPr>
        <w:t xml:space="preserve"> were registered at </w:t>
      </w:r>
      <w:r w:rsidR="00002C2B" w:rsidRPr="00DF25AB">
        <w:rPr>
          <w:rFonts w:ascii="Garamond" w:hAnsi="Garamond" w:cs="Arial"/>
          <w:b/>
        </w:rPr>
        <w:t>p</w:t>
      </w:r>
      <w:r w:rsidR="003102F5" w:rsidRPr="00DF25AB">
        <w:rPr>
          <w:rFonts w:ascii="Garamond" w:hAnsi="Garamond" w:cs="Arial"/>
          <w:b/>
        </w:rPr>
        <w:t xml:space="preserve">rimary </w:t>
      </w:r>
      <w:r w:rsidR="00002C2B" w:rsidRPr="00DF25AB">
        <w:rPr>
          <w:rFonts w:ascii="Garamond" w:hAnsi="Garamond" w:cs="Arial"/>
          <w:b/>
        </w:rPr>
        <w:t>h</w:t>
      </w:r>
      <w:r w:rsidR="003102F5" w:rsidRPr="00DF25AB">
        <w:rPr>
          <w:rFonts w:ascii="Garamond" w:hAnsi="Garamond" w:cs="Arial"/>
          <w:b/>
        </w:rPr>
        <w:t xml:space="preserve">ealthcare </w:t>
      </w:r>
      <w:r w:rsidR="00002C2B" w:rsidRPr="00DF25AB">
        <w:rPr>
          <w:rFonts w:ascii="Garamond" w:hAnsi="Garamond" w:cs="Arial"/>
          <w:b/>
        </w:rPr>
        <w:t>c</w:t>
      </w:r>
      <w:r w:rsidR="003102F5" w:rsidRPr="00DF25AB">
        <w:rPr>
          <w:rFonts w:ascii="Garamond" w:hAnsi="Garamond" w:cs="Arial"/>
          <w:b/>
        </w:rPr>
        <w:t>enter</w:t>
      </w:r>
      <w:r w:rsidR="00002C2B" w:rsidRPr="00DF25AB">
        <w:rPr>
          <w:rFonts w:ascii="Garamond" w:hAnsi="Garamond" w:cs="Arial"/>
          <w:b/>
        </w:rPr>
        <w:t>s</w:t>
      </w:r>
      <w:r w:rsidR="003102F5" w:rsidRPr="00DF25AB">
        <w:rPr>
          <w:rFonts w:ascii="Garamond" w:hAnsi="Garamond" w:cs="Arial"/>
          <w:b/>
          <w:lang w:val="ka-GE"/>
        </w:rPr>
        <w:t xml:space="preserve">. </w:t>
      </w:r>
      <w:r w:rsidR="00083189">
        <w:rPr>
          <w:rFonts w:ascii="Garamond" w:hAnsi="Garamond" w:cs="Arial"/>
          <w:b/>
        </w:rPr>
        <w:t>Since the launch of the UHC a t</w:t>
      </w:r>
      <w:r w:rsidR="003102F5" w:rsidRPr="00DF25AB">
        <w:rPr>
          <w:rFonts w:ascii="Garamond" w:hAnsi="Garamond" w:cs="Arial"/>
          <w:b/>
          <w:lang w:val="ka-GE"/>
        </w:rPr>
        <w:t>otal</w:t>
      </w:r>
      <w:r w:rsidR="003102F5" w:rsidRPr="00DF25AB">
        <w:rPr>
          <w:rFonts w:ascii="Garamond" w:hAnsi="Garamond" w:cs="Arial"/>
          <w:b/>
        </w:rPr>
        <w:t xml:space="preserve"> of</w:t>
      </w:r>
      <w:r w:rsidR="00D71A6A" w:rsidRPr="00DF25AB">
        <w:rPr>
          <w:rFonts w:ascii="Garamond" w:hAnsi="Garamond" w:cs="Arial"/>
          <w:b/>
          <w:lang w:val="ka-GE"/>
        </w:rPr>
        <w:t xml:space="preserve"> 3</w:t>
      </w:r>
      <w:r w:rsidR="00D71A6A" w:rsidRPr="00DF25AB">
        <w:rPr>
          <w:rFonts w:ascii="Garamond" w:hAnsi="Garamond" w:cs="Arial"/>
          <w:b/>
        </w:rPr>
        <w:t>83</w:t>
      </w:r>
      <w:r w:rsidRPr="00DF25AB">
        <w:rPr>
          <w:rFonts w:ascii="Garamond" w:hAnsi="Garamond" w:cs="Arial"/>
          <w:b/>
        </w:rPr>
        <w:t> 707 cases</w:t>
      </w:r>
      <w:r w:rsidR="00CF2114" w:rsidRPr="00DF25AB">
        <w:rPr>
          <w:rFonts w:ascii="Garamond" w:hAnsi="Garamond" w:cs="Arial"/>
          <w:b/>
          <w:lang w:val="ka-GE"/>
        </w:rPr>
        <w:t xml:space="preserve"> were </w:t>
      </w:r>
      <w:r w:rsidRPr="00DF25AB">
        <w:rPr>
          <w:rFonts w:ascii="Garamond" w:hAnsi="Garamond" w:cs="Arial"/>
          <w:b/>
        </w:rPr>
        <w:t>supported</w:t>
      </w:r>
      <w:r w:rsidR="00CF2114" w:rsidRPr="00DF25AB">
        <w:rPr>
          <w:rFonts w:ascii="Garamond" w:hAnsi="Garamond" w:cs="Arial"/>
          <w:b/>
          <w:lang w:val="ka-GE"/>
        </w:rPr>
        <w:t xml:space="preserve"> </w:t>
      </w:r>
      <w:r w:rsidR="00CF2114" w:rsidRPr="00DF25AB">
        <w:rPr>
          <w:rFonts w:ascii="Garamond" w:hAnsi="Garamond" w:cs="Arial"/>
          <w:lang w:val="ka-GE"/>
        </w:rPr>
        <w:t>including</w:t>
      </w:r>
      <w:r w:rsidR="00BB4C0D" w:rsidRPr="00DF25AB">
        <w:rPr>
          <w:rFonts w:ascii="Garamond" w:hAnsi="Garamond" w:cs="Arial"/>
        </w:rPr>
        <w:t>:</w:t>
      </w:r>
      <w:r w:rsidR="00CF2114" w:rsidRPr="00DF25AB">
        <w:rPr>
          <w:rFonts w:ascii="Garamond" w:hAnsi="Garamond" w:cs="Arial"/>
          <w:lang w:val="ka-GE"/>
        </w:rPr>
        <w:t xml:space="preserve"> emergency out-patient </w:t>
      </w:r>
      <w:r w:rsidR="00AA2703" w:rsidRPr="00DF25AB">
        <w:rPr>
          <w:rFonts w:ascii="Garamond" w:hAnsi="Garamond" w:cs="Arial"/>
          <w:lang w:val="ka-GE"/>
        </w:rPr>
        <w:t>–</w:t>
      </w:r>
      <w:r w:rsidR="00AA2703" w:rsidRPr="00DF25AB">
        <w:rPr>
          <w:rFonts w:ascii="Garamond" w:hAnsi="Garamond" w:cs="Arial"/>
        </w:rPr>
        <w:t xml:space="preserve"> </w:t>
      </w:r>
      <w:r w:rsidR="00D71A6A" w:rsidRPr="00DF25AB">
        <w:rPr>
          <w:rFonts w:ascii="Garamond" w:hAnsi="Garamond" w:cs="Arial"/>
        </w:rPr>
        <w:t>229,480</w:t>
      </w:r>
      <w:r w:rsidR="00AA2703" w:rsidRPr="00DF25AB">
        <w:rPr>
          <w:rFonts w:ascii="Garamond" w:hAnsi="Garamond" w:cs="Arial"/>
        </w:rPr>
        <w:t>;</w:t>
      </w:r>
      <w:r w:rsidR="00CF2114" w:rsidRPr="00DF25AB">
        <w:rPr>
          <w:rFonts w:ascii="Garamond" w:hAnsi="Garamond" w:cs="Arial"/>
          <w:lang w:val="ka-GE"/>
        </w:rPr>
        <w:t xml:space="preserve"> emergency in-patient </w:t>
      </w:r>
      <w:r w:rsidR="00AA2703" w:rsidRPr="00DF25AB">
        <w:rPr>
          <w:rFonts w:ascii="Garamond" w:hAnsi="Garamond" w:cs="Arial"/>
          <w:lang w:val="ka-GE"/>
        </w:rPr>
        <w:t>–</w:t>
      </w:r>
      <w:r w:rsidR="00286BE9" w:rsidRPr="00DF25AB">
        <w:rPr>
          <w:rFonts w:ascii="Garamond" w:hAnsi="Garamond" w:cs="Arial"/>
          <w:lang w:val="ka-GE"/>
        </w:rPr>
        <w:t xml:space="preserve"> </w:t>
      </w:r>
      <w:r w:rsidR="00D71A6A" w:rsidRPr="00DF25AB">
        <w:rPr>
          <w:rFonts w:ascii="Garamond" w:hAnsi="Garamond" w:cs="Arial"/>
        </w:rPr>
        <w:t>81,495</w:t>
      </w:r>
      <w:r w:rsidR="00EC2A37" w:rsidRPr="00DF25AB">
        <w:rPr>
          <w:rFonts w:ascii="Garamond" w:hAnsi="Garamond" w:cs="Arial"/>
          <w:lang w:val="ka-GE"/>
        </w:rPr>
        <w:t xml:space="preserve">; </w:t>
      </w:r>
      <w:r w:rsidR="00CF2114" w:rsidRPr="00DF25AB">
        <w:rPr>
          <w:rFonts w:ascii="Garamond" w:hAnsi="Garamond" w:cs="Arial"/>
        </w:rPr>
        <w:t>planned in-patient</w:t>
      </w:r>
      <w:r w:rsidR="00286BE9" w:rsidRPr="00DF25AB">
        <w:rPr>
          <w:rFonts w:ascii="Garamond" w:hAnsi="Garamond" w:cs="Arial"/>
          <w:lang w:val="ka-GE"/>
        </w:rPr>
        <w:t xml:space="preserve"> </w:t>
      </w:r>
      <w:r w:rsidR="00AA2703" w:rsidRPr="00DF25AB">
        <w:rPr>
          <w:rFonts w:ascii="Garamond" w:hAnsi="Garamond" w:cs="Arial"/>
          <w:lang w:val="ka-GE"/>
        </w:rPr>
        <w:t>–</w:t>
      </w:r>
      <w:r w:rsidR="00286BE9" w:rsidRPr="00DF25AB">
        <w:rPr>
          <w:rFonts w:ascii="Garamond" w:hAnsi="Garamond" w:cs="Arial"/>
          <w:lang w:val="ka-GE"/>
        </w:rPr>
        <w:t xml:space="preserve"> </w:t>
      </w:r>
      <w:r w:rsidR="00D71A6A" w:rsidRPr="00DF25AB">
        <w:rPr>
          <w:rFonts w:ascii="Garamond" w:hAnsi="Garamond" w:cs="Arial"/>
        </w:rPr>
        <w:t>27,030</w:t>
      </w:r>
      <w:r w:rsidR="00EC2A37" w:rsidRPr="00DF25AB">
        <w:rPr>
          <w:rFonts w:ascii="Garamond" w:hAnsi="Garamond" w:cs="Arial"/>
          <w:lang w:val="ka-GE"/>
        </w:rPr>
        <w:t>;</w:t>
      </w:r>
      <w:r w:rsidR="00286BE9" w:rsidRPr="00DF25AB">
        <w:rPr>
          <w:rFonts w:ascii="Garamond" w:hAnsi="Garamond" w:cs="Arial"/>
          <w:lang w:val="ka-GE"/>
        </w:rPr>
        <w:t xml:space="preserve"> </w:t>
      </w:r>
      <w:r w:rsidR="00CF2114" w:rsidRPr="00DF25AB">
        <w:rPr>
          <w:rFonts w:ascii="Garamond" w:hAnsi="Garamond" w:cs="Arial"/>
        </w:rPr>
        <w:t>cardiac surgery</w:t>
      </w:r>
      <w:r w:rsidR="00286BE9" w:rsidRPr="00DF25AB">
        <w:rPr>
          <w:rFonts w:ascii="Garamond" w:hAnsi="Garamond" w:cs="Arial"/>
          <w:lang w:val="ka-GE"/>
        </w:rPr>
        <w:t xml:space="preserve"> - </w:t>
      </w:r>
      <w:r w:rsidR="00D71A6A" w:rsidRPr="00DF25AB">
        <w:rPr>
          <w:rFonts w:ascii="Garamond" w:hAnsi="Garamond" w:cs="Arial"/>
          <w:lang w:val="ka-GE"/>
        </w:rPr>
        <w:t>1</w:t>
      </w:r>
      <w:r w:rsidR="00D71A6A" w:rsidRPr="00DF25AB">
        <w:rPr>
          <w:rFonts w:ascii="Garamond" w:hAnsi="Garamond" w:cs="Arial"/>
        </w:rPr>
        <w:t>107</w:t>
      </w:r>
      <w:r w:rsidR="00EC2A37" w:rsidRPr="00DF25AB">
        <w:rPr>
          <w:rFonts w:ascii="Garamond" w:hAnsi="Garamond" w:cs="Arial"/>
          <w:lang w:val="ka-GE"/>
        </w:rPr>
        <w:t>;</w:t>
      </w:r>
      <w:r w:rsidR="00286BE9" w:rsidRPr="00DF25AB">
        <w:rPr>
          <w:rFonts w:ascii="Garamond" w:hAnsi="Garamond" w:cs="Arial"/>
          <w:lang w:val="ka-GE"/>
        </w:rPr>
        <w:t xml:space="preserve"> </w:t>
      </w:r>
      <w:r w:rsidR="00BB4C0D" w:rsidRPr="00DF25AB">
        <w:rPr>
          <w:rFonts w:ascii="Garamond" w:hAnsi="Garamond" w:cs="Arial"/>
        </w:rPr>
        <w:t xml:space="preserve">chemotherapy, hormonal </w:t>
      </w:r>
      <w:r w:rsidR="00CF2114" w:rsidRPr="00DF25AB">
        <w:rPr>
          <w:rFonts w:ascii="Garamond" w:hAnsi="Garamond" w:cs="Arial"/>
        </w:rPr>
        <w:t xml:space="preserve">and radiation therapy </w:t>
      </w:r>
      <w:r w:rsidR="00286BE9" w:rsidRPr="00DF25AB">
        <w:rPr>
          <w:rFonts w:ascii="Garamond" w:hAnsi="Garamond" w:cs="Arial"/>
          <w:lang w:val="ka-GE"/>
        </w:rPr>
        <w:t>-</w:t>
      </w:r>
      <w:r w:rsidR="00D71A6A" w:rsidRPr="00DF25AB">
        <w:rPr>
          <w:rFonts w:ascii="Garamond" w:hAnsi="Garamond" w:cs="Arial"/>
          <w:lang w:val="ka-GE"/>
        </w:rPr>
        <w:t>1</w:t>
      </w:r>
      <w:r w:rsidR="00D71A6A" w:rsidRPr="00DF25AB">
        <w:rPr>
          <w:rFonts w:ascii="Garamond" w:hAnsi="Garamond" w:cs="Arial"/>
        </w:rPr>
        <w:t xml:space="preserve">2,308 and </w:t>
      </w:r>
      <w:r w:rsidR="00CF2114" w:rsidRPr="00DF25AB">
        <w:rPr>
          <w:rFonts w:ascii="Garamond" w:hAnsi="Garamond" w:cs="Arial"/>
        </w:rPr>
        <w:t>deliveries</w:t>
      </w:r>
      <w:r w:rsidR="00286BE9" w:rsidRPr="00DF25AB">
        <w:rPr>
          <w:rFonts w:ascii="Garamond" w:hAnsi="Garamond" w:cs="Arial"/>
          <w:lang w:val="ka-GE"/>
        </w:rPr>
        <w:t xml:space="preserve"> </w:t>
      </w:r>
      <w:r w:rsidR="00AA2703" w:rsidRPr="00DF25AB">
        <w:rPr>
          <w:rFonts w:ascii="Garamond" w:hAnsi="Garamond" w:cs="Arial"/>
          <w:lang w:val="ka-GE"/>
        </w:rPr>
        <w:t>–</w:t>
      </w:r>
      <w:r w:rsidR="00286BE9" w:rsidRPr="00DF25AB">
        <w:rPr>
          <w:rFonts w:ascii="Garamond" w:hAnsi="Garamond" w:cs="Arial"/>
          <w:lang w:val="ka-GE"/>
        </w:rPr>
        <w:t xml:space="preserve"> </w:t>
      </w:r>
      <w:r w:rsidR="00EC2A37" w:rsidRPr="00DF25AB">
        <w:rPr>
          <w:rFonts w:ascii="Garamond" w:hAnsi="Garamond" w:cs="Arial"/>
          <w:lang w:val="ka-GE"/>
        </w:rPr>
        <w:t>31</w:t>
      </w:r>
      <w:r w:rsidR="00AA2703" w:rsidRPr="00DF25AB">
        <w:rPr>
          <w:rFonts w:ascii="Garamond" w:hAnsi="Garamond" w:cs="Arial"/>
        </w:rPr>
        <w:t>,</w:t>
      </w:r>
      <w:r w:rsidR="00930412" w:rsidRPr="00DF25AB">
        <w:rPr>
          <w:rFonts w:ascii="Garamond" w:hAnsi="Garamond" w:cs="Arial"/>
          <w:lang w:val="ka-GE"/>
        </w:rPr>
        <w:t> </w:t>
      </w:r>
      <w:r w:rsidR="00D71A6A" w:rsidRPr="00DF25AB">
        <w:rPr>
          <w:rFonts w:ascii="Garamond" w:hAnsi="Garamond" w:cs="Arial"/>
        </w:rPr>
        <w:t xml:space="preserve">867. </w:t>
      </w:r>
      <w:r w:rsidR="00286BE9" w:rsidRPr="00DF25AB">
        <w:rPr>
          <w:rFonts w:ascii="Garamond" w:hAnsi="Garamond" w:cs="Arial"/>
          <w:lang w:val="ka-GE"/>
        </w:rPr>
        <w:t xml:space="preserve"> </w:t>
      </w:r>
    </w:p>
    <w:p w:rsidR="00B87748" w:rsidRPr="00DF25AB" w:rsidRDefault="00B87748" w:rsidP="00DF25AB">
      <w:pPr>
        <w:pStyle w:val="ListParagraph"/>
        <w:spacing w:after="0" w:line="25" w:lineRule="atLeast"/>
        <w:rPr>
          <w:rFonts w:ascii="Garamond" w:hAnsi="Garamond" w:cs="Arial"/>
          <w:lang w:val="ka-GE"/>
        </w:rPr>
      </w:pPr>
    </w:p>
    <w:p w:rsidR="00963C5C" w:rsidRPr="00DF25AB" w:rsidRDefault="00CF2114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b/>
          <w:bCs/>
          <w:lang w:val="ka-GE"/>
        </w:rPr>
        <w:t xml:space="preserve">An absolute majority of </w:t>
      </w:r>
      <w:r w:rsidR="00AA2703" w:rsidRPr="00DF25AB">
        <w:rPr>
          <w:rFonts w:ascii="Garamond" w:hAnsi="Garamond" w:cs="Arial"/>
          <w:bCs/>
          <w:lang w:val="ka-GE"/>
        </w:rPr>
        <w:t>beneficiaries</w:t>
      </w:r>
      <w:r w:rsidRPr="00DF25AB">
        <w:rPr>
          <w:rFonts w:ascii="Garamond" w:hAnsi="Garamond" w:cs="Arial"/>
          <w:b/>
          <w:bCs/>
          <w:lang w:val="ka-GE"/>
        </w:rPr>
        <w:t xml:space="preserve"> </w:t>
      </w:r>
      <w:r w:rsidR="0014647A" w:rsidRPr="00DF25AB">
        <w:rPr>
          <w:rFonts w:ascii="Garamond" w:hAnsi="Garamond" w:cs="Arial"/>
          <w:b/>
          <w:bCs/>
          <w:lang w:val="ka-GE"/>
        </w:rPr>
        <w:t xml:space="preserve">(96.4%) </w:t>
      </w:r>
      <w:r w:rsidRPr="00DF25AB">
        <w:rPr>
          <w:rFonts w:ascii="Garamond" w:hAnsi="Garamond" w:cs="Arial"/>
          <w:b/>
          <w:bCs/>
          <w:lang w:val="ka-GE"/>
        </w:rPr>
        <w:t xml:space="preserve">are satisfied or very satisfied </w:t>
      </w:r>
      <w:r w:rsidRPr="00DF25AB">
        <w:rPr>
          <w:rFonts w:ascii="Garamond" w:hAnsi="Garamond" w:cs="Arial"/>
          <w:bCs/>
          <w:lang w:val="ka-GE"/>
        </w:rPr>
        <w:t>with in-patient and/or emergency out-patient services</w:t>
      </w:r>
      <w:r w:rsidRPr="00DF25AB">
        <w:rPr>
          <w:rFonts w:ascii="Garamond" w:hAnsi="Garamond" w:cs="Arial"/>
          <w:bCs/>
        </w:rPr>
        <w:t>;</w:t>
      </w:r>
      <w:r w:rsidRPr="00DF25AB">
        <w:rPr>
          <w:rFonts w:ascii="Garamond" w:hAnsi="Garamond" w:cs="Arial"/>
          <w:bCs/>
          <w:lang w:val="ka-GE"/>
        </w:rPr>
        <w:t xml:space="preserve"> </w:t>
      </w:r>
      <w:r w:rsidR="00B87748" w:rsidRPr="00DF25AB">
        <w:rPr>
          <w:rFonts w:ascii="Garamond" w:hAnsi="Garamond" w:cs="Arial"/>
          <w:b/>
          <w:bCs/>
          <w:lang w:val="ka-GE"/>
        </w:rPr>
        <w:t>80.3%</w:t>
      </w:r>
      <w:r w:rsidR="005A4114" w:rsidRPr="00DF25AB">
        <w:rPr>
          <w:rFonts w:ascii="Garamond" w:hAnsi="Garamond" w:cs="Arial"/>
          <w:b/>
          <w:bCs/>
        </w:rPr>
        <w:t xml:space="preserve"> of the beneficiaries are</w:t>
      </w:r>
      <w:r w:rsidRPr="00DF25AB">
        <w:rPr>
          <w:rFonts w:ascii="Garamond" w:hAnsi="Garamond" w:cs="Arial"/>
          <w:b/>
          <w:bCs/>
        </w:rPr>
        <w:t xml:space="preserve"> satisfied or very satisfied </w:t>
      </w:r>
      <w:r w:rsidRPr="00DF25AB">
        <w:rPr>
          <w:rFonts w:ascii="Garamond" w:hAnsi="Garamond" w:cs="Arial"/>
          <w:bCs/>
        </w:rPr>
        <w:t xml:space="preserve">with planned out-patient services; </w:t>
      </w:r>
      <w:r w:rsidR="00836681" w:rsidRPr="00DF25AB">
        <w:rPr>
          <w:rFonts w:ascii="Garamond" w:hAnsi="Garamond" w:cs="Arial"/>
          <w:b/>
          <w:bCs/>
          <w:lang w:val="ka-GE"/>
        </w:rPr>
        <w:t xml:space="preserve"> </w:t>
      </w:r>
    </w:p>
    <w:p w:rsidR="00B87748" w:rsidRPr="00DF25AB" w:rsidRDefault="00B87748" w:rsidP="00DF25AB">
      <w:pPr>
        <w:pStyle w:val="ListParagraph"/>
        <w:spacing w:after="0" w:line="25" w:lineRule="atLeast"/>
        <w:rPr>
          <w:rFonts w:ascii="Garamond" w:hAnsi="Garamond" w:cs="Arial"/>
          <w:lang w:val="ka-GE"/>
        </w:rPr>
      </w:pPr>
    </w:p>
    <w:p w:rsidR="00DD254B" w:rsidRPr="00DF25AB" w:rsidRDefault="00CF2114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bCs/>
          <w:lang w:val="ka-GE"/>
        </w:rPr>
        <w:t xml:space="preserve">84.1% of the respondents interviewed within the component of planned out-patient care and 78.2% of the respondents interviewed within the planned in-patient and emergency out-patient care </w:t>
      </w:r>
      <w:r w:rsidR="00DD254B" w:rsidRPr="00DF25AB">
        <w:rPr>
          <w:rFonts w:ascii="Garamond" w:hAnsi="Garamond" w:cs="Arial"/>
          <w:bCs/>
        </w:rPr>
        <w:t>think</w:t>
      </w:r>
      <w:r w:rsidRPr="00DF25AB">
        <w:rPr>
          <w:rFonts w:ascii="Garamond" w:hAnsi="Garamond" w:cs="Arial"/>
          <w:bCs/>
          <w:lang w:val="ka-GE"/>
        </w:rPr>
        <w:t xml:space="preserve"> that</w:t>
      </w:r>
      <w:r w:rsidR="009F01CD" w:rsidRPr="00DF25AB">
        <w:rPr>
          <w:rFonts w:ascii="Garamond" w:hAnsi="Garamond" w:cs="Arial"/>
          <w:bCs/>
          <w:lang w:val="ka-GE"/>
        </w:rPr>
        <w:t xml:space="preserve"> </w:t>
      </w:r>
      <w:r w:rsidRPr="00DF25AB">
        <w:rPr>
          <w:rFonts w:ascii="Garamond" w:hAnsi="Garamond" w:cs="Arial"/>
        </w:rPr>
        <w:t xml:space="preserve">the </w:t>
      </w:r>
      <w:r w:rsidRPr="00DF25AB">
        <w:rPr>
          <w:rFonts w:ascii="Garamond" w:hAnsi="Garamond" w:cs="Arial"/>
          <w:b/>
        </w:rPr>
        <w:t xml:space="preserve">most positive aspect/achievement of the UHC Program </w:t>
      </w:r>
      <w:r w:rsidR="002614A9" w:rsidRPr="00DF25AB">
        <w:rPr>
          <w:rFonts w:ascii="Garamond" w:hAnsi="Garamond" w:cs="Arial"/>
          <w:b/>
        </w:rPr>
        <w:t>is</w:t>
      </w:r>
      <w:r w:rsidRPr="00DF25AB">
        <w:rPr>
          <w:rFonts w:ascii="Garamond" w:hAnsi="Garamond" w:cs="Arial"/>
          <w:b/>
        </w:rPr>
        <w:t xml:space="preserve"> the financial support</w:t>
      </w:r>
      <w:r w:rsidR="00DD254B" w:rsidRPr="00DF25AB">
        <w:rPr>
          <w:rFonts w:ascii="Garamond" w:hAnsi="Garamond" w:cs="Arial"/>
          <w:b/>
          <w:bCs/>
        </w:rPr>
        <w:t xml:space="preserve">. </w:t>
      </w:r>
      <w:r w:rsidR="00DD254B" w:rsidRPr="00DF25AB">
        <w:rPr>
          <w:rFonts w:ascii="Garamond" w:hAnsi="Garamond" w:cs="Arial"/>
          <w:bCs/>
        </w:rPr>
        <w:t xml:space="preserve">The majority of the beneficiaries consider </w:t>
      </w:r>
      <w:r w:rsidR="00DD254B" w:rsidRPr="00DF25AB">
        <w:rPr>
          <w:rFonts w:ascii="Garamond" w:hAnsi="Garamond" w:cs="Arial"/>
          <w:b/>
          <w:bCs/>
        </w:rPr>
        <w:t xml:space="preserve">free choice </w:t>
      </w:r>
      <w:r w:rsidR="009F01CD" w:rsidRPr="00DF25AB">
        <w:rPr>
          <w:rFonts w:ascii="Garamond" w:hAnsi="Garamond" w:cs="Arial"/>
          <w:b/>
          <w:bCs/>
        </w:rPr>
        <w:t xml:space="preserve">of service providers </w:t>
      </w:r>
      <w:r w:rsidR="00DD254B" w:rsidRPr="00DF25AB">
        <w:rPr>
          <w:rFonts w:ascii="Garamond" w:hAnsi="Garamond" w:cs="Arial"/>
          <w:bCs/>
        </w:rPr>
        <w:t xml:space="preserve">as one of the advantages of the UHC program. </w:t>
      </w:r>
    </w:p>
    <w:p w:rsidR="00B87748" w:rsidRPr="00DF25AB" w:rsidRDefault="00B87748" w:rsidP="00DF25AB">
      <w:pPr>
        <w:pStyle w:val="ListParagraph"/>
        <w:spacing w:after="0" w:line="25" w:lineRule="atLeast"/>
        <w:rPr>
          <w:rFonts w:ascii="Garamond" w:hAnsi="Garamond" w:cs="Arial"/>
          <w:lang w:val="ka-GE"/>
        </w:rPr>
      </w:pPr>
    </w:p>
    <w:p w:rsidR="00F26B28" w:rsidRPr="00DF25AB" w:rsidRDefault="00DD254B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lang w:val="ka-GE"/>
        </w:rPr>
        <w:t xml:space="preserve">The survey </w:t>
      </w:r>
      <w:r w:rsidRPr="00DF25AB">
        <w:rPr>
          <w:rFonts w:ascii="Garamond" w:hAnsi="Garamond" w:cs="Arial"/>
          <w:b/>
          <w:lang w:val="ka-GE"/>
        </w:rPr>
        <w:t>shows that introduction of the UHC Program increased afforda</w:t>
      </w:r>
      <w:r w:rsidR="000039D3" w:rsidRPr="00DF25AB">
        <w:rPr>
          <w:rFonts w:ascii="Garamond" w:hAnsi="Garamond" w:cs="Arial"/>
          <w:b/>
          <w:lang w:val="ka-GE"/>
        </w:rPr>
        <w:t>bility of  healthcare  services</w:t>
      </w:r>
      <w:r w:rsidRPr="00DF25AB">
        <w:rPr>
          <w:rFonts w:ascii="Garamond" w:hAnsi="Garamond" w:cs="Arial"/>
          <w:b/>
          <w:lang w:val="ka-GE"/>
        </w:rPr>
        <w:t>.</w:t>
      </w:r>
      <w:r w:rsidRPr="00DF25AB">
        <w:rPr>
          <w:rFonts w:ascii="Garamond" w:hAnsi="Garamond" w:cs="Arial"/>
          <w:b/>
        </w:rPr>
        <w:t xml:space="preserve"> </w:t>
      </w:r>
      <w:r w:rsidRPr="00DF25AB">
        <w:rPr>
          <w:rFonts w:ascii="Garamond" w:hAnsi="Garamond" w:cs="Arial"/>
        </w:rPr>
        <w:t xml:space="preserve">Health Utilization and Expenditure Survey (HUES) will be the last stage of the </w:t>
      </w:r>
      <w:r w:rsidRPr="00DF25AB">
        <w:rPr>
          <w:rFonts w:ascii="Garamond" w:hAnsi="Garamond" w:cs="Arial"/>
          <w:b/>
          <w:lang w:val="ka-GE"/>
        </w:rPr>
        <w:t>full-scale evaluation</w:t>
      </w:r>
      <w:r w:rsidR="00D45C79" w:rsidRPr="00DF25AB">
        <w:rPr>
          <w:rFonts w:ascii="Garamond" w:hAnsi="Garamond" w:cs="Arial"/>
          <w:b/>
        </w:rPr>
        <w:t>, which</w:t>
      </w:r>
      <w:r w:rsidRPr="00DF25AB">
        <w:rPr>
          <w:rFonts w:ascii="Garamond" w:hAnsi="Garamond" w:cs="Arial"/>
          <w:b/>
          <w:lang w:val="ka-GE"/>
        </w:rPr>
        <w:t xml:space="preserve"> will be completed in September 2014</w:t>
      </w:r>
      <w:r w:rsidR="000039D3" w:rsidRPr="00DF25AB">
        <w:rPr>
          <w:rFonts w:ascii="Garamond" w:hAnsi="Garamond" w:cs="Arial"/>
          <w:b/>
        </w:rPr>
        <w:t xml:space="preserve"> </w:t>
      </w:r>
      <w:r w:rsidRPr="00DF25AB">
        <w:rPr>
          <w:rFonts w:ascii="Garamond" w:hAnsi="Garamond" w:cs="Arial"/>
          <w:lang w:val="ka-GE"/>
        </w:rPr>
        <w:t xml:space="preserve">with the support of international </w:t>
      </w:r>
      <w:r w:rsidR="00D45C79" w:rsidRPr="00DF25AB">
        <w:rPr>
          <w:rFonts w:ascii="Garamond" w:hAnsi="Garamond" w:cs="Arial"/>
        </w:rPr>
        <w:t xml:space="preserve">donor </w:t>
      </w:r>
      <w:r w:rsidRPr="00DF25AB">
        <w:rPr>
          <w:rFonts w:ascii="Garamond" w:hAnsi="Garamond" w:cs="Arial"/>
          <w:lang w:val="ka-GE"/>
        </w:rPr>
        <w:t>organizations</w:t>
      </w:r>
      <w:r w:rsidR="009A4EDD" w:rsidRPr="00DF25AB">
        <w:rPr>
          <w:rFonts w:ascii="Garamond" w:hAnsi="Garamond" w:cs="Arial"/>
        </w:rPr>
        <w:t>. HUES</w:t>
      </w:r>
      <w:r w:rsidRPr="00DF25AB">
        <w:rPr>
          <w:rFonts w:ascii="Garamond" w:hAnsi="Garamond" w:cs="Arial"/>
          <w:lang w:val="ka-GE"/>
        </w:rPr>
        <w:t xml:space="preserve"> will </w:t>
      </w:r>
      <w:r w:rsidR="009A4EDD" w:rsidRPr="00DF25AB">
        <w:rPr>
          <w:rFonts w:ascii="Garamond" w:hAnsi="Garamond" w:cs="Arial"/>
        </w:rPr>
        <w:t xml:space="preserve">be </w:t>
      </w:r>
      <w:r w:rsidR="00EB0655" w:rsidRPr="00DF25AB">
        <w:rPr>
          <w:rFonts w:ascii="Garamond" w:hAnsi="Garamond" w:cs="Arial"/>
        </w:rPr>
        <w:t xml:space="preserve">the principle instrument to </w:t>
      </w:r>
      <w:r w:rsidRPr="00DF25AB">
        <w:rPr>
          <w:rFonts w:ascii="Garamond" w:hAnsi="Garamond" w:cs="Arial"/>
          <w:lang w:val="ka-GE"/>
        </w:rPr>
        <w:t xml:space="preserve">reveal </w:t>
      </w:r>
      <w:r w:rsidR="00D45C79" w:rsidRPr="00DF25AB">
        <w:rPr>
          <w:rFonts w:ascii="Garamond" w:hAnsi="Garamond" w:cs="Arial"/>
        </w:rPr>
        <w:t xml:space="preserve">the extent of </w:t>
      </w:r>
      <w:r w:rsidRPr="00DF25AB">
        <w:rPr>
          <w:rFonts w:ascii="Garamond" w:hAnsi="Garamond" w:cs="Arial"/>
          <w:b/>
          <w:lang w:val="ka-GE"/>
        </w:rPr>
        <w:t xml:space="preserve">reduction of the main </w:t>
      </w:r>
      <w:r w:rsidR="000039D3" w:rsidRPr="00DF25AB">
        <w:rPr>
          <w:rFonts w:ascii="Garamond" w:hAnsi="Garamond" w:cs="Arial"/>
          <w:b/>
        </w:rPr>
        <w:t>indicator</w:t>
      </w:r>
      <w:r w:rsidRPr="00DF25AB">
        <w:rPr>
          <w:rFonts w:ascii="Garamond" w:hAnsi="Garamond" w:cs="Arial"/>
          <w:b/>
          <w:lang w:val="ka-GE"/>
        </w:rPr>
        <w:t xml:space="preserve"> – 70% of out-of-pocket payment for healthcare services</w:t>
      </w:r>
      <w:r w:rsidR="00EB0655" w:rsidRPr="00DF25AB">
        <w:rPr>
          <w:rFonts w:ascii="Garamond" w:hAnsi="Garamond" w:cs="Arial"/>
          <w:b/>
        </w:rPr>
        <w:t>,</w:t>
      </w:r>
      <w:r w:rsidRPr="00DF25AB">
        <w:rPr>
          <w:rFonts w:ascii="Garamond" w:hAnsi="Garamond" w:cs="Arial"/>
          <w:b/>
          <w:lang w:val="ka-GE"/>
        </w:rPr>
        <w:t xml:space="preserve"> </w:t>
      </w:r>
      <w:r w:rsidRPr="00DF25AB">
        <w:rPr>
          <w:rFonts w:ascii="Garamond" w:hAnsi="Garamond" w:cs="Arial"/>
          <w:lang w:val="ka-GE"/>
        </w:rPr>
        <w:t xml:space="preserve">i.e. reduction of financial burden on </w:t>
      </w:r>
      <w:r w:rsidR="00086213" w:rsidRPr="00DF25AB">
        <w:rPr>
          <w:rFonts w:ascii="Garamond" w:hAnsi="Garamond" w:cs="Arial"/>
        </w:rPr>
        <w:t>population</w:t>
      </w:r>
      <w:r w:rsidRPr="00DF25AB">
        <w:rPr>
          <w:rFonts w:ascii="Garamond" w:hAnsi="Garamond" w:cs="Arial"/>
        </w:rPr>
        <w:t xml:space="preserve"> for healthcare. </w:t>
      </w:r>
      <w:r w:rsidRPr="00DF25AB">
        <w:rPr>
          <w:rFonts w:ascii="Garamond" w:hAnsi="Garamond" w:cs="Arial"/>
          <w:lang w:val="ka-GE"/>
        </w:rPr>
        <w:t xml:space="preserve">  </w:t>
      </w:r>
    </w:p>
    <w:p w:rsidR="00DD254B" w:rsidRPr="00DF25AB" w:rsidRDefault="00DD254B" w:rsidP="00DF25AB">
      <w:pPr>
        <w:pStyle w:val="ListParagraph"/>
        <w:spacing w:after="0" w:line="25" w:lineRule="atLeast"/>
        <w:jc w:val="both"/>
        <w:rPr>
          <w:rFonts w:ascii="Garamond" w:hAnsi="Garamond" w:cs="Arial"/>
          <w:lang w:val="ka-GE"/>
        </w:rPr>
      </w:pPr>
    </w:p>
    <w:p w:rsidR="005E6D9B" w:rsidRPr="00DF25AB" w:rsidRDefault="001B59DD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bCs/>
          <w:lang w:val="ka-GE"/>
        </w:rPr>
        <w:t xml:space="preserve">The evaluation of care by service components also suggests that  </w:t>
      </w:r>
      <w:r w:rsidRPr="00DF25AB">
        <w:rPr>
          <w:rFonts w:ascii="Garamond" w:hAnsi="Garamond" w:cs="Arial"/>
          <w:b/>
          <w:lang w:val="ka-GE"/>
        </w:rPr>
        <w:t>the maximum share of dissatisfied beneficiaries</w:t>
      </w:r>
      <w:r w:rsidR="00DC5102" w:rsidRPr="00DF25AB">
        <w:rPr>
          <w:rFonts w:ascii="Garamond" w:hAnsi="Garamond" w:cs="Arial"/>
          <w:b/>
        </w:rPr>
        <w:t xml:space="preserve"> (7.6%) </w:t>
      </w:r>
      <w:r w:rsidRPr="00DF25AB">
        <w:rPr>
          <w:rFonts w:ascii="Garamond" w:hAnsi="Garamond" w:cs="Arial"/>
          <w:b/>
          <w:lang w:val="ka-GE"/>
        </w:rPr>
        <w:t xml:space="preserve">is observed with regard to </w:t>
      </w:r>
      <w:r w:rsidR="00A53151" w:rsidRPr="00DF25AB">
        <w:rPr>
          <w:rFonts w:ascii="Garamond" w:hAnsi="Garamond" w:cs="Arial"/>
          <w:b/>
        </w:rPr>
        <w:t xml:space="preserve">a </w:t>
      </w:r>
      <w:r w:rsidRPr="00DF25AB">
        <w:rPr>
          <w:rFonts w:ascii="Garamond" w:hAnsi="Garamond" w:cs="Arial"/>
          <w:b/>
          <w:lang w:val="ka-GE"/>
        </w:rPr>
        <w:t>“waiting period”</w:t>
      </w:r>
      <w:r w:rsidRPr="00DF25AB">
        <w:rPr>
          <w:rFonts w:ascii="Garamond" w:hAnsi="Garamond" w:cs="Arial"/>
          <w:b/>
          <w:bCs/>
          <w:lang w:val="ka-GE"/>
        </w:rPr>
        <w:t xml:space="preserve"> </w:t>
      </w:r>
      <w:r w:rsidR="00DC5102" w:rsidRPr="00DF25AB">
        <w:rPr>
          <w:rFonts w:ascii="Garamond" w:hAnsi="Garamond" w:cs="Arial"/>
          <w:b/>
          <w:bCs/>
        </w:rPr>
        <w:t xml:space="preserve">for receiving health services. </w:t>
      </w:r>
    </w:p>
    <w:p w:rsidR="00B87748" w:rsidRPr="00DF25AB" w:rsidRDefault="00B87748" w:rsidP="00DF25AB">
      <w:pPr>
        <w:pStyle w:val="ListParagraph"/>
        <w:spacing w:after="0" w:line="25" w:lineRule="atLeast"/>
        <w:rPr>
          <w:rFonts w:ascii="Garamond" w:hAnsi="Garamond" w:cs="Arial"/>
          <w:lang w:val="ka-GE"/>
        </w:rPr>
      </w:pPr>
    </w:p>
    <w:p w:rsidR="00B87748" w:rsidRPr="00DF25AB" w:rsidRDefault="00847BD5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b/>
          <w:bCs/>
          <w:lang w:val="ka-GE"/>
        </w:rPr>
        <w:t xml:space="preserve">78% of the beneficiaries </w:t>
      </w:r>
      <w:r w:rsidRPr="00DF25AB">
        <w:rPr>
          <w:rFonts w:ascii="Garamond" w:hAnsi="Garamond" w:cs="Arial"/>
          <w:bCs/>
          <w:lang w:val="ka-GE"/>
        </w:rPr>
        <w:t>interviewed within</w:t>
      </w:r>
      <w:r w:rsidRPr="00DF25AB">
        <w:rPr>
          <w:rFonts w:ascii="Garamond" w:hAnsi="Garamond" w:cs="Arial"/>
          <w:b/>
          <w:bCs/>
          <w:lang w:val="ka-GE"/>
        </w:rPr>
        <w:t xml:space="preserve"> </w:t>
      </w:r>
      <w:r w:rsidRPr="00DF25AB">
        <w:rPr>
          <w:rFonts w:ascii="Garamond" w:hAnsi="Garamond" w:cs="Arial"/>
          <w:bCs/>
          <w:lang w:val="ka-GE"/>
        </w:rPr>
        <w:t>the component of</w:t>
      </w:r>
      <w:r w:rsidRPr="00DF25AB">
        <w:rPr>
          <w:rFonts w:ascii="Garamond" w:hAnsi="Garamond" w:cs="Arial"/>
          <w:b/>
          <w:bCs/>
          <w:lang w:val="ka-GE"/>
        </w:rPr>
        <w:t xml:space="preserve"> out-patient services  and 60% of </w:t>
      </w:r>
      <w:r w:rsidRPr="00DF25AB">
        <w:rPr>
          <w:rFonts w:ascii="Garamond" w:hAnsi="Garamond" w:cs="Arial"/>
          <w:b/>
          <w:bCs/>
        </w:rPr>
        <w:t xml:space="preserve">the </w:t>
      </w:r>
      <w:r w:rsidRPr="00DF25AB">
        <w:rPr>
          <w:rFonts w:ascii="Garamond" w:hAnsi="Garamond" w:cs="Arial"/>
          <w:b/>
          <w:bCs/>
          <w:lang w:val="ka-GE"/>
        </w:rPr>
        <w:t xml:space="preserve">respondents </w:t>
      </w:r>
      <w:r w:rsidRPr="00DF25AB">
        <w:rPr>
          <w:rFonts w:ascii="Garamond" w:hAnsi="Garamond" w:cs="Arial"/>
          <w:bCs/>
          <w:lang w:val="ka-GE"/>
        </w:rPr>
        <w:t>interviewed within the component of</w:t>
      </w:r>
      <w:r w:rsidRPr="00DF25AB">
        <w:rPr>
          <w:rFonts w:ascii="Garamond" w:hAnsi="Garamond" w:cs="Arial"/>
          <w:b/>
          <w:bCs/>
          <w:lang w:val="ka-GE"/>
        </w:rPr>
        <w:t xml:space="preserve"> in-patient services </w:t>
      </w:r>
      <w:r w:rsidRPr="00DF25AB">
        <w:rPr>
          <w:rFonts w:ascii="Garamond" w:hAnsi="Garamond" w:cs="Arial"/>
          <w:bCs/>
          <w:lang w:val="ka-GE"/>
        </w:rPr>
        <w:t xml:space="preserve">expressed </w:t>
      </w:r>
      <w:r w:rsidR="00A53151" w:rsidRPr="00DF25AB">
        <w:rPr>
          <w:rFonts w:ascii="Garamond" w:hAnsi="Garamond" w:cs="Arial"/>
          <w:bCs/>
        </w:rPr>
        <w:t xml:space="preserve">a </w:t>
      </w:r>
      <w:r w:rsidR="00A53151" w:rsidRPr="00DF25AB">
        <w:rPr>
          <w:rFonts w:ascii="Garamond" w:hAnsi="Garamond" w:cs="Arial"/>
          <w:bCs/>
          <w:lang w:val="ka-GE"/>
        </w:rPr>
        <w:t xml:space="preserve">wish </w:t>
      </w:r>
      <w:r w:rsidRPr="00DF25AB">
        <w:rPr>
          <w:rFonts w:ascii="Garamond" w:hAnsi="Garamond" w:cs="Arial"/>
          <w:bCs/>
          <w:lang w:val="ka-GE"/>
        </w:rPr>
        <w:t>to ensure</w:t>
      </w:r>
      <w:r w:rsidRPr="00DF25AB">
        <w:rPr>
          <w:rFonts w:ascii="Garamond" w:hAnsi="Garamond" w:cs="Arial"/>
          <w:b/>
          <w:bCs/>
          <w:lang w:val="ka-GE"/>
        </w:rPr>
        <w:t xml:space="preserve"> coverage of pharmaceutical benefits</w:t>
      </w:r>
      <w:r w:rsidRPr="00DF25AB">
        <w:rPr>
          <w:rFonts w:ascii="Garamond" w:hAnsi="Garamond" w:cs="Arial"/>
          <w:b/>
          <w:bCs/>
        </w:rPr>
        <w:t xml:space="preserve"> by the UHC Program.</w:t>
      </w:r>
    </w:p>
    <w:p w:rsidR="00847BD5" w:rsidRPr="00DF25AB" w:rsidRDefault="00847BD5" w:rsidP="00DF25AB">
      <w:pPr>
        <w:pStyle w:val="ListParagraph"/>
        <w:spacing w:after="0" w:line="25" w:lineRule="atLeast"/>
        <w:jc w:val="both"/>
        <w:rPr>
          <w:rFonts w:ascii="Garamond" w:hAnsi="Garamond" w:cs="Arial"/>
          <w:lang w:val="ka-GE"/>
        </w:rPr>
      </w:pPr>
    </w:p>
    <w:p w:rsidR="00B87748" w:rsidRPr="00DF25AB" w:rsidRDefault="00847BD5" w:rsidP="00DF25AB">
      <w:pPr>
        <w:pStyle w:val="ListParagraph"/>
        <w:numPr>
          <w:ilvl w:val="0"/>
          <w:numId w:val="1"/>
        </w:numPr>
        <w:spacing w:after="0" w:line="25" w:lineRule="atLeast"/>
        <w:jc w:val="both"/>
        <w:rPr>
          <w:rFonts w:ascii="Garamond" w:hAnsi="Garamond" w:cs="Arial"/>
          <w:lang w:val="ka-GE"/>
        </w:rPr>
      </w:pPr>
      <w:r w:rsidRPr="00DF25AB">
        <w:rPr>
          <w:rFonts w:ascii="Garamond" w:hAnsi="Garamond" w:cs="Arial"/>
          <w:b/>
          <w:lang w:val="ka-GE"/>
        </w:rPr>
        <w:t xml:space="preserve">The above-mentioned recommendations will serve as the basis for further development </w:t>
      </w:r>
      <w:r w:rsidR="00BF5566" w:rsidRPr="00DF25AB">
        <w:rPr>
          <w:rFonts w:ascii="Garamond" w:hAnsi="Garamond" w:cs="Arial"/>
          <w:b/>
        </w:rPr>
        <w:t xml:space="preserve">and improvement </w:t>
      </w:r>
      <w:r w:rsidRPr="00DF25AB">
        <w:rPr>
          <w:rFonts w:ascii="Garamond" w:hAnsi="Garamond" w:cs="Arial"/>
          <w:b/>
          <w:lang w:val="ka-GE"/>
        </w:rPr>
        <w:t xml:space="preserve">of the UHC Program </w:t>
      </w:r>
      <w:r w:rsidRPr="00DF25AB">
        <w:rPr>
          <w:rFonts w:ascii="Garamond" w:hAnsi="Garamond" w:cs="Arial"/>
          <w:lang w:val="ka-GE"/>
        </w:rPr>
        <w:t xml:space="preserve">that will also </w:t>
      </w:r>
      <w:r w:rsidR="00086213" w:rsidRPr="00DF25AB">
        <w:rPr>
          <w:rFonts w:ascii="Garamond" w:hAnsi="Garamond" w:cs="Arial"/>
        </w:rPr>
        <w:t xml:space="preserve">be </w:t>
      </w:r>
      <w:r w:rsidRPr="00DF25AB">
        <w:rPr>
          <w:rFonts w:ascii="Garamond" w:hAnsi="Garamond" w:cs="Arial"/>
          <w:lang w:val="ka-GE"/>
        </w:rPr>
        <w:t>implemented in collaboration with</w:t>
      </w:r>
      <w:r w:rsidR="00DC5102" w:rsidRPr="00DF25AB">
        <w:rPr>
          <w:rFonts w:ascii="Garamond" w:hAnsi="Garamond" w:cs="Arial"/>
        </w:rPr>
        <w:t xml:space="preserve"> </w:t>
      </w:r>
      <w:r w:rsidRPr="00DF25AB">
        <w:rPr>
          <w:rFonts w:ascii="Garamond" w:hAnsi="Garamond" w:cs="Arial"/>
          <w:lang w:val="ka-GE"/>
        </w:rPr>
        <w:t>international partner organizations</w:t>
      </w:r>
      <w:r w:rsidRPr="00DF25AB">
        <w:rPr>
          <w:rFonts w:ascii="Garamond" w:hAnsi="Garamond" w:cs="Arial"/>
        </w:rPr>
        <w:t>.</w:t>
      </w: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847BD5" w:rsidRPr="00DF25AB" w:rsidRDefault="00847BD5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BF5566" w:rsidRPr="00DF25AB" w:rsidRDefault="00BF5566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BF5566" w:rsidRPr="00DF25AB" w:rsidRDefault="00BF5566" w:rsidP="00DF25AB">
      <w:pPr>
        <w:spacing w:after="0" w:line="25" w:lineRule="atLeast"/>
        <w:jc w:val="both"/>
        <w:rPr>
          <w:rFonts w:ascii="Garamond" w:hAnsi="Garamond" w:cs="Arial"/>
        </w:rPr>
      </w:pPr>
    </w:p>
    <w:p w:rsidR="00BF5566" w:rsidRPr="00DF25AB" w:rsidRDefault="00BF5566" w:rsidP="00DF25AB">
      <w:pPr>
        <w:spacing w:after="0" w:line="25" w:lineRule="atLeast"/>
        <w:jc w:val="both"/>
        <w:rPr>
          <w:rFonts w:ascii="Garamond" w:hAnsi="Garamond" w:cs="Arial"/>
        </w:rPr>
      </w:pPr>
    </w:p>
    <w:sectPr w:rsidR="00BF5566" w:rsidRPr="00DF25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E2" w:rsidRDefault="002A68E2" w:rsidP="00700B0F">
      <w:pPr>
        <w:spacing w:after="0" w:line="240" w:lineRule="auto"/>
      </w:pPr>
      <w:r>
        <w:separator/>
      </w:r>
    </w:p>
  </w:endnote>
  <w:endnote w:type="continuationSeparator" w:id="0">
    <w:p w:rsidR="002A68E2" w:rsidRDefault="002A68E2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D3" w:rsidRDefault="000039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D3" w:rsidRDefault="00003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D3" w:rsidRDefault="00003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E2" w:rsidRDefault="002A68E2" w:rsidP="00700B0F">
      <w:pPr>
        <w:spacing w:after="0" w:line="240" w:lineRule="auto"/>
      </w:pPr>
      <w:r>
        <w:separator/>
      </w:r>
    </w:p>
  </w:footnote>
  <w:footnote w:type="continuationSeparator" w:id="0">
    <w:p w:rsidR="002A68E2" w:rsidRDefault="002A68E2" w:rsidP="0070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D3" w:rsidRDefault="000039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D3" w:rsidRDefault="000039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D3" w:rsidRDefault="000039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8CA"/>
    <w:multiLevelType w:val="hybridMultilevel"/>
    <w:tmpl w:val="F3B2AA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02C2B"/>
    <w:rsid w:val="000039D3"/>
    <w:rsid w:val="00012435"/>
    <w:rsid w:val="000549E6"/>
    <w:rsid w:val="00083189"/>
    <w:rsid w:val="00086213"/>
    <w:rsid w:val="000929F0"/>
    <w:rsid w:val="000B1E4F"/>
    <w:rsid w:val="000E1EE7"/>
    <w:rsid w:val="00111BD5"/>
    <w:rsid w:val="00137665"/>
    <w:rsid w:val="0014647A"/>
    <w:rsid w:val="00171B17"/>
    <w:rsid w:val="001809F5"/>
    <w:rsid w:val="001845E1"/>
    <w:rsid w:val="001946C1"/>
    <w:rsid w:val="001B59DD"/>
    <w:rsid w:val="001C24A0"/>
    <w:rsid w:val="001C39F5"/>
    <w:rsid w:val="001F5FCE"/>
    <w:rsid w:val="002045B7"/>
    <w:rsid w:val="00213EEE"/>
    <w:rsid w:val="002261BB"/>
    <w:rsid w:val="00234377"/>
    <w:rsid w:val="002568DF"/>
    <w:rsid w:val="002614A9"/>
    <w:rsid w:val="00286BE9"/>
    <w:rsid w:val="002A1D75"/>
    <w:rsid w:val="002A68E2"/>
    <w:rsid w:val="002C0238"/>
    <w:rsid w:val="003102F5"/>
    <w:rsid w:val="00363C47"/>
    <w:rsid w:val="003E4D6A"/>
    <w:rsid w:val="00402556"/>
    <w:rsid w:val="004465D0"/>
    <w:rsid w:val="0044688F"/>
    <w:rsid w:val="00446F5E"/>
    <w:rsid w:val="004738E1"/>
    <w:rsid w:val="004850CC"/>
    <w:rsid w:val="004950E3"/>
    <w:rsid w:val="004B0864"/>
    <w:rsid w:val="00554373"/>
    <w:rsid w:val="005957B8"/>
    <w:rsid w:val="005A4114"/>
    <w:rsid w:val="005E5658"/>
    <w:rsid w:val="005E6D9B"/>
    <w:rsid w:val="0060004A"/>
    <w:rsid w:val="00605395"/>
    <w:rsid w:val="006372CD"/>
    <w:rsid w:val="00662390"/>
    <w:rsid w:val="006E7524"/>
    <w:rsid w:val="00700B0F"/>
    <w:rsid w:val="007309B4"/>
    <w:rsid w:val="00752BCC"/>
    <w:rsid w:val="00786E2D"/>
    <w:rsid w:val="00821DFA"/>
    <w:rsid w:val="00836681"/>
    <w:rsid w:val="00847BD5"/>
    <w:rsid w:val="00851F51"/>
    <w:rsid w:val="00871981"/>
    <w:rsid w:val="00930412"/>
    <w:rsid w:val="00930849"/>
    <w:rsid w:val="00963C5C"/>
    <w:rsid w:val="00967DFC"/>
    <w:rsid w:val="009A4EDD"/>
    <w:rsid w:val="009C0931"/>
    <w:rsid w:val="009F01CD"/>
    <w:rsid w:val="009F2C2A"/>
    <w:rsid w:val="00A53151"/>
    <w:rsid w:val="00A6459D"/>
    <w:rsid w:val="00AA0E2A"/>
    <w:rsid w:val="00AA2703"/>
    <w:rsid w:val="00AD51D8"/>
    <w:rsid w:val="00AD6CD3"/>
    <w:rsid w:val="00AD6F62"/>
    <w:rsid w:val="00AD7943"/>
    <w:rsid w:val="00AE298D"/>
    <w:rsid w:val="00AF13D8"/>
    <w:rsid w:val="00B05AF2"/>
    <w:rsid w:val="00B255B5"/>
    <w:rsid w:val="00B36163"/>
    <w:rsid w:val="00B63101"/>
    <w:rsid w:val="00B87748"/>
    <w:rsid w:val="00B87C2C"/>
    <w:rsid w:val="00BA2030"/>
    <w:rsid w:val="00BA43A9"/>
    <w:rsid w:val="00BB4C0D"/>
    <w:rsid w:val="00BD2D9B"/>
    <w:rsid w:val="00BF37EA"/>
    <w:rsid w:val="00BF5566"/>
    <w:rsid w:val="00C33278"/>
    <w:rsid w:val="00C65BCA"/>
    <w:rsid w:val="00CC57C6"/>
    <w:rsid w:val="00CE6D93"/>
    <w:rsid w:val="00CF2114"/>
    <w:rsid w:val="00D02D51"/>
    <w:rsid w:val="00D14B68"/>
    <w:rsid w:val="00D34F1E"/>
    <w:rsid w:val="00D45C79"/>
    <w:rsid w:val="00D46B3F"/>
    <w:rsid w:val="00D50F1D"/>
    <w:rsid w:val="00D71A6A"/>
    <w:rsid w:val="00D84BFE"/>
    <w:rsid w:val="00DB36DC"/>
    <w:rsid w:val="00DB40DF"/>
    <w:rsid w:val="00DC5102"/>
    <w:rsid w:val="00DD254B"/>
    <w:rsid w:val="00DE0F3B"/>
    <w:rsid w:val="00DF25AB"/>
    <w:rsid w:val="00E01830"/>
    <w:rsid w:val="00E01F2B"/>
    <w:rsid w:val="00E113A9"/>
    <w:rsid w:val="00E153DD"/>
    <w:rsid w:val="00E51061"/>
    <w:rsid w:val="00E90765"/>
    <w:rsid w:val="00EB0655"/>
    <w:rsid w:val="00EB233B"/>
    <w:rsid w:val="00EC2A37"/>
    <w:rsid w:val="00ED7022"/>
    <w:rsid w:val="00F26B28"/>
    <w:rsid w:val="00F46C6B"/>
    <w:rsid w:val="00F8636B"/>
    <w:rsid w:val="00FE07D1"/>
    <w:rsid w:val="00FF3D1C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D254B"/>
  </w:style>
  <w:style w:type="character" w:styleId="Emphasis">
    <w:name w:val="Emphasis"/>
    <w:basedOn w:val="DefaultParagraphFont"/>
    <w:uiPriority w:val="20"/>
    <w:qFormat/>
    <w:rsid w:val="00DD25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D3"/>
  </w:style>
  <w:style w:type="paragraph" w:styleId="Footer">
    <w:name w:val="footer"/>
    <w:basedOn w:val="Normal"/>
    <w:link w:val="FooterChar"/>
    <w:uiPriority w:val="99"/>
    <w:unhideWhenUsed/>
    <w:rsid w:val="00003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D254B"/>
  </w:style>
  <w:style w:type="character" w:styleId="Emphasis">
    <w:name w:val="Emphasis"/>
    <w:basedOn w:val="DefaultParagraphFont"/>
    <w:uiPriority w:val="20"/>
    <w:qFormat/>
    <w:rsid w:val="00DD25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D3"/>
  </w:style>
  <w:style w:type="paragraph" w:styleId="Footer">
    <w:name w:val="footer"/>
    <w:basedOn w:val="Normal"/>
    <w:link w:val="FooterChar"/>
    <w:uiPriority w:val="99"/>
    <w:unhideWhenUsed/>
    <w:rsid w:val="00003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75FE-1340-4DC8-8D73-A8ADA119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Mariam Jashi</cp:lastModifiedBy>
  <cp:revision>16</cp:revision>
  <cp:lastPrinted>2014-05-05T14:29:00Z</cp:lastPrinted>
  <dcterms:created xsi:type="dcterms:W3CDTF">2014-05-05T16:43:00Z</dcterms:created>
  <dcterms:modified xsi:type="dcterms:W3CDTF">2014-05-07T15:09:00Z</dcterms:modified>
</cp:coreProperties>
</file>