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5290D" w14:textId="77777777" w:rsidR="00574F3F" w:rsidRPr="00EE33FA" w:rsidRDefault="00574F3F" w:rsidP="00574F3F">
      <w:pPr>
        <w:jc w:val="center"/>
        <w:rPr>
          <w:sz w:val="300"/>
          <w:szCs w:val="300"/>
          <w:lang w:val="en-GB"/>
        </w:rPr>
      </w:pPr>
      <w:bookmarkStart w:id="0" w:name="_GoBack"/>
      <w:bookmarkEnd w:id="0"/>
    </w:p>
    <w:p w14:paraId="4484A2E0" w14:textId="77777777" w:rsidR="0007282D" w:rsidRPr="00EE33FA" w:rsidRDefault="00D921C6" w:rsidP="0007282D">
      <w:pPr>
        <w:spacing w:before="480" w:after="480"/>
        <w:jc w:val="center"/>
        <w:rPr>
          <w:rFonts w:ascii="Calibri" w:hAnsi="Calibri"/>
          <w:color w:val="1F497D"/>
          <w:sz w:val="48"/>
          <w:lang w:val="en-GB"/>
        </w:rPr>
      </w:pPr>
      <w:r w:rsidRPr="00EE33FA">
        <w:rPr>
          <w:rFonts w:ascii="Calibri" w:hAnsi="Calibri"/>
          <w:color w:val="1F497D"/>
          <w:sz w:val="48"/>
          <w:lang w:val="en-GB"/>
        </w:rPr>
        <w:t>Joint National-International</w:t>
      </w:r>
      <w:r w:rsidR="0007282D" w:rsidRPr="00EE33FA">
        <w:rPr>
          <w:rFonts w:ascii="Calibri" w:hAnsi="Calibri"/>
          <w:color w:val="1F497D"/>
          <w:sz w:val="48"/>
          <w:lang w:val="en-GB"/>
        </w:rPr>
        <w:t xml:space="preserve"> </w:t>
      </w:r>
      <w:r w:rsidRPr="00EE33FA">
        <w:rPr>
          <w:rFonts w:ascii="Calibri" w:hAnsi="Calibri"/>
          <w:color w:val="1F497D"/>
          <w:sz w:val="48"/>
          <w:lang w:val="en-GB"/>
        </w:rPr>
        <w:t>Review</w:t>
      </w:r>
    </w:p>
    <w:p w14:paraId="2F694C55" w14:textId="77777777" w:rsidR="00D921C6" w:rsidRPr="00EE33FA" w:rsidRDefault="00D921C6" w:rsidP="0007282D">
      <w:pPr>
        <w:spacing w:before="480" w:after="480"/>
        <w:jc w:val="center"/>
        <w:rPr>
          <w:rFonts w:ascii="Calibri" w:hAnsi="Calibri"/>
          <w:color w:val="1F497D"/>
          <w:sz w:val="48"/>
          <w:lang w:val="en-GB"/>
        </w:rPr>
      </w:pPr>
      <w:r w:rsidRPr="00EE33FA">
        <w:rPr>
          <w:rFonts w:ascii="Calibri" w:hAnsi="Calibri"/>
          <w:color w:val="1F497D"/>
          <w:sz w:val="48"/>
          <w:lang w:val="en-GB"/>
        </w:rPr>
        <w:t xml:space="preserve">of </w:t>
      </w:r>
      <w:r w:rsidR="0007282D" w:rsidRPr="00EE33FA">
        <w:rPr>
          <w:rFonts w:ascii="Calibri" w:hAnsi="Calibri"/>
          <w:color w:val="1F497D"/>
          <w:sz w:val="48"/>
          <w:lang w:val="en-GB"/>
        </w:rPr>
        <w:t>Immunization</w:t>
      </w:r>
      <w:r w:rsidRPr="00EE33FA">
        <w:rPr>
          <w:rFonts w:ascii="Calibri" w:hAnsi="Calibri"/>
          <w:color w:val="1F497D"/>
          <w:sz w:val="48"/>
          <w:lang w:val="en-GB"/>
        </w:rPr>
        <w:t xml:space="preserve"> and VPD Surveillance</w:t>
      </w:r>
    </w:p>
    <w:p w14:paraId="75A2345D" w14:textId="77777777" w:rsidR="00D921C6" w:rsidRPr="00EE33FA" w:rsidRDefault="00D921C6" w:rsidP="00D921C6">
      <w:pPr>
        <w:spacing w:before="480" w:after="480"/>
        <w:jc w:val="center"/>
        <w:rPr>
          <w:rFonts w:ascii="Calibri" w:hAnsi="Calibri"/>
          <w:color w:val="1F497D"/>
          <w:sz w:val="48"/>
          <w:lang w:val="en-GB"/>
        </w:rPr>
      </w:pPr>
      <w:r w:rsidRPr="00EE33FA">
        <w:rPr>
          <w:rFonts w:ascii="Calibri" w:hAnsi="Calibri"/>
          <w:color w:val="1F497D"/>
          <w:sz w:val="48"/>
          <w:lang w:val="en-GB"/>
        </w:rPr>
        <w:t>GEORGIA</w:t>
      </w:r>
    </w:p>
    <w:p w14:paraId="6ABFCBAB" w14:textId="77777777" w:rsidR="00D921C6" w:rsidRPr="00EE33FA" w:rsidRDefault="0007282D" w:rsidP="00D921C6">
      <w:pPr>
        <w:spacing w:before="120" w:after="120"/>
        <w:jc w:val="center"/>
        <w:rPr>
          <w:rFonts w:ascii="Calibri" w:hAnsi="Calibri"/>
          <w:i/>
          <w:color w:val="1F497D"/>
          <w:sz w:val="40"/>
          <w:szCs w:val="40"/>
          <w:lang w:val="en-GB"/>
        </w:rPr>
      </w:pPr>
      <w:r w:rsidRPr="00EE33FA">
        <w:rPr>
          <w:rFonts w:ascii="Calibri" w:hAnsi="Calibri"/>
          <w:i/>
          <w:color w:val="1F497D"/>
          <w:sz w:val="40"/>
          <w:szCs w:val="40"/>
          <w:lang w:val="en-GB"/>
        </w:rPr>
        <w:t>27</w:t>
      </w:r>
      <w:r w:rsidRPr="00EE33FA">
        <w:rPr>
          <w:rFonts w:ascii="Calibri" w:hAnsi="Calibri"/>
          <w:i/>
          <w:color w:val="1F497D"/>
          <w:sz w:val="40"/>
          <w:szCs w:val="40"/>
          <w:vertAlign w:val="superscript"/>
          <w:lang w:val="en-GB"/>
        </w:rPr>
        <w:t>th</w:t>
      </w:r>
      <w:r w:rsidRPr="00EE33FA">
        <w:rPr>
          <w:rFonts w:ascii="Calibri" w:hAnsi="Calibri"/>
          <w:i/>
          <w:color w:val="1F497D"/>
          <w:sz w:val="40"/>
          <w:szCs w:val="40"/>
          <w:lang w:val="en-GB"/>
        </w:rPr>
        <w:t xml:space="preserve"> July – 5</w:t>
      </w:r>
      <w:r w:rsidRPr="00EE33FA">
        <w:rPr>
          <w:rFonts w:ascii="Calibri" w:hAnsi="Calibri"/>
          <w:i/>
          <w:color w:val="1F497D"/>
          <w:sz w:val="40"/>
          <w:szCs w:val="40"/>
          <w:vertAlign w:val="superscript"/>
          <w:lang w:val="en-GB"/>
        </w:rPr>
        <w:t>th</w:t>
      </w:r>
      <w:r w:rsidRPr="00EE33FA">
        <w:rPr>
          <w:rFonts w:ascii="Calibri" w:hAnsi="Calibri"/>
          <w:i/>
          <w:color w:val="1F497D"/>
          <w:sz w:val="40"/>
          <w:szCs w:val="40"/>
          <w:lang w:val="en-GB"/>
        </w:rPr>
        <w:t xml:space="preserve"> August </w:t>
      </w:r>
      <w:r w:rsidR="00D921C6" w:rsidRPr="00EE33FA">
        <w:rPr>
          <w:rFonts w:ascii="Calibri" w:hAnsi="Calibri"/>
          <w:i/>
          <w:color w:val="1F497D"/>
          <w:sz w:val="40"/>
          <w:szCs w:val="40"/>
          <w:lang w:val="en-GB"/>
        </w:rPr>
        <w:t>2015</w:t>
      </w:r>
    </w:p>
    <w:p w14:paraId="5AF550F0" w14:textId="77777777" w:rsidR="00D921C6" w:rsidRPr="00EE33FA" w:rsidRDefault="00D921C6" w:rsidP="00D921C6">
      <w:pPr>
        <w:spacing w:before="120" w:after="120"/>
        <w:jc w:val="center"/>
        <w:rPr>
          <w:rFonts w:ascii="Calibri" w:hAnsi="Calibri"/>
          <w:color w:val="1F497D"/>
          <w:sz w:val="40"/>
          <w:lang w:val="en-GB"/>
        </w:rPr>
      </w:pPr>
    </w:p>
    <w:p w14:paraId="102EDDA8" w14:textId="77777777" w:rsidR="00D921C6" w:rsidRPr="00EE33FA" w:rsidRDefault="00D921C6" w:rsidP="00D921C6">
      <w:pPr>
        <w:spacing w:before="120" w:after="120"/>
        <w:jc w:val="center"/>
        <w:rPr>
          <w:rFonts w:ascii="Calibri" w:hAnsi="Calibri"/>
          <w:color w:val="1F497D"/>
          <w:sz w:val="40"/>
          <w:lang w:val="en-GB"/>
        </w:rPr>
      </w:pPr>
    </w:p>
    <w:p w14:paraId="70FA4108" w14:textId="77777777" w:rsidR="00D921C6" w:rsidRPr="00EE33FA" w:rsidRDefault="0007282D" w:rsidP="00D921C6">
      <w:pPr>
        <w:spacing w:before="240" w:after="240"/>
        <w:jc w:val="center"/>
        <w:rPr>
          <w:rFonts w:ascii="Calibri" w:hAnsi="Calibri"/>
          <w:color w:val="1F497D"/>
          <w:sz w:val="40"/>
          <w:lang w:val="en-GB"/>
        </w:rPr>
      </w:pPr>
      <w:r w:rsidRPr="00EE33FA">
        <w:rPr>
          <w:rFonts w:ascii="Calibri" w:hAnsi="Calibri"/>
          <w:color w:val="1F497D"/>
          <w:sz w:val="40"/>
          <w:lang w:val="en-GB"/>
        </w:rPr>
        <w:t>MLHSA, NCDC</w:t>
      </w:r>
    </w:p>
    <w:p w14:paraId="4B9DC94A" w14:textId="77777777" w:rsidR="00D921C6" w:rsidRPr="00EE33FA" w:rsidRDefault="00D921C6" w:rsidP="00164BB0">
      <w:pPr>
        <w:spacing w:before="240" w:after="240"/>
        <w:ind w:right="-480"/>
        <w:jc w:val="center"/>
        <w:rPr>
          <w:rFonts w:ascii="Calibri" w:hAnsi="Calibri"/>
          <w:color w:val="1F497D"/>
          <w:sz w:val="40"/>
          <w:lang w:val="en-GB"/>
        </w:rPr>
      </w:pPr>
      <w:r w:rsidRPr="00EE33FA">
        <w:rPr>
          <w:rFonts w:ascii="Calibri" w:hAnsi="Calibri"/>
          <w:color w:val="1F497D"/>
          <w:sz w:val="40"/>
          <w:lang w:val="en-GB"/>
        </w:rPr>
        <w:t xml:space="preserve">UNICEF, </w:t>
      </w:r>
      <w:r w:rsidR="0007282D" w:rsidRPr="00EE33FA">
        <w:rPr>
          <w:rFonts w:ascii="Calibri" w:hAnsi="Calibri"/>
          <w:color w:val="1F497D"/>
          <w:sz w:val="40"/>
          <w:lang w:val="en-GB"/>
        </w:rPr>
        <w:t xml:space="preserve">WHO, </w:t>
      </w:r>
      <w:r w:rsidR="00164BB0" w:rsidRPr="00EE33FA">
        <w:rPr>
          <w:rFonts w:ascii="Calibri" w:hAnsi="Calibri"/>
          <w:color w:val="1F497D"/>
          <w:sz w:val="40"/>
          <w:lang w:val="en-GB"/>
        </w:rPr>
        <w:t xml:space="preserve">GAVI, </w:t>
      </w:r>
      <w:r w:rsidRPr="00EE33FA">
        <w:rPr>
          <w:rFonts w:ascii="Calibri" w:hAnsi="Calibri"/>
          <w:color w:val="1F497D"/>
          <w:sz w:val="40"/>
          <w:lang w:val="en-GB"/>
        </w:rPr>
        <w:t>CDC Atlanta</w:t>
      </w:r>
      <w:r w:rsidR="001928F8" w:rsidRPr="00EE33FA">
        <w:rPr>
          <w:rFonts w:ascii="Calibri" w:hAnsi="Calibri"/>
          <w:color w:val="1F497D"/>
          <w:sz w:val="40"/>
          <w:lang w:val="en-GB"/>
        </w:rPr>
        <w:t xml:space="preserve">, </w:t>
      </w:r>
      <w:r w:rsidR="00164BB0" w:rsidRPr="00EE33FA">
        <w:rPr>
          <w:rFonts w:ascii="Calibri" w:hAnsi="Calibri"/>
          <w:color w:val="1F497D"/>
          <w:sz w:val="40"/>
          <w:lang w:val="en-GB"/>
        </w:rPr>
        <w:t>Sabin Vaccine Institute</w:t>
      </w:r>
    </w:p>
    <w:p w14:paraId="7F3FFF9C" w14:textId="77777777" w:rsidR="00D921C6" w:rsidRPr="00EE33FA" w:rsidRDefault="00D921C6" w:rsidP="0007282D">
      <w:pPr>
        <w:spacing w:before="120" w:after="120"/>
        <w:jc w:val="center"/>
        <w:rPr>
          <w:rFonts w:ascii="Calibri" w:hAnsi="Calibri"/>
          <w:color w:val="1F497D"/>
          <w:sz w:val="40"/>
          <w:lang w:val="en-GB"/>
        </w:rPr>
      </w:pPr>
      <w:r w:rsidRPr="00EE33FA">
        <w:rPr>
          <w:rFonts w:ascii="Calibri" w:hAnsi="Calibri"/>
          <w:color w:val="1F497D"/>
          <w:sz w:val="40"/>
          <w:lang w:val="en-GB"/>
        </w:rPr>
        <w:br w:type="page"/>
      </w:r>
      <w:r w:rsidRPr="00EE33FA">
        <w:rPr>
          <w:rFonts w:ascii="Calibri" w:hAnsi="Calibri"/>
          <w:color w:val="1F497D"/>
          <w:sz w:val="40"/>
          <w:lang w:val="en-GB"/>
        </w:rPr>
        <w:lastRenderedPageBreak/>
        <w:t>Joint National/International</w:t>
      </w:r>
      <w:r w:rsidR="0007282D" w:rsidRPr="00EE33FA">
        <w:rPr>
          <w:rFonts w:ascii="Calibri" w:hAnsi="Calibri"/>
          <w:color w:val="1F497D"/>
          <w:sz w:val="40"/>
          <w:lang w:val="en-GB"/>
        </w:rPr>
        <w:t xml:space="preserve"> </w:t>
      </w:r>
      <w:r w:rsidRPr="00EE33FA">
        <w:rPr>
          <w:rFonts w:ascii="Calibri" w:hAnsi="Calibri"/>
          <w:color w:val="1F497D"/>
          <w:sz w:val="40"/>
          <w:lang w:val="en-GB"/>
        </w:rPr>
        <w:t xml:space="preserve">Review of </w:t>
      </w:r>
      <w:r w:rsidR="0007282D" w:rsidRPr="00EE33FA">
        <w:rPr>
          <w:rFonts w:ascii="Calibri" w:hAnsi="Calibri"/>
          <w:color w:val="1F497D"/>
          <w:sz w:val="40"/>
          <w:lang w:val="en-GB"/>
        </w:rPr>
        <w:t>Immunization</w:t>
      </w:r>
      <w:r w:rsidRPr="00EE33FA">
        <w:rPr>
          <w:rFonts w:ascii="Calibri" w:hAnsi="Calibri"/>
          <w:color w:val="1F497D"/>
          <w:sz w:val="40"/>
          <w:lang w:val="en-GB"/>
        </w:rPr>
        <w:t xml:space="preserve"> and VPD Surveillance</w:t>
      </w:r>
      <w:r w:rsidR="0007282D" w:rsidRPr="00EE33FA">
        <w:rPr>
          <w:rFonts w:ascii="Calibri" w:hAnsi="Calibri"/>
          <w:color w:val="1F497D"/>
          <w:sz w:val="40"/>
          <w:lang w:val="en-GB"/>
        </w:rPr>
        <w:t xml:space="preserve"> </w:t>
      </w:r>
      <w:r w:rsidRPr="00EE33FA">
        <w:rPr>
          <w:rFonts w:ascii="Calibri" w:hAnsi="Calibri"/>
          <w:color w:val="1F497D"/>
          <w:sz w:val="40"/>
          <w:lang w:val="en-GB"/>
        </w:rPr>
        <w:t xml:space="preserve">in </w:t>
      </w:r>
      <w:r w:rsidR="0007282D" w:rsidRPr="00EE33FA">
        <w:rPr>
          <w:rFonts w:ascii="Calibri" w:hAnsi="Calibri"/>
          <w:color w:val="1F497D"/>
          <w:sz w:val="40"/>
          <w:lang w:val="en-GB"/>
        </w:rPr>
        <w:t>Georgia</w:t>
      </w:r>
    </w:p>
    <w:p w14:paraId="553DFACF" w14:textId="07B8C958" w:rsidR="00D921C6" w:rsidRPr="00EE33FA" w:rsidRDefault="00D921C6" w:rsidP="00D921C6">
      <w:pPr>
        <w:spacing w:before="120" w:after="120"/>
        <w:jc w:val="center"/>
        <w:rPr>
          <w:rFonts w:ascii="Calibri" w:hAnsi="Calibri"/>
          <w:i/>
          <w:color w:val="1F497D"/>
          <w:sz w:val="28"/>
          <w:lang w:val="en-GB"/>
        </w:rPr>
      </w:pPr>
      <w:r w:rsidRPr="00007B73">
        <w:rPr>
          <w:rFonts w:ascii="Calibri" w:hAnsi="Calibri"/>
          <w:i/>
          <w:color w:val="1F497D"/>
          <w:sz w:val="28"/>
          <w:lang w:val="en-GB"/>
        </w:rPr>
        <w:t>(</w:t>
      </w:r>
      <w:r w:rsidR="00007B73">
        <w:rPr>
          <w:rFonts w:ascii="Calibri" w:hAnsi="Calibri"/>
          <w:i/>
          <w:color w:val="1F497D"/>
          <w:sz w:val="28"/>
          <w:lang w:val="en-GB"/>
        </w:rPr>
        <w:t>F</w:t>
      </w:r>
      <w:r w:rsidR="00007B73" w:rsidRPr="00007B73">
        <w:rPr>
          <w:rFonts w:ascii="Calibri" w:hAnsi="Calibri"/>
          <w:i/>
          <w:color w:val="1F497D"/>
          <w:sz w:val="28"/>
          <w:lang w:val="en-GB"/>
        </w:rPr>
        <w:t xml:space="preserve">inal </w:t>
      </w:r>
      <w:r w:rsidRPr="00007B73">
        <w:rPr>
          <w:rFonts w:ascii="Calibri" w:hAnsi="Calibri"/>
          <w:i/>
          <w:color w:val="1F497D"/>
          <w:sz w:val="28"/>
          <w:lang w:val="en-GB"/>
        </w:rPr>
        <w:t xml:space="preserve">version </w:t>
      </w:r>
      <w:r w:rsidR="008776A1">
        <w:rPr>
          <w:rFonts w:ascii="Calibri" w:hAnsi="Calibri"/>
          <w:i/>
          <w:color w:val="1F497D"/>
          <w:sz w:val="28"/>
          <w:lang w:val="en-GB"/>
        </w:rPr>
        <w:t>14</w:t>
      </w:r>
      <w:r w:rsidR="008776A1" w:rsidRPr="008776A1">
        <w:rPr>
          <w:rFonts w:ascii="Calibri" w:hAnsi="Calibri"/>
          <w:i/>
          <w:color w:val="1F497D"/>
          <w:sz w:val="28"/>
          <w:vertAlign w:val="superscript"/>
          <w:lang w:val="en-GB"/>
        </w:rPr>
        <w:t>th</w:t>
      </w:r>
      <w:r w:rsidRPr="00007B73">
        <w:rPr>
          <w:rFonts w:ascii="Calibri" w:hAnsi="Calibri"/>
          <w:i/>
          <w:color w:val="1F497D"/>
          <w:sz w:val="28"/>
          <w:lang w:val="en-GB"/>
        </w:rPr>
        <w:t xml:space="preserve"> </w:t>
      </w:r>
      <w:r w:rsidR="00007B73" w:rsidRPr="00007B73">
        <w:rPr>
          <w:rFonts w:ascii="Calibri" w:hAnsi="Calibri"/>
          <w:i/>
          <w:color w:val="1F497D"/>
          <w:sz w:val="28"/>
          <w:lang w:val="en-GB"/>
        </w:rPr>
        <w:t>September</w:t>
      </w:r>
      <w:r w:rsidRPr="00007B73">
        <w:rPr>
          <w:rFonts w:ascii="Calibri" w:hAnsi="Calibri"/>
          <w:i/>
          <w:color w:val="1F497D"/>
          <w:sz w:val="28"/>
          <w:lang w:val="en-GB"/>
        </w:rPr>
        <w:t xml:space="preserve"> 2015)</w:t>
      </w:r>
    </w:p>
    <w:p w14:paraId="45CBA9D8" w14:textId="77777777" w:rsidR="004F68A1" w:rsidRPr="00EE33FA" w:rsidRDefault="004F68A1" w:rsidP="004F68A1">
      <w:pPr>
        <w:pStyle w:val="TOCHeading"/>
        <w:rPr>
          <w:lang w:val="en-GB"/>
        </w:rPr>
      </w:pPr>
      <w:r w:rsidRPr="00EE33FA">
        <w:rPr>
          <w:lang w:val="en-GB"/>
        </w:rPr>
        <w:t>Table of Contents</w:t>
      </w:r>
    </w:p>
    <w:p w14:paraId="692F8C33" w14:textId="77777777" w:rsidR="00C128CB" w:rsidRDefault="004F68A1">
      <w:pPr>
        <w:pStyle w:val="TOC1"/>
        <w:tabs>
          <w:tab w:val="right" w:leader="dot" w:pos="9008"/>
        </w:tabs>
        <w:rPr>
          <w:rFonts w:asciiTheme="minorHAnsi" w:eastAsiaTheme="minorEastAsia" w:hAnsiTheme="minorHAnsi" w:cstheme="minorBidi"/>
          <w:b w:val="0"/>
          <w:noProof/>
          <w:color w:val="auto"/>
          <w:lang w:val="en-GB" w:eastAsia="ja-JP"/>
        </w:rPr>
      </w:pPr>
      <w:r w:rsidRPr="00EE33FA">
        <w:rPr>
          <w:lang w:val="en-GB"/>
        </w:rPr>
        <w:fldChar w:fldCharType="begin"/>
      </w:r>
      <w:r w:rsidRPr="00EE33FA">
        <w:rPr>
          <w:lang w:val="en-GB"/>
        </w:rPr>
        <w:instrText xml:space="preserve"> TOC \o "1-3" \h \z \u </w:instrText>
      </w:r>
      <w:r w:rsidRPr="00EE33FA">
        <w:rPr>
          <w:lang w:val="en-GB"/>
        </w:rPr>
        <w:fldChar w:fldCharType="separate"/>
      </w:r>
      <w:r w:rsidR="00C128CB" w:rsidRPr="00B76D58">
        <w:rPr>
          <w:noProof/>
          <w:lang w:val="en-GB"/>
        </w:rPr>
        <w:t>Executive summary</w:t>
      </w:r>
      <w:r w:rsidR="00C128CB">
        <w:rPr>
          <w:noProof/>
        </w:rPr>
        <w:tab/>
      </w:r>
      <w:r w:rsidR="00C128CB">
        <w:rPr>
          <w:noProof/>
        </w:rPr>
        <w:fldChar w:fldCharType="begin"/>
      </w:r>
      <w:r w:rsidR="00C128CB">
        <w:rPr>
          <w:noProof/>
        </w:rPr>
        <w:instrText xml:space="preserve"> PAGEREF _Toc303889486 \h </w:instrText>
      </w:r>
      <w:r w:rsidR="00C128CB">
        <w:rPr>
          <w:noProof/>
        </w:rPr>
      </w:r>
      <w:r w:rsidR="00C128CB">
        <w:rPr>
          <w:noProof/>
        </w:rPr>
        <w:fldChar w:fldCharType="separate"/>
      </w:r>
      <w:r w:rsidR="00C128CB">
        <w:rPr>
          <w:noProof/>
        </w:rPr>
        <w:t>3</w:t>
      </w:r>
      <w:r w:rsidR="00C128CB">
        <w:rPr>
          <w:noProof/>
        </w:rPr>
        <w:fldChar w:fldCharType="end"/>
      </w:r>
    </w:p>
    <w:p w14:paraId="60225EB6"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Acknowledgements</w:t>
      </w:r>
      <w:r>
        <w:rPr>
          <w:noProof/>
        </w:rPr>
        <w:tab/>
      </w:r>
      <w:r>
        <w:rPr>
          <w:noProof/>
        </w:rPr>
        <w:fldChar w:fldCharType="begin"/>
      </w:r>
      <w:r>
        <w:rPr>
          <w:noProof/>
        </w:rPr>
        <w:instrText xml:space="preserve"> PAGEREF _Toc303889487 \h </w:instrText>
      </w:r>
      <w:r>
        <w:rPr>
          <w:noProof/>
        </w:rPr>
      </w:r>
      <w:r>
        <w:rPr>
          <w:noProof/>
        </w:rPr>
        <w:fldChar w:fldCharType="separate"/>
      </w:r>
      <w:r>
        <w:rPr>
          <w:noProof/>
        </w:rPr>
        <w:t>7</w:t>
      </w:r>
      <w:r>
        <w:rPr>
          <w:noProof/>
        </w:rPr>
        <w:fldChar w:fldCharType="end"/>
      </w:r>
    </w:p>
    <w:p w14:paraId="21985252"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List of Acronyms</w:t>
      </w:r>
      <w:r>
        <w:rPr>
          <w:noProof/>
        </w:rPr>
        <w:tab/>
      </w:r>
      <w:r>
        <w:rPr>
          <w:noProof/>
        </w:rPr>
        <w:fldChar w:fldCharType="begin"/>
      </w:r>
      <w:r>
        <w:rPr>
          <w:noProof/>
        </w:rPr>
        <w:instrText xml:space="preserve"> PAGEREF _Toc303889488 \h </w:instrText>
      </w:r>
      <w:r>
        <w:rPr>
          <w:noProof/>
        </w:rPr>
      </w:r>
      <w:r>
        <w:rPr>
          <w:noProof/>
        </w:rPr>
        <w:fldChar w:fldCharType="separate"/>
      </w:r>
      <w:r>
        <w:rPr>
          <w:noProof/>
        </w:rPr>
        <w:t>8</w:t>
      </w:r>
      <w:r>
        <w:rPr>
          <w:noProof/>
        </w:rPr>
        <w:fldChar w:fldCharType="end"/>
      </w:r>
    </w:p>
    <w:p w14:paraId="6B9AE456" w14:textId="77777777" w:rsidR="00C128CB" w:rsidRDefault="00C128CB">
      <w:pPr>
        <w:pStyle w:val="TOC1"/>
        <w:tabs>
          <w:tab w:val="left" w:pos="368"/>
          <w:tab w:val="right" w:leader="dot" w:pos="9008"/>
        </w:tabs>
        <w:rPr>
          <w:rFonts w:asciiTheme="minorHAnsi" w:eastAsiaTheme="minorEastAsia" w:hAnsiTheme="minorHAnsi" w:cstheme="minorBidi"/>
          <w:b w:val="0"/>
          <w:noProof/>
          <w:color w:val="auto"/>
          <w:lang w:val="en-GB" w:eastAsia="ja-JP"/>
        </w:rPr>
      </w:pPr>
      <w:r w:rsidRPr="00B76D58">
        <w:rPr>
          <w:noProof/>
          <w:lang w:val="en-GB"/>
        </w:rPr>
        <w:t>I.</w:t>
      </w:r>
      <w:r>
        <w:rPr>
          <w:rFonts w:asciiTheme="minorHAnsi" w:eastAsiaTheme="minorEastAsia" w:hAnsiTheme="minorHAnsi" w:cstheme="minorBidi"/>
          <w:b w:val="0"/>
          <w:noProof/>
          <w:color w:val="auto"/>
          <w:lang w:val="en-GB" w:eastAsia="ja-JP"/>
        </w:rPr>
        <w:tab/>
      </w:r>
      <w:r w:rsidRPr="00B76D58">
        <w:rPr>
          <w:noProof/>
          <w:lang w:val="en-GB"/>
        </w:rPr>
        <w:t>Introduction</w:t>
      </w:r>
      <w:r>
        <w:rPr>
          <w:noProof/>
        </w:rPr>
        <w:tab/>
      </w:r>
      <w:r>
        <w:rPr>
          <w:noProof/>
        </w:rPr>
        <w:fldChar w:fldCharType="begin"/>
      </w:r>
      <w:r>
        <w:rPr>
          <w:noProof/>
        </w:rPr>
        <w:instrText xml:space="preserve"> PAGEREF _Toc303889489 \h </w:instrText>
      </w:r>
      <w:r>
        <w:rPr>
          <w:noProof/>
        </w:rPr>
      </w:r>
      <w:r>
        <w:rPr>
          <w:noProof/>
        </w:rPr>
        <w:fldChar w:fldCharType="separate"/>
      </w:r>
      <w:r>
        <w:rPr>
          <w:noProof/>
        </w:rPr>
        <w:t>9</w:t>
      </w:r>
      <w:r>
        <w:rPr>
          <w:noProof/>
        </w:rPr>
        <w:fldChar w:fldCharType="end"/>
      </w:r>
    </w:p>
    <w:p w14:paraId="30369B33" w14:textId="77777777" w:rsidR="00C128CB" w:rsidRDefault="00C128CB">
      <w:pPr>
        <w:pStyle w:val="TOC1"/>
        <w:tabs>
          <w:tab w:val="left" w:pos="432"/>
          <w:tab w:val="right" w:leader="dot" w:pos="9008"/>
        </w:tabs>
        <w:rPr>
          <w:rFonts w:asciiTheme="minorHAnsi" w:eastAsiaTheme="minorEastAsia" w:hAnsiTheme="minorHAnsi" w:cstheme="minorBidi"/>
          <w:b w:val="0"/>
          <w:noProof/>
          <w:color w:val="auto"/>
          <w:lang w:val="en-GB" w:eastAsia="ja-JP"/>
        </w:rPr>
      </w:pPr>
      <w:r w:rsidRPr="00B76D58">
        <w:rPr>
          <w:noProof/>
          <w:lang w:val="en-GB"/>
        </w:rPr>
        <w:t>II.</w:t>
      </w:r>
      <w:r>
        <w:rPr>
          <w:rFonts w:asciiTheme="minorHAnsi" w:eastAsiaTheme="minorEastAsia" w:hAnsiTheme="minorHAnsi" w:cstheme="minorBidi"/>
          <w:b w:val="0"/>
          <w:noProof/>
          <w:color w:val="auto"/>
          <w:lang w:val="en-GB" w:eastAsia="ja-JP"/>
        </w:rPr>
        <w:tab/>
      </w:r>
      <w:r w:rsidRPr="00B76D58">
        <w:rPr>
          <w:noProof/>
          <w:lang w:val="en-GB"/>
        </w:rPr>
        <w:t>Background</w:t>
      </w:r>
      <w:r>
        <w:rPr>
          <w:noProof/>
        </w:rPr>
        <w:tab/>
      </w:r>
      <w:r>
        <w:rPr>
          <w:noProof/>
        </w:rPr>
        <w:fldChar w:fldCharType="begin"/>
      </w:r>
      <w:r>
        <w:rPr>
          <w:noProof/>
        </w:rPr>
        <w:instrText xml:space="preserve"> PAGEREF _Toc303889490 \h </w:instrText>
      </w:r>
      <w:r>
        <w:rPr>
          <w:noProof/>
        </w:rPr>
      </w:r>
      <w:r>
        <w:rPr>
          <w:noProof/>
        </w:rPr>
        <w:fldChar w:fldCharType="separate"/>
      </w:r>
      <w:r>
        <w:rPr>
          <w:noProof/>
        </w:rPr>
        <w:t>9</w:t>
      </w:r>
      <w:r>
        <w:rPr>
          <w:noProof/>
        </w:rPr>
        <w:fldChar w:fldCharType="end"/>
      </w:r>
    </w:p>
    <w:p w14:paraId="39ECB2FE" w14:textId="77777777" w:rsidR="00C128CB" w:rsidRDefault="00C128CB">
      <w:pPr>
        <w:pStyle w:val="TOC2"/>
        <w:tabs>
          <w:tab w:val="right" w:leader="dot" w:pos="9008"/>
        </w:tabs>
        <w:rPr>
          <w:rFonts w:asciiTheme="minorHAnsi" w:eastAsiaTheme="minorEastAsia" w:hAnsiTheme="minorHAnsi" w:cstheme="minorBidi"/>
          <w:noProof/>
          <w:sz w:val="24"/>
          <w:szCs w:val="24"/>
          <w:lang w:val="en-GB" w:eastAsia="ja-JP"/>
        </w:rPr>
      </w:pPr>
      <w:r w:rsidRPr="00B76D58">
        <w:rPr>
          <w:noProof/>
          <w:lang w:val="en-GB"/>
        </w:rPr>
        <w:t>Socioeconomic and demographic data</w:t>
      </w:r>
      <w:r>
        <w:rPr>
          <w:noProof/>
        </w:rPr>
        <w:tab/>
      </w:r>
      <w:r>
        <w:rPr>
          <w:noProof/>
        </w:rPr>
        <w:fldChar w:fldCharType="begin"/>
      </w:r>
      <w:r>
        <w:rPr>
          <w:noProof/>
        </w:rPr>
        <w:instrText xml:space="preserve"> PAGEREF _Toc303889491 \h </w:instrText>
      </w:r>
      <w:r>
        <w:rPr>
          <w:noProof/>
        </w:rPr>
      </w:r>
      <w:r>
        <w:rPr>
          <w:noProof/>
        </w:rPr>
        <w:fldChar w:fldCharType="separate"/>
      </w:r>
      <w:r>
        <w:rPr>
          <w:noProof/>
        </w:rPr>
        <w:t>9</w:t>
      </w:r>
      <w:r>
        <w:rPr>
          <w:noProof/>
        </w:rPr>
        <w:fldChar w:fldCharType="end"/>
      </w:r>
    </w:p>
    <w:p w14:paraId="489B8E58" w14:textId="77777777" w:rsidR="00C128CB" w:rsidRDefault="00C128CB">
      <w:pPr>
        <w:pStyle w:val="TOC2"/>
        <w:tabs>
          <w:tab w:val="right" w:leader="dot" w:pos="9008"/>
        </w:tabs>
        <w:rPr>
          <w:rFonts w:asciiTheme="minorHAnsi" w:eastAsiaTheme="minorEastAsia" w:hAnsiTheme="minorHAnsi" w:cstheme="minorBidi"/>
          <w:noProof/>
          <w:sz w:val="24"/>
          <w:szCs w:val="24"/>
          <w:lang w:val="en-GB" w:eastAsia="ja-JP"/>
        </w:rPr>
      </w:pPr>
      <w:r w:rsidRPr="00B76D58">
        <w:rPr>
          <w:noProof/>
          <w:lang w:val="en-GB"/>
        </w:rPr>
        <w:t>Health status and selected health indicators</w:t>
      </w:r>
      <w:r>
        <w:rPr>
          <w:noProof/>
        </w:rPr>
        <w:tab/>
      </w:r>
      <w:r>
        <w:rPr>
          <w:noProof/>
        </w:rPr>
        <w:fldChar w:fldCharType="begin"/>
      </w:r>
      <w:r>
        <w:rPr>
          <w:noProof/>
        </w:rPr>
        <w:instrText xml:space="preserve"> PAGEREF _Toc303889492 \h </w:instrText>
      </w:r>
      <w:r>
        <w:rPr>
          <w:noProof/>
        </w:rPr>
      </w:r>
      <w:r>
        <w:rPr>
          <w:noProof/>
        </w:rPr>
        <w:fldChar w:fldCharType="separate"/>
      </w:r>
      <w:r>
        <w:rPr>
          <w:noProof/>
        </w:rPr>
        <w:t>10</w:t>
      </w:r>
      <w:r>
        <w:rPr>
          <w:noProof/>
        </w:rPr>
        <w:fldChar w:fldCharType="end"/>
      </w:r>
    </w:p>
    <w:p w14:paraId="12B0982B" w14:textId="77777777" w:rsidR="00C128CB" w:rsidRDefault="00C128CB">
      <w:pPr>
        <w:pStyle w:val="TOC2"/>
        <w:tabs>
          <w:tab w:val="right" w:leader="dot" w:pos="9008"/>
        </w:tabs>
        <w:rPr>
          <w:rFonts w:asciiTheme="minorHAnsi" w:eastAsiaTheme="minorEastAsia" w:hAnsiTheme="minorHAnsi" w:cstheme="minorBidi"/>
          <w:noProof/>
          <w:sz w:val="24"/>
          <w:szCs w:val="24"/>
          <w:lang w:val="en-GB" w:eastAsia="ja-JP"/>
        </w:rPr>
      </w:pPr>
      <w:r w:rsidRPr="00B76D58">
        <w:rPr>
          <w:noProof/>
          <w:lang w:val="en-GB"/>
        </w:rPr>
        <w:t>Immunization and VPD surveillance programs</w:t>
      </w:r>
      <w:r>
        <w:rPr>
          <w:noProof/>
        </w:rPr>
        <w:tab/>
      </w:r>
      <w:r>
        <w:rPr>
          <w:noProof/>
        </w:rPr>
        <w:fldChar w:fldCharType="begin"/>
      </w:r>
      <w:r>
        <w:rPr>
          <w:noProof/>
        </w:rPr>
        <w:instrText xml:space="preserve"> PAGEREF _Toc303889493 \h </w:instrText>
      </w:r>
      <w:r>
        <w:rPr>
          <w:noProof/>
        </w:rPr>
      </w:r>
      <w:r>
        <w:rPr>
          <w:noProof/>
        </w:rPr>
        <w:fldChar w:fldCharType="separate"/>
      </w:r>
      <w:r>
        <w:rPr>
          <w:noProof/>
        </w:rPr>
        <w:t>11</w:t>
      </w:r>
      <w:r>
        <w:rPr>
          <w:noProof/>
        </w:rPr>
        <w:fldChar w:fldCharType="end"/>
      </w:r>
    </w:p>
    <w:p w14:paraId="1BCA6711" w14:textId="77777777" w:rsidR="00C128CB" w:rsidRDefault="00C128CB">
      <w:pPr>
        <w:pStyle w:val="TOC2"/>
        <w:tabs>
          <w:tab w:val="right" w:leader="dot" w:pos="9008"/>
        </w:tabs>
        <w:rPr>
          <w:rFonts w:asciiTheme="minorHAnsi" w:eastAsiaTheme="minorEastAsia" w:hAnsiTheme="minorHAnsi" w:cstheme="minorBidi"/>
          <w:noProof/>
          <w:sz w:val="24"/>
          <w:szCs w:val="24"/>
          <w:lang w:val="en-GB" w:eastAsia="ja-JP"/>
        </w:rPr>
      </w:pPr>
      <w:r w:rsidRPr="00B76D58">
        <w:rPr>
          <w:noProof/>
          <w:lang w:val="en-GB"/>
        </w:rPr>
        <w:t>Further information on the health system</w:t>
      </w:r>
      <w:r>
        <w:rPr>
          <w:noProof/>
        </w:rPr>
        <w:tab/>
      </w:r>
      <w:r>
        <w:rPr>
          <w:noProof/>
        </w:rPr>
        <w:fldChar w:fldCharType="begin"/>
      </w:r>
      <w:r>
        <w:rPr>
          <w:noProof/>
        </w:rPr>
        <w:instrText xml:space="preserve"> PAGEREF _Toc303889494 \h </w:instrText>
      </w:r>
      <w:r>
        <w:rPr>
          <w:noProof/>
        </w:rPr>
      </w:r>
      <w:r>
        <w:rPr>
          <w:noProof/>
        </w:rPr>
        <w:fldChar w:fldCharType="separate"/>
      </w:r>
      <w:r>
        <w:rPr>
          <w:noProof/>
        </w:rPr>
        <w:t>11</w:t>
      </w:r>
      <w:r>
        <w:rPr>
          <w:noProof/>
        </w:rPr>
        <w:fldChar w:fldCharType="end"/>
      </w:r>
    </w:p>
    <w:p w14:paraId="3EE0A88E" w14:textId="77777777" w:rsidR="00C128CB" w:rsidRDefault="00C128CB">
      <w:pPr>
        <w:pStyle w:val="TOC1"/>
        <w:tabs>
          <w:tab w:val="left" w:pos="496"/>
          <w:tab w:val="right" w:leader="dot" w:pos="9008"/>
        </w:tabs>
        <w:rPr>
          <w:rFonts w:asciiTheme="minorHAnsi" w:eastAsiaTheme="minorEastAsia" w:hAnsiTheme="minorHAnsi" w:cstheme="minorBidi"/>
          <w:b w:val="0"/>
          <w:noProof/>
          <w:color w:val="auto"/>
          <w:lang w:val="en-GB" w:eastAsia="ja-JP"/>
        </w:rPr>
      </w:pPr>
      <w:r w:rsidRPr="00B76D58">
        <w:rPr>
          <w:noProof/>
          <w:lang w:val="en-GB"/>
        </w:rPr>
        <w:t>III.</w:t>
      </w:r>
      <w:r>
        <w:rPr>
          <w:rFonts w:asciiTheme="minorHAnsi" w:eastAsiaTheme="minorEastAsia" w:hAnsiTheme="minorHAnsi" w:cstheme="minorBidi"/>
          <w:b w:val="0"/>
          <w:noProof/>
          <w:color w:val="auto"/>
          <w:lang w:val="en-GB" w:eastAsia="ja-JP"/>
        </w:rPr>
        <w:tab/>
      </w:r>
      <w:r w:rsidRPr="00B76D58">
        <w:rPr>
          <w:noProof/>
          <w:lang w:val="en-GB"/>
        </w:rPr>
        <w:t>Objectives and methodology</w:t>
      </w:r>
      <w:r>
        <w:rPr>
          <w:noProof/>
        </w:rPr>
        <w:tab/>
      </w:r>
      <w:r>
        <w:rPr>
          <w:noProof/>
        </w:rPr>
        <w:fldChar w:fldCharType="begin"/>
      </w:r>
      <w:r>
        <w:rPr>
          <w:noProof/>
        </w:rPr>
        <w:instrText xml:space="preserve"> PAGEREF _Toc303889495 \h </w:instrText>
      </w:r>
      <w:r>
        <w:rPr>
          <w:noProof/>
        </w:rPr>
      </w:r>
      <w:r>
        <w:rPr>
          <w:noProof/>
        </w:rPr>
        <w:fldChar w:fldCharType="separate"/>
      </w:r>
      <w:r>
        <w:rPr>
          <w:noProof/>
        </w:rPr>
        <w:t>12</w:t>
      </w:r>
      <w:r>
        <w:rPr>
          <w:noProof/>
        </w:rPr>
        <w:fldChar w:fldCharType="end"/>
      </w:r>
    </w:p>
    <w:p w14:paraId="4BAF1DF6" w14:textId="77777777" w:rsidR="00C128CB" w:rsidRDefault="00C128CB">
      <w:pPr>
        <w:pStyle w:val="TOC2"/>
        <w:tabs>
          <w:tab w:val="right" w:leader="dot" w:pos="9008"/>
        </w:tabs>
        <w:rPr>
          <w:rFonts w:asciiTheme="minorHAnsi" w:eastAsiaTheme="minorEastAsia" w:hAnsiTheme="minorHAnsi" w:cstheme="minorBidi"/>
          <w:noProof/>
          <w:sz w:val="24"/>
          <w:szCs w:val="24"/>
          <w:lang w:val="en-GB" w:eastAsia="ja-JP"/>
        </w:rPr>
      </w:pPr>
      <w:r w:rsidRPr="00B76D58">
        <w:rPr>
          <w:noProof/>
          <w:lang w:val="en-GB"/>
        </w:rPr>
        <w:t>Objectives</w:t>
      </w:r>
      <w:r>
        <w:rPr>
          <w:noProof/>
        </w:rPr>
        <w:tab/>
      </w:r>
      <w:r>
        <w:rPr>
          <w:noProof/>
        </w:rPr>
        <w:fldChar w:fldCharType="begin"/>
      </w:r>
      <w:r>
        <w:rPr>
          <w:noProof/>
        </w:rPr>
        <w:instrText xml:space="preserve"> PAGEREF _Toc303889496 \h </w:instrText>
      </w:r>
      <w:r>
        <w:rPr>
          <w:noProof/>
        </w:rPr>
      </w:r>
      <w:r>
        <w:rPr>
          <w:noProof/>
        </w:rPr>
        <w:fldChar w:fldCharType="separate"/>
      </w:r>
      <w:r>
        <w:rPr>
          <w:noProof/>
        </w:rPr>
        <w:t>12</w:t>
      </w:r>
      <w:r>
        <w:rPr>
          <w:noProof/>
        </w:rPr>
        <w:fldChar w:fldCharType="end"/>
      </w:r>
    </w:p>
    <w:p w14:paraId="181D400F" w14:textId="77777777" w:rsidR="00C128CB" w:rsidRDefault="00C128CB">
      <w:pPr>
        <w:pStyle w:val="TOC2"/>
        <w:tabs>
          <w:tab w:val="right" w:leader="dot" w:pos="9008"/>
        </w:tabs>
        <w:rPr>
          <w:rFonts w:asciiTheme="minorHAnsi" w:eastAsiaTheme="minorEastAsia" w:hAnsiTheme="minorHAnsi" w:cstheme="minorBidi"/>
          <w:noProof/>
          <w:sz w:val="24"/>
          <w:szCs w:val="24"/>
          <w:lang w:val="en-GB" w:eastAsia="ja-JP"/>
        </w:rPr>
      </w:pPr>
      <w:r w:rsidRPr="00B76D58">
        <w:rPr>
          <w:noProof/>
          <w:lang w:val="en-GB"/>
        </w:rPr>
        <w:t>Methodology</w:t>
      </w:r>
      <w:r>
        <w:rPr>
          <w:noProof/>
        </w:rPr>
        <w:tab/>
      </w:r>
      <w:r>
        <w:rPr>
          <w:noProof/>
        </w:rPr>
        <w:fldChar w:fldCharType="begin"/>
      </w:r>
      <w:r>
        <w:rPr>
          <w:noProof/>
        </w:rPr>
        <w:instrText xml:space="preserve"> PAGEREF _Toc303889497 \h </w:instrText>
      </w:r>
      <w:r>
        <w:rPr>
          <w:noProof/>
        </w:rPr>
      </w:r>
      <w:r>
        <w:rPr>
          <w:noProof/>
        </w:rPr>
        <w:fldChar w:fldCharType="separate"/>
      </w:r>
      <w:r>
        <w:rPr>
          <w:noProof/>
        </w:rPr>
        <w:t>12</w:t>
      </w:r>
      <w:r>
        <w:rPr>
          <w:noProof/>
        </w:rPr>
        <w:fldChar w:fldCharType="end"/>
      </w:r>
    </w:p>
    <w:p w14:paraId="352F432F" w14:textId="77777777" w:rsidR="00C128CB" w:rsidRDefault="00C128CB">
      <w:pPr>
        <w:pStyle w:val="TOC1"/>
        <w:tabs>
          <w:tab w:val="left" w:pos="510"/>
          <w:tab w:val="right" w:leader="dot" w:pos="9008"/>
        </w:tabs>
        <w:rPr>
          <w:rFonts w:asciiTheme="minorHAnsi" w:eastAsiaTheme="minorEastAsia" w:hAnsiTheme="minorHAnsi" w:cstheme="minorBidi"/>
          <w:b w:val="0"/>
          <w:noProof/>
          <w:color w:val="auto"/>
          <w:lang w:val="en-GB" w:eastAsia="ja-JP"/>
        </w:rPr>
      </w:pPr>
      <w:r w:rsidRPr="00B76D58">
        <w:rPr>
          <w:noProof/>
          <w:lang w:val="en-GB"/>
        </w:rPr>
        <w:t>IV.</w:t>
      </w:r>
      <w:r>
        <w:rPr>
          <w:rFonts w:asciiTheme="minorHAnsi" w:eastAsiaTheme="minorEastAsia" w:hAnsiTheme="minorHAnsi" w:cstheme="minorBidi"/>
          <w:b w:val="0"/>
          <w:noProof/>
          <w:color w:val="auto"/>
          <w:lang w:val="en-GB" w:eastAsia="ja-JP"/>
        </w:rPr>
        <w:tab/>
      </w:r>
      <w:r w:rsidRPr="00B76D58">
        <w:rPr>
          <w:noProof/>
          <w:lang w:val="en-GB"/>
        </w:rPr>
        <w:t>Findings and recommendations</w:t>
      </w:r>
      <w:r>
        <w:rPr>
          <w:noProof/>
        </w:rPr>
        <w:tab/>
      </w:r>
      <w:r>
        <w:rPr>
          <w:noProof/>
        </w:rPr>
        <w:fldChar w:fldCharType="begin"/>
      </w:r>
      <w:r>
        <w:rPr>
          <w:noProof/>
        </w:rPr>
        <w:instrText xml:space="preserve"> PAGEREF _Toc303889498 \h </w:instrText>
      </w:r>
      <w:r>
        <w:rPr>
          <w:noProof/>
        </w:rPr>
      </w:r>
      <w:r>
        <w:rPr>
          <w:noProof/>
        </w:rPr>
        <w:fldChar w:fldCharType="separate"/>
      </w:r>
      <w:r>
        <w:rPr>
          <w:noProof/>
        </w:rPr>
        <w:t>14</w:t>
      </w:r>
      <w:r>
        <w:rPr>
          <w:noProof/>
        </w:rPr>
        <w:fldChar w:fldCharType="end"/>
      </w:r>
    </w:p>
    <w:p w14:paraId="713143B4" w14:textId="77777777" w:rsidR="00C128CB" w:rsidRDefault="00C128CB">
      <w:pPr>
        <w:pStyle w:val="TOC2"/>
        <w:tabs>
          <w:tab w:val="left" w:pos="356"/>
          <w:tab w:val="right" w:leader="dot" w:pos="9008"/>
        </w:tabs>
        <w:rPr>
          <w:rFonts w:asciiTheme="minorHAnsi" w:eastAsiaTheme="minorEastAsia" w:hAnsiTheme="minorHAnsi" w:cstheme="minorBidi"/>
          <w:noProof/>
          <w:sz w:val="24"/>
          <w:szCs w:val="24"/>
          <w:lang w:val="en-GB" w:eastAsia="ja-JP"/>
        </w:rPr>
      </w:pPr>
      <w:r w:rsidRPr="00B76D58">
        <w:rPr>
          <w:noProof/>
          <w:lang w:val="en-GB"/>
        </w:rPr>
        <w:t>I.</w:t>
      </w:r>
      <w:r>
        <w:rPr>
          <w:rFonts w:asciiTheme="minorHAnsi" w:eastAsiaTheme="minorEastAsia" w:hAnsiTheme="minorHAnsi" w:cstheme="minorBidi"/>
          <w:noProof/>
          <w:sz w:val="24"/>
          <w:szCs w:val="24"/>
          <w:lang w:val="en-GB" w:eastAsia="ja-JP"/>
        </w:rPr>
        <w:tab/>
      </w:r>
      <w:r w:rsidRPr="00B76D58">
        <w:rPr>
          <w:noProof/>
          <w:lang w:val="en-GB"/>
        </w:rPr>
        <w:t>Planning and management, including financing sustainability and advocacy</w:t>
      </w:r>
      <w:r>
        <w:rPr>
          <w:noProof/>
        </w:rPr>
        <w:tab/>
      </w:r>
      <w:r>
        <w:rPr>
          <w:noProof/>
        </w:rPr>
        <w:fldChar w:fldCharType="begin"/>
      </w:r>
      <w:r>
        <w:rPr>
          <w:noProof/>
        </w:rPr>
        <w:instrText xml:space="preserve"> PAGEREF _Toc303889499 \h </w:instrText>
      </w:r>
      <w:r>
        <w:rPr>
          <w:noProof/>
        </w:rPr>
      </w:r>
      <w:r>
        <w:rPr>
          <w:noProof/>
        </w:rPr>
        <w:fldChar w:fldCharType="separate"/>
      </w:r>
      <w:r>
        <w:rPr>
          <w:noProof/>
        </w:rPr>
        <w:t>14</w:t>
      </w:r>
      <w:r>
        <w:rPr>
          <w:noProof/>
        </w:rPr>
        <w:fldChar w:fldCharType="end"/>
      </w:r>
    </w:p>
    <w:p w14:paraId="09FF443C" w14:textId="77777777" w:rsidR="00C128CB" w:rsidRDefault="00C128CB">
      <w:pPr>
        <w:pStyle w:val="TOC2"/>
        <w:tabs>
          <w:tab w:val="left" w:pos="428"/>
          <w:tab w:val="right" w:leader="dot" w:pos="9008"/>
        </w:tabs>
        <w:rPr>
          <w:rFonts w:asciiTheme="minorHAnsi" w:eastAsiaTheme="minorEastAsia" w:hAnsiTheme="minorHAnsi" w:cstheme="minorBidi"/>
          <w:noProof/>
          <w:sz w:val="24"/>
          <w:szCs w:val="24"/>
          <w:lang w:val="en-GB" w:eastAsia="ja-JP"/>
        </w:rPr>
      </w:pPr>
      <w:r w:rsidRPr="00B76D58">
        <w:rPr>
          <w:noProof/>
          <w:lang w:val="en-GB"/>
        </w:rPr>
        <w:t>II.</w:t>
      </w:r>
      <w:r>
        <w:rPr>
          <w:rFonts w:asciiTheme="minorHAnsi" w:eastAsiaTheme="minorEastAsia" w:hAnsiTheme="minorHAnsi" w:cstheme="minorBidi"/>
          <w:noProof/>
          <w:sz w:val="24"/>
          <w:szCs w:val="24"/>
          <w:lang w:val="en-GB" w:eastAsia="ja-JP"/>
        </w:rPr>
        <w:tab/>
      </w:r>
      <w:r w:rsidRPr="00B76D58">
        <w:rPr>
          <w:noProof/>
          <w:lang w:val="en-GB"/>
        </w:rPr>
        <w:t>Service delivery, including immunization schedules, strategies, new vaccine introduction, communication and social mobilization</w:t>
      </w:r>
      <w:r>
        <w:rPr>
          <w:noProof/>
        </w:rPr>
        <w:tab/>
      </w:r>
      <w:r>
        <w:rPr>
          <w:noProof/>
        </w:rPr>
        <w:fldChar w:fldCharType="begin"/>
      </w:r>
      <w:r>
        <w:rPr>
          <w:noProof/>
        </w:rPr>
        <w:instrText xml:space="preserve"> PAGEREF _Toc303889500 \h </w:instrText>
      </w:r>
      <w:r>
        <w:rPr>
          <w:noProof/>
        </w:rPr>
      </w:r>
      <w:r>
        <w:rPr>
          <w:noProof/>
        </w:rPr>
        <w:fldChar w:fldCharType="separate"/>
      </w:r>
      <w:r>
        <w:rPr>
          <w:noProof/>
        </w:rPr>
        <w:t>18</w:t>
      </w:r>
      <w:r>
        <w:rPr>
          <w:noProof/>
        </w:rPr>
        <w:fldChar w:fldCharType="end"/>
      </w:r>
    </w:p>
    <w:p w14:paraId="20E95E62" w14:textId="77777777" w:rsidR="00C128CB" w:rsidRDefault="00C128CB">
      <w:pPr>
        <w:pStyle w:val="TOC2"/>
        <w:tabs>
          <w:tab w:val="left" w:pos="499"/>
          <w:tab w:val="right" w:leader="dot" w:pos="9008"/>
        </w:tabs>
        <w:rPr>
          <w:rFonts w:asciiTheme="minorHAnsi" w:eastAsiaTheme="minorEastAsia" w:hAnsiTheme="minorHAnsi" w:cstheme="minorBidi"/>
          <w:noProof/>
          <w:sz w:val="24"/>
          <w:szCs w:val="24"/>
          <w:lang w:val="en-GB" w:eastAsia="ja-JP"/>
        </w:rPr>
      </w:pPr>
      <w:r w:rsidRPr="00B76D58">
        <w:rPr>
          <w:noProof/>
          <w:lang w:val="en-GB"/>
        </w:rPr>
        <w:t>III.</w:t>
      </w:r>
      <w:r>
        <w:rPr>
          <w:rFonts w:asciiTheme="minorHAnsi" w:eastAsiaTheme="minorEastAsia" w:hAnsiTheme="minorHAnsi" w:cstheme="minorBidi"/>
          <w:noProof/>
          <w:sz w:val="24"/>
          <w:szCs w:val="24"/>
          <w:lang w:val="en-GB" w:eastAsia="ja-JP"/>
        </w:rPr>
        <w:tab/>
      </w:r>
      <w:r w:rsidRPr="00B76D58">
        <w:rPr>
          <w:noProof/>
          <w:lang w:val="en-GB"/>
        </w:rPr>
        <w:t>Immunization quality and safety, including AEFI surveillance and NRA</w:t>
      </w:r>
      <w:r>
        <w:rPr>
          <w:noProof/>
        </w:rPr>
        <w:tab/>
      </w:r>
      <w:r>
        <w:rPr>
          <w:noProof/>
        </w:rPr>
        <w:fldChar w:fldCharType="begin"/>
      </w:r>
      <w:r>
        <w:rPr>
          <w:noProof/>
        </w:rPr>
        <w:instrText xml:space="preserve"> PAGEREF _Toc303889501 \h </w:instrText>
      </w:r>
      <w:r>
        <w:rPr>
          <w:noProof/>
        </w:rPr>
      </w:r>
      <w:r>
        <w:rPr>
          <w:noProof/>
        </w:rPr>
        <w:fldChar w:fldCharType="separate"/>
      </w:r>
      <w:r>
        <w:rPr>
          <w:noProof/>
        </w:rPr>
        <w:t>21</w:t>
      </w:r>
      <w:r>
        <w:rPr>
          <w:noProof/>
        </w:rPr>
        <w:fldChar w:fldCharType="end"/>
      </w:r>
    </w:p>
    <w:p w14:paraId="33D68C00" w14:textId="77777777" w:rsidR="00C128CB" w:rsidRDefault="00C128CB">
      <w:pPr>
        <w:pStyle w:val="TOC2"/>
        <w:tabs>
          <w:tab w:val="left" w:pos="489"/>
          <w:tab w:val="right" w:leader="dot" w:pos="9008"/>
        </w:tabs>
        <w:rPr>
          <w:rFonts w:asciiTheme="minorHAnsi" w:eastAsiaTheme="minorEastAsia" w:hAnsiTheme="minorHAnsi" w:cstheme="minorBidi"/>
          <w:noProof/>
          <w:sz w:val="24"/>
          <w:szCs w:val="24"/>
          <w:lang w:val="en-GB" w:eastAsia="ja-JP"/>
        </w:rPr>
      </w:pPr>
      <w:r w:rsidRPr="00B76D58">
        <w:rPr>
          <w:noProof/>
          <w:lang w:val="en-GB"/>
        </w:rPr>
        <w:t>IV.</w:t>
      </w:r>
      <w:r>
        <w:rPr>
          <w:rFonts w:asciiTheme="minorHAnsi" w:eastAsiaTheme="minorEastAsia" w:hAnsiTheme="minorHAnsi" w:cstheme="minorBidi"/>
          <w:noProof/>
          <w:sz w:val="24"/>
          <w:szCs w:val="24"/>
          <w:lang w:val="en-GB" w:eastAsia="ja-JP"/>
        </w:rPr>
        <w:tab/>
      </w:r>
      <w:r w:rsidRPr="00B76D58">
        <w:rPr>
          <w:noProof/>
          <w:lang w:val="en-GB"/>
        </w:rPr>
        <w:t>Immunization coverage and monitoring, including program performance</w:t>
      </w:r>
      <w:r>
        <w:rPr>
          <w:noProof/>
        </w:rPr>
        <w:tab/>
      </w:r>
      <w:r>
        <w:rPr>
          <w:noProof/>
        </w:rPr>
        <w:fldChar w:fldCharType="begin"/>
      </w:r>
      <w:r>
        <w:rPr>
          <w:noProof/>
        </w:rPr>
        <w:instrText xml:space="preserve"> PAGEREF _Toc303889502 \h </w:instrText>
      </w:r>
      <w:r>
        <w:rPr>
          <w:noProof/>
        </w:rPr>
      </w:r>
      <w:r>
        <w:rPr>
          <w:noProof/>
        </w:rPr>
        <w:fldChar w:fldCharType="separate"/>
      </w:r>
      <w:r>
        <w:rPr>
          <w:noProof/>
        </w:rPr>
        <w:t>23</w:t>
      </w:r>
      <w:r>
        <w:rPr>
          <w:noProof/>
        </w:rPr>
        <w:fldChar w:fldCharType="end"/>
      </w:r>
    </w:p>
    <w:p w14:paraId="48C5B0E5" w14:textId="77777777" w:rsidR="00C128CB" w:rsidRDefault="00C128CB">
      <w:pPr>
        <w:pStyle w:val="TOC2"/>
        <w:tabs>
          <w:tab w:val="left" w:pos="418"/>
          <w:tab w:val="right" w:leader="dot" w:pos="9008"/>
        </w:tabs>
        <w:rPr>
          <w:rFonts w:asciiTheme="minorHAnsi" w:eastAsiaTheme="minorEastAsia" w:hAnsiTheme="minorHAnsi" w:cstheme="minorBidi"/>
          <w:noProof/>
          <w:sz w:val="24"/>
          <w:szCs w:val="24"/>
          <w:lang w:val="en-GB" w:eastAsia="ja-JP"/>
        </w:rPr>
      </w:pPr>
      <w:r w:rsidRPr="00B76D58">
        <w:rPr>
          <w:noProof/>
          <w:lang w:val="en-GB"/>
        </w:rPr>
        <w:t>V.</w:t>
      </w:r>
      <w:r>
        <w:rPr>
          <w:rFonts w:asciiTheme="minorHAnsi" w:eastAsiaTheme="minorEastAsia" w:hAnsiTheme="minorHAnsi" w:cstheme="minorBidi"/>
          <w:noProof/>
          <w:sz w:val="24"/>
          <w:szCs w:val="24"/>
          <w:lang w:val="en-GB" w:eastAsia="ja-JP"/>
        </w:rPr>
        <w:tab/>
      </w:r>
      <w:r w:rsidRPr="00B76D58">
        <w:rPr>
          <w:noProof/>
          <w:lang w:val="en-GB"/>
        </w:rPr>
        <w:t>VDP surveillance and diseases control (polio, measles/rubella, hepatitis B)</w:t>
      </w:r>
      <w:r>
        <w:rPr>
          <w:noProof/>
        </w:rPr>
        <w:tab/>
      </w:r>
      <w:r>
        <w:rPr>
          <w:noProof/>
        </w:rPr>
        <w:fldChar w:fldCharType="begin"/>
      </w:r>
      <w:r>
        <w:rPr>
          <w:noProof/>
        </w:rPr>
        <w:instrText xml:space="preserve"> PAGEREF _Toc303889503 \h </w:instrText>
      </w:r>
      <w:r>
        <w:rPr>
          <w:noProof/>
        </w:rPr>
      </w:r>
      <w:r>
        <w:rPr>
          <w:noProof/>
        </w:rPr>
        <w:fldChar w:fldCharType="separate"/>
      </w:r>
      <w:r>
        <w:rPr>
          <w:noProof/>
        </w:rPr>
        <w:t>25</w:t>
      </w:r>
      <w:r>
        <w:rPr>
          <w:noProof/>
        </w:rPr>
        <w:fldChar w:fldCharType="end"/>
      </w:r>
    </w:p>
    <w:p w14:paraId="63201350" w14:textId="77777777" w:rsidR="00C128CB" w:rsidRDefault="00C128CB">
      <w:pPr>
        <w:pStyle w:val="TOC2"/>
        <w:tabs>
          <w:tab w:val="left" w:pos="489"/>
          <w:tab w:val="right" w:leader="dot" w:pos="9008"/>
        </w:tabs>
        <w:rPr>
          <w:rFonts w:asciiTheme="minorHAnsi" w:eastAsiaTheme="minorEastAsia" w:hAnsiTheme="minorHAnsi" w:cstheme="minorBidi"/>
          <w:noProof/>
          <w:sz w:val="24"/>
          <w:szCs w:val="24"/>
          <w:lang w:val="en-GB" w:eastAsia="ja-JP"/>
        </w:rPr>
      </w:pPr>
      <w:r w:rsidRPr="00B76D58">
        <w:rPr>
          <w:noProof/>
          <w:lang w:val="en-GB"/>
        </w:rPr>
        <w:t>VI.</w:t>
      </w:r>
      <w:r>
        <w:rPr>
          <w:rFonts w:asciiTheme="minorHAnsi" w:eastAsiaTheme="minorEastAsia" w:hAnsiTheme="minorHAnsi" w:cstheme="minorBidi"/>
          <w:noProof/>
          <w:sz w:val="24"/>
          <w:szCs w:val="24"/>
          <w:lang w:val="en-GB" w:eastAsia="ja-JP"/>
        </w:rPr>
        <w:tab/>
      </w:r>
      <w:r w:rsidRPr="00B76D58">
        <w:rPr>
          <w:noProof/>
          <w:lang w:val="en-GB"/>
        </w:rPr>
        <w:t>Abkhazia findings and recommendations</w:t>
      </w:r>
      <w:r>
        <w:rPr>
          <w:noProof/>
        </w:rPr>
        <w:tab/>
      </w:r>
      <w:r>
        <w:rPr>
          <w:noProof/>
        </w:rPr>
        <w:fldChar w:fldCharType="begin"/>
      </w:r>
      <w:r>
        <w:rPr>
          <w:noProof/>
        </w:rPr>
        <w:instrText xml:space="preserve"> PAGEREF _Toc303889504 \h </w:instrText>
      </w:r>
      <w:r>
        <w:rPr>
          <w:noProof/>
        </w:rPr>
      </w:r>
      <w:r>
        <w:rPr>
          <w:noProof/>
        </w:rPr>
        <w:fldChar w:fldCharType="separate"/>
      </w:r>
      <w:r>
        <w:rPr>
          <w:noProof/>
        </w:rPr>
        <w:t>32</w:t>
      </w:r>
      <w:r>
        <w:rPr>
          <w:noProof/>
        </w:rPr>
        <w:fldChar w:fldCharType="end"/>
      </w:r>
    </w:p>
    <w:p w14:paraId="6091C0E6"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Annex 1: Team members and list of persons met</w:t>
      </w:r>
      <w:r>
        <w:rPr>
          <w:noProof/>
        </w:rPr>
        <w:tab/>
      </w:r>
      <w:r>
        <w:rPr>
          <w:noProof/>
        </w:rPr>
        <w:fldChar w:fldCharType="begin"/>
      </w:r>
      <w:r>
        <w:rPr>
          <w:noProof/>
        </w:rPr>
        <w:instrText xml:space="preserve"> PAGEREF _Toc303889505 \h </w:instrText>
      </w:r>
      <w:r>
        <w:rPr>
          <w:noProof/>
        </w:rPr>
      </w:r>
      <w:r>
        <w:rPr>
          <w:noProof/>
        </w:rPr>
        <w:fldChar w:fldCharType="separate"/>
      </w:r>
      <w:r>
        <w:rPr>
          <w:noProof/>
        </w:rPr>
        <w:t>33</w:t>
      </w:r>
      <w:r>
        <w:rPr>
          <w:noProof/>
        </w:rPr>
        <w:fldChar w:fldCharType="end"/>
      </w:r>
    </w:p>
    <w:p w14:paraId="52A2136A"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Annex 2: Schedules of activities</w:t>
      </w:r>
      <w:r>
        <w:rPr>
          <w:noProof/>
        </w:rPr>
        <w:tab/>
      </w:r>
      <w:r>
        <w:rPr>
          <w:noProof/>
        </w:rPr>
        <w:fldChar w:fldCharType="begin"/>
      </w:r>
      <w:r>
        <w:rPr>
          <w:noProof/>
        </w:rPr>
        <w:instrText xml:space="preserve"> PAGEREF _Toc303889506 \h </w:instrText>
      </w:r>
      <w:r>
        <w:rPr>
          <w:noProof/>
        </w:rPr>
      </w:r>
      <w:r>
        <w:rPr>
          <w:noProof/>
        </w:rPr>
        <w:fldChar w:fldCharType="separate"/>
      </w:r>
      <w:r>
        <w:rPr>
          <w:noProof/>
        </w:rPr>
        <w:t>34</w:t>
      </w:r>
      <w:r>
        <w:rPr>
          <w:noProof/>
        </w:rPr>
        <w:fldChar w:fldCharType="end"/>
      </w:r>
    </w:p>
    <w:p w14:paraId="2ECFBDDF"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Annex 3:  List of key documents for the desk review</w:t>
      </w:r>
      <w:r>
        <w:rPr>
          <w:noProof/>
        </w:rPr>
        <w:tab/>
      </w:r>
      <w:r>
        <w:rPr>
          <w:noProof/>
        </w:rPr>
        <w:fldChar w:fldCharType="begin"/>
      </w:r>
      <w:r>
        <w:rPr>
          <w:noProof/>
        </w:rPr>
        <w:instrText xml:space="preserve"> PAGEREF _Toc303889507 \h </w:instrText>
      </w:r>
      <w:r>
        <w:rPr>
          <w:noProof/>
        </w:rPr>
      </w:r>
      <w:r>
        <w:rPr>
          <w:noProof/>
        </w:rPr>
        <w:fldChar w:fldCharType="separate"/>
      </w:r>
      <w:r>
        <w:rPr>
          <w:noProof/>
        </w:rPr>
        <w:t>35</w:t>
      </w:r>
      <w:r>
        <w:rPr>
          <w:noProof/>
        </w:rPr>
        <w:fldChar w:fldCharType="end"/>
      </w:r>
    </w:p>
    <w:p w14:paraId="72B3F138"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Annex 4: Field reports</w:t>
      </w:r>
      <w:r>
        <w:rPr>
          <w:noProof/>
        </w:rPr>
        <w:tab/>
      </w:r>
      <w:r>
        <w:rPr>
          <w:noProof/>
        </w:rPr>
        <w:fldChar w:fldCharType="begin"/>
      </w:r>
      <w:r>
        <w:rPr>
          <w:noProof/>
        </w:rPr>
        <w:instrText xml:space="preserve"> PAGEREF _Toc303889508 \h </w:instrText>
      </w:r>
      <w:r>
        <w:rPr>
          <w:noProof/>
        </w:rPr>
      </w:r>
      <w:r>
        <w:rPr>
          <w:noProof/>
        </w:rPr>
        <w:fldChar w:fldCharType="separate"/>
      </w:r>
      <w:r>
        <w:rPr>
          <w:noProof/>
        </w:rPr>
        <w:t>36</w:t>
      </w:r>
      <w:r>
        <w:rPr>
          <w:noProof/>
        </w:rPr>
        <w:fldChar w:fldCharType="end"/>
      </w:r>
    </w:p>
    <w:p w14:paraId="7C39F00B"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Annex 5: EVM recommendations implementation status</w:t>
      </w:r>
      <w:r>
        <w:rPr>
          <w:noProof/>
        </w:rPr>
        <w:tab/>
      </w:r>
      <w:r>
        <w:rPr>
          <w:noProof/>
        </w:rPr>
        <w:fldChar w:fldCharType="begin"/>
      </w:r>
      <w:r>
        <w:rPr>
          <w:noProof/>
        </w:rPr>
        <w:instrText xml:space="preserve"> PAGEREF _Toc303889509 \h </w:instrText>
      </w:r>
      <w:r>
        <w:rPr>
          <w:noProof/>
        </w:rPr>
      </w:r>
      <w:r>
        <w:rPr>
          <w:noProof/>
        </w:rPr>
        <w:fldChar w:fldCharType="separate"/>
      </w:r>
      <w:r>
        <w:rPr>
          <w:noProof/>
        </w:rPr>
        <w:t>37</w:t>
      </w:r>
      <w:r>
        <w:rPr>
          <w:noProof/>
        </w:rPr>
        <w:fldChar w:fldCharType="end"/>
      </w:r>
    </w:p>
    <w:p w14:paraId="55BADC31" w14:textId="77777777" w:rsidR="00C128CB" w:rsidRDefault="00C128CB">
      <w:pPr>
        <w:pStyle w:val="TOC1"/>
        <w:tabs>
          <w:tab w:val="right" w:leader="dot" w:pos="9008"/>
        </w:tabs>
        <w:rPr>
          <w:rFonts w:asciiTheme="minorHAnsi" w:eastAsiaTheme="minorEastAsia" w:hAnsiTheme="minorHAnsi" w:cstheme="minorBidi"/>
          <w:b w:val="0"/>
          <w:noProof/>
          <w:color w:val="auto"/>
          <w:lang w:val="en-GB" w:eastAsia="ja-JP"/>
        </w:rPr>
      </w:pPr>
      <w:r w:rsidRPr="00B76D58">
        <w:rPr>
          <w:noProof/>
          <w:lang w:val="en-GB"/>
        </w:rPr>
        <w:t>Annex 6: Vaccine stock management graphs</w:t>
      </w:r>
      <w:r>
        <w:rPr>
          <w:noProof/>
        </w:rPr>
        <w:tab/>
      </w:r>
      <w:r>
        <w:rPr>
          <w:noProof/>
        </w:rPr>
        <w:fldChar w:fldCharType="begin"/>
      </w:r>
      <w:r>
        <w:rPr>
          <w:noProof/>
        </w:rPr>
        <w:instrText xml:space="preserve"> PAGEREF _Toc303889510 \h </w:instrText>
      </w:r>
      <w:r>
        <w:rPr>
          <w:noProof/>
        </w:rPr>
      </w:r>
      <w:r>
        <w:rPr>
          <w:noProof/>
        </w:rPr>
        <w:fldChar w:fldCharType="separate"/>
      </w:r>
      <w:r>
        <w:rPr>
          <w:noProof/>
        </w:rPr>
        <w:t>39</w:t>
      </w:r>
      <w:r>
        <w:rPr>
          <w:noProof/>
        </w:rPr>
        <w:fldChar w:fldCharType="end"/>
      </w:r>
    </w:p>
    <w:p w14:paraId="0D26DCC6" w14:textId="77777777" w:rsidR="004F68A1" w:rsidRPr="00EE33FA" w:rsidRDefault="004F68A1" w:rsidP="00D42AFB">
      <w:pPr>
        <w:rPr>
          <w:lang w:val="en-GB"/>
        </w:rPr>
      </w:pPr>
      <w:r w:rsidRPr="00EE33FA">
        <w:rPr>
          <w:b/>
          <w:bCs/>
          <w:lang w:val="en-GB"/>
        </w:rPr>
        <w:fldChar w:fldCharType="end"/>
      </w:r>
    </w:p>
    <w:p w14:paraId="36FD6970" w14:textId="77777777" w:rsidR="00317C92" w:rsidRPr="00EE33FA" w:rsidRDefault="00F325A6" w:rsidP="00317C92">
      <w:pPr>
        <w:pStyle w:val="Heading1"/>
        <w:ind w:right="-428"/>
        <w:rPr>
          <w:lang w:val="en-GB"/>
        </w:rPr>
        <w:sectPr w:rsidR="00317C92" w:rsidRPr="00EE33FA" w:rsidSect="004F32C7">
          <w:footerReference w:type="even" r:id="rId8"/>
          <w:footerReference w:type="default" r:id="rId9"/>
          <w:footerReference w:type="first" r:id="rId10"/>
          <w:pgSz w:w="12240" w:h="15840"/>
          <w:pgMar w:top="1152" w:right="1350" w:bottom="1152" w:left="1872" w:header="720" w:footer="720" w:gutter="0"/>
          <w:cols w:space="720"/>
          <w:titlePg/>
          <w:docGrid w:linePitch="360"/>
        </w:sectPr>
      </w:pPr>
      <w:r w:rsidRPr="00EE33FA">
        <w:rPr>
          <w:lang w:val="en-GB"/>
        </w:rPr>
        <w:br w:type="page"/>
      </w:r>
      <w:bookmarkStart w:id="1" w:name="_Toc288065152"/>
      <w:bookmarkStart w:id="2" w:name="_Toc290215920"/>
    </w:p>
    <w:p w14:paraId="26F04F9A" w14:textId="21FB0BB8" w:rsidR="00D921C6" w:rsidRPr="00EE33FA" w:rsidRDefault="00D921C6" w:rsidP="00B11AC8">
      <w:pPr>
        <w:pStyle w:val="Heading1"/>
        <w:ind w:right="-1"/>
        <w:rPr>
          <w:sz w:val="36"/>
          <w:szCs w:val="36"/>
          <w:lang w:val="en-GB"/>
        </w:rPr>
      </w:pPr>
      <w:bookmarkStart w:id="3" w:name="_Toc303889486"/>
      <w:r w:rsidRPr="00EE33FA">
        <w:rPr>
          <w:sz w:val="36"/>
          <w:szCs w:val="36"/>
          <w:lang w:val="en-GB"/>
        </w:rPr>
        <w:lastRenderedPageBreak/>
        <w:t>Executive summary</w:t>
      </w:r>
      <w:bookmarkEnd w:id="1"/>
      <w:bookmarkEnd w:id="2"/>
      <w:bookmarkEnd w:id="3"/>
    </w:p>
    <w:p w14:paraId="6C2A9F35" w14:textId="424D24C6" w:rsidR="00C1318E" w:rsidRPr="00EE33FA" w:rsidRDefault="00D921C6" w:rsidP="00B11AC8">
      <w:pPr>
        <w:spacing w:before="120"/>
        <w:ind w:right="-1" w:firstLine="360"/>
        <w:jc w:val="both"/>
        <w:rPr>
          <w:lang w:val="en-GB"/>
        </w:rPr>
      </w:pPr>
      <w:r w:rsidRPr="00EE33FA">
        <w:rPr>
          <w:lang w:val="en-GB"/>
        </w:rPr>
        <w:t xml:space="preserve">A joint national/international review of the Immunization and VPD Surveillance </w:t>
      </w:r>
      <w:r w:rsidR="00350CBE" w:rsidRPr="00EE33FA">
        <w:rPr>
          <w:lang w:val="en-GB"/>
        </w:rPr>
        <w:t>program</w:t>
      </w:r>
      <w:r w:rsidRPr="00EE33FA">
        <w:rPr>
          <w:lang w:val="en-GB"/>
        </w:rPr>
        <w:t xml:space="preserve">s was conducted in </w:t>
      </w:r>
      <w:r w:rsidR="00671793" w:rsidRPr="00EE33FA">
        <w:rPr>
          <w:lang w:val="en-GB"/>
        </w:rPr>
        <w:t>Georgia</w:t>
      </w:r>
      <w:r w:rsidRPr="00EE33FA">
        <w:rPr>
          <w:lang w:val="en-GB"/>
        </w:rPr>
        <w:t xml:space="preserve"> under the </w:t>
      </w:r>
      <w:r w:rsidR="00671793" w:rsidRPr="00EE33FA">
        <w:rPr>
          <w:lang w:val="en-GB"/>
        </w:rPr>
        <w:t>National Centre for Diseases Control (NCDC)</w:t>
      </w:r>
      <w:r w:rsidRPr="00EE33FA">
        <w:rPr>
          <w:lang w:val="en-GB"/>
        </w:rPr>
        <w:t xml:space="preserve"> from </w:t>
      </w:r>
      <w:r w:rsidR="00671793" w:rsidRPr="00EE33FA">
        <w:rPr>
          <w:lang w:val="en-GB"/>
        </w:rPr>
        <w:t>27</w:t>
      </w:r>
      <w:r w:rsidR="00671793" w:rsidRPr="00EE33FA">
        <w:rPr>
          <w:vertAlign w:val="superscript"/>
          <w:lang w:val="en-GB"/>
        </w:rPr>
        <w:t>th</w:t>
      </w:r>
      <w:r w:rsidR="00671793" w:rsidRPr="00EE33FA">
        <w:rPr>
          <w:lang w:val="en-GB"/>
        </w:rPr>
        <w:t xml:space="preserve"> July</w:t>
      </w:r>
      <w:r w:rsidRPr="00EE33FA">
        <w:rPr>
          <w:lang w:val="en-GB"/>
        </w:rPr>
        <w:t xml:space="preserve"> to </w:t>
      </w:r>
      <w:r w:rsidR="00671793" w:rsidRPr="00EE33FA">
        <w:rPr>
          <w:lang w:val="en-GB"/>
        </w:rPr>
        <w:t>5</w:t>
      </w:r>
      <w:r w:rsidR="00671793" w:rsidRPr="00EE33FA">
        <w:rPr>
          <w:vertAlign w:val="superscript"/>
          <w:lang w:val="en-GB"/>
        </w:rPr>
        <w:t>th</w:t>
      </w:r>
      <w:r w:rsidRPr="00EE33FA">
        <w:rPr>
          <w:lang w:val="en-GB"/>
        </w:rPr>
        <w:t xml:space="preserve"> </w:t>
      </w:r>
      <w:r w:rsidR="00671793" w:rsidRPr="00EE33FA">
        <w:rPr>
          <w:lang w:val="en-GB"/>
        </w:rPr>
        <w:t>August</w:t>
      </w:r>
      <w:r w:rsidRPr="00EE33FA">
        <w:rPr>
          <w:lang w:val="en-GB"/>
        </w:rPr>
        <w:t xml:space="preserve"> 2015.  The review teams were composed of national professionals from the </w:t>
      </w:r>
      <w:r w:rsidR="00671793" w:rsidRPr="00EE33FA">
        <w:rPr>
          <w:lang w:val="en-GB"/>
        </w:rPr>
        <w:t>NCDC</w:t>
      </w:r>
      <w:r w:rsidRPr="00EE33FA">
        <w:rPr>
          <w:lang w:val="en-GB"/>
        </w:rPr>
        <w:t xml:space="preserve"> and internation</w:t>
      </w:r>
      <w:r w:rsidR="00671793" w:rsidRPr="00EE33FA">
        <w:rPr>
          <w:lang w:val="en-GB"/>
        </w:rPr>
        <w:t xml:space="preserve">al experts from the WHO, UNICEF, </w:t>
      </w:r>
      <w:r w:rsidR="000D3EB4">
        <w:rPr>
          <w:lang w:val="en-GB"/>
        </w:rPr>
        <w:t xml:space="preserve">GAVI, </w:t>
      </w:r>
      <w:r w:rsidRPr="00EE33FA">
        <w:rPr>
          <w:lang w:val="en-GB"/>
        </w:rPr>
        <w:t>the CDC of Atlanta</w:t>
      </w:r>
      <w:r w:rsidR="00671793" w:rsidRPr="00EE33FA">
        <w:rPr>
          <w:lang w:val="en-GB"/>
        </w:rPr>
        <w:t xml:space="preserve"> and the Sabin Vaccine Institute</w:t>
      </w:r>
      <w:r w:rsidRPr="00EE33FA">
        <w:rPr>
          <w:lang w:val="en-GB"/>
        </w:rPr>
        <w:t xml:space="preserve">.  The objective of the review was to identify system strengths and weaknesses in view to make recommendations </w:t>
      </w:r>
      <w:r w:rsidR="00C1318E" w:rsidRPr="00EE33FA">
        <w:rPr>
          <w:lang w:val="en-GB"/>
        </w:rPr>
        <w:t>keeping in mind the global and regional diseases control targets</w:t>
      </w:r>
      <w:r w:rsidR="00C76521" w:rsidRPr="00EE33FA">
        <w:rPr>
          <w:lang w:val="en-GB"/>
        </w:rPr>
        <w:t xml:space="preserve"> as the</w:t>
      </w:r>
      <w:r w:rsidR="00C1318E" w:rsidRPr="00EE33FA">
        <w:rPr>
          <w:lang w:val="en-GB"/>
        </w:rPr>
        <w:t xml:space="preserve"> polio “endgame”, </w:t>
      </w:r>
      <w:r w:rsidR="00C76521" w:rsidRPr="00EE33FA">
        <w:rPr>
          <w:lang w:val="en-GB"/>
        </w:rPr>
        <w:t xml:space="preserve">the </w:t>
      </w:r>
      <w:r w:rsidR="00C1318E" w:rsidRPr="00EE33FA">
        <w:rPr>
          <w:lang w:val="en-GB"/>
        </w:rPr>
        <w:t xml:space="preserve">measles/rubella elimination and </w:t>
      </w:r>
      <w:r w:rsidR="00C76521" w:rsidRPr="00EE33FA">
        <w:rPr>
          <w:lang w:val="en-GB"/>
        </w:rPr>
        <w:t xml:space="preserve">the </w:t>
      </w:r>
      <w:r w:rsidR="00C1318E" w:rsidRPr="00EE33FA">
        <w:rPr>
          <w:lang w:val="en-GB"/>
        </w:rPr>
        <w:t>hepatitis B infection control.</w:t>
      </w:r>
    </w:p>
    <w:p w14:paraId="3A2AB368" w14:textId="35BD3502" w:rsidR="00D921C6" w:rsidRPr="00EE33FA" w:rsidRDefault="00C1318E" w:rsidP="00B11AC8">
      <w:pPr>
        <w:spacing w:before="120"/>
        <w:ind w:right="-1" w:firstLine="360"/>
        <w:jc w:val="both"/>
        <w:rPr>
          <w:lang w:val="en-GB"/>
        </w:rPr>
      </w:pPr>
      <w:r w:rsidRPr="00EE33FA">
        <w:rPr>
          <w:lang w:val="en-GB"/>
        </w:rPr>
        <w:t xml:space="preserve">Five </w:t>
      </w:r>
      <w:r w:rsidR="00D921C6" w:rsidRPr="00EE33FA">
        <w:rPr>
          <w:lang w:val="en-GB"/>
        </w:rPr>
        <w:t xml:space="preserve">teams with nationals and internationals </w:t>
      </w:r>
      <w:r w:rsidRPr="00EE33FA">
        <w:rPr>
          <w:lang w:val="en-GB"/>
        </w:rPr>
        <w:t>experts were reviewing public health centres and primary he</w:t>
      </w:r>
      <w:r w:rsidR="00365ED2" w:rsidRPr="00EE33FA">
        <w:rPr>
          <w:lang w:val="en-GB"/>
        </w:rPr>
        <w:t>alth c</w:t>
      </w:r>
      <w:r w:rsidR="00261080" w:rsidRPr="00EE33FA">
        <w:rPr>
          <w:lang w:val="en-GB"/>
        </w:rPr>
        <w:t xml:space="preserve">are facilities at central level, </w:t>
      </w:r>
      <w:r w:rsidR="00365ED2" w:rsidRPr="00EE33FA">
        <w:rPr>
          <w:lang w:val="en-GB"/>
        </w:rPr>
        <w:t>in</w:t>
      </w:r>
      <w:r w:rsidRPr="00EE33FA">
        <w:rPr>
          <w:lang w:val="en-GB"/>
        </w:rPr>
        <w:t xml:space="preserve"> region</w:t>
      </w:r>
      <w:r w:rsidR="00365ED2" w:rsidRPr="00EE33FA">
        <w:rPr>
          <w:lang w:val="en-GB"/>
        </w:rPr>
        <w:t>s (5) and municipalities</w:t>
      </w:r>
      <w:r w:rsidR="007C63D3" w:rsidRPr="00EE33FA">
        <w:rPr>
          <w:lang w:val="en-GB"/>
        </w:rPr>
        <w:t>/</w:t>
      </w:r>
      <w:r w:rsidRPr="00EE33FA">
        <w:rPr>
          <w:lang w:val="en-GB"/>
        </w:rPr>
        <w:t>district</w:t>
      </w:r>
      <w:r w:rsidR="00365ED2" w:rsidRPr="00EE33FA">
        <w:rPr>
          <w:lang w:val="en-GB"/>
        </w:rPr>
        <w:t>s</w:t>
      </w:r>
      <w:r w:rsidR="007C63D3" w:rsidRPr="00EE33FA">
        <w:rPr>
          <w:lang w:val="en-GB"/>
        </w:rPr>
        <w:t xml:space="preserve"> (10</w:t>
      </w:r>
      <w:r w:rsidRPr="00EE33FA">
        <w:rPr>
          <w:lang w:val="en-GB"/>
        </w:rPr>
        <w:t>)</w:t>
      </w:r>
      <w:r w:rsidR="00D921C6" w:rsidRPr="00EE33FA">
        <w:rPr>
          <w:lang w:val="en-GB"/>
        </w:rPr>
        <w:t xml:space="preserve">.  Written feedback and outcomes were prepared, discussed and consolidated into findings and recommendations which were then presented during the </w:t>
      </w:r>
      <w:r w:rsidRPr="00EE33FA">
        <w:rPr>
          <w:lang w:val="en-GB"/>
        </w:rPr>
        <w:t>5</w:t>
      </w:r>
      <w:r w:rsidRPr="00EE33FA">
        <w:rPr>
          <w:vertAlign w:val="superscript"/>
          <w:lang w:val="en-GB"/>
        </w:rPr>
        <w:t>th</w:t>
      </w:r>
      <w:r w:rsidR="00D921C6" w:rsidRPr="00EE33FA">
        <w:rPr>
          <w:lang w:val="en-GB"/>
        </w:rPr>
        <w:t xml:space="preserve"> </w:t>
      </w:r>
      <w:r w:rsidRPr="00EE33FA">
        <w:rPr>
          <w:lang w:val="en-GB"/>
        </w:rPr>
        <w:t>August</w:t>
      </w:r>
      <w:r w:rsidR="00D921C6" w:rsidRPr="00EE33FA">
        <w:rPr>
          <w:lang w:val="en-GB"/>
        </w:rPr>
        <w:t xml:space="preserve"> debriefing meeting chaired by the </w:t>
      </w:r>
      <w:r w:rsidRPr="00EE33FA">
        <w:rPr>
          <w:lang w:val="en-GB"/>
        </w:rPr>
        <w:t>Deputy Minister</w:t>
      </w:r>
      <w:r w:rsidR="00D921C6" w:rsidRPr="00EE33FA">
        <w:rPr>
          <w:lang w:val="en-GB"/>
        </w:rPr>
        <w:t xml:space="preserve">, </w:t>
      </w:r>
      <w:r w:rsidR="000948AB" w:rsidRPr="00EE33FA">
        <w:rPr>
          <w:lang w:val="en-GB"/>
        </w:rPr>
        <w:t xml:space="preserve">MLHSA, </w:t>
      </w:r>
      <w:r w:rsidR="00D921C6" w:rsidRPr="00EE33FA">
        <w:rPr>
          <w:lang w:val="en-GB"/>
        </w:rPr>
        <w:t xml:space="preserve">with the participation of </w:t>
      </w:r>
      <w:r w:rsidR="00CD5F56" w:rsidRPr="00EE33FA">
        <w:rPr>
          <w:lang w:val="en-GB"/>
        </w:rPr>
        <w:t xml:space="preserve">staff from </w:t>
      </w:r>
      <w:r w:rsidRPr="00EE33FA">
        <w:rPr>
          <w:lang w:val="en-GB"/>
        </w:rPr>
        <w:t>MLHSA, NCDC and Partners</w:t>
      </w:r>
      <w:r w:rsidR="00D921C6" w:rsidRPr="00EE33FA">
        <w:rPr>
          <w:lang w:val="en-GB"/>
        </w:rPr>
        <w:t>.</w:t>
      </w:r>
    </w:p>
    <w:p w14:paraId="13318010" w14:textId="752D02DF" w:rsidR="00D921C6" w:rsidRPr="00EE33FA" w:rsidRDefault="006E0C2E" w:rsidP="0087400E">
      <w:pPr>
        <w:pStyle w:val="ListParagraph"/>
        <w:numPr>
          <w:ilvl w:val="0"/>
          <w:numId w:val="9"/>
        </w:numPr>
        <w:spacing w:before="240" w:after="60"/>
        <w:ind w:left="709" w:right="-1"/>
        <w:rPr>
          <w:rFonts w:ascii="Times New Roman" w:hAnsi="Times New Roman" w:cs="Times New Roman"/>
          <w:b/>
          <w:color w:val="4F81BD"/>
          <w:lang w:val="en-GB"/>
        </w:rPr>
      </w:pPr>
      <w:r w:rsidRPr="00EE33FA">
        <w:rPr>
          <w:rFonts w:ascii="Times New Roman" w:hAnsi="Times New Roman" w:cs="Times New Roman"/>
          <w:b/>
          <w:color w:val="4F81BD"/>
          <w:lang w:val="en-GB"/>
        </w:rPr>
        <w:t>Planning and</w:t>
      </w:r>
      <w:r w:rsidR="00C844D8" w:rsidRPr="00EE33FA">
        <w:rPr>
          <w:rFonts w:ascii="Times New Roman" w:hAnsi="Times New Roman" w:cs="Times New Roman"/>
          <w:b/>
          <w:color w:val="4F81BD"/>
          <w:lang w:val="en-GB"/>
        </w:rPr>
        <w:t xml:space="preserve"> management, incl</w:t>
      </w:r>
      <w:r w:rsidRPr="00EE33FA">
        <w:rPr>
          <w:rFonts w:ascii="Times New Roman" w:hAnsi="Times New Roman" w:cs="Times New Roman"/>
          <w:b/>
          <w:color w:val="4F81BD"/>
          <w:lang w:val="en-GB"/>
        </w:rPr>
        <w:t>uding financing sustainability and</w:t>
      </w:r>
      <w:r w:rsidR="00512EDD" w:rsidRPr="00EE33FA">
        <w:rPr>
          <w:rFonts w:ascii="Times New Roman" w:hAnsi="Times New Roman" w:cs="Times New Roman"/>
          <w:b/>
          <w:color w:val="4F81BD"/>
          <w:lang w:val="en-GB"/>
        </w:rPr>
        <w:t xml:space="preserve"> advocacy</w:t>
      </w:r>
    </w:p>
    <w:p w14:paraId="0A8A3ED6" w14:textId="77777777" w:rsidR="00C844D8" w:rsidRPr="00EE33FA" w:rsidRDefault="00C844D8" w:rsidP="00B11AC8">
      <w:pPr>
        <w:spacing w:before="120"/>
        <w:ind w:right="-1" w:firstLine="360"/>
        <w:rPr>
          <w:b/>
          <w:color w:val="000000" w:themeColor="text1"/>
          <w:lang w:val="en-GB"/>
        </w:rPr>
      </w:pPr>
      <w:r w:rsidRPr="00EE33FA">
        <w:rPr>
          <w:b/>
          <w:color w:val="000000" w:themeColor="text1"/>
          <w:lang w:val="en-GB"/>
        </w:rPr>
        <w:t>Major achievements</w:t>
      </w:r>
    </w:p>
    <w:p w14:paraId="6B268F8E" w14:textId="77777777" w:rsidR="00C844D8" w:rsidRPr="00EE33FA" w:rsidRDefault="00C844D8"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Government financing of immunization program sustained and increased, reflected in the budget for the coming year (introduction of hexavalent)</w:t>
      </w:r>
    </w:p>
    <w:p w14:paraId="415E18FF" w14:textId="4670F17D" w:rsidR="00C844D8" w:rsidRPr="00EE33FA" w:rsidRDefault="00C844D8"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NCDC management and supervision of the immunization program, including competent and experienced staff: a strong part of the system</w:t>
      </w:r>
    </w:p>
    <w:p w14:paraId="51F1C361" w14:textId="0256FD91" w:rsidR="00C844D8" w:rsidRPr="00EE33FA" w:rsidRDefault="000D3EB4" w:rsidP="000D3EB4">
      <w:pPr>
        <w:pStyle w:val="ListParagraph"/>
        <w:numPr>
          <w:ilvl w:val="0"/>
          <w:numId w:val="7"/>
        </w:numPr>
        <w:spacing w:before="60" w:after="60"/>
        <w:ind w:left="714" w:right="-142" w:hanging="357"/>
        <w:contextualSpacing w:val="0"/>
        <w:rPr>
          <w:rFonts w:ascii="Times New Roman" w:hAnsi="Times New Roman"/>
          <w:lang w:val="en-GB"/>
        </w:rPr>
      </w:pPr>
      <w:r>
        <w:rPr>
          <w:rFonts w:ascii="Times New Roman" w:hAnsi="Times New Roman"/>
          <w:lang w:val="en-GB"/>
        </w:rPr>
        <w:t>Technical</w:t>
      </w:r>
      <w:r w:rsidR="00C844D8" w:rsidRPr="00EE33FA">
        <w:rPr>
          <w:rFonts w:ascii="Times New Roman" w:hAnsi="Times New Roman"/>
          <w:lang w:val="en-GB"/>
        </w:rPr>
        <w:t xml:space="preserve"> committees</w:t>
      </w:r>
      <w:r>
        <w:rPr>
          <w:rFonts w:ascii="Times New Roman" w:hAnsi="Times New Roman"/>
          <w:lang w:val="en-GB"/>
        </w:rPr>
        <w:t>/ICC</w:t>
      </w:r>
      <w:r w:rsidR="00C844D8" w:rsidRPr="00EE33FA">
        <w:rPr>
          <w:rFonts w:ascii="Times New Roman" w:hAnsi="Times New Roman"/>
          <w:lang w:val="en-GB"/>
        </w:rPr>
        <w:t xml:space="preserve"> exist and most of them function</w:t>
      </w:r>
      <w:r>
        <w:rPr>
          <w:rFonts w:ascii="Times New Roman" w:hAnsi="Times New Roman"/>
          <w:lang w:val="en-GB"/>
        </w:rPr>
        <w:t>; however the NITAG is not fully functional</w:t>
      </w:r>
    </w:p>
    <w:p w14:paraId="42E14AC9" w14:textId="27FC83C2" w:rsidR="00C844D8" w:rsidRPr="00EE33FA" w:rsidRDefault="00C844D8"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Core official documents on immunization available, and currently being revised</w:t>
      </w:r>
    </w:p>
    <w:p w14:paraId="57FEE619" w14:textId="1D5760DA" w:rsidR="00C844D8" w:rsidRPr="00EE33FA" w:rsidRDefault="00C844D8"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Good settings in urban polyclinics; health staff dedicated</w:t>
      </w:r>
    </w:p>
    <w:p w14:paraId="68CE2831" w14:textId="3C2B4797" w:rsidR="00C844D8" w:rsidRPr="00EE33FA" w:rsidRDefault="00C844D8"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Regular training on various technical areas</w:t>
      </w:r>
    </w:p>
    <w:p w14:paraId="0C391D18" w14:textId="3319208A" w:rsidR="00C844D8" w:rsidRPr="00EE33FA" w:rsidRDefault="00C844D8" w:rsidP="00B11AC8">
      <w:pPr>
        <w:spacing w:before="120"/>
        <w:ind w:right="-1" w:firstLine="360"/>
        <w:rPr>
          <w:b/>
          <w:color w:val="000000" w:themeColor="text1"/>
          <w:lang w:val="en-GB"/>
        </w:rPr>
      </w:pPr>
      <w:r w:rsidRPr="00EE33FA">
        <w:rPr>
          <w:b/>
          <w:color w:val="000000" w:themeColor="text1"/>
          <w:lang w:val="en-GB"/>
        </w:rPr>
        <w:t>Major issues identified</w:t>
      </w:r>
    </w:p>
    <w:p w14:paraId="6AFFAAAE" w14:textId="77777777" w:rsidR="00DD144D" w:rsidRPr="00EE33FA" w:rsidRDefault="00DD144D"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Lack of systemic approaches and incentives for increasing/maintaining immunization performance among service providers</w:t>
      </w:r>
    </w:p>
    <w:p w14:paraId="6D43BDBC" w14:textId="2E186940" w:rsidR="00DD144D" w:rsidRPr="00EE33FA" w:rsidRDefault="00DD144D"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Shortages of several vaccines due to time delay in supply by UNICEF, problem of global market deficit and delayed transactions</w:t>
      </w:r>
    </w:p>
    <w:p w14:paraId="5AD2BE1F" w14:textId="798A8C45" w:rsidR="00DD144D" w:rsidRPr="00EE33FA" w:rsidRDefault="00DD144D"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Lack of regulation and enforcement by SSA/Municipality/DPHC to ensure service quality in health facilities</w:t>
      </w:r>
    </w:p>
    <w:p w14:paraId="61D48998" w14:textId="0D86D221" w:rsidR="00DD144D" w:rsidRPr="00EE33FA" w:rsidRDefault="00DD144D"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Problem of optimization of human resources at public health </w:t>
      </w:r>
      <w:r w:rsidR="000369FB" w:rsidRPr="00EE33FA">
        <w:rPr>
          <w:rFonts w:ascii="Times New Roman" w:hAnsi="Times New Roman"/>
          <w:lang w:val="en-GB"/>
        </w:rPr>
        <w:t>centre</w:t>
      </w:r>
      <w:r w:rsidRPr="00EE33FA">
        <w:rPr>
          <w:rFonts w:ascii="Times New Roman" w:hAnsi="Times New Roman"/>
          <w:lang w:val="en-GB"/>
        </w:rPr>
        <w:t xml:space="preserve"> and primary health care levels</w:t>
      </w:r>
    </w:p>
    <w:p w14:paraId="061DCA09" w14:textId="1086B495" w:rsidR="00C844D8" w:rsidRPr="00EE33FA" w:rsidRDefault="00DD144D"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Quality of infrastructure and of working conditions low in most of </w:t>
      </w:r>
      <w:r w:rsidR="0015561B" w:rsidRPr="00EE33FA">
        <w:rPr>
          <w:rFonts w:ascii="Times New Roman" w:hAnsi="Times New Roman"/>
          <w:lang w:val="en-GB"/>
        </w:rPr>
        <w:t xml:space="preserve">district </w:t>
      </w:r>
      <w:r w:rsidRPr="00EE33FA">
        <w:rPr>
          <w:rFonts w:ascii="Times New Roman" w:hAnsi="Times New Roman"/>
          <w:lang w:val="en-GB"/>
        </w:rPr>
        <w:t>public health centres (DPHC) and some of primary health care facilities</w:t>
      </w:r>
    </w:p>
    <w:p w14:paraId="71004911" w14:textId="37855F80" w:rsidR="00C844D8" w:rsidRPr="00EE33FA" w:rsidRDefault="00C844D8" w:rsidP="00B11AC8">
      <w:pPr>
        <w:spacing w:before="120"/>
        <w:ind w:right="-1" w:firstLine="360"/>
        <w:rPr>
          <w:b/>
          <w:color w:val="000000" w:themeColor="text1"/>
          <w:lang w:val="en-GB"/>
        </w:rPr>
      </w:pPr>
      <w:r w:rsidRPr="00EE33FA">
        <w:rPr>
          <w:b/>
          <w:color w:val="000000" w:themeColor="text1"/>
          <w:lang w:val="en-GB"/>
        </w:rPr>
        <w:t>Main recommendations</w:t>
      </w:r>
    </w:p>
    <w:p w14:paraId="06193FCA" w14:textId="77777777" w:rsidR="00DD144D" w:rsidRPr="00EE33FA" w:rsidRDefault="00DD144D"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GoG to maintain its continuous effort for financial sustainability</w:t>
      </w:r>
    </w:p>
    <w:p w14:paraId="11B0CB61" w14:textId="1663A859" w:rsidR="00DD144D" w:rsidRPr="00EE33FA" w:rsidRDefault="00DD144D"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Ways to “regulate” the quality and performance of services of DPHC and health facilities to be envisaged (e.g. incentive/punitive)</w:t>
      </w:r>
    </w:p>
    <w:p w14:paraId="4676F50C" w14:textId="083E1795" w:rsidR="00DD144D" w:rsidRPr="00EE33FA" w:rsidRDefault="00DD144D"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UNICEF SD to be advocated to facilitate transactions, work with manufacturers to avoid delays, and to inform government in advance in case of supply shortages</w:t>
      </w:r>
    </w:p>
    <w:p w14:paraId="5CA398A9" w14:textId="511B59EA" w:rsidR="00DD144D" w:rsidRPr="00EE33FA" w:rsidRDefault="00DD144D"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Receiving vaccines in a single shipment per year to be considered</w:t>
      </w:r>
    </w:p>
    <w:p w14:paraId="0B247A4B" w14:textId="215534FC" w:rsidR="00DD144D" w:rsidRPr="00EE33FA" w:rsidRDefault="00DD144D"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NCDC’s technical and financial strong capacity to manage and supervise the program to be fully maintained</w:t>
      </w:r>
    </w:p>
    <w:p w14:paraId="1E6A214E" w14:textId="4D0C5B58" w:rsidR="00DD144D" w:rsidRPr="00EE33FA" w:rsidRDefault="005A2223" w:rsidP="0087400E">
      <w:pPr>
        <w:pStyle w:val="ListParagraph"/>
        <w:numPr>
          <w:ilvl w:val="0"/>
          <w:numId w:val="9"/>
        </w:numPr>
        <w:spacing w:before="240"/>
        <w:ind w:left="709" w:right="-1" w:hanging="181"/>
        <w:contextualSpacing w:val="0"/>
        <w:rPr>
          <w:rFonts w:ascii="Times New Roman" w:hAnsi="Times New Roman" w:cs="Times New Roman"/>
          <w:b/>
          <w:color w:val="4F81BD"/>
          <w:lang w:val="en-GB"/>
        </w:rPr>
      </w:pPr>
      <w:r w:rsidRPr="00EE33FA">
        <w:rPr>
          <w:rFonts w:ascii="Times New Roman" w:hAnsi="Times New Roman" w:cs="Times New Roman"/>
          <w:b/>
          <w:color w:val="4F81BD"/>
          <w:lang w:val="en-GB"/>
        </w:rPr>
        <w:lastRenderedPageBreak/>
        <w:t xml:space="preserve">Service delivery, including immunization schedules, strategies, new vaccine introduction, communication </w:t>
      </w:r>
      <w:r w:rsidR="006E0C2E" w:rsidRPr="00EE33FA">
        <w:rPr>
          <w:rFonts w:ascii="Times New Roman" w:hAnsi="Times New Roman" w:cs="Times New Roman"/>
          <w:b/>
          <w:color w:val="4F81BD"/>
          <w:lang w:val="en-GB"/>
        </w:rPr>
        <w:t>and s</w:t>
      </w:r>
      <w:r w:rsidRPr="00EE33FA">
        <w:rPr>
          <w:rFonts w:ascii="Times New Roman" w:hAnsi="Times New Roman" w:cs="Times New Roman"/>
          <w:b/>
          <w:color w:val="4F81BD"/>
          <w:lang w:val="en-GB"/>
        </w:rPr>
        <w:t>ocial mobilization</w:t>
      </w:r>
    </w:p>
    <w:p w14:paraId="688C6CB9"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achievements</w:t>
      </w:r>
    </w:p>
    <w:p w14:paraId="31FA8B15" w14:textId="77777777" w:rsidR="007366CE" w:rsidRPr="00EE33FA" w:rsidRDefault="007366C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National immunization schedule followed by service providers, and in line with WHO recommendations</w:t>
      </w:r>
    </w:p>
    <w:p w14:paraId="73B66B6F" w14:textId="0D2EE07F" w:rsidR="007366CE" w:rsidRPr="00EE33FA" w:rsidRDefault="007366C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Immunization practices and vaccines handling observed during the review: in general good</w:t>
      </w:r>
    </w:p>
    <w:p w14:paraId="3844741D" w14:textId="5A6719F6" w:rsidR="007366CE" w:rsidRPr="00EE33FA" w:rsidRDefault="007366C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Rotavirus vaccine and PCV implementation proceeding fairly well</w:t>
      </w:r>
    </w:p>
    <w:p w14:paraId="352760DD" w14:textId="405BEA8D" w:rsidR="007366CE" w:rsidRPr="00EE33FA" w:rsidRDefault="007366C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Around 95% of all vaccinations are provided by the state program, share of commercial vaccines minimal</w:t>
      </w:r>
    </w:p>
    <w:p w14:paraId="42BBE071" w14:textId="21420A8D" w:rsidR="007366CE" w:rsidRPr="00EE33FA" w:rsidRDefault="007366C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Improved knowledge and awareness of parents on immunization in recent years</w:t>
      </w:r>
    </w:p>
    <w:p w14:paraId="6E33E8AB" w14:textId="0E3D81DC" w:rsidR="00DD144D" w:rsidRPr="00EE33FA" w:rsidRDefault="007366C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Health Promotion team at national level with increased capacity (human and financial resources) </w:t>
      </w:r>
    </w:p>
    <w:p w14:paraId="1610B53F"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issues identified</w:t>
      </w:r>
    </w:p>
    <w:p w14:paraId="4C3E59ED" w14:textId="77777777" w:rsidR="0073504B" w:rsidRPr="00EE33FA" w:rsidRDefault="0073504B" w:rsidP="0087400E">
      <w:pPr>
        <w:pStyle w:val="ListParagraph"/>
        <w:numPr>
          <w:ilvl w:val="0"/>
          <w:numId w:val="6"/>
        </w:numPr>
        <w:spacing w:before="60" w:after="60"/>
        <w:ind w:right="-142"/>
        <w:contextualSpacing w:val="0"/>
        <w:rPr>
          <w:rFonts w:ascii="Times New Roman" w:hAnsi="Times New Roman"/>
          <w:lang w:val="en-GB"/>
        </w:rPr>
      </w:pPr>
      <w:r w:rsidRPr="00EE33FA">
        <w:rPr>
          <w:rFonts w:ascii="Times New Roman" w:hAnsi="Times New Roman"/>
          <w:lang w:val="en-GB"/>
        </w:rPr>
        <w:t>False contraindications still widespread, including temporary ones, inducing low coverage and drop-out</w:t>
      </w:r>
    </w:p>
    <w:p w14:paraId="0F0CB6D6" w14:textId="26B04085" w:rsidR="0073504B" w:rsidRPr="00EE33FA" w:rsidRDefault="0073504B"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Active follow up of children: a challenge for health staff (cost, time, motivation) for urban areas</w:t>
      </w:r>
    </w:p>
    <w:p w14:paraId="75CEEC22" w14:textId="52A7EA55" w:rsidR="0073504B" w:rsidRPr="00EE33FA" w:rsidRDefault="0073504B"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Larger health facilities with inpatient department less interested in implementing immunization</w:t>
      </w:r>
    </w:p>
    <w:p w14:paraId="1E45BDA1" w14:textId="0ED5ABAE" w:rsidR="0073504B" w:rsidRPr="00EE33FA" w:rsidRDefault="0073504B"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Increasing vaccine hesitancy among parents in large cities</w:t>
      </w:r>
    </w:p>
    <w:p w14:paraId="1A05E12B" w14:textId="3627DBCC" w:rsidR="00DD144D" w:rsidRPr="00EE33FA" w:rsidRDefault="0073504B"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Lack of trained/skilled professionals for health promotion (at all levels)</w:t>
      </w:r>
    </w:p>
    <w:p w14:paraId="6E9BF9B2"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Main recommendations</w:t>
      </w:r>
    </w:p>
    <w:p w14:paraId="3B723844" w14:textId="0D55B25F" w:rsidR="0073504B" w:rsidRPr="00EE33FA" w:rsidRDefault="0073504B"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 xml:space="preserve">Explore various strategies to reduce false contraindications (scientific workshops, </w:t>
      </w:r>
      <w:r w:rsidR="00CF6B18" w:rsidRPr="00EE33FA">
        <w:rPr>
          <w:rFonts w:ascii="Times New Roman" w:hAnsi="Times New Roman"/>
          <w:lang w:val="en-GB"/>
        </w:rPr>
        <w:t>behaviour</w:t>
      </w:r>
      <w:r w:rsidRPr="00EE33FA">
        <w:rPr>
          <w:rFonts w:ascii="Times New Roman" w:hAnsi="Times New Roman"/>
          <w:lang w:val="en-GB"/>
        </w:rPr>
        <w:t xml:space="preserve"> change models)</w:t>
      </w:r>
    </w:p>
    <w:p w14:paraId="27E565FE" w14:textId="0877508C" w:rsidR="0073504B" w:rsidRPr="00EE33FA" w:rsidRDefault="0073504B"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Explore intervention/recommendation by MLHSA for school/kindergarten entry requirements (immunization/health certificate)</w:t>
      </w:r>
    </w:p>
    <w:p w14:paraId="26867A39" w14:textId="6459B87D" w:rsidR="0073504B" w:rsidRPr="00EE33FA" w:rsidRDefault="0073504B"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Develop comprehensive communication strategies; allocate sufficient resource, training and information material</w:t>
      </w:r>
    </w:p>
    <w:p w14:paraId="70C72203" w14:textId="61078500" w:rsidR="00DD144D" w:rsidRPr="00EE33FA" w:rsidRDefault="0073504B"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Increase capacity in health communication in NCDC and DPHCs, with technical assistance</w:t>
      </w:r>
    </w:p>
    <w:p w14:paraId="5F266172" w14:textId="778633A9" w:rsidR="00DD144D" w:rsidRPr="00EE33FA" w:rsidRDefault="006E0C2E" w:rsidP="0087400E">
      <w:pPr>
        <w:pStyle w:val="ListParagraph"/>
        <w:numPr>
          <w:ilvl w:val="0"/>
          <w:numId w:val="9"/>
        </w:numPr>
        <w:spacing w:before="240"/>
        <w:ind w:left="709" w:right="-1" w:hanging="181"/>
        <w:contextualSpacing w:val="0"/>
        <w:rPr>
          <w:rFonts w:ascii="Times New Roman" w:hAnsi="Times New Roman" w:cs="Times New Roman"/>
          <w:b/>
          <w:color w:val="4F81BD"/>
          <w:lang w:val="en-GB"/>
        </w:rPr>
      </w:pPr>
      <w:r w:rsidRPr="00EE33FA">
        <w:rPr>
          <w:rFonts w:ascii="Times New Roman" w:hAnsi="Times New Roman" w:cs="Times New Roman"/>
          <w:b/>
          <w:color w:val="4F81BD"/>
          <w:lang w:val="en-GB"/>
        </w:rPr>
        <w:t>Immunization quality and</w:t>
      </w:r>
      <w:r w:rsidR="00EB5189" w:rsidRPr="00EE33FA">
        <w:rPr>
          <w:rFonts w:ascii="Times New Roman" w:hAnsi="Times New Roman" w:cs="Times New Roman"/>
          <w:b/>
          <w:color w:val="4F81BD"/>
          <w:lang w:val="en-GB"/>
        </w:rPr>
        <w:t xml:space="preserve"> safety, </w:t>
      </w:r>
      <w:r w:rsidRPr="00EE33FA">
        <w:rPr>
          <w:rFonts w:ascii="Times New Roman" w:hAnsi="Times New Roman" w:cs="Times New Roman"/>
          <w:b/>
          <w:color w:val="4F81BD"/>
          <w:lang w:val="en-GB"/>
        </w:rPr>
        <w:t>including AEFI surveillance and</w:t>
      </w:r>
      <w:r w:rsidR="00EB5189" w:rsidRPr="00EE33FA">
        <w:rPr>
          <w:rFonts w:ascii="Times New Roman" w:hAnsi="Times New Roman" w:cs="Times New Roman"/>
          <w:b/>
          <w:color w:val="4F81BD"/>
          <w:lang w:val="en-GB"/>
        </w:rPr>
        <w:t xml:space="preserve"> NRA</w:t>
      </w:r>
    </w:p>
    <w:p w14:paraId="5E752CC7"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achievements</w:t>
      </w:r>
    </w:p>
    <w:p w14:paraId="7D7ADE54" w14:textId="4660B604" w:rsidR="00EB5189" w:rsidRPr="00EE33FA" w:rsidRDefault="00EB51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Central level: </w:t>
      </w:r>
      <w:r w:rsidR="003C0865" w:rsidRPr="00EE33FA">
        <w:rPr>
          <w:rFonts w:ascii="Times New Roman" w:hAnsi="Times New Roman"/>
          <w:lang w:val="en-GB"/>
        </w:rPr>
        <w:t xml:space="preserve"> </w:t>
      </w:r>
      <w:r w:rsidRPr="00EE33FA">
        <w:rPr>
          <w:rFonts w:ascii="Times New Roman" w:hAnsi="Times New Roman"/>
          <w:lang w:val="en-GB"/>
        </w:rPr>
        <w:t>Existing good equipment for cold chain, temperature monitoring, transportation; cold storage capacity adequate; EVM (2014) recommendations and SOPs implemented for a good part; national vaccine store with high quality standard</w:t>
      </w:r>
    </w:p>
    <w:p w14:paraId="7D079D7A" w14:textId="46292D09" w:rsidR="00EB5189" w:rsidRPr="00EE33FA" w:rsidRDefault="00EB51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Country level:</w:t>
      </w:r>
      <w:r w:rsidR="003C0865" w:rsidRPr="00EE33FA">
        <w:rPr>
          <w:rFonts w:ascii="Times New Roman" w:hAnsi="Times New Roman"/>
          <w:lang w:val="en-GB"/>
        </w:rPr>
        <w:t xml:space="preserve">  </w:t>
      </w:r>
      <w:r w:rsidRPr="00EE33FA">
        <w:rPr>
          <w:rFonts w:ascii="Times New Roman" w:hAnsi="Times New Roman"/>
          <w:lang w:val="en-GB"/>
        </w:rPr>
        <w:t>Vaccine storage and distribution system well structured and fairly well functioning</w:t>
      </w:r>
      <w:r w:rsidR="003C0865" w:rsidRPr="00EE33FA">
        <w:rPr>
          <w:rFonts w:ascii="Times New Roman" w:hAnsi="Times New Roman"/>
          <w:lang w:val="en-GB"/>
        </w:rPr>
        <w:t xml:space="preserve">; </w:t>
      </w:r>
      <w:r w:rsidRPr="00EE33FA">
        <w:rPr>
          <w:rFonts w:ascii="Times New Roman" w:hAnsi="Times New Roman"/>
          <w:lang w:val="en-GB"/>
        </w:rPr>
        <w:t>Cold chain inventory assessment conducted (2013)</w:t>
      </w:r>
    </w:p>
    <w:p w14:paraId="28314ADB" w14:textId="020150C9" w:rsidR="00EB5189" w:rsidRPr="00EE33FA" w:rsidRDefault="00EB51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New equipment provided (central, district) from GoG budget covering 1/3 of country need</w:t>
      </w:r>
    </w:p>
    <w:p w14:paraId="06117F04" w14:textId="0784DA42" w:rsidR="00EB5189" w:rsidRPr="00EE33FA" w:rsidRDefault="00EB51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AEFI surveillance system in place, guidelines currently renewed</w:t>
      </w:r>
    </w:p>
    <w:p w14:paraId="5043AA61" w14:textId="06CEE40B" w:rsidR="00DD144D" w:rsidRPr="00EE33FA" w:rsidRDefault="005E2430"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NRA: Institutional Development P</w:t>
      </w:r>
      <w:r w:rsidR="00EB5189" w:rsidRPr="00EE33FA">
        <w:rPr>
          <w:rFonts w:ascii="Times New Roman" w:hAnsi="Times New Roman"/>
          <w:lang w:val="en-GB"/>
        </w:rPr>
        <w:t xml:space="preserve">lan exists </w:t>
      </w:r>
    </w:p>
    <w:p w14:paraId="4EEC2E25"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issues identified</w:t>
      </w:r>
    </w:p>
    <w:p w14:paraId="1F2AA809" w14:textId="1CE02940" w:rsidR="008F2038" w:rsidRPr="00EE33FA" w:rsidRDefault="008F2038"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Lack of SOPs implemented at DPHC and </w:t>
      </w:r>
      <w:r w:rsidR="008A6394" w:rsidRPr="00EE33FA">
        <w:rPr>
          <w:rFonts w:ascii="Times New Roman" w:hAnsi="Times New Roman"/>
          <w:lang w:val="en-GB"/>
        </w:rPr>
        <w:t xml:space="preserve">primary health care </w:t>
      </w:r>
      <w:r w:rsidRPr="00EE33FA">
        <w:rPr>
          <w:rFonts w:ascii="Times New Roman" w:hAnsi="Times New Roman"/>
          <w:lang w:val="en-GB"/>
        </w:rPr>
        <w:t>facility levels</w:t>
      </w:r>
    </w:p>
    <w:p w14:paraId="427D253B" w14:textId="3B11A682" w:rsidR="008F2038" w:rsidRPr="00EE33FA" w:rsidRDefault="008F2038"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Primary health care facilities mostly use domestic refrigerators, WHO standards cold chain equipment procured by NCDC can not be given to </w:t>
      </w:r>
      <w:r w:rsidR="008A6394" w:rsidRPr="00EE33FA">
        <w:rPr>
          <w:rFonts w:ascii="Times New Roman" w:hAnsi="Times New Roman"/>
          <w:lang w:val="en-GB"/>
        </w:rPr>
        <w:t xml:space="preserve">primary health care </w:t>
      </w:r>
      <w:r w:rsidRPr="00EE33FA">
        <w:rPr>
          <w:rFonts w:ascii="Times New Roman" w:hAnsi="Times New Roman"/>
          <w:lang w:val="en-GB"/>
        </w:rPr>
        <w:t>facilities</w:t>
      </w:r>
    </w:p>
    <w:p w14:paraId="560A189B" w14:textId="11841697" w:rsidR="008F2038" w:rsidRPr="00EE33FA" w:rsidRDefault="008F2038"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Weaknesses in cold chain knowledge and practices in some city maternity and polyclinics</w:t>
      </w:r>
    </w:p>
    <w:p w14:paraId="5C5ED9C8" w14:textId="1363503C" w:rsidR="008F2038" w:rsidRPr="00EE33FA" w:rsidRDefault="008F2038"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Sensitivity of the AEFI system not really known</w:t>
      </w:r>
    </w:p>
    <w:p w14:paraId="55B3124A" w14:textId="54CD1310" w:rsidR="00DD144D" w:rsidRPr="00EE33FA" w:rsidRDefault="008F2038"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lastRenderedPageBreak/>
        <w:t xml:space="preserve">Information recorded in the logbooks not always complete; may indicate staff overload and lack of time </w:t>
      </w:r>
    </w:p>
    <w:p w14:paraId="51D17A59"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Main recommendations</w:t>
      </w:r>
    </w:p>
    <w:p w14:paraId="2DCC51F0" w14:textId="77777777" w:rsidR="0042706F" w:rsidRPr="00EE33FA" w:rsidRDefault="0042706F"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GoG to continue allocating budget for cold chain in 2016 and 2017 to cover remaining need</w:t>
      </w:r>
    </w:p>
    <w:p w14:paraId="127029E0" w14:textId="14B1082A" w:rsidR="0042706F" w:rsidRPr="00EE33FA" w:rsidRDefault="0042706F"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 xml:space="preserve">Write and implement SOPs at DPHC and </w:t>
      </w:r>
      <w:r w:rsidR="008A6394" w:rsidRPr="00EE33FA">
        <w:rPr>
          <w:rFonts w:ascii="Times New Roman" w:hAnsi="Times New Roman"/>
          <w:lang w:val="en-GB"/>
        </w:rPr>
        <w:t xml:space="preserve">primary health care </w:t>
      </w:r>
      <w:r w:rsidRPr="00EE33FA">
        <w:rPr>
          <w:rFonts w:ascii="Times New Roman" w:hAnsi="Times New Roman"/>
          <w:lang w:val="en-GB"/>
        </w:rPr>
        <w:t>facility levels</w:t>
      </w:r>
    </w:p>
    <w:p w14:paraId="74032700" w14:textId="66863025" w:rsidR="0042706F" w:rsidRPr="00EE33FA" w:rsidRDefault="0042706F"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Conduct temperature monitoring study during transportation between DPHC and health facilities, and within health facilities</w:t>
      </w:r>
    </w:p>
    <w:p w14:paraId="37FC26C8" w14:textId="44F1F234" w:rsidR="0042706F" w:rsidRPr="00EE33FA" w:rsidRDefault="0042706F"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Review AEFI surveillance system sensitivity; train on AEFI detection and case definition</w:t>
      </w:r>
    </w:p>
    <w:p w14:paraId="6C4F7D86" w14:textId="3A16C169" w:rsidR="00DD144D" w:rsidRPr="00EE33FA" w:rsidRDefault="0042706F"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 xml:space="preserve">The </w:t>
      </w:r>
      <w:r w:rsidR="006211F7" w:rsidRPr="00EE33FA">
        <w:rPr>
          <w:rFonts w:ascii="Times New Roman" w:hAnsi="Times New Roman"/>
          <w:lang w:val="en-GB"/>
        </w:rPr>
        <w:t xml:space="preserve">Regulatory Authorities (NRA) </w:t>
      </w:r>
      <w:r w:rsidRPr="00EE33FA">
        <w:rPr>
          <w:rFonts w:ascii="Times New Roman" w:hAnsi="Times New Roman"/>
          <w:lang w:val="en-GB"/>
        </w:rPr>
        <w:t xml:space="preserve">to implement the Institutional Development Plan produced in 2014 </w:t>
      </w:r>
    </w:p>
    <w:p w14:paraId="408F6BAD" w14:textId="4FB047B7" w:rsidR="00DD144D" w:rsidRPr="00EE33FA" w:rsidRDefault="00EB360A" w:rsidP="0087400E">
      <w:pPr>
        <w:pStyle w:val="ListParagraph"/>
        <w:numPr>
          <w:ilvl w:val="0"/>
          <w:numId w:val="9"/>
        </w:numPr>
        <w:spacing w:before="240"/>
        <w:ind w:left="709" w:right="-1" w:hanging="181"/>
        <w:contextualSpacing w:val="0"/>
        <w:rPr>
          <w:rFonts w:ascii="Times New Roman" w:hAnsi="Times New Roman" w:cs="Times New Roman"/>
          <w:b/>
          <w:color w:val="4F81BD"/>
          <w:lang w:val="en-GB"/>
        </w:rPr>
      </w:pPr>
      <w:r w:rsidRPr="00EE33FA">
        <w:rPr>
          <w:rFonts w:ascii="Times New Roman" w:hAnsi="Times New Roman" w:cs="Times New Roman"/>
          <w:b/>
          <w:color w:val="4F81BD"/>
          <w:lang w:val="en-GB"/>
        </w:rPr>
        <w:t>Immun</w:t>
      </w:r>
      <w:r w:rsidR="00CC26FC" w:rsidRPr="00EE33FA">
        <w:rPr>
          <w:rFonts w:ascii="Times New Roman" w:hAnsi="Times New Roman" w:cs="Times New Roman"/>
          <w:b/>
          <w:color w:val="4F81BD"/>
          <w:lang w:val="en-GB"/>
        </w:rPr>
        <w:t>ization coverage and</w:t>
      </w:r>
      <w:r w:rsidRPr="00EE33FA">
        <w:rPr>
          <w:rFonts w:ascii="Times New Roman" w:hAnsi="Times New Roman" w:cs="Times New Roman"/>
          <w:b/>
          <w:color w:val="4F81BD"/>
          <w:lang w:val="en-GB"/>
        </w:rPr>
        <w:t xml:space="preserve"> monitoring, including program performance</w:t>
      </w:r>
    </w:p>
    <w:p w14:paraId="59229833"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achievements</w:t>
      </w:r>
    </w:p>
    <w:p w14:paraId="668055A5" w14:textId="77777777" w:rsidR="00577689" w:rsidRPr="00EE33FA" w:rsidRDefault="005776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Overall good immunization coverage system; data generally processed timely and complete</w:t>
      </w:r>
    </w:p>
    <w:p w14:paraId="64628E8E" w14:textId="799EA2FA" w:rsidR="00577689" w:rsidRPr="00EE33FA" w:rsidRDefault="005776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New immunization e-module introduction improving child registry, with ID number. Planned introduction of e-birth registration</w:t>
      </w:r>
    </w:p>
    <w:p w14:paraId="3403C1D7" w14:textId="55DF5179" w:rsidR="00577689" w:rsidRPr="00EE33FA" w:rsidRDefault="005776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Regular supervisory activities by NCDC in DPHC allowing checking the best practices and corrective action</w:t>
      </w:r>
    </w:p>
    <w:p w14:paraId="1F35B9E4" w14:textId="2B90E49B" w:rsidR="00DD144D" w:rsidRPr="00EE33FA" w:rsidRDefault="00577689"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No real financial problem to implement supervisory activities </w:t>
      </w:r>
    </w:p>
    <w:p w14:paraId="6B291FBD"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issues identified</w:t>
      </w:r>
    </w:p>
    <w:p w14:paraId="58B54154" w14:textId="77777777" w:rsidR="006B1D13" w:rsidRPr="00EE33FA" w:rsidRDefault="006B1D13"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Still too many differences not elucidated with target population figures</w:t>
      </w:r>
    </w:p>
    <w:p w14:paraId="3C980B7B" w14:textId="00443E62" w:rsidR="006B1D13" w:rsidRPr="00EE33FA" w:rsidRDefault="006B1D13"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Insufficient program performance monitoring by DPHC and primary health care facilities; limited data analysis</w:t>
      </w:r>
    </w:p>
    <w:p w14:paraId="2FFD50F7" w14:textId="2A6341F5" w:rsidR="006B1D13" w:rsidRPr="00EE33FA" w:rsidRDefault="006B1D13"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Immunization coverage</w:t>
      </w:r>
      <w:r w:rsidR="00BC31AB" w:rsidRPr="00EE33FA">
        <w:rPr>
          <w:rFonts w:ascii="Times New Roman" w:hAnsi="Times New Roman"/>
          <w:lang w:val="en-GB"/>
        </w:rPr>
        <w:t>s</w:t>
      </w:r>
      <w:r w:rsidRPr="00EE33FA">
        <w:rPr>
          <w:rFonts w:ascii="Times New Roman" w:hAnsi="Times New Roman"/>
          <w:lang w:val="en-GB"/>
        </w:rPr>
        <w:t xml:space="preserve"> are lower than the Regional target of 95%</w:t>
      </w:r>
    </w:p>
    <w:p w14:paraId="2417E10F" w14:textId="0586B440" w:rsidR="006B1D13" w:rsidRPr="00EE33FA" w:rsidRDefault="006B1D13" w:rsidP="0087400E">
      <w:pPr>
        <w:pStyle w:val="ListParagraph"/>
        <w:numPr>
          <w:ilvl w:val="0"/>
          <w:numId w:val="6"/>
        </w:numPr>
        <w:spacing w:before="60" w:after="60"/>
        <w:ind w:right="-142"/>
        <w:contextualSpacing w:val="0"/>
        <w:rPr>
          <w:rFonts w:ascii="Times New Roman" w:hAnsi="Times New Roman"/>
          <w:lang w:val="en-GB"/>
        </w:rPr>
      </w:pPr>
      <w:r w:rsidRPr="00EE33FA">
        <w:rPr>
          <w:rFonts w:ascii="Times New Roman" w:hAnsi="Times New Roman"/>
          <w:lang w:val="en-GB"/>
        </w:rPr>
        <w:t>High drop-out r</w:t>
      </w:r>
      <w:r w:rsidR="00BC31AB" w:rsidRPr="00EE33FA">
        <w:rPr>
          <w:rFonts w:ascii="Times New Roman" w:hAnsi="Times New Roman"/>
          <w:lang w:val="en-GB"/>
        </w:rPr>
        <w:t>ates (penta</w:t>
      </w:r>
      <w:r w:rsidRPr="00EE33FA">
        <w:rPr>
          <w:rFonts w:ascii="Times New Roman" w:hAnsi="Times New Roman"/>
          <w:lang w:val="en-GB"/>
        </w:rPr>
        <w:t>1-3, penta-MMR1), rotavirus va</w:t>
      </w:r>
      <w:r w:rsidR="00BC31AB" w:rsidRPr="00EE33FA">
        <w:rPr>
          <w:rFonts w:ascii="Times New Roman" w:hAnsi="Times New Roman"/>
          <w:lang w:val="en-GB"/>
        </w:rPr>
        <w:t>ccine coverage lower than penta</w:t>
      </w:r>
      <w:r w:rsidRPr="00EE33FA">
        <w:rPr>
          <w:rFonts w:ascii="Times New Roman" w:hAnsi="Times New Roman"/>
          <w:lang w:val="en-GB"/>
        </w:rPr>
        <w:t xml:space="preserve">1 and </w:t>
      </w:r>
      <w:r w:rsidR="00BC31AB" w:rsidRPr="00EE33FA">
        <w:rPr>
          <w:rFonts w:ascii="Times New Roman" w:hAnsi="Times New Roman"/>
          <w:lang w:val="en-GB"/>
        </w:rPr>
        <w:t>penta</w:t>
      </w:r>
      <w:r w:rsidRPr="00EE33FA">
        <w:rPr>
          <w:rFonts w:ascii="Times New Roman" w:hAnsi="Times New Roman"/>
          <w:lang w:val="en-GB"/>
        </w:rPr>
        <w:t>2</w:t>
      </w:r>
    </w:p>
    <w:p w14:paraId="23B3938B" w14:textId="51A30E3F" w:rsidR="00DD144D" w:rsidRPr="00EE33FA" w:rsidRDefault="006B1D13"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Some difficulties to supervise health facilities </w:t>
      </w:r>
    </w:p>
    <w:p w14:paraId="3B2FF4F7"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Main recommendations</w:t>
      </w:r>
    </w:p>
    <w:p w14:paraId="4EE56B8C" w14:textId="77777777" w:rsidR="004506C9" w:rsidRPr="00EE33FA" w:rsidRDefault="004506C9"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Ensure roll-out and proper use of the immunization e-module by all health facilities as soon as possible. Ensure linkage of birth registration system with immunization module</w:t>
      </w:r>
    </w:p>
    <w:p w14:paraId="525BB9FE" w14:textId="33F41CC5" w:rsidR="004506C9" w:rsidRPr="00EE33FA" w:rsidRDefault="004506C9"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Strengthen skills and accountabilities of DPHCs on data analysis and program performance monitoring</w:t>
      </w:r>
    </w:p>
    <w:p w14:paraId="23FB20D6" w14:textId="2973EA24" w:rsidR="004506C9" w:rsidRPr="00EE33FA" w:rsidRDefault="004506C9"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 xml:space="preserve">Explore ways to increase immunization coverage and decrease </w:t>
      </w:r>
      <w:r w:rsidR="00CC26FC" w:rsidRPr="00EE33FA">
        <w:rPr>
          <w:rFonts w:ascii="Times New Roman" w:hAnsi="Times New Roman"/>
          <w:lang w:val="en-GB"/>
        </w:rPr>
        <w:t>drop-out rates, engaging MLHSA and</w:t>
      </w:r>
      <w:r w:rsidRPr="00EE33FA">
        <w:rPr>
          <w:rFonts w:ascii="Times New Roman" w:hAnsi="Times New Roman"/>
          <w:lang w:val="en-GB"/>
        </w:rPr>
        <w:t xml:space="preserve"> SSA</w:t>
      </w:r>
    </w:p>
    <w:p w14:paraId="39D58DC9" w14:textId="4C396773" w:rsidR="00DD144D" w:rsidRPr="00EE33FA" w:rsidRDefault="004506C9"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 xml:space="preserve">Maintain the extent and the quality of supportive supervision to ensure the full quality of the immunization program </w:t>
      </w:r>
    </w:p>
    <w:p w14:paraId="50AD1AA1" w14:textId="5A92D702" w:rsidR="00DD144D" w:rsidRPr="00EE33FA" w:rsidRDefault="004506C9" w:rsidP="0087400E">
      <w:pPr>
        <w:pStyle w:val="ListParagraph"/>
        <w:numPr>
          <w:ilvl w:val="0"/>
          <w:numId w:val="9"/>
        </w:numPr>
        <w:spacing w:before="240"/>
        <w:ind w:left="709" w:right="-1" w:hanging="181"/>
        <w:contextualSpacing w:val="0"/>
        <w:rPr>
          <w:rFonts w:ascii="Times New Roman" w:hAnsi="Times New Roman" w:cs="Times New Roman"/>
          <w:b/>
          <w:color w:val="4F81BD"/>
          <w:lang w:val="en-GB"/>
        </w:rPr>
      </w:pPr>
      <w:r w:rsidRPr="00EE33FA">
        <w:rPr>
          <w:rFonts w:ascii="Times New Roman" w:hAnsi="Times New Roman" w:cs="Times New Roman"/>
          <w:b/>
          <w:color w:val="4F81BD"/>
          <w:lang w:val="en-GB"/>
        </w:rPr>
        <w:t xml:space="preserve">VDP surveillance </w:t>
      </w:r>
      <w:r w:rsidR="00CC26FC" w:rsidRPr="00EE33FA">
        <w:rPr>
          <w:rFonts w:ascii="Times New Roman" w:hAnsi="Times New Roman" w:cs="Times New Roman"/>
          <w:b/>
          <w:color w:val="4F81BD"/>
          <w:lang w:val="en-GB"/>
        </w:rPr>
        <w:t>and</w:t>
      </w:r>
      <w:r w:rsidRPr="00EE33FA">
        <w:rPr>
          <w:rFonts w:ascii="Times New Roman" w:hAnsi="Times New Roman" w:cs="Times New Roman"/>
          <w:b/>
          <w:color w:val="4F81BD"/>
          <w:lang w:val="en-GB"/>
        </w:rPr>
        <w:t xml:space="preserve"> diseases control (polio, measles/rubella, hepatitis B)</w:t>
      </w:r>
    </w:p>
    <w:p w14:paraId="1BE37EB0"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achievements</w:t>
      </w:r>
    </w:p>
    <w:p w14:paraId="40FA21A7" w14:textId="77777777" w:rsidR="000A37EA" w:rsidRPr="00EE33FA" w:rsidRDefault="000A37EA"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VPD surveillance well established and functional</w:t>
      </w:r>
    </w:p>
    <w:p w14:paraId="56E9D710" w14:textId="4A717EEB" w:rsidR="000A37EA" w:rsidRPr="00EE33FA" w:rsidRDefault="000A37EA"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Availability of EIDS</w:t>
      </w:r>
      <w:r w:rsidR="005E280B" w:rsidRPr="00EE33FA">
        <w:rPr>
          <w:rFonts w:ascii="Times New Roman" w:hAnsi="Times New Roman"/>
          <w:lang w:val="en-GB"/>
        </w:rPr>
        <w:t xml:space="preserve">S - online system of case based </w:t>
      </w:r>
      <w:r w:rsidRPr="00EE33FA">
        <w:rPr>
          <w:rFonts w:ascii="Times New Roman" w:hAnsi="Times New Roman"/>
          <w:lang w:val="en-GB"/>
        </w:rPr>
        <w:t>detection</w:t>
      </w:r>
      <w:r w:rsidR="00D97733" w:rsidRPr="00EE33FA">
        <w:rPr>
          <w:rFonts w:ascii="Times New Roman" w:hAnsi="Times New Roman"/>
          <w:lang w:val="en-GB"/>
        </w:rPr>
        <w:t xml:space="preserve"> </w:t>
      </w:r>
      <w:r w:rsidRPr="00EE33FA">
        <w:rPr>
          <w:rFonts w:ascii="Times New Roman" w:hAnsi="Times New Roman"/>
          <w:lang w:val="en-GB"/>
        </w:rPr>
        <w:t>/</w:t>
      </w:r>
      <w:r w:rsidR="00D97733" w:rsidRPr="00EE33FA">
        <w:rPr>
          <w:rFonts w:ascii="Times New Roman" w:hAnsi="Times New Roman"/>
          <w:lang w:val="en-GB"/>
        </w:rPr>
        <w:t xml:space="preserve"> </w:t>
      </w:r>
      <w:r w:rsidRPr="00EE33FA">
        <w:rPr>
          <w:rFonts w:ascii="Times New Roman" w:hAnsi="Times New Roman"/>
          <w:lang w:val="en-GB"/>
        </w:rPr>
        <w:t>notification</w:t>
      </w:r>
      <w:r w:rsidR="00D97733" w:rsidRPr="00EE33FA">
        <w:rPr>
          <w:rFonts w:ascii="Times New Roman" w:hAnsi="Times New Roman"/>
          <w:lang w:val="en-GB"/>
        </w:rPr>
        <w:t xml:space="preserve"> </w:t>
      </w:r>
      <w:r w:rsidRPr="00EE33FA">
        <w:rPr>
          <w:rFonts w:ascii="Times New Roman" w:hAnsi="Times New Roman"/>
          <w:lang w:val="en-GB"/>
        </w:rPr>
        <w:t>/</w:t>
      </w:r>
      <w:r w:rsidR="00D97733" w:rsidRPr="00EE33FA">
        <w:rPr>
          <w:rFonts w:ascii="Times New Roman" w:hAnsi="Times New Roman"/>
          <w:lang w:val="en-GB"/>
        </w:rPr>
        <w:t xml:space="preserve"> </w:t>
      </w:r>
      <w:r w:rsidRPr="00EE33FA">
        <w:rPr>
          <w:rFonts w:ascii="Times New Roman" w:hAnsi="Times New Roman"/>
          <w:lang w:val="en-GB"/>
        </w:rPr>
        <w:t>reporting</w:t>
      </w:r>
      <w:r w:rsidR="00D97733" w:rsidRPr="00EE33FA">
        <w:rPr>
          <w:rFonts w:ascii="Times New Roman" w:hAnsi="Times New Roman"/>
          <w:lang w:val="en-GB"/>
        </w:rPr>
        <w:t xml:space="preserve"> </w:t>
      </w:r>
      <w:r w:rsidRPr="00EE33FA">
        <w:rPr>
          <w:rFonts w:ascii="Times New Roman" w:hAnsi="Times New Roman"/>
          <w:lang w:val="en-GB"/>
        </w:rPr>
        <w:t>/</w:t>
      </w:r>
      <w:r w:rsidR="00D97733" w:rsidRPr="00EE33FA">
        <w:rPr>
          <w:rFonts w:ascii="Times New Roman" w:hAnsi="Times New Roman"/>
          <w:lang w:val="en-GB"/>
        </w:rPr>
        <w:t xml:space="preserve"> </w:t>
      </w:r>
      <w:r w:rsidRPr="00EE33FA">
        <w:rPr>
          <w:rFonts w:ascii="Times New Roman" w:hAnsi="Times New Roman"/>
          <w:lang w:val="en-GB"/>
        </w:rPr>
        <w:t>investigation</w:t>
      </w:r>
      <w:r w:rsidR="00D97733" w:rsidRPr="00EE33FA">
        <w:rPr>
          <w:rFonts w:ascii="Times New Roman" w:hAnsi="Times New Roman"/>
          <w:lang w:val="en-GB"/>
        </w:rPr>
        <w:t xml:space="preserve"> </w:t>
      </w:r>
      <w:r w:rsidRPr="00EE33FA">
        <w:rPr>
          <w:rFonts w:ascii="Times New Roman" w:hAnsi="Times New Roman"/>
          <w:lang w:val="en-GB"/>
        </w:rPr>
        <w:t>/</w:t>
      </w:r>
      <w:r w:rsidR="00D97733" w:rsidRPr="00EE33FA">
        <w:rPr>
          <w:rFonts w:ascii="Times New Roman" w:hAnsi="Times New Roman"/>
          <w:lang w:val="en-GB"/>
        </w:rPr>
        <w:t xml:space="preserve"> </w:t>
      </w:r>
      <w:r w:rsidRPr="00EE33FA">
        <w:rPr>
          <w:rFonts w:ascii="Times New Roman" w:hAnsi="Times New Roman"/>
          <w:lang w:val="en-GB"/>
        </w:rPr>
        <w:t>analysis</w:t>
      </w:r>
    </w:p>
    <w:p w14:paraId="63EC6105" w14:textId="7A2878F2" w:rsidR="000A37EA" w:rsidRPr="00EE33FA" w:rsidRDefault="000A37EA"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Data detection and reporting in general satisfactory; timeliness/completeness satisfactory; data analysis well done at national and district levels (including outbreak analysis)</w:t>
      </w:r>
    </w:p>
    <w:p w14:paraId="7E52DF58" w14:textId="556A91B8" w:rsidR="000A37EA" w:rsidRPr="00EE33FA" w:rsidRDefault="000A37EA"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lastRenderedPageBreak/>
        <w:t xml:space="preserve">Availability of modern up-to-date laboratories at Lugar </w:t>
      </w:r>
      <w:r w:rsidR="00155F22" w:rsidRPr="00EE33FA">
        <w:rPr>
          <w:rFonts w:ascii="Times New Roman" w:hAnsi="Times New Roman"/>
          <w:lang w:val="en-GB"/>
        </w:rPr>
        <w:t>Centre</w:t>
      </w:r>
      <w:r w:rsidRPr="00EE33FA">
        <w:rPr>
          <w:rFonts w:ascii="Times New Roman" w:hAnsi="Times New Roman"/>
          <w:lang w:val="en-GB"/>
        </w:rPr>
        <w:t xml:space="preserve">; WHO-accredited national laboratories for polio, measles, and rubella </w:t>
      </w:r>
    </w:p>
    <w:p w14:paraId="4C4F2DB3" w14:textId="1ACCC658" w:rsidR="000A37EA" w:rsidRPr="00EE33FA" w:rsidRDefault="000A37EA"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Plans to further strengthen laboratory component, particularly using molecular-based methods</w:t>
      </w:r>
    </w:p>
    <w:p w14:paraId="017FE482" w14:textId="2DDF4EDD" w:rsidR="00DD144D" w:rsidRPr="00EE33FA" w:rsidRDefault="000A37EA"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Continued collaboration and support from partners (CDC, DTRA, WHO, etc.) </w:t>
      </w:r>
    </w:p>
    <w:p w14:paraId="226DF60B"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Major issues identified</w:t>
      </w:r>
    </w:p>
    <w:p w14:paraId="5063FF52" w14:textId="77777777" w:rsidR="000A37EA" w:rsidRPr="00EE33FA" w:rsidRDefault="000A37EA"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Limited laboratory confirmation of VPD cases</w:t>
      </w:r>
    </w:p>
    <w:p w14:paraId="2746DB63" w14:textId="044EB8FF" w:rsidR="000A37EA" w:rsidRPr="00EE33FA" w:rsidRDefault="000A37EA"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Challenge with specimen collecting (e.g. blood sample)</w:t>
      </w:r>
    </w:p>
    <w:p w14:paraId="645B1C56" w14:textId="55A71440" w:rsidR="000A37EA" w:rsidRPr="00EE33FA" w:rsidRDefault="00155F22"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Out-dated</w:t>
      </w:r>
      <w:r w:rsidR="000A37EA" w:rsidRPr="00EE33FA">
        <w:rPr>
          <w:rFonts w:ascii="Times New Roman" w:hAnsi="Times New Roman"/>
          <w:lang w:val="en-GB"/>
        </w:rPr>
        <w:t xml:space="preserve"> surveillance guidelines for measles, rubella, and CRS</w:t>
      </w:r>
    </w:p>
    <w:p w14:paraId="165AF200" w14:textId="54F24D30" w:rsidR="000A37EA" w:rsidRPr="00EE33FA" w:rsidRDefault="000A37EA"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Very weak CRS surveillance</w:t>
      </w:r>
    </w:p>
    <w:p w14:paraId="6F84BAEB" w14:textId="67ECA8C9" w:rsidR="00DD144D" w:rsidRPr="00EE33FA" w:rsidRDefault="000A37EA"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Threat to achieving measles and rubella elimination goal </w:t>
      </w:r>
    </w:p>
    <w:p w14:paraId="5203B42E" w14:textId="77777777" w:rsidR="00DD144D" w:rsidRPr="00EE33FA" w:rsidRDefault="00DD144D" w:rsidP="00B11AC8">
      <w:pPr>
        <w:spacing w:before="120"/>
        <w:ind w:right="-1" w:firstLine="360"/>
        <w:rPr>
          <w:b/>
          <w:color w:val="000000" w:themeColor="text1"/>
          <w:lang w:val="en-GB"/>
        </w:rPr>
      </w:pPr>
      <w:r w:rsidRPr="00EE33FA">
        <w:rPr>
          <w:b/>
          <w:color w:val="000000" w:themeColor="text1"/>
          <w:lang w:val="en-GB"/>
        </w:rPr>
        <w:t>Main recommendations</w:t>
      </w:r>
    </w:p>
    <w:p w14:paraId="0485315F" w14:textId="77777777" w:rsidR="000A37EA" w:rsidRPr="00EE33FA" w:rsidRDefault="000A37EA"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Scale up measles and rubella elimination efforts through high political commitment, developing national plan and implementing appropriate strategies</w:t>
      </w:r>
    </w:p>
    <w:p w14:paraId="04C3CE73" w14:textId="50950B48" w:rsidR="000A37EA" w:rsidRPr="00EE33FA" w:rsidRDefault="000A37EA"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Continue efforts to implement polio “end game” strategies and maintain polio-free status</w:t>
      </w:r>
    </w:p>
    <w:p w14:paraId="66D3D4F2" w14:textId="00DEBC7A" w:rsidR="000A37EA" w:rsidRPr="00EE33FA" w:rsidRDefault="000A37EA"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Strengthen VPD surveillance by reintroducing case based reporting of hepatitis B and implementing CRS surveillance; explore ways to improve specimen collection</w:t>
      </w:r>
    </w:p>
    <w:p w14:paraId="679D2733" w14:textId="7BF13656" w:rsidR="000A37EA" w:rsidRPr="00EE33FA" w:rsidRDefault="000A37EA" w:rsidP="0087400E">
      <w:pPr>
        <w:pStyle w:val="ListParagraph"/>
        <w:numPr>
          <w:ilvl w:val="0"/>
          <w:numId w:val="10"/>
        </w:numPr>
        <w:spacing w:before="60" w:after="60"/>
        <w:ind w:right="-1"/>
        <w:contextualSpacing w:val="0"/>
        <w:rPr>
          <w:rFonts w:ascii="Times New Roman" w:hAnsi="Times New Roman"/>
          <w:lang w:val="en-GB"/>
        </w:rPr>
      </w:pPr>
      <w:r w:rsidRPr="00EE33FA">
        <w:rPr>
          <w:rFonts w:ascii="Times New Roman" w:hAnsi="Times New Roman"/>
          <w:lang w:val="en-GB"/>
        </w:rPr>
        <w:t>Consider establishing syndromic surveillance for diseases with fever and skin rash, to improve measles and rubella case detection</w:t>
      </w:r>
    </w:p>
    <w:p w14:paraId="1147022E" w14:textId="77777777" w:rsidR="000A37EA" w:rsidRPr="00EE33FA" w:rsidRDefault="000A37EA" w:rsidP="00B11AC8">
      <w:pPr>
        <w:spacing w:before="60" w:after="60"/>
        <w:ind w:right="-1"/>
        <w:rPr>
          <w:lang w:val="en-GB"/>
        </w:rPr>
      </w:pPr>
    </w:p>
    <w:p w14:paraId="7874BF43" w14:textId="77777777" w:rsidR="00D74B7A" w:rsidRPr="00EE33FA" w:rsidRDefault="00D74B7A" w:rsidP="00142D50">
      <w:pPr>
        <w:pStyle w:val="Heading1"/>
        <w:rPr>
          <w:lang w:val="en-GB"/>
        </w:rPr>
        <w:sectPr w:rsidR="00D74B7A" w:rsidRPr="00EE33FA" w:rsidSect="00B11AC8">
          <w:pgSz w:w="12240" w:h="15840"/>
          <w:pgMar w:top="1151" w:right="758" w:bottom="993" w:left="851" w:header="720" w:footer="720" w:gutter="0"/>
          <w:cols w:space="720"/>
          <w:titlePg/>
          <w:docGrid w:linePitch="360"/>
        </w:sectPr>
      </w:pPr>
    </w:p>
    <w:p w14:paraId="6B9A8439" w14:textId="77777777" w:rsidR="005165F4" w:rsidRPr="00EE33FA" w:rsidRDefault="005165F4">
      <w:pPr>
        <w:rPr>
          <w:rFonts w:ascii="Calibri" w:hAnsi="Calibri"/>
          <w:b/>
          <w:bCs/>
          <w:i/>
          <w:color w:val="4F81BD"/>
          <w:sz w:val="36"/>
          <w:szCs w:val="36"/>
          <w:lang w:val="en-GB"/>
        </w:rPr>
      </w:pPr>
      <w:bookmarkStart w:id="4" w:name="_Toc288065153"/>
      <w:bookmarkStart w:id="5" w:name="_Toc290215921"/>
      <w:r w:rsidRPr="00EE33FA">
        <w:rPr>
          <w:sz w:val="36"/>
          <w:szCs w:val="36"/>
          <w:lang w:val="en-GB"/>
        </w:rPr>
        <w:lastRenderedPageBreak/>
        <w:br w:type="page"/>
      </w:r>
    </w:p>
    <w:p w14:paraId="7EA64855" w14:textId="1EC44BBE" w:rsidR="00142D50" w:rsidRPr="00EE33FA" w:rsidRDefault="00142D50" w:rsidP="00142D50">
      <w:pPr>
        <w:pStyle w:val="Heading1"/>
        <w:rPr>
          <w:sz w:val="36"/>
          <w:szCs w:val="36"/>
          <w:lang w:val="en-GB"/>
        </w:rPr>
      </w:pPr>
      <w:bookmarkStart w:id="6" w:name="_Toc303889487"/>
      <w:r w:rsidRPr="00EE33FA">
        <w:rPr>
          <w:sz w:val="36"/>
          <w:szCs w:val="36"/>
          <w:lang w:val="en-GB"/>
        </w:rPr>
        <w:lastRenderedPageBreak/>
        <w:t>Acknowledgements</w:t>
      </w:r>
      <w:bookmarkEnd w:id="4"/>
      <w:bookmarkEnd w:id="5"/>
      <w:bookmarkEnd w:id="6"/>
    </w:p>
    <w:p w14:paraId="308E2F00" w14:textId="2B11A81D" w:rsidR="00DB0DB1" w:rsidRPr="00EE33FA" w:rsidRDefault="00142D50" w:rsidP="00DB0DB1">
      <w:pPr>
        <w:spacing w:before="360" w:line="360" w:lineRule="auto"/>
        <w:ind w:firstLine="357"/>
        <w:jc w:val="both"/>
        <w:rPr>
          <w:lang w:val="en-GB"/>
        </w:rPr>
      </w:pPr>
      <w:r w:rsidRPr="00EE33FA">
        <w:rPr>
          <w:lang w:val="en-GB"/>
        </w:rPr>
        <w:t xml:space="preserve">We would like to express our sincere gratitude and appreciation to </w:t>
      </w:r>
      <w:r w:rsidR="00DB0DB1" w:rsidRPr="00EE33FA">
        <w:rPr>
          <w:lang w:val="en-GB"/>
        </w:rPr>
        <w:t xml:space="preserve">Dr Valery Kvaratskhelia, Deputy Minister, MLHSA; Dr Amiran Gamkrelidze, General Director, NCDC; </w:t>
      </w:r>
      <w:r w:rsidR="001C01BF" w:rsidRPr="00EE33FA">
        <w:rPr>
          <w:lang w:val="en-GB"/>
        </w:rPr>
        <w:t xml:space="preserve">Dr </w:t>
      </w:r>
      <w:r w:rsidR="00DB0DB1" w:rsidRPr="00EE33FA">
        <w:rPr>
          <w:lang w:val="en-GB"/>
        </w:rPr>
        <w:t>Marina Darakhvelidze, Head of Health Care Department, MLHSA</w:t>
      </w:r>
      <w:r w:rsidR="001C01BF" w:rsidRPr="00EE33FA">
        <w:rPr>
          <w:lang w:val="en-GB"/>
        </w:rPr>
        <w:t>.</w:t>
      </w:r>
    </w:p>
    <w:p w14:paraId="6A5D2AA3" w14:textId="567A0976" w:rsidR="00142D50" w:rsidRPr="00EE33FA" w:rsidRDefault="00142D50" w:rsidP="00142D50">
      <w:pPr>
        <w:spacing w:before="360" w:line="360" w:lineRule="auto"/>
        <w:ind w:firstLine="357"/>
        <w:jc w:val="both"/>
        <w:rPr>
          <w:lang w:val="en-GB"/>
        </w:rPr>
      </w:pPr>
      <w:r w:rsidRPr="00EE33FA">
        <w:rPr>
          <w:lang w:val="en-GB"/>
        </w:rPr>
        <w:t xml:space="preserve">Special thanks for their continuous contribution throughout the review to </w:t>
      </w:r>
      <w:r w:rsidR="00DB0DB1" w:rsidRPr="00EE33FA">
        <w:rPr>
          <w:lang w:val="en-GB"/>
        </w:rPr>
        <w:t xml:space="preserve">Dr </w:t>
      </w:r>
      <w:r w:rsidR="001C01BF" w:rsidRPr="00EE33FA">
        <w:rPr>
          <w:lang w:val="en-GB"/>
        </w:rPr>
        <w:t>Lia Jabidze, Head of Immunoprophylaxis Division, NCDC and all her team in NCDC</w:t>
      </w:r>
      <w:r w:rsidR="00942576" w:rsidRPr="00EE33FA">
        <w:rPr>
          <w:lang w:val="en-GB"/>
        </w:rPr>
        <w:t>.</w:t>
      </w:r>
    </w:p>
    <w:p w14:paraId="1339AF6C" w14:textId="77777777" w:rsidR="009C37E3" w:rsidRPr="00EE33FA" w:rsidRDefault="009C37E3" w:rsidP="009C37E3">
      <w:pPr>
        <w:pStyle w:val="Heading1"/>
        <w:rPr>
          <w:sz w:val="36"/>
          <w:szCs w:val="36"/>
          <w:lang w:val="en-GB"/>
        </w:rPr>
      </w:pPr>
      <w:r w:rsidRPr="00EE33FA">
        <w:rPr>
          <w:lang w:val="en-GB"/>
        </w:rPr>
        <w:br w:type="page"/>
      </w:r>
      <w:bookmarkStart w:id="7" w:name="_Toc288065154"/>
      <w:bookmarkStart w:id="8" w:name="_Toc290215922"/>
      <w:bookmarkStart w:id="9" w:name="_Toc303889488"/>
      <w:r w:rsidRPr="00EE33FA">
        <w:rPr>
          <w:sz w:val="36"/>
          <w:szCs w:val="36"/>
          <w:lang w:val="en-GB"/>
        </w:rPr>
        <w:lastRenderedPageBreak/>
        <w:t>List of Acronyms</w:t>
      </w:r>
      <w:bookmarkEnd w:id="7"/>
      <w:bookmarkEnd w:id="8"/>
      <w:bookmarkEnd w:id="9"/>
    </w:p>
    <w:p w14:paraId="270B6D8B" w14:textId="77777777" w:rsidR="009C37E3" w:rsidRPr="00EE33FA" w:rsidRDefault="009C37E3" w:rsidP="009C37E3">
      <w:pPr>
        <w:rPr>
          <w:lang w:val="en-GB"/>
        </w:rPr>
      </w:pPr>
    </w:p>
    <w:p w14:paraId="7C7646E2" w14:textId="77777777" w:rsidR="009C37E3" w:rsidRPr="00EE33FA" w:rsidRDefault="009C37E3" w:rsidP="009C37E3">
      <w:pPr>
        <w:tabs>
          <w:tab w:val="left" w:pos="2174"/>
        </w:tabs>
        <w:ind w:left="720"/>
        <w:rPr>
          <w:lang w:val="en-GB"/>
        </w:rPr>
      </w:pPr>
      <w:r w:rsidRPr="00EE33FA">
        <w:rPr>
          <w:lang w:val="en-GB"/>
        </w:rPr>
        <w:t>AD syringe</w:t>
      </w:r>
      <w:r w:rsidRPr="00EE33FA">
        <w:rPr>
          <w:lang w:val="en-GB"/>
        </w:rPr>
        <w:tab/>
        <w:t>Auto-Disable Syringe</w:t>
      </w:r>
    </w:p>
    <w:p w14:paraId="608A40B0" w14:textId="77777777" w:rsidR="009C37E3" w:rsidRPr="00EE33FA" w:rsidRDefault="009C37E3" w:rsidP="009C37E3">
      <w:pPr>
        <w:tabs>
          <w:tab w:val="left" w:pos="2174"/>
        </w:tabs>
        <w:ind w:left="720"/>
        <w:rPr>
          <w:lang w:val="en-GB"/>
        </w:rPr>
      </w:pPr>
      <w:r w:rsidRPr="00EE33FA">
        <w:rPr>
          <w:lang w:val="en-GB"/>
        </w:rPr>
        <w:t>AEFI</w:t>
      </w:r>
      <w:r w:rsidRPr="00EE33FA">
        <w:rPr>
          <w:lang w:val="en-GB"/>
        </w:rPr>
        <w:tab/>
        <w:t>Adverse Events Following Immunization</w:t>
      </w:r>
    </w:p>
    <w:p w14:paraId="32E0920E" w14:textId="77777777" w:rsidR="009C37E3" w:rsidRPr="00EE33FA" w:rsidRDefault="009C37E3" w:rsidP="009C37E3">
      <w:pPr>
        <w:tabs>
          <w:tab w:val="left" w:pos="2174"/>
        </w:tabs>
        <w:ind w:left="720"/>
        <w:rPr>
          <w:lang w:val="en-GB"/>
        </w:rPr>
      </w:pPr>
      <w:r w:rsidRPr="00EE33FA">
        <w:rPr>
          <w:lang w:val="en-GB"/>
        </w:rPr>
        <w:t>AFP</w:t>
      </w:r>
      <w:r w:rsidRPr="00EE33FA">
        <w:rPr>
          <w:lang w:val="en-GB"/>
        </w:rPr>
        <w:tab/>
        <w:t>Acute Flaccid Paralysis</w:t>
      </w:r>
    </w:p>
    <w:p w14:paraId="6C4FEF10" w14:textId="77777777" w:rsidR="009C37E3" w:rsidRPr="00EE33FA" w:rsidRDefault="009C37E3" w:rsidP="009C37E3">
      <w:pPr>
        <w:tabs>
          <w:tab w:val="left" w:pos="2174"/>
        </w:tabs>
        <w:ind w:left="720"/>
        <w:rPr>
          <w:lang w:val="en-GB"/>
        </w:rPr>
      </w:pPr>
      <w:r w:rsidRPr="00EE33FA">
        <w:rPr>
          <w:lang w:val="en-GB"/>
        </w:rPr>
        <w:t>BCG</w:t>
      </w:r>
      <w:r w:rsidRPr="00EE33FA">
        <w:rPr>
          <w:lang w:val="en-GB"/>
        </w:rPr>
        <w:tab/>
        <w:t>Bacillus Calmette Guerin (tuberculosis vaccine)</w:t>
      </w:r>
    </w:p>
    <w:p w14:paraId="519319B2" w14:textId="77777777" w:rsidR="009C37E3" w:rsidRPr="00EE33FA" w:rsidRDefault="009C37E3" w:rsidP="009C37E3">
      <w:pPr>
        <w:tabs>
          <w:tab w:val="left" w:pos="2174"/>
        </w:tabs>
        <w:ind w:left="720"/>
        <w:rPr>
          <w:lang w:val="en-GB"/>
        </w:rPr>
      </w:pPr>
      <w:r w:rsidRPr="00EE33FA">
        <w:rPr>
          <w:lang w:val="en-GB"/>
        </w:rPr>
        <w:t>bOPV</w:t>
      </w:r>
      <w:r w:rsidRPr="00EE33FA">
        <w:rPr>
          <w:lang w:val="en-GB"/>
        </w:rPr>
        <w:tab/>
        <w:t>Bivalent Oral Polio Vaccine</w:t>
      </w:r>
    </w:p>
    <w:p w14:paraId="134D9643" w14:textId="41FF4608" w:rsidR="009C37E3" w:rsidRPr="00EE33FA" w:rsidRDefault="009C37E3" w:rsidP="009C37E3">
      <w:pPr>
        <w:tabs>
          <w:tab w:val="left" w:pos="2174"/>
        </w:tabs>
        <w:ind w:left="720"/>
        <w:rPr>
          <w:lang w:val="en-GB"/>
        </w:rPr>
      </w:pPr>
      <w:r w:rsidRPr="00EE33FA">
        <w:rPr>
          <w:lang w:val="en-GB"/>
        </w:rPr>
        <w:t>cMYP</w:t>
      </w:r>
      <w:r w:rsidRPr="00EE33FA">
        <w:rPr>
          <w:lang w:val="en-GB"/>
        </w:rPr>
        <w:tab/>
        <w:t xml:space="preserve">Comprehensive Multi-Year Plan </w:t>
      </w:r>
      <w:r w:rsidR="00555FA5" w:rsidRPr="00EE33FA">
        <w:rPr>
          <w:lang w:val="en-GB"/>
        </w:rPr>
        <w:t>(on i</w:t>
      </w:r>
      <w:r w:rsidRPr="00EE33FA">
        <w:rPr>
          <w:lang w:val="en-GB"/>
        </w:rPr>
        <w:t>mmunization</w:t>
      </w:r>
      <w:r w:rsidR="00555FA5" w:rsidRPr="00EE33FA">
        <w:rPr>
          <w:lang w:val="en-GB"/>
        </w:rPr>
        <w:t>)</w:t>
      </w:r>
    </w:p>
    <w:p w14:paraId="228A3E97" w14:textId="77777777" w:rsidR="009C37E3" w:rsidRPr="00EE33FA" w:rsidRDefault="009C37E3" w:rsidP="009C37E3">
      <w:pPr>
        <w:tabs>
          <w:tab w:val="left" w:pos="2174"/>
        </w:tabs>
        <w:ind w:left="720"/>
        <w:rPr>
          <w:lang w:val="en-GB"/>
        </w:rPr>
      </w:pPr>
      <w:r w:rsidRPr="00EE33FA">
        <w:rPr>
          <w:lang w:val="en-GB"/>
        </w:rPr>
        <w:t>CRS</w:t>
      </w:r>
      <w:r w:rsidRPr="00EE33FA">
        <w:rPr>
          <w:lang w:val="en-GB"/>
        </w:rPr>
        <w:tab/>
        <w:t>Congenital Rubella Syndrome</w:t>
      </w:r>
    </w:p>
    <w:p w14:paraId="2C8FEDD0" w14:textId="77777777" w:rsidR="009C37E3" w:rsidRPr="00EE33FA" w:rsidRDefault="009C37E3" w:rsidP="009C37E3">
      <w:pPr>
        <w:tabs>
          <w:tab w:val="left" w:pos="2174"/>
        </w:tabs>
        <w:ind w:left="720"/>
        <w:rPr>
          <w:lang w:val="en-GB"/>
        </w:rPr>
      </w:pPr>
      <w:r w:rsidRPr="00EE33FA">
        <w:rPr>
          <w:lang w:val="en-GB"/>
        </w:rPr>
        <w:t>DTP</w:t>
      </w:r>
      <w:r w:rsidRPr="00EE33FA">
        <w:rPr>
          <w:lang w:val="en-GB"/>
        </w:rPr>
        <w:tab/>
        <w:t>Diphtheria-Tetanus-Pertussis vaccine</w:t>
      </w:r>
    </w:p>
    <w:p w14:paraId="28A31EEE" w14:textId="77777777" w:rsidR="009C37E3" w:rsidRPr="00EE33FA" w:rsidRDefault="00A35490" w:rsidP="009C37E3">
      <w:pPr>
        <w:tabs>
          <w:tab w:val="left" w:pos="2174"/>
        </w:tabs>
        <w:ind w:left="720"/>
        <w:rPr>
          <w:lang w:val="en-GB"/>
        </w:rPr>
      </w:pPr>
      <w:r w:rsidRPr="00EE33FA">
        <w:rPr>
          <w:lang w:val="en-GB"/>
        </w:rPr>
        <w:t>DPHC</w:t>
      </w:r>
      <w:r w:rsidR="009C37E3" w:rsidRPr="00EE33FA">
        <w:rPr>
          <w:lang w:val="en-GB"/>
        </w:rPr>
        <w:tab/>
        <w:t xml:space="preserve">District </w:t>
      </w:r>
      <w:r w:rsidRPr="00EE33FA">
        <w:rPr>
          <w:lang w:val="en-GB"/>
        </w:rPr>
        <w:t>Public Health Centre (Municipality PHC)</w:t>
      </w:r>
    </w:p>
    <w:p w14:paraId="14E64630" w14:textId="77777777" w:rsidR="009C37E3" w:rsidRPr="00EE33FA" w:rsidRDefault="009C37E3" w:rsidP="009C37E3">
      <w:pPr>
        <w:tabs>
          <w:tab w:val="left" w:pos="2174"/>
        </w:tabs>
        <w:ind w:left="720"/>
        <w:rPr>
          <w:lang w:val="en-GB"/>
        </w:rPr>
      </w:pPr>
      <w:r w:rsidRPr="00EE33FA">
        <w:rPr>
          <w:lang w:val="en-GB"/>
        </w:rPr>
        <w:t>DT/Td</w:t>
      </w:r>
      <w:r w:rsidRPr="00EE33FA">
        <w:rPr>
          <w:lang w:val="en-GB"/>
        </w:rPr>
        <w:tab/>
        <w:t>Diphtheria-Tetanus Vaccine</w:t>
      </w:r>
    </w:p>
    <w:p w14:paraId="079A9C94" w14:textId="77C62E55" w:rsidR="00682336" w:rsidRPr="00EE33FA" w:rsidRDefault="00682336" w:rsidP="009C37E3">
      <w:pPr>
        <w:tabs>
          <w:tab w:val="left" w:pos="2174"/>
        </w:tabs>
        <w:ind w:left="720"/>
        <w:rPr>
          <w:lang w:val="en-GB"/>
        </w:rPr>
      </w:pPr>
      <w:r w:rsidRPr="00EE33FA">
        <w:rPr>
          <w:lang w:val="en-GB"/>
        </w:rPr>
        <w:t>EVAP</w:t>
      </w:r>
      <w:r w:rsidRPr="00EE33FA">
        <w:rPr>
          <w:lang w:val="en-GB"/>
        </w:rPr>
        <w:tab/>
        <w:t>European Vaccine Action Plan</w:t>
      </w:r>
    </w:p>
    <w:p w14:paraId="0B187D09" w14:textId="77777777" w:rsidR="009C37E3" w:rsidRPr="00EE33FA" w:rsidRDefault="009C37E3" w:rsidP="009C37E3">
      <w:pPr>
        <w:tabs>
          <w:tab w:val="left" w:pos="2174"/>
        </w:tabs>
        <w:ind w:left="720"/>
        <w:rPr>
          <w:lang w:val="en-GB"/>
        </w:rPr>
      </w:pPr>
      <w:r w:rsidRPr="00EE33FA">
        <w:rPr>
          <w:lang w:val="en-GB"/>
        </w:rPr>
        <w:t>EVM</w:t>
      </w:r>
      <w:r w:rsidRPr="00EE33FA">
        <w:rPr>
          <w:lang w:val="en-GB"/>
        </w:rPr>
        <w:tab/>
        <w:t>Effective Vaccine Management</w:t>
      </w:r>
    </w:p>
    <w:p w14:paraId="4581755F" w14:textId="77777777" w:rsidR="009C37E3" w:rsidRPr="00EE33FA" w:rsidRDefault="009C37E3" w:rsidP="009C37E3">
      <w:pPr>
        <w:tabs>
          <w:tab w:val="left" w:pos="2174"/>
        </w:tabs>
        <w:ind w:left="720"/>
        <w:rPr>
          <w:lang w:val="en-GB"/>
        </w:rPr>
      </w:pPr>
      <w:r w:rsidRPr="00EE33FA">
        <w:rPr>
          <w:lang w:val="en-GB"/>
        </w:rPr>
        <w:t>GAVI</w:t>
      </w:r>
      <w:r w:rsidRPr="00EE33FA">
        <w:rPr>
          <w:lang w:val="en-GB"/>
        </w:rPr>
        <w:tab/>
        <w:t>Global Alliance for Vaccines and Immunization</w:t>
      </w:r>
    </w:p>
    <w:p w14:paraId="5956BE6F" w14:textId="6FD47F9D" w:rsidR="002F4BBB" w:rsidRPr="00EE33FA" w:rsidRDefault="002F4BBB" w:rsidP="009C37E3">
      <w:pPr>
        <w:tabs>
          <w:tab w:val="left" w:pos="2174"/>
        </w:tabs>
        <w:ind w:left="720"/>
        <w:rPr>
          <w:lang w:val="en-GB"/>
        </w:rPr>
      </w:pPr>
      <w:r w:rsidRPr="00EE33FA">
        <w:rPr>
          <w:lang w:val="en-GB"/>
        </w:rPr>
        <w:t>GEL</w:t>
      </w:r>
      <w:r w:rsidRPr="00EE33FA">
        <w:rPr>
          <w:lang w:val="en-GB"/>
        </w:rPr>
        <w:tab/>
        <w:t>Georgian Lari</w:t>
      </w:r>
    </w:p>
    <w:p w14:paraId="3DD2EEE6" w14:textId="4079EA33" w:rsidR="00E61FA5" w:rsidRPr="00EE33FA" w:rsidRDefault="00E61FA5" w:rsidP="009C37E3">
      <w:pPr>
        <w:tabs>
          <w:tab w:val="left" w:pos="2174"/>
        </w:tabs>
        <w:ind w:left="720"/>
        <w:rPr>
          <w:lang w:val="en-GB"/>
        </w:rPr>
      </w:pPr>
      <w:r w:rsidRPr="00EE33FA">
        <w:rPr>
          <w:lang w:val="en-GB"/>
        </w:rPr>
        <w:t>GVAP</w:t>
      </w:r>
      <w:r w:rsidRPr="00EE33FA">
        <w:rPr>
          <w:lang w:val="en-GB"/>
        </w:rPr>
        <w:tab/>
        <w:t>Global Vaccine Action Plan</w:t>
      </w:r>
    </w:p>
    <w:p w14:paraId="128092B5" w14:textId="77777777" w:rsidR="009C37E3" w:rsidRPr="00EE33FA" w:rsidRDefault="009C37E3" w:rsidP="009C37E3">
      <w:pPr>
        <w:tabs>
          <w:tab w:val="left" w:pos="2174"/>
        </w:tabs>
        <w:ind w:left="720"/>
        <w:rPr>
          <w:lang w:val="en-GB"/>
        </w:rPr>
      </w:pPr>
      <w:r w:rsidRPr="00EE33FA">
        <w:rPr>
          <w:lang w:val="en-GB"/>
        </w:rPr>
        <w:t>HepB</w:t>
      </w:r>
      <w:r w:rsidRPr="00EE33FA">
        <w:rPr>
          <w:lang w:val="en-GB"/>
        </w:rPr>
        <w:tab/>
        <w:t>Hepatitis B Vaccine</w:t>
      </w:r>
    </w:p>
    <w:p w14:paraId="6988F162" w14:textId="3C1EC4B8" w:rsidR="00A35490" w:rsidRPr="00EE33FA" w:rsidRDefault="00A35490" w:rsidP="009C37E3">
      <w:pPr>
        <w:tabs>
          <w:tab w:val="left" w:pos="2174"/>
        </w:tabs>
        <w:ind w:left="720"/>
        <w:rPr>
          <w:lang w:val="en-GB"/>
        </w:rPr>
      </w:pPr>
      <w:r w:rsidRPr="00EE33FA">
        <w:rPr>
          <w:lang w:val="en-GB"/>
        </w:rPr>
        <w:t>Hexavalent</w:t>
      </w:r>
      <w:r w:rsidRPr="00EE33FA">
        <w:rPr>
          <w:lang w:val="en-GB"/>
        </w:rPr>
        <w:tab/>
        <w:t>Hexavalent Vaccine (</w:t>
      </w:r>
      <w:r w:rsidR="00145612" w:rsidRPr="00EE33FA">
        <w:rPr>
          <w:lang w:val="en-GB"/>
        </w:rPr>
        <w:t>DTaP- HepB- Hib-IPV)</w:t>
      </w:r>
    </w:p>
    <w:p w14:paraId="45A12F51" w14:textId="77777777" w:rsidR="009C37E3" w:rsidRPr="00EE33FA" w:rsidRDefault="009C37E3" w:rsidP="009C37E3">
      <w:pPr>
        <w:tabs>
          <w:tab w:val="left" w:pos="2174"/>
        </w:tabs>
        <w:ind w:left="720"/>
        <w:rPr>
          <w:lang w:val="en-GB"/>
        </w:rPr>
      </w:pPr>
      <w:r w:rsidRPr="00EE33FA">
        <w:rPr>
          <w:lang w:val="en-GB"/>
        </w:rPr>
        <w:t>Hib</w:t>
      </w:r>
      <w:r w:rsidRPr="00EE33FA">
        <w:rPr>
          <w:lang w:val="en-GB"/>
        </w:rPr>
        <w:tab/>
      </w:r>
      <w:r w:rsidRPr="00EE33FA">
        <w:rPr>
          <w:i/>
          <w:iCs/>
          <w:lang w:val="en-GB"/>
        </w:rPr>
        <w:t>Haemophilus Influenzae</w:t>
      </w:r>
      <w:r w:rsidRPr="00EE33FA">
        <w:rPr>
          <w:lang w:val="en-GB"/>
        </w:rPr>
        <w:t xml:space="preserve"> type b Vaccine</w:t>
      </w:r>
    </w:p>
    <w:p w14:paraId="056DABF8" w14:textId="5B6AFD51" w:rsidR="00A44B97" w:rsidRPr="00EE33FA" w:rsidRDefault="00A44B97" w:rsidP="009C37E3">
      <w:pPr>
        <w:tabs>
          <w:tab w:val="left" w:pos="2174"/>
        </w:tabs>
        <w:ind w:left="720"/>
        <w:rPr>
          <w:lang w:val="en-GB"/>
        </w:rPr>
      </w:pPr>
      <w:r w:rsidRPr="00EE33FA">
        <w:rPr>
          <w:lang w:val="en-GB"/>
        </w:rPr>
        <w:t>ICC</w:t>
      </w:r>
      <w:r w:rsidRPr="00EE33FA">
        <w:rPr>
          <w:lang w:val="en-GB"/>
        </w:rPr>
        <w:tab/>
        <w:t>Inter-agency Coordination Committee</w:t>
      </w:r>
    </w:p>
    <w:p w14:paraId="53A113C9" w14:textId="77777777" w:rsidR="009C37E3" w:rsidRPr="00EE33FA" w:rsidRDefault="009C37E3" w:rsidP="009C37E3">
      <w:pPr>
        <w:tabs>
          <w:tab w:val="left" w:pos="2174"/>
        </w:tabs>
        <w:ind w:left="720"/>
        <w:rPr>
          <w:lang w:val="en-GB"/>
        </w:rPr>
      </w:pPr>
      <w:r w:rsidRPr="00EE33FA">
        <w:rPr>
          <w:lang w:val="en-GB"/>
        </w:rPr>
        <w:t>IPV</w:t>
      </w:r>
      <w:r w:rsidRPr="00EE33FA">
        <w:rPr>
          <w:lang w:val="en-GB"/>
        </w:rPr>
        <w:tab/>
        <w:t>Inactivated Polio Vaccine</w:t>
      </w:r>
    </w:p>
    <w:p w14:paraId="5B1BF989" w14:textId="1D113537" w:rsidR="008F49BF" w:rsidRPr="00EE33FA" w:rsidRDefault="008F49BF" w:rsidP="009C37E3">
      <w:pPr>
        <w:tabs>
          <w:tab w:val="left" w:pos="2174"/>
        </w:tabs>
        <w:ind w:left="720"/>
        <w:rPr>
          <w:lang w:val="en-GB"/>
        </w:rPr>
      </w:pPr>
      <w:r w:rsidRPr="00EE33FA">
        <w:rPr>
          <w:color w:val="000000" w:themeColor="text1"/>
          <w:lang w:val="en-GB"/>
        </w:rPr>
        <w:t>MDG</w:t>
      </w:r>
      <w:r w:rsidRPr="00EE33FA">
        <w:rPr>
          <w:color w:val="000000" w:themeColor="text1"/>
          <w:lang w:val="en-GB"/>
        </w:rPr>
        <w:tab/>
        <w:t>Millennium Development Goals</w:t>
      </w:r>
    </w:p>
    <w:p w14:paraId="6580EC4B" w14:textId="77777777" w:rsidR="009C37E3" w:rsidRPr="00EE33FA" w:rsidRDefault="009C37E3" w:rsidP="009C37E3">
      <w:pPr>
        <w:tabs>
          <w:tab w:val="left" w:pos="2174"/>
        </w:tabs>
        <w:ind w:left="720"/>
        <w:rPr>
          <w:lang w:val="en-GB"/>
        </w:rPr>
      </w:pPr>
      <w:r w:rsidRPr="00EE33FA">
        <w:rPr>
          <w:lang w:val="en-GB"/>
        </w:rPr>
        <w:t>MDVP</w:t>
      </w:r>
      <w:r w:rsidRPr="00EE33FA">
        <w:rPr>
          <w:lang w:val="en-GB"/>
        </w:rPr>
        <w:tab/>
        <w:t>Multi-Dose Vial Policy</w:t>
      </w:r>
    </w:p>
    <w:p w14:paraId="1DF5F721" w14:textId="77777777" w:rsidR="009C37E3" w:rsidRPr="00EE33FA" w:rsidRDefault="009C37E3" w:rsidP="009C37E3">
      <w:pPr>
        <w:tabs>
          <w:tab w:val="left" w:pos="2174"/>
        </w:tabs>
        <w:ind w:left="720"/>
        <w:rPr>
          <w:lang w:val="en-GB"/>
        </w:rPr>
      </w:pPr>
      <w:r w:rsidRPr="00EE33FA">
        <w:rPr>
          <w:lang w:val="en-GB"/>
        </w:rPr>
        <w:t>MMR</w:t>
      </w:r>
      <w:r w:rsidRPr="00EE33FA">
        <w:rPr>
          <w:lang w:val="en-GB"/>
        </w:rPr>
        <w:tab/>
        <w:t>Measles, Mumps and Rubella Vaccine</w:t>
      </w:r>
    </w:p>
    <w:p w14:paraId="00166676" w14:textId="77777777" w:rsidR="009C37E3" w:rsidRPr="00EE33FA" w:rsidRDefault="009C37E3" w:rsidP="009C37E3">
      <w:pPr>
        <w:tabs>
          <w:tab w:val="left" w:pos="2174"/>
        </w:tabs>
        <w:ind w:left="720"/>
        <w:rPr>
          <w:lang w:val="en-GB"/>
        </w:rPr>
      </w:pPr>
      <w:r w:rsidRPr="00EE33FA">
        <w:rPr>
          <w:lang w:val="en-GB"/>
        </w:rPr>
        <w:t>NCCPE</w:t>
      </w:r>
      <w:r w:rsidRPr="00EE33FA">
        <w:rPr>
          <w:lang w:val="en-GB"/>
        </w:rPr>
        <w:tab/>
        <w:t>National Certification Committee for Polio Eradication</w:t>
      </w:r>
    </w:p>
    <w:p w14:paraId="76657C8E" w14:textId="77777777" w:rsidR="009C37E3" w:rsidRPr="00EE33FA" w:rsidRDefault="009C37E3" w:rsidP="009C37E3">
      <w:pPr>
        <w:tabs>
          <w:tab w:val="left" w:pos="2174"/>
        </w:tabs>
        <w:ind w:left="720"/>
        <w:rPr>
          <w:lang w:val="en-GB"/>
        </w:rPr>
      </w:pPr>
      <w:r w:rsidRPr="00EE33FA">
        <w:rPr>
          <w:lang w:val="en-GB"/>
        </w:rPr>
        <w:t>NITAG</w:t>
      </w:r>
      <w:r w:rsidRPr="00EE33FA">
        <w:rPr>
          <w:lang w:val="en-GB"/>
        </w:rPr>
        <w:tab/>
        <w:t>National Technical Advisory Committee</w:t>
      </w:r>
    </w:p>
    <w:p w14:paraId="45FBBE4A" w14:textId="48EE7BF9" w:rsidR="00AC0CAF" w:rsidRPr="00EE33FA" w:rsidRDefault="00AC0CAF" w:rsidP="009C37E3">
      <w:pPr>
        <w:tabs>
          <w:tab w:val="left" w:pos="2174"/>
        </w:tabs>
        <w:ind w:left="720"/>
        <w:rPr>
          <w:lang w:val="en-GB"/>
        </w:rPr>
      </w:pPr>
      <w:r w:rsidRPr="00EE33FA">
        <w:rPr>
          <w:lang w:val="en-GB"/>
        </w:rPr>
        <w:t>NRA</w:t>
      </w:r>
      <w:r w:rsidRPr="00EE33FA">
        <w:rPr>
          <w:lang w:val="en-GB"/>
        </w:rPr>
        <w:tab/>
        <w:t>National Regulatory Authorities</w:t>
      </w:r>
    </w:p>
    <w:p w14:paraId="2E683C90" w14:textId="77777777" w:rsidR="009C37E3" w:rsidRPr="00EE33FA" w:rsidRDefault="009C37E3" w:rsidP="009C37E3">
      <w:pPr>
        <w:tabs>
          <w:tab w:val="left" w:pos="2174"/>
        </w:tabs>
        <w:ind w:left="720"/>
        <w:rPr>
          <w:lang w:val="en-GB"/>
        </w:rPr>
      </w:pPr>
      <w:r w:rsidRPr="00EE33FA">
        <w:rPr>
          <w:lang w:val="en-GB"/>
        </w:rPr>
        <w:t>OPV</w:t>
      </w:r>
      <w:r w:rsidRPr="00EE33FA">
        <w:rPr>
          <w:lang w:val="en-GB"/>
        </w:rPr>
        <w:tab/>
        <w:t>Oral Polio Vaccine</w:t>
      </w:r>
    </w:p>
    <w:p w14:paraId="6FE833DB" w14:textId="77777777" w:rsidR="009C37E3" w:rsidRPr="00EE33FA" w:rsidRDefault="009C37E3" w:rsidP="009C37E3">
      <w:pPr>
        <w:tabs>
          <w:tab w:val="left" w:pos="2174"/>
        </w:tabs>
        <w:ind w:left="720"/>
        <w:rPr>
          <w:lang w:val="en-GB"/>
        </w:rPr>
      </w:pPr>
      <w:r w:rsidRPr="00EE33FA">
        <w:rPr>
          <w:lang w:val="en-GB"/>
        </w:rPr>
        <w:t>Penta</w:t>
      </w:r>
      <w:r w:rsidRPr="00EE33FA">
        <w:rPr>
          <w:lang w:val="en-GB"/>
        </w:rPr>
        <w:tab/>
        <w:t>Pentavalent Vaccine (DPT-HepB-Hib)</w:t>
      </w:r>
    </w:p>
    <w:p w14:paraId="3A1A46B4" w14:textId="77777777" w:rsidR="009C37E3" w:rsidRPr="00EE33FA" w:rsidRDefault="009C37E3" w:rsidP="009C37E3">
      <w:pPr>
        <w:tabs>
          <w:tab w:val="left" w:pos="2174"/>
        </w:tabs>
        <w:ind w:left="720"/>
        <w:rPr>
          <w:lang w:val="en-GB"/>
        </w:rPr>
      </w:pPr>
      <w:r w:rsidRPr="00EE33FA">
        <w:rPr>
          <w:lang w:val="en-GB"/>
        </w:rPr>
        <w:t>PHC</w:t>
      </w:r>
      <w:r w:rsidRPr="00EE33FA">
        <w:rPr>
          <w:lang w:val="en-GB"/>
        </w:rPr>
        <w:tab/>
        <w:t>Primary Health Care</w:t>
      </w:r>
    </w:p>
    <w:p w14:paraId="33A9E3FC" w14:textId="04885432" w:rsidR="0014229F" w:rsidRPr="00EE33FA" w:rsidRDefault="0014229F" w:rsidP="0014229F">
      <w:pPr>
        <w:tabs>
          <w:tab w:val="left" w:pos="2174"/>
        </w:tabs>
        <w:ind w:left="720"/>
        <w:rPr>
          <w:lang w:val="en-GB"/>
        </w:rPr>
      </w:pPr>
      <w:r w:rsidRPr="00EE33FA">
        <w:rPr>
          <w:lang w:val="en-GB"/>
        </w:rPr>
        <w:t>PHC</w:t>
      </w:r>
      <w:r w:rsidRPr="00EE33FA">
        <w:rPr>
          <w:lang w:val="en-GB"/>
        </w:rPr>
        <w:tab/>
        <w:t>Public Health Centre</w:t>
      </w:r>
    </w:p>
    <w:p w14:paraId="301BCE74" w14:textId="0E814A05" w:rsidR="00BE1108" w:rsidRPr="00EE33FA" w:rsidRDefault="00BE1108" w:rsidP="009C37E3">
      <w:pPr>
        <w:tabs>
          <w:tab w:val="left" w:pos="2174"/>
        </w:tabs>
        <w:ind w:left="720"/>
        <w:rPr>
          <w:lang w:val="en-GB"/>
        </w:rPr>
      </w:pPr>
      <w:r w:rsidRPr="00EE33FA">
        <w:rPr>
          <w:lang w:val="en-GB"/>
        </w:rPr>
        <w:t>SSA</w:t>
      </w:r>
      <w:r w:rsidRPr="00EE33FA">
        <w:rPr>
          <w:lang w:val="en-GB"/>
        </w:rPr>
        <w:tab/>
        <w:t>Social Service Agency</w:t>
      </w:r>
    </w:p>
    <w:p w14:paraId="1D1741D5" w14:textId="2A6AC2B2" w:rsidR="009C37E3" w:rsidRPr="00EE33FA" w:rsidRDefault="009C37E3" w:rsidP="009C37E3">
      <w:pPr>
        <w:tabs>
          <w:tab w:val="left" w:pos="2174"/>
        </w:tabs>
        <w:ind w:left="720"/>
        <w:rPr>
          <w:lang w:val="en-GB"/>
        </w:rPr>
      </w:pPr>
      <w:r w:rsidRPr="00EE33FA">
        <w:rPr>
          <w:lang w:val="en-GB"/>
        </w:rPr>
        <w:t>UNICEF</w:t>
      </w:r>
      <w:r w:rsidR="00624B3A" w:rsidRPr="00EE33FA">
        <w:rPr>
          <w:lang w:val="en-GB"/>
        </w:rPr>
        <w:tab/>
        <w:t>United Nations Children’s Fund</w:t>
      </w:r>
    </w:p>
    <w:p w14:paraId="20454513" w14:textId="77777777" w:rsidR="009C37E3" w:rsidRPr="00EE33FA" w:rsidRDefault="009C37E3" w:rsidP="009C37E3">
      <w:pPr>
        <w:tabs>
          <w:tab w:val="left" w:pos="2174"/>
        </w:tabs>
        <w:ind w:left="720"/>
        <w:rPr>
          <w:lang w:val="en-GB"/>
        </w:rPr>
      </w:pPr>
      <w:r w:rsidRPr="00EE33FA">
        <w:rPr>
          <w:lang w:val="en-GB"/>
        </w:rPr>
        <w:t>VAPP</w:t>
      </w:r>
      <w:r w:rsidRPr="00EE33FA">
        <w:rPr>
          <w:lang w:val="en-GB"/>
        </w:rPr>
        <w:tab/>
        <w:t>Vaccine Associated Paralytic Polio</w:t>
      </w:r>
    </w:p>
    <w:p w14:paraId="349B1B60" w14:textId="77777777" w:rsidR="009C37E3" w:rsidRPr="00EE33FA" w:rsidRDefault="009C37E3" w:rsidP="009C37E3">
      <w:pPr>
        <w:tabs>
          <w:tab w:val="left" w:pos="2174"/>
        </w:tabs>
        <w:ind w:left="720"/>
        <w:rPr>
          <w:lang w:val="en-GB"/>
        </w:rPr>
      </w:pPr>
      <w:r w:rsidRPr="00EE33FA">
        <w:rPr>
          <w:lang w:val="en-GB"/>
        </w:rPr>
        <w:t>cVDPV</w:t>
      </w:r>
      <w:r w:rsidRPr="00EE33FA">
        <w:rPr>
          <w:lang w:val="en-GB"/>
        </w:rPr>
        <w:tab/>
        <w:t>Circulating Vaccine Derived Polio Virus</w:t>
      </w:r>
    </w:p>
    <w:p w14:paraId="44B093AB" w14:textId="77777777" w:rsidR="00EC72AB" w:rsidRPr="00EE33FA" w:rsidRDefault="00EC72AB" w:rsidP="00EC72AB">
      <w:pPr>
        <w:tabs>
          <w:tab w:val="left" w:pos="2174"/>
        </w:tabs>
        <w:ind w:left="720"/>
        <w:rPr>
          <w:lang w:val="en-GB"/>
        </w:rPr>
      </w:pPr>
      <w:r w:rsidRPr="00EE33FA">
        <w:rPr>
          <w:lang w:val="en-GB"/>
        </w:rPr>
        <w:t>VPD</w:t>
      </w:r>
      <w:r w:rsidRPr="00EE33FA">
        <w:rPr>
          <w:lang w:val="en-GB"/>
        </w:rPr>
        <w:tab/>
        <w:t>Vaccine Preventable Disease</w:t>
      </w:r>
    </w:p>
    <w:p w14:paraId="3D7607D1" w14:textId="77777777" w:rsidR="009C37E3" w:rsidRPr="00EE33FA" w:rsidRDefault="009C37E3" w:rsidP="009C37E3">
      <w:pPr>
        <w:tabs>
          <w:tab w:val="left" w:pos="2174"/>
        </w:tabs>
        <w:ind w:left="720"/>
        <w:rPr>
          <w:lang w:val="en-GB"/>
        </w:rPr>
      </w:pPr>
      <w:r w:rsidRPr="00EE33FA">
        <w:rPr>
          <w:lang w:val="en-GB"/>
        </w:rPr>
        <w:t>VVM</w:t>
      </w:r>
      <w:r w:rsidRPr="00EE33FA">
        <w:rPr>
          <w:lang w:val="en-GB"/>
        </w:rPr>
        <w:tab/>
        <w:t>Vaccine Vial Monitor</w:t>
      </w:r>
    </w:p>
    <w:p w14:paraId="7416C3E0" w14:textId="77777777" w:rsidR="009C37E3" w:rsidRPr="00EE33FA" w:rsidRDefault="009C37E3" w:rsidP="009C37E3">
      <w:pPr>
        <w:tabs>
          <w:tab w:val="left" w:pos="2174"/>
        </w:tabs>
        <w:ind w:left="720"/>
        <w:rPr>
          <w:lang w:val="en-GB"/>
        </w:rPr>
      </w:pPr>
      <w:r w:rsidRPr="00EE33FA">
        <w:rPr>
          <w:lang w:val="en-GB"/>
        </w:rPr>
        <w:t>WHO</w:t>
      </w:r>
      <w:r w:rsidRPr="00EE33FA">
        <w:rPr>
          <w:lang w:val="en-GB"/>
        </w:rPr>
        <w:tab/>
        <w:t>World Health Organization</w:t>
      </w:r>
    </w:p>
    <w:p w14:paraId="2865583F" w14:textId="77777777" w:rsidR="001C3459" w:rsidRPr="00EE33FA" w:rsidRDefault="00D921C6" w:rsidP="0087400E">
      <w:pPr>
        <w:pStyle w:val="Heading1"/>
        <w:keepLines/>
        <w:numPr>
          <w:ilvl w:val="0"/>
          <w:numId w:val="8"/>
        </w:numPr>
        <w:spacing w:before="480"/>
        <w:rPr>
          <w:sz w:val="36"/>
          <w:szCs w:val="36"/>
          <w:lang w:val="en-GB"/>
        </w:rPr>
      </w:pPr>
      <w:r w:rsidRPr="00EE33FA">
        <w:rPr>
          <w:lang w:val="en-GB"/>
        </w:rPr>
        <w:br w:type="page"/>
      </w:r>
      <w:bookmarkStart w:id="10" w:name="_Toc288065155"/>
      <w:bookmarkStart w:id="11" w:name="_Toc290215923"/>
      <w:bookmarkStart w:id="12" w:name="_Toc303889489"/>
      <w:r w:rsidR="001C3459" w:rsidRPr="00EE33FA">
        <w:rPr>
          <w:sz w:val="36"/>
          <w:szCs w:val="36"/>
          <w:lang w:val="en-GB"/>
        </w:rPr>
        <w:lastRenderedPageBreak/>
        <w:t>Introduction</w:t>
      </w:r>
      <w:bookmarkEnd w:id="10"/>
      <w:bookmarkEnd w:id="11"/>
      <w:bookmarkEnd w:id="12"/>
    </w:p>
    <w:p w14:paraId="6E21A0C8" w14:textId="082DBACA" w:rsidR="00574F3F" w:rsidRPr="00EE33FA" w:rsidRDefault="00574F3F" w:rsidP="00C67B7B">
      <w:pPr>
        <w:spacing w:before="120" w:line="300" w:lineRule="atLeast"/>
        <w:ind w:firstLine="360"/>
        <w:jc w:val="both"/>
        <w:rPr>
          <w:lang w:val="en-GB"/>
        </w:rPr>
      </w:pPr>
      <w:r w:rsidRPr="00EE33FA">
        <w:rPr>
          <w:lang w:val="en-GB"/>
        </w:rPr>
        <w:t xml:space="preserve">The </w:t>
      </w:r>
      <w:r w:rsidR="007D7FAE" w:rsidRPr="00EE33FA">
        <w:rPr>
          <w:lang w:val="en-GB"/>
        </w:rPr>
        <w:t>65</w:t>
      </w:r>
      <w:r w:rsidR="007D7FAE" w:rsidRPr="00EE33FA">
        <w:rPr>
          <w:vertAlign w:val="superscript"/>
          <w:lang w:val="en-GB"/>
        </w:rPr>
        <w:t>th</w:t>
      </w:r>
      <w:r w:rsidR="007D7FAE" w:rsidRPr="00EE33FA">
        <w:rPr>
          <w:lang w:val="en-GB"/>
        </w:rPr>
        <w:t xml:space="preserve"> World Health Assembly </w:t>
      </w:r>
      <w:r w:rsidRPr="00EE33FA">
        <w:rPr>
          <w:lang w:val="en-GB"/>
        </w:rPr>
        <w:t>in May 2012 endorsed “The Global Vaccine Action Plan”</w:t>
      </w:r>
      <w:r w:rsidR="003D0E12" w:rsidRPr="00EE33FA">
        <w:rPr>
          <w:lang w:val="en-GB"/>
        </w:rPr>
        <w:t xml:space="preserve"> </w:t>
      </w:r>
      <w:r w:rsidRPr="00EE33FA">
        <w:rPr>
          <w:lang w:val="en-GB"/>
        </w:rPr>
        <w:t>(GVAP) based on an extensive consultation with countries and multiple stakeholder</w:t>
      </w:r>
      <w:r w:rsidR="007D7FAE" w:rsidRPr="00EE33FA">
        <w:rPr>
          <w:lang w:val="en-GB"/>
        </w:rPr>
        <w:t>s. In addition to articulating</w:t>
      </w:r>
      <w:r w:rsidRPr="00EE33FA">
        <w:rPr>
          <w:lang w:val="en-GB"/>
        </w:rPr>
        <w:t xml:space="preserve"> a global vision for immunization and outlining key strategies, the GVAP proposes five key goals for the Decade of Vaccines (2011-2020):  (1) achieve a world free of polio, (2) meet vaccination coverage targets, (3) reduce child mortality, (4) meet global and regional elimination targets, and (5) develop and introduce new vaccines. Each region and member countries are expected to further define specific targets and develop and implement action plans to advance the global goals.</w:t>
      </w:r>
    </w:p>
    <w:p w14:paraId="1B22042E" w14:textId="77777777" w:rsidR="0053301C" w:rsidRPr="00EE33FA" w:rsidRDefault="005A3788" w:rsidP="005A3788">
      <w:pPr>
        <w:spacing w:before="120" w:line="300" w:lineRule="atLeast"/>
        <w:ind w:firstLine="360"/>
        <w:jc w:val="both"/>
        <w:rPr>
          <w:lang w:val="en-GB"/>
        </w:rPr>
      </w:pPr>
      <w:r w:rsidRPr="00EE33FA">
        <w:rPr>
          <w:lang w:val="en-GB"/>
        </w:rPr>
        <w:t>In September 2014, the Member States of the WHO European Region unanimously adopted the European Vaccine Action Plan 2015-2020 (EVAP). The EVAP</w:t>
      </w:r>
      <w:r w:rsidR="0053301C" w:rsidRPr="00EE33FA">
        <w:rPr>
          <w:lang w:val="en-GB"/>
        </w:rPr>
        <w:t xml:space="preserve"> is a regional interpretation of the Global Vaccine Action Plan developed to address the specific needs and challenges related to immunization in the WHO European Region. Aligned with Health 2020 and other key regional health strategies and polices, EVAP was endorsed by the European Technical Advisory Group of Experts on Immunization before submission to the 64th session of the Regional Committee for Europe in September 2014. EVAP’s aim is to guide Member States in the European Region towards their joint vision of a Region free o</w:t>
      </w:r>
      <w:r w:rsidR="00036539" w:rsidRPr="00EE33FA">
        <w:rPr>
          <w:lang w:val="en-GB"/>
        </w:rPr>
        <w:t>f vaccine-preventable diseases.</w:t>
      </w:r>
    </w:p>
    <w:p w14:paraId="6D83DB82" w14:textId="4F1EAE03" w:rsidR="00405012" w:rsidRPr="00EE33FA" w:rsidRDefault="00405012" w:rsidP="00405012">
      <w:pPr>
        <w:spacing w:before="120" w:line="300" w:lineRule="atLeast"/>
        <w:ind w:firstLine="360"/>
        <w:jc w:val="both"/>
        <w:rPr>
          <w:lang w:val="en-GB"/>
        </w:rPr>
      </w:pPr>
      <w:r w:rsidRPr="00EE33FA">
        <w:rPr>
          <w:lang w:val="en-GB"/>
        </w:rPr>
        <w:t xml:space="preserve">Periodically reviewing how each country is meeting the above global and regional requirements not only provides an insight into the status of the national immunization and VPD surveillance </w:t>
      </w:r>
      <w:r w:rsidR="00350CBE" w:rsidRPr="00EE33FA">
        <w:rPr>
          <w:lang w:val="en-GB"/>
        </w:rPr>
        <w:t>program</w:t>
      </w:r>
      <w:r w:rsidRPr="00EE33FA">
        <w:rPr>
          <w:lang w:val="en-GB"/>
        </w:rPr>
        <w:t xml:space="preserve">s, on how best practices are implemented, in the perspective of strengthening the health system, but also gives the opportunity to monitor the contribution made towards </w:t>
      </w:r>
      <w:r w:rsidR="00E70991" w:rsidRPr="00EE33FA">
        <w:rPr>
          <w:lang w:val="en-GB"/>
        </w:rPr>
        <w:t xml:space="preserve">these </w:t>
      </w:r>
      <w:r w:rsidRPr="00EE33FA">
        <w:rPr>
          <w:lang w:val="en-GB"/>
        </w:rPr>
        <w:t xml:space="preserve">global and regional targets. </w:t>
      </w:r>
      <w:r w:rsidR="00E70991" w:rsidRPr="00EE33FA">
        <w:rPr>
          <w:lang w:val="en-GB"/>
        </w:rPr>
        <w:t>The l</w:t>
      </w:r>
      <w:r w:rsidRPr="00EE33FA">
        <w:rPr>
          <w:lang w:val="en-GB"/>
        </w:rPr>
        <w:t xml:space="preserve">ast joint international-national review of the </w:t>
      </w:r>
      <w:r w:rsidR="0065616D" w:rsidRPr="00EE33FA">
        <w:rPr>
          <w:lang w:val="en-GB"/>
        </w:rPr>
        <w:t>Georgia immunization and VPD s</w:t>
      </w:r>
      <w:r w:rsidRPr="00EE33FA">
        <w:rPr>
          <w:lang w:val="en-GB"/>
        </w:rPr>
        <w:t xml:space="preserve">urveillance </w:t>
      </w:r>
      <w:r w:rsidR="00350CBE" w:rsidRPr="00EE33FA">
        <w:rPr>
          <w:lang w:val="en-GB"/>
        </w:rPr>
        <w:t>program</w:t>
      </w:r>
      <w:r w:rsidRPr="00EE33FA">
        <w:rPr>
          <w:lang w:val="en-GB"/>
        </w:rPr>
        <w:t>s was conducted in 2006.</w:t>
      </w:r>
    </w:p>
    <w:p w14:paraId="43DDA04C" w14:textId="4518B251" w:rsidR="00624B3A" w:rsidRPr="00EE33FA" w:rsidRDefault="00676648" w:rsidP="008167F9">
      <w:pPr>
        <w:spacing w:before="120" w:line="300" w:lineRule="atLeast"/>
        <w:ind w:firstLine="360"/>
        <w:jc w:val="both"/>
        <w:rPr>
          <w:lang w:val="en-GB"/>
        </w:rPr>
      </w:pPr>
      <w:r w:rsidRPr="00EE33FA">
        <w:rPr>
          <w:lang w:val="en-GB"/>
        </w:rPr>
        <w:t>The present review took place from 27</w:t>
      </w:r>
      <w:r w:rsidRPr="00EE33FA">
        <w:rPr>
          <w:vertAlign w:val="superscript"/>
          <w:lang w:val="en-GB"/>
        </w:rPr>
        <w:t>th</w:t>
      </w:r>
      <w:r w:rsidRPr="00EE33FA">
        <w:rPr>
          <w:lang w:val="en-GB"/>
        </w:rPr>
        <w:t xml:space="preserve"> July to 05</w:t>
      </w:r>
      <w:r w:rsidRPr="00EE33FA">
        <w:rPr>
          <w:vertAlign w:val="superscript"/>
          <w:lang w:val="en-GB"/>
        </w:rPr>
        <w:t>th</w:t>
      </w:r>
      <w:r w:rsidRPr="00EE33FA">
        <w:rPr>
          <w:lang w:val="en-GB"/>
        </w:rPr>
        <w:t xml:space="preserve"> August 2015, </w:t>
      </w:r>
      <w:r w:rsidR="008853F0" w:rsidRPr="00EE33FA">
        <w:rPr>
          <w:lang w:val="en-GB"/>
        </w:rPr>
        <w:t>together</w:t>
      </w:r>
      <w:r w:rsidR="00624B3A" w:rsidRPr="00EE33FA">
        <w:rPr>
          <w:lang w:val="en-GB"/>
        </w:rPr>
        <w:t xml:space="preserve"> with the joint appraisal of the implementation progress and performance of GAVI’s vaccine and cash grant support to Georgia.</w:t>
      </w:r>
      <w:r w:rsidR="00F20FDD" w:rsidRPr="00EE33FA">
        <w:rPr>
          <w:lang w:val="en-GB"/>
        </w:rPr>
        <w:t xml:space="preserve"> </w:t>
      </w:r>
      <w:r w:rsidR="00624B3A" w:rsidRPr="00EE33FA">
        <w:rPr>
          <w:lang w:val="en-GB"/>
        </w:rPr>
        <w:t xml:space="preserve">Introduced last year as a new element to </w:t>
      </w:r>
      <w:r w:rsidR="008167F9" w:rsidRPr="00EE33FA">
        <w:rPr>
          <w:lang w:val="en-GB"/>
        </w:rPr>
        <w:t>GAVI’s</w:t>
      </w:r>
      <w:r w:rsidR="00624B3A" w:rsidRPr="00EE33FA">
        <w:rPr>
          <w:lang w:val="en-GB"/>
        </w:rPr>
        <w:t xml:space="preserve"> grant management approach, the joint appraisal is a multi-stakeholder review of the implementation progress and performance of </w:t>
      </w:r>
      <w:r w:rsidR="008167F9" w:rsidRPr="00EE33FA">
        <w:rPr>
          <w:lang w:val="en-GB"/>
        </w:rPr>
        <w:t>GAVI’s</w:t>
      </w:r>
      <w:r w:rsidR="00624B3A" w:rsidRPr="00EE33FA">
        <w:rPr>
          <w:lang w:val="en-GB"/>
        </w:rPr>
        <w:t xml:space="preserve"> vaccine and cash support to country, and of its contribution to improved immunisation outcomes.</w:t>
      </w:r>
    </w:p>
    <w:p w14:paraId="2E9789D4" w14:textId="77777777" w:rsidR="000C2104" w:rsidRPr="00EE33FA" w:rsidRDefault="000C2104" w:rsidP="0087400E">
      <w:pPr>
        <w:pStyle w:val="Heading1"/>
        <w:keepLines/>
        <w:numPr>
          <w:ilvl w:val="0"/>
          <w:numId w:val="8"/>
        </w:numPr>
        <w:spacing w:before="480"/>
        <w:rPr>
          <w:sz w:val="36"/>
          <w:szCs w:val="36"/>
          <w:lang w:val="en-GB"/>
        </w:rPr>
      </w:pPr>
      <w:bookmarkStart w:id="13" w:name="_Toc288065156"/>
      <w:bookmarkStart w:id="14" w:name="_Toc290215924"/>
      <w:bookmarkStart w:id="15" w:name="_Toc303889490"/>
      <w:r w:rsidRPr="00EE33FA">
        <w:rPr>
          <w:sz w:val="36"/>
          <w:szCs w:val="36"/>
          <w:lang w:val="en-GB"/>
        </w:rPr>
        <w:t>Background</w:t>
      </w:r>
      <w:bookmarkEnd w:id="13"/>
      <w:bookmarkEnd w:id="14"/>
      <w:bookmarkEnd w:id="15"/>
    </w:p>
    <w:p w14:paraId="068F53AD" w14:textId="46C90E4E" w:rsidR="006448AC" w:rsidRPr="00EE33FA" w:rsidRDefault="00976EBF" w:rsidP="0002184C">
      <w:pPr>
        <w:pStyle w:val="Heading2"/>
        <w:ind w:firstLine="360"/>
        <w:rPr>
          <w:lang w:val="en-GB"/>
        </w:rPr>
      </w:pPr>
      <w:bookmarkStart w:id="16" w:name="_Toc303889491"/>
      <w:r w:rsidRPr="00EE33FA">
        <w:rPr>
          <w:lang w:val="en-GB"/>
        </w:rPr>
        <w:t xml:space="preserve">Socioeconomic and demographic </w:t>
      </w:r>
      <w:r w:rsidR="004C39F6" w:rsidRPr="00EE33FA">
        <w:rPr>
          <w:lang w:val="en-GB"/>
        </w:rPr>
        <w:t>data</w:t>
      </w:r>
      <w:bookmarkEnd w:id="16"/>
    </w:p>
    <w:p w14:paraId="63CD5EBA" w14:textId="7B447E81" w:rsidR="004C39F6" w:rsidRPr="00EE33FA" w:rsidRDefault="004C39F6" w:rsidP="00396B6F">
      <w:pPr>
        <w:spacing w:before="120" w:line="300" w:lineRule="atLeast"/>
        <w:ind w:firstLine="360"/>
        <w:jc w:val="both"/>
        <w:rPr>
          <w:bCs/>
          <w:lang w:val="en-GB"/>
        </w:rPr>
      </w:pPr>
      <w:r w:rsidRPr="00EE33FA">
        <w:rPr>
          <w:bCs/>
          <w:lang w:val="en-GB"/>
        </w:rPr>
        <w:t>The Stat</w:t>
      </w:r>
      <w:r w:rsidR="00D620BF" w:rsidRPr="00EE33FA">
        <w:rPr>
          <w:bCs/>
          <w:lang w:val="en-GB"/>
        </w:rPr>
        <w:t>-</w:t>
      </w:r>
      <w:r w:rsidRPr="00EE33FA">
        <w:rPr>
          <w:bCs/>
          <w:lang w:val="en-GB"/>
        </w:rPr>
        <w:t xml:space="preserve">Office shows for 2012 a total population of 4,490,700. The BRO data for 2013 </w:t>
      </w:r>
      <w:r w:rsidR="00453409" w:rsidRPr="00EE33FA">
        <w:rPr>
          <w:bCs/>
          <w:lang w:val="en-GB"/>
        </w:rPr>
        <w:t>shows</w:t>
      </w:r>
      <w:r w:rsidRPr="00EE33FA">
        <w:rPr>
          <w:bCs/>
          <w:lang w:val="en-GB"/>
        </w:rPr>
        <w:t xml:space="preserve"> 53,220 births, while NCDC data for 2013 </w:t>
      </w:r>
      <w:r w:rsidR="00453409" w:rsidRPr="00EE33FA">
        <w:rPr>
          <w:bCs/>
          <w:lang w:val="en-GB"/>
        </w:rPr>
        <w:t>shows</w:t>
      </w:r>
      <w:r w:rsidRPr="00EE33FA">
        <w:rPr>
          <w:bCs/>
          <w:lang w:val="en-GB"/>
        </w:rPr>
        <w:t xml:space="preserve"> 58,579 births.</w:t>
      </w:r>
      <w:r w:rsidR="00396B6F" w:rsidRPr="00EE33FA">
        <w:rPr>
          <w:bCs/>
          <w:lang w:val="en-GB"/>
        </w:rPr>
        <w:t xml:space="preserve"> </w:t>
      </w:r>
      <w:r w:rsidR="00453409" w:rsidRPr="00EE33FA">
        <w:rPr>
          <w:bCs/>
          <w:lang w:val="en-GB"/>
        </w:rPr>
        <w:t>Georgia has 65 districts which became municipalities.</w:t>
      </w:r>
    </w:p>
    <w:p w14:paraId="4B0B1C3F" w14:textId="459F3C3A" w:rsidR="004C39F6" w:rsidRPr="00EE33FA" w:rsidRDefault="004C39F6" w:rsidP="00123D18">
      <w:pPr>
        <w:spacing w:before="120" w:line="300" w:lineRule="atLeast"/>
        <w:ind w:firstLine="360"/>
        <w:jc w:val="both"/>
        <w:rPr>
          <w:bCs/>
          <w:lang w:val="en-GB"/>
        </w:rPr>
      </w:pPr>
    </w:p>
    <w:p w14:paraId="151E4A71" w14:textId="7856C190" w:rsidR="00E65CFF" w:rsidRPr="00EE33FA" w:rsidRDefault="0068001D" w:rsidP="00396B6F">
      <w:pPr>
        <w:spacing w:before="120" w:line="300" w:lineRule="atLeast"/>
        <w:ind w:firstLine="709"/>
        <w:jc w:val="both"/>
        <w:rPr>
          <w:bCs/>
          <w:lang w:val="en-GB"/>
        </w:rPr>
      </w:pPr>
      <w:r w:rsidRPr="00EE33FA">
        <w:rPr>
          <w:bCs/>
          <w:noProof/>
          <w:lang w:val="ka-GE" w:eastAsia="ka-GE"/>
        </w:rPr>
        <w:lastRenderedPageBreak/>
        <w:drawing>
          <wp:inline distT="0" distB="0" distL="0" distR="0" wp14:anchorId="7F4D339A" wp14:editId="5BE6679B">
            <wp:extent cx="4690935" cy="3624435"/>
            <wp:effectExtent l="0" t="0" r="0" b="0"/>
            <wp:docPr id="1" name="Picture 1" descr="Macintosh HD:Users:ericlaurent:Documents:Consultancy Work:Consultancy Missions:Unicef Georgia:Background documents:Georgia map.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laurent:Documents:Consultancy Work:Consultancy Missions:Unicef Georgia:Background documents:Georgia map.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0935" cy="3624435"/>
                    </a:xfrm>
                    <a:prstGeom prst="rect">
                      <a:avLst/>
                    </a:prstGeom>
                    <a:noFill/>
                    <a:ln>
                      <a:noFill/>
                    </a:ln>
                  </pic:spPr>
                </pic:pic>
              </a:graphicData>
            </a:graphic>
          </wp:inline>
        </w:drawing>
      </w:r>
    </w:p>
    <w:p w14:paraId="05BC39CB" w14:textId="1DB72C43" w:rsidR="0096543A" w:rsidRPr="00EE33FA" w:rsidRDefault="00D715DE" w:rsidP="00453409">
      <w:pPr>
        <w:spacing w:before="120" w:line="300" w:lineRule="atLeast"/>
        <w:jc w:val="center"/>
        <w:rPr>
          <w:i/>
          <w:lang w:val="en-GB"/>
        </w:rPr>
      </w:pPr>
      <w:r w:rsidRPr="00EE33FA">
        <w:rPr>
          <w:i/>
          <w:lang w:val="en-GB"/>
        </w:rPr>
        <w:t>Figure</w:t>
      </w:r>
      <w:r w:rsidR="00374BFC" w:rsidRPr="00EE33FA">
        <w:rPr>
          <w:i/>
          <w:lang w:val="en-GB"/>
        </w:rPr>
        <w:t>/table</w:t>
      </w:r>
      <w:r w:rsidRPr="00EE33FA">
        <w:rPr>
          <w:i/>
          <w:lang w:val="en-GB"/>
        </w:rPr>
        <w:t xml:space="preserve"> 1:</w:t>
      </w:r>
      <w:r w:rsidR="00BE36FB" w:rsidRPr="00EE33FA">
        <w:rPr>
          <w:i/>
          <w:lang w:val="en-GB"/>
        </w:rPr>
        <w:t xml:space="preserve"> Map </w:t>
      </w:r>
      <w:r w:rsidR="00FA468A" w:rsidRPr="00EE33FA">
        <w:rPr>
          <w:i/>
          <w:lang w:val="en-GB"/>
        </w:rPr>
        <w:t xml:space="preserve">of </w:t>
      </w:r>
      <w:r w:rsidR="00E71D45" w:rsidRPr="00EE33FA">
        <w:rPr>
          <w:i/>
          <w:lang w:val="en-GB"/>
        </w:rPr>
        <w:t>Georgia</w:t>
      </w:r>
    </w:p>
    <w:p w14:paraId="2101C6F6" w14:textId="77777777" w:rsidR="0002184C" w:rsidRPr="00EE33FA" w:rsidRDefault="002553CC" w:rsidP="0002184C">
      <w:pPr>
        <w:pStyle w:val="Heading2"/>
        <w:ind w:firstLine="360"/>
        <w:rPr>
          <w:lang w:val="en-GB"/>
        </w:rPr>
      </w:pPr>
      <w:bookmarkStart w:id="17" w:name="_Toc303889492"/>
      <w:r w:rsidRPr="00EE33FA">
        <w:rPr>
          <w:lang w:val="en-GB"/>
        </w:rPr>
        <w:t>Health s</w:t>
      </w:r>
      <w:r w:rsidR="00A81147" w:rsidRPr="00EE33FA">
        <w:rPr>
          <w:lang w:val="en-GB"/>
        </w:rPr>
        <w:t>tatus</w:t>
      </w:r>
      <w:r w:rsidR="00E41C0D" w:rsidRPr="00EE33FA">
        <w:rPr>
          <w:lang w:val="en-GB"/>
        </w:rPr>
        <w:t xml:space="preserve"> and selected</w:t>
      </w:r>
      <w:r w:rsidRPr="00EE33FA">
        <w:rPr>
          <w:lang w:val="en-GB"/>
        </w:rPr>
        <w:t xml:space="preserve"> health i</w:t>
      </w:r>
      <w:r w:rsidR="00E41C0D" w:rsidRPr="00EE33FA">
        <w:rPr>
          <w:lang w:val="en-GB"/>
        </w:rPr>
        <w:t>ndicators</w:t>
      </w:r>
      <w:bookmarkEnd w:id="17"/>
    </w:p>
    <w:p w14:paraId="5C3A9745" w14:textId="77777777" w:rsidR="006448AC" w:rsidRPr="00EE33FA" w:rsidRDefault="006448AC" w:rsidP="006448AC">
      <w:pPr>
        <w:rPr>
          <w:lang w:val="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5"/>
        <w:gridCol w:w="1418"/>
        <w:gridCol w:w="1471"/>
      </w:tblGrid>
      <w:tr w:rsidR="00661971" w:rsidRPr="00EE33FA" w14:paraId="6CF10755" w14:textId="77777777" w:rsidTr="00396B6F">
        <w:trPr>
          <w:trHeight w:hRule="exact" w:val="284"/>
        </w:trPr>
        <w:tc>
          <w:tcPr>
            <w:tcW w:w="6345" w:type="dxa"/>
            <w:shd w:val="clear" w:color="auto" w:fill="auto"/>
            <w:vAlign w:val="center"/>
          </w:tcPr>
          <w:p w14:paraId="4ECA0BFB" w14:textId="77777777" w:rsidR="00E71D45" w:rsidRPr="00EE33FA" w:rsidRDefault="00E71D45" w:rsidP="00997FBF">
            <w:pPr>
              <w:spacing w:line="300" w:lineRule="atLeast"/>
              <w:jc w:val="both"/>
              <w:rPr>
                <w:b/>
                <w:sz w:val="22"/>
                <w:szCs w:val="22"/>
                <w:lang w:val="en-GB"/>
              </w:rPr>
            </w:pPr>
            <w:r w:rsidRPr="00EE33FA">
              <w:rPr>
                <w:b/>
                <w:sz w:val="22"/>
                <w:szCs w:val="22"/>
                <w:lang w:val="en-GB"/>
              </w:rPr>
              <w:t>Indicator</w:t>
            </w:r>
          </w:p>
        </w:tc>
        <w:tc>
          <w:tcPr>
            <w:tcW w:w="1418" w:type="dxa"/>
            <w:shd w:val="clear" w:color="auto" w:fill="auto"/>
            <w:vAlign w:val="center"/>
          </w:tcPr>
          <w:p w14:paraId="383A74D3" w14:textId="77777777" w:rsidR="00E71D45" w:rsidRPr="00EE33FA" w:rsidRDefault="00E71D45" w:rsidP="000E5FC6">
            <w:pPr>
              <w:spacing w:line="300" w:lineRule="atLeast"/>
              <w:jc w:val="center"/>
              <w:rPr>
                <w:b/>
                <w:sz w:val="22"/>
                <w:szCs w:val="22"/>
                <w:lang w:val="en-GB"/>
              </w:rPr>
            </w:pPr>
            <w:r w:rsidRPr="00EE33FA">
              <w:rPr>
                <w:b/>
                <w:sz w:val="22"/>
                <w:szCs w:val="22"/>
                <w:lang w:val="en-GB"/>
              </w:rPr>
              <w:t>Year</w:t>
            </w:r>
          </w:p>
        </w:tc>
        <w:tc>
          <w:tcPr>
            <w:tcW w:w="1471" w:type="dxa"/>
            <w:shd w:val="clear" w:color="auto" w:fill="auto"/>
            <w:vAlign w:val="center"/>
          </w:tcPr>
          <w:p w14:paraId="35A097EC" w14:textId="77777777" w:rsidR="00E71D45" w:rsidRPr="00EE33FA" w:rsidRDefault="00E71D45" w:rsidP="000E5FC6">
            <w:pPr>
              <w:spacing w:line="300" w:lineRule="atLeast"/>
              <w:jc w:val="center"/>
              <w:rPr>
                <w:b/>
                <w:sz w:val="22"/>
                <w:szCs w:val="22"/>
                <w:lang w:val="en-GB"/>
              </w:rPr>
            </w:pPr>
            <w:r w:rsidRPr="00EE33FA">
              <w:rPr>
                <w:b/>
                <w:sz w:val="22"/>
                <w:szCs w:val="22"/>
                <w:lang w:val="en-GB"/>
              </w:rPr>
              <w:t>Value</w:t>
            </w:r>
          </w:p>
        </w:tc>
      </w:tr>
      <w:tr w:rsidR="00661971" w:rsidRPr="00EE33FA" w14:paraId="11424C4F" w14:textId="77777777" w:rsidTr="00396B6F">
        <w:trPr>
          <w:trHeight w:hRule="exact" w:val="284"/>
        </w:trPr>
        <w:tc>
          <w:tcPr>
            <w:tcW w:w="6345" w:type="dxa"/>
            <w:shd w:val="clear" w:color="auto" w:fill="auto"/>
            <w:vAlign w:val="center"/>
          </w:tcPr>
          <w:p w14:paraId="75B33678" w14:textId="77777777" w:rsidR="00E71D45" w:rsidRPr="00EE33FA" w:rsidRDefault="00E71D45" w:rsidP="00997FBF">
            <w:pPr>
              <w:spacing w:line="300" w:lineRule="atLeast"/>
              <w:jc w:val="both"/>
              <w:rPr>
                <w:sz w:val="20"/>
                <w:szCs w:val="20"/>
                <w:lang w:val="en-GB"/>
              </w:rPr>
            </w:pPr>
            <w:r w:rsidRPr="00EE33FA">
              <w:rPr>
                <w:sz w:val="20"/>
                <w:szCs w:val="20"/>
                <w:lang w:val="en-GB"/>
              </w:rPr>
              <w:t>% of population aged 0–14 years</w:t>
            </w:r>
          </w:p>
        </w:tc>
        <w:tc>
          <w:tcPr>
            <w:tcW w:w="1418" w:type="dxa"/>
            <w:shd w:val="clear" w:color="auto" w:fill="auto"/>
            <w:vAlign w:val="center"/>
          </w:tcPr>
          <w:p w14:paraId="773D9DB0"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11D77222" w14:textId="77777777" w:rsidR="00E71D45" w:rsidRPr="00EE33FA" w:rsidRDefault="00E71D45" w:rsidP="000E5FC6">
            <w:pPr>
              <w:spacing w:line="300" w:lineRule="atLeast"/>
              <w:jc w:val="center"/>
              <w:rPr>
                <w:sz w:val="20"/>
                <w:szCs w:val="20"/>
                <w:lang w:val="en-GB"/>
              </w:rPr>
            </w:pPr>
            <w:r w:rsidRPr="00EE33FA">
              <w:rPr>
                <w:sz w:val="20"/>
                <w:szCs w:val="20"/>
                <w:lang w:val="en-GB"/>
              </w:rPr>
              <w:t>17</w:t>
            </w:r>
          </w:p>
        </w:tc>
      </w:tr>
      <w:tr w:rsidR="00661971" w:rsidRPr="00EE33FA" w14:paraId="2406EF7A" w14:textId="77777777" w:rsidTr="00396B6F">
        <w:trPr>
          <w:trHeight w:hRule="exact" w:val="284"/>
        </w:trPr>
        <w:tc>
          <w:tcPr>
            <w:tcW w:w="6345" w:type="dxa"/>
            <w:shd w:val="clear" w:color="auto" w:fill="auto"/>
            <w:vAlign w:val="center"/>
          </w:tcPr>
          <w:p w14:paraId="377630E4" w14:textId="77777777" w:rsidR="00E71D45" w:rsidRPr="00EE33FA" w:rsidRDefault="00E71D45" w:rsidP="00997FBF">
            <w:pPr>
              <w:spacing w:line="300" w:lineRule="atLeast"/>
              <w:jc w:val="both"/>
              <w:rPr>
                <w:sz w:val="20"/>
                <w:szCs w:val="20"/>
                <w:lang w:val="en-GB"/>
              </w:rPr>
            </w:pPr>
            <w:r w:rsidRPr="00EE33FA">
              <w:rPr>
                <w:sz w:val="20"/>
                <w:szCs w:val="20"/>
                <w:lang w:val="en-GB"/>
              </w:rPr>
              <w:t>% of population aged 65+ years</w:t>
            </w:r>
          </w:p>
        </w:tc>
        <w:tc>
          <w:tcPr>
            <w:tcW w:w="1418" w:type="dxa"/>
            <w:shd w:val="clear" w:color="auto" w:fill="auto"/>
            <w:vAlign w:val="center"/>
          </w:tcPr>
          <w:p w14:paraId="4C3E6B87"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11AFE593" w14:textId="77777777" w:rsidR="00E71D45" w:rsidRPr="00EE33FA" w:rsidRDefault="00E71D45" w:rsidP="000E5FC6">
            <w:pPr>
              <w:spacing w:line="300" w:lineRule="atLeast"/>
              <w:jc w:val="center"/>
              <w:rPr>
                <w:sz w:val="20"/>
                <w:szCs w:val="20"/>
                <w:lang w:val="en-GB"/>
              </w:rPr>
            </w:pPr>
            <w:r w:rsidRPr="00EE33FA">
              <w:rPr>
                <w:sz w:val="20"/>
                <w:szCs w:val="20"/>
                <w:lang w:val="en-GB"/>
              </w:rPr>
              <w:t>14</w:t>
            </w:r>
          </w:p>
        </w:tc>
      </w:tr>
      <w:tr w:rsidR="00661971" w:rsidRPr="00EE33FA" w14:paraId="15AACA1B" w14:textId="77777777" w:rsidTr="00396B6F">
        <w:trPr>
          <w:trHeight w:hRule="exact" w:val="284"/>
        </w:trPr>
        <w:tc>
          <w:tcPr>
            <w:tcW w:w="6345" w:type="dxa"/>
            <w:shd w:val="clear" w:color="auto" w:fill="auto"/>
            <w:vAlign w:val="center"/>
          </w:tcPr>
          <w:p w14:paraId="391DE234" w14:textId="77777777" w:rsidR="00E71D45" w:rsidRPr="00EE33FA" w:rsidRDefault="00E71D45" w:rsidP="00997FBF">
            <w:pPr>
              <w:spacing w:line="300" w:lineRule="atLeast"/>
              <w:jc w:val="both"/>
              <w:rPr>
                <w:sz w:val="20"/>
                <w:szCs w:val="20"/>
                <w:lang w:val="en-GB"/>
              </w:rPr>
            </w:pPr>
            <w:r w:rsidRPr="00EE33FA">
              <w:rPr>
                <w:sz w:val="20"/>
                <w:szCs w:val="20"/>
                <w:lang w:val="en-GB"/>
              </w:rPr>
              <w:t>Crude death rate per 1000 population</w:t>
            </w:r>
          </w:p>
        </w:tc>
        <w:tc>
          <w:tcPr>
            <w:tcW w:w="1418" w:type="dxa"/>
            <w:shd w:val="clear" w:color="auto" w:fill="auto"/>
            <w:vAlign w:val="center"/>
          </w:tcPr>
          <w:p w14:paraId="4A7BB849"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0759A8BB" w14:textId="77777777" w:rsidR="00E71D45" w:rsidRPr="00EE33FA" w:rsidRDefault="00E71D45" w:rsidP="000E5FC6">
            <w:pPr>
              <w:spacing w:line="300" w:lineRule="atLeast"/>
              <w:jc w:val="center"/>
              <w:rPr>
                <w:sz w:val="20"/>
                <w:szCs w:val="20"/>
                <w:lang w:val="en-GB"/>
              </w:rPr>
            </w:pPr>
            <w:r w:rsidRPr="00EE33FA">
              <w:rPr>
                <w:sz w:val="20"/>
                <w:szCs w:val="20"/>
                <w:lang w:val="en-GB"/>
              </w:rPr>
              <w:t>11</w:t>
            </w:r>
          </w:p>
        </w:tc>
      </w:tr>
      <w:tr w:rsidR="00661971" w:rsidRPr="00EE33FA" w14:paraId="3F0F0B39" w14:textId="77777777" w:rsidTr="00396B6F">
        <w:trPr>
          <w:trHeight w:hRule="exact" w:val="284"/>
        </w:trPr>
        <w:tc>
          <w:tcPr>
            <w:tcW w:w="6345" w:type="dxa"/>
            <w:shd w:val="clear" w:color="auto" w:fill="auto"/>
            <w:vAlign w:val="center"/>
          </w:tcPr>
          <w:p w14:paraId="54181BD0" w14:textId="77777777" w:rsidR="00E71D45" w:rsidRPr="00EE33FA" w:rsidRDefault="00E71D45" w:rsidP="00997FBF">
            <w:pPr>
              <w:spacing w:line="300" w:lineRule="atLeast"/>
              <w:jc w:val="both"/>
              <w:rPr>
                <w:sz w:val="20"/>
                <w:szCs w:val="20"/>
                <w:lang w:val="en-GB"/>
              </w:rPr>
            </w:pPr>
            <w:r w:rsidRPr="00EE33FA">
              <w:rPr>
                <w:sz w:val="20"/>
                <w:szCs w:val="20"/>
                <w:lang w:val="en-GB"/>
              </w:rPr>
              <w:t>Estimated infant mortality per 1000 live births (world health report)</w:t>
            </w:r>
          </w:p>
        </w:tc>
        <w:tc>
          <w:tcPr>
            <w:tcW w:w="1418" w:type="dxa"/>
            <w:shd w:val="clear" w:color="auto" w:fill="auto"/>
            <w:vAlign w:val="center"/>
          </w:tcPr>
          <w:p w14:paraId="3BEFE8A2" w14:textId="77777777" w:rsidR="00E71D45" w:rsidRPr="00EE33FA" w:rsidRDefault="00E71D45" w:rsidP="000E5FC6">
            <w:pPr>
              <w:spacing w:line="300" w:lineRule="atLeast"/>
              <w:jc w:val="center"/>
              <w:rPr>
                <w:sz w:val="20"/>
                <w:szCs w:val="20"/>
                <w:lang w:val="en-GB"/>
              </w:rPr>
            </w:pPr>
            <w:r w:rsidRPr="00EE33FA">
              <w:rPr>
                <w:sz w:val="20"/>
                <w:szCs w:val="20"/>
                <w:lang w:val="en-GB"/>
              </w:rPr>
              <w:t>2012</w:t>
            </w:r>
          </w:p>
        </w:tc>
        <w:tc>
          <w:tcPr>
            <w:tcW w:w="1471" w:type="dxa"/>
            <w:shd w:val="clear" w:color="auto" w:fill="auto"/>
            <w:vAlign w:val="center"/>
          </w:tcPr>
          <w:p w14:paraId="7DBC622B" w14:textId="77777777" w:rsidR="00E71D45" w:rsidRPr="00EE33FA" w:rsidRDefault="00E71D45" w:rsidP="000E5FC6">
            <w:pPr>
              <w:spacing w:line="300" w:lineRule="atLeast"/>
              <w:jc w:val="center"/>
              <w:rPr>
                <w:sz w:val="20"/>
                <w:szCs w:val="20"/>
                <w:lang w:val="en-GB"/>
              </w:rPr>
            </w:pPr>
            <w:r w:rsidRPr="00EE33FA">
              <w:rPr>
                <w:sz w:val="20"/>
                <w:szCs w:val="20"/>
                <w:lang w:val="en-GB"/>
              </w:rPr>
              <w:t>18</w:t>
            </w:r>
          </w:p>
        </w:tc>
      </w:tr>
      <w:tr w:rsidR="00661971" w:rsidRPr="00EE33FA" w14:paraId="2384704A" w14:textId="77777777" w:rsidTr="00396B6F">
        <w:trPr>
          <w:trHeight w:hRule="exact" w:val="284"/>
        </w:trPr>
        <w:tc>
          <w:tcPr>
            <w:tcW w:w="6345" w:type="dxa"/>
            <w:shd w:val="clear" w:color="auto" w:fill="auto"/>
            <w:vAlign w:val="center"/>
          </w:tcPr>
          <w:p w14:paraId="3F2E706F" w14:textId="77777777" w:rsidR="00E71D45" w:rsidRPr="00EE33FA" w:rsidRDefault="00E71D45" w:rsidP="00997FBF">
            <w:pPr>
              <w:spacing w:line="300" w:lineRule="atLeast"/>
              <w:jc w:val="both"/>
              <w:rPr>
                <w:sz w:val="20"/>
                <w:szCs w:val="20"/>
                <w:lang w:val="en-GB"/>
              </w:rPr>
            </w:pPr>
            <w:r w:rsidRPr="00EE33FA">
              <w:rPr>
                <w:sz w:val="20"/>
                <w:szCs w:val="20"/>
                <w:lang w:val="en-GB"/>
              </w:rPr>
              <w:t>Estimated life expectancy (world health report)</w:t>
            </w:r>
          </w:p>
        </w:tc>
        <w:tc>
          <w:tcPr>
            <w:tcW w:w="1418" w:type="dxa"/>
            <w:shd w:val="clear" w:color="auto" w:fill="auto"/>
            <w:vAlign w:val="center"/>
          </w:tcPr>
          <w:p w14:paraId="739C2D49" w14:textId="77777777" w:rsidR="00E71D45" w:rsidRPr="00EE33FA" w:rsidRDefault="00E71D45" w:rsidP="000E5FC6">
            <w:pPr>
              <w:spacing w:line="300" w:lineRule="atLeast"/>
              <w:jc w:val="center"/>
              <w:rPr>
                <w:sz w:val="20"/>
                <w:szCs w:val="20"/>
                <w:lang w:val="en-GB"/>
              </w:rPr>
            </w:pPr>
            <w:r w:rsidRPr="00EE33FA">
              <w:rPr>
                <w:sz w:val="20"/>
                <w:szCs w:val="20"/>
                <w:lang w:val="en-GB"/>
              </w:rPr>
              <w:t>2011</w:t>
            </w:r>
          </w:p>
        </w:tc>
        <w:tc>
          <w:tcPr>
            <w:tcW w:w="1471" w:type="dxa"/>
            <w:shd w:val="clear" w:color="auto" w:fill="auto"/>
            <w:vAlign w:val="center"/>
          </w:tcPr>
          <w:p w14:paraId="498236FD" w14:textId="77777777" w:rsidR="00E71D45" w:rsidRPr="00EE33FA" w:rsidRDefault="00E71D45" w:rsidP="000E5FC6">
            <w:pPr>
              <w:spacing w:line="300" w:lineRule="atLeast"/>
              <w:jc w:val="center"/>
              <w:rPr>
                <w:sz w:val="20"/>
                <w:szCs w:val="20"/>
                <w:lang w:val="en-GB"/>
              </w:rPr>
            </w:pPr>
            <w:r w:rsidRPr="00EE33FA">
              <w:rPr>
                <w:sz w:val="20"/>
                <w:szCs w:val="20"/>
                <w:lang w:val="en-GB"/>
              </w:rPr>
              <w:t>72</w:t>
            </w:r>
          </w:p>
        </w:tc>
      </w:tr>
      <w:tr w:rsidR="00661971" w:rsidRPr="00EE33FA" w14:paraId="009F920A" w14:textId="77777777" w:rsidTr="00396B6F">
        <w:trPr>
          <w:trHeight w:hRule="exact" w:val="284"/>
        </w:trPr>
        <w:tc>
          <w:tcPr>
            <w:tcW w:w="6345" w:type="dxa"/>
            <w:shd w:val="clear" w:color="auto" w:fill="auto"/>
            <w:vAlign w:val="center"/>
          </w:tcPr>
          <w:p w14:paraId="2AD47B56" w14:textId="77777777" w:rsidR="00E71D45" w:rsidRPr="00EE33FA" w:rsidRDefault="00E71D45" w:rsidP="00997FBF">
            <w:pPr>
              <w:spacing w:line="300" w:lineRule="atLeast"/>
              <w:jc w:val="both"/>
              <w:rPr>
                <w:sz w:val="20"/>
                <w:szCs w:val="20"/>
                <w:lang w:val="en-GB"/>
              </w:rPr>
            </w:pPr>
            <w:r w:rsidRPr="00EE33FA">
              <w:rPr>
                <w:sz w:val="20"/>
                <w:szCs w:val="20"/>
                <w:lang w:val="en-GB"/>
              </w:rPr>
              <w:t>Hospital beds per 100 000</w:t>
            </w:r>
          </w:p>
        </w:tc>
        <w:tc>
          <w:tcPr>
            <w:tcW w:w="1418" w:type="dxa"/>
            <w:shd w:val="clear" w:color="auto" w:fill="auto"/>
            <w:vAlign w:val="center"/>
          </w:tcPr>
          <w:p w14:paraId="348C4B6A" w14:textId="77777777" w:rsidR="00E71D45" w:rsidRPr="00EE33FA" w:rsidRDefault="00E71D45" w:rsidP="000E5FC6">
            <w:pPr>
              <w:spacing w:line="300" w:lineRule="atLeast"/>
              <w:jc w:val="center"/>
              <w:rPr>
                <w:sz w:val="20"/>
                <w:szCs w:val="20"/>
                <w:lang w:val="en-GB"/>
              </w:rPr>
            </w:pPr>
            <w:r w:rsidRPr="00EE33FA">
              <w:rPr>
                <w:sz w:val="20"/>
                <w:szCs w:val="20"/>
                <w:lang w:val="en-GB"/>
              </w:rPr>
              <w:t>2012</w:t>
            </w:r>
          </w:p>
        </w:tc>
        <w:tc>
          <w:tcPr>
            <w:tcW w:w="1471" w:type="dxa"/>
            <w:shd w:val="clear" w:color="auto" w:fill="auto"/>
            <w:vAlign w:val="center"/>
          </w:tcPr>
          <w:p w14:paraId="0535EBB1" w14:textId="77777777" w:rsidR="00E71D45" w:rsidRPr="00EE33FA" w:rsidRDefault="00E71D45" w:rsidP="000E5FC6">
            <w:pPr>
              <w:spacing w:line="300" w:lineRule="atLeast"/>
              <w:jc w:val="center"/>
              <w:rPr>
                <w:sz w:val="20"/>
                <w:szCs w:val="20"/>
                <w:lang w:val="en-GB"/>
              </w:rPr>
            </w:pPr>
            <w:r w:rsidRPr="00EE33FA">
              <w:rPr>
                <w:sz w:val="20"/>
                <w:szCs w:val="20"/>
                <w:lang w:val="en-GB"/>
              </w:rPr>
              <w:t>253</w:t>
            </w:r>
          </w:p>
        </w:tc>
      </w:tr>
      <w:tr w:rsidR="00661971" w:rsidRPr="00EE33FA" w14:paraId="2AA57122" w14:textId="77777777" w:rsidTr="00396B6F">
        <w:trPr>
          <w:trHeight w:hRule="exact" w:val="284"/>
        </w:trPr>
        <w:tc>
          <w:tcPr>
            <w:tcW w:w="6345" w:type="dxa"/>
            <w:shd w:val="clear" w:color="auto" w:fill="auto"/>
            <w:vAlign w:val="center"/>
          </w:tcPr>
          <w:p w14:paraId="04B2279C" w14:textId="77777777" w:rsidR="00E71D45" w:rsidRPr="00EE33FA" w:rsidRDefault="00E71D45" w:rsidP="00997FBF">
            <w:pPr>
              <w:spacing w:line="300" w:lineRule="atLeast"/>
              <w:jc w:val="both"/>
              <w:rPr>
                <w:sz w:val="20"/>
                <w:szCs w:val="20"/>
                <w:lang w:val="en-GB"/>
              </w:rPr>
            </w:pPr>
            <w:r w:rsidRPr="00EE33FA">
              <w:rPr>
                <w:sz w:val="20"/>
                <w:szCs w:val="20"/>
                <w:lang w:val="en-GB"/>
              </w:rPr>
              <w:t>Incidence of tuberculosis per 100 000</w:t>
            </w:r>
          </w:p>
        </w:tc>
        <w:tc>
          <w:tcPr>
            <w:tcW w:w="1418" w:type="dxa"/>
            <w:shd w:val="clear" w:color="auto" w:fill="auto"/>
            <w:vAlign w:val="center"/>
          </w:tcPr>
          <w:p w14:paraId="41A631F6" w14:textId="77777777" w:rsidR="00E71D45" w:rsidRPr="00EE33FA" w:rsidRDefault="00E71D45" w:rsidP="000E5FC6">
            <w:pPr>
              <w:spacing w:line="300" w:lineRule="atLeast"/>
              <w:jc w:val="center"/>
              <w:rPr>
                <w:sz w:val="20"/>
                <w:szCs w:val="20"/>
                <w:lang w:val="en-GB"/>
              </w:rPr>
            </w:pPr>
            <w:r w:rsidRPr="00EE33FA">
              <w:rPr>
                <w:sz w:val="20"/>
                <w:szCs w:val="20"/>
                <w:lang w:val="en-GB"/>
              </w:rPr>
              <w:t>2012</w:t>
            </w:r>
          </w:p>
        </w:tc>
        <w:tc>
          <w:tcPr>
            <w:tcW w:w="1471" w:type="dxa"/>
            <w:shd w:val="clear" w:color="auto" w:fill="auto"/>
            <w:vAlign w:val="center"/>
          </w:tcPr>
          <w:p w14:paraId="1FD788BD" w14:textId="77777777" w:rsidR="00E71D45" w:rsidRPr="00EE33FA" w:rsidRDefault="00E71D45" w:rsidP="000E5FC6">
            <w:pPr>
              <w:spacing w:line="300" w:lineRule="atLeast"/>
              <w:jc w:val="center"/>
              <w:rPr>
                <w:sz w:val="20"/>
                <w:szCs w:val="20"/>
                <w:lang w:val="en-GB"/>
              </w:rPr>
            </w:pPr>
            <w:r w:rsidRPr="00EE33FA">
              <w:rPr>
                <w:sz w:val="20"/>
                <w:szCs w:val="20"/>
                <w:lang w:val="en-GB"/>
              </w:rPr>
              <w:t>88</w:t>
            </w:r>
          </w:p>
        </w:tc>
      </w:tr>
      <w:tr w:rsidR="00661971" w:rsidRPr="00EE33FA" w14:paraId="27B4F509" w14:textId="77777777" w:rsidTr="00396B6F">
        <w:trPr>
          <w:trHeight w:hRule="exact" w:val="284"/>
        </w:trPr>
        <w:tc>
          <w:tcPr>
            <w:tcW w:w="6345" w:type="dxa"/>
            <w:shd w:val="clear" w:color="auto" w:fill="auto"/>
            <w:vAlign w:val="center"/>
          </w:tcPr>
          <w:p w14:paraId="27F20137" w14:textId="77777777" w:rsidR="00E71D45" w:rsidRPr="00EE33FA" w:rsidRDefault="00E71D45" w:rsidP="00997FBF">
            <w:pPr>
              <w:spacing w:line="300" w:lineRule="atLeast"/>
              <w:jc w:val="both"/>
              <w:rPr>
                <w:sz w:val="20"/>
                <w:szCs w:val="20"/>
                <w:lang w:val="en-GB"/>
              </w:rPr>
            </w:pPr>
            <w:r w:rsidRPr="00EE33FA">
              <w:rPr>
                <w:sz w:val="20"/>
                <w:szCs w:val="20"/>
                <w:lang w:val="en-GB"/>
              </w:rPr>
              <w:t>Infant deaths per 1000 live births</w:t>
            </w:r>
          </w:p>
        </w:tc>
        <w:tc>
          <w:tcPr>
            <w:tcW w:w="1418" w:type="dxa"/>
            <w:shd w:val="clear" w:color="auto" w:fill="auto"/>
            <w:vAlign w:val="center"/>
          </w:tcPr>
          <w:p w14:paraId="0A2568FC"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58394265" w14:textId="77777777" w:rsidR="00E71D45" w:rsidRPr="00EE33FA" w:rsidRDefault="00E71D45" w:rsidP="000E5FC6">
            <w:pPr>
              <w:spacing w:line="300" w:lineRule="atLeast"/>
              <w:jc w:val="center"/>
              <w:rPr>
                <w:sz w:val="20"/>
                <w:szCs w:val="20"/>
                <w:lang w:val="en-GB"/>
              </w:rPr>
            </w:pPr>
            <w:r w:rsidRPr="00EE33FA">
              <w:rPr>
                <w:sz w:val="20"/>
                <w:szCs w:val="20"/>
                <w:lang w:val="en-GB"/>
              </w:rPr>
              <w:t>11</w:t>
            </w:r>
          </w:p>
        </w:tc>
      </w:tr>
      <w:tr w:rsidR="00661971" w:rsidRPr="00EE33FA" w14:paraId="2AB1785A" w14:textId="77777777" w:rsidTr="00396B6F">
        <w:trPr>
          <w:trHeight w:hRule="exact" w:val="284"/>
        </w:trPr>
        <w:tc>
          <w:tcPr>
            <w:tcW w:w="6345" w:type="dxa"/>
            <w:shd w:val="clear" w:color="auto" w:fill="auto"/>
            <w:vAlign w:val="center"/>
          </w:tcPr>
          <w:p w14:paraId="642913AA" w14:textId="77777777" w:rsidR="00E71D45" w:rsidRPr="00EE33FA" w:rsidRDefault="00E71D45" w:rsidP="00997FBF">
            <w:pPr>
              <w:spacing w:line="300" w:lineRule="atLeast"/>
              <w:jc w:val="both"/>
              <w:rPr>
                <w:sz w:val="20"/>
                <w:szCs w:val="20"/>
                <w:lang w:val="en-GB"/>
              </w:rPr>
            </w:pPr>
            <w:r w:rsidRPr="00EE33FA">
              <w:rPr>
                <w:sz w:val="20"/>
                <w:szCs w:val="20"/>
                <w:lang w:val="en-GB"/>
              </w:rPr>
              <w:t>Life expectancy at birth (years)</w:t>
            </w:r>
          </w:p>
        </w:tc>
        <w:tc>
          <w:tcPr>
            <w:tcW w:w="1418" w:type="dxa"/>
            <w:shd w:val="clear" w:color="auto" w:fill="auto"/>
            <w:vAlign w:val="center"/>
          </w:tcPr>
          <w:p w14:paraId="16E43FD8"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4D720833" w14:textId="77777777" w:rsidR="00E71D45" w:rsidRPr="00EE33FA" w:rsidRDefault="00E71D45" w:rsidP="000E5FC6">
            <w:pPr>
              <w:spacing w:line="300" w:lineRule="atLeast"/>
              <w:jc w:val="center"/>
              <w:rPr>
                <w:sz w:val="20"/>
                <w:szCs w:val="20"/>
                <w:lang w:val="en-GB"/>
              </w:rPr>
            </w:pPr>
            <w:r w:rsidRPr="00EE33FA">
              <w:rPr>
                <w:sz w:val="20"/>
                <w:szCs w:val="20"/>
                <w:lang w:val="en-GB"/>
              </w:rPr>
              <w:t>75</w:t>
            </w:r>
          </w:p>
        </w:tc>
      </w:tr>
      <w:tr w:rsidR="00661971" w:rsidRPr="00EE33FA" w14:paraId="5CE57BF1" w14:textId="77777777" w:rsidTr="00396B6F">
        <w:trPr>
          <w:trHeight w:hRule="exact" w:val="284"/>
        </w:trPr>
        <w:tc>
          <w:tcPr>
            <w:tcW w:w="6345" w:type="dxa"/>
            <w:shd w:val="clear" w:color="auto" w:fill="auto"/>
            <w:vAlign w:val="center"/>
          </w:tcPr>
          <w:p w14:paraId="7562D6C7" w14:textId="77777777" w:rsidR="00E71D45" w:rsidRPr="00EE33FA" w:rsidRDefault="00E71D45" w:rsidP="00997FBF">
            <w:pPr>
              <w:spacing w:line="300" w:lineRule="atLeast"/>
              <w:jc w:val="both"/>
              <w:rPr>
                <w:sz w:val="20"/>
                <w:szCs w:val="20"/>
                <w:lang w:val="en-GB"/>
              </w:rPr>
            </w:pPr>
            <w:r w:rsidRPr="00EE33FA">
              <w:rPr>
                <w:sz w:val="20"/>
                <w:szCs w:val="20"/>
                <w:lang w:val="en-GB"/>
              </w:rPr>
              <w:t>Life expectancy at birth (years), females</w:t>
            </w:r>
          </w:p>
        </w:tc>
        <w:tc>
          <w:tcPr>
            <w:tcW w:w="1418" w:type="dxa"/>
            <w:shd w:val="clear" w:color="auto" w:fill="auto"/>
            <w:vAlign w:val="center"/>
          </w:tcPr>
          <w:p w14:paraId="6BD6986F"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22A2DC2D" w14:textId="77777777" w:rsidR="00E71D45" w:rsidRPr="00EE33FA" w:rsidRDefault="00E71D45" w:rsidP="000E5FC6">
            <w:pPr>
              <w:spacing w:line="300" w:lineRule="atLeast"/>
              <w:jc w:val="center"/>
              <w:rPr>
                <w:sz w:val="20"/>
                <w:szCs w:val="20"/>
                <w:lang w:val="en-GB"/>
              </w:rPr>
            </w:pPr>
            <w:r w:rsidRPr="00EE33FA">
              <w:rPr>
                <w:sz w:val="20"/>
                <w:szCs w:val="20"/>
                <w:lang w:val="en-GB"/>
              </w:rPr>
              <w:t>79</w:t>
            </w:r>
          </w:p>
        </w:tc>
      </w:tr>
      <w:tr w:rsidR="00661971" w:rsidRPr="00EE33FA" w14:paraId="14CADF2B" w14:textId="77777777" w:rsidTr="00396B6F">
        <w:trPr>
          <w:trHeight w:hRule="exact" w:val="284"/>
        </w:trPr>
        <w:tc>
          <w:tcPr>
            <w:tcW w:w="6345" w:type="dxa"/>
            <w:shd w:val="clear" w:color="auto" w:fill="auto"/>
            <w:vAlign w:val="center"/>
          </w:tcPr>
          <w:p w14:paraId="6AD0C555" w14:textId="77777777" w:rsidR="00E71D45" w:rsidRPr="00EE33FA" w:rsidRDefault="00E71D45" w:rsidP="00997FBF">
            <w:pPr>
              <w:spacing w:line="300" w:lineRule="atLeast"/>
              <w:jc w:val="both"/>
              <w:rPr>
                <w:sz w:val="20"/>
                <w:szCs w:val="20"/>
                <w:lang w:val="en-GB"/>
              </w:rPr>
            </w:pPr>
            <w:r w:rsidRPr="00EE33FA">
              <w:rPr>
                <w:sz w:val="20"/>
                <w:szCs w:val="20"/>
                <w:lang w:val="en-GB"/>
              </w:rPr>
              <w:t>Life expectancy at birth (years), males</w:t>
            </w:r>
          </w:p>
        </w:tc>
        <w:tc>
          <w:tcPr>
            <w:tcW w:w="1418" w:type="dxa"/>
            <w:shd w:val="clear" w:color="auto" w:fill="auto"/>
            <w:vAlign w:val="center"/>
          </w:tcPr>
          <w:p w14:paraId="662F4696"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3EB3DA4F" w14:textId="77777777" w:rsidR="00E71D45" w:rsidRPr="00EE33FA" w:rsidRDefault="00E71D45" w:rsidP="000E5FC6">
            <w:pPr>
              <w:spacing w:line="300" w:lineRule="atLeast"/>
              <w:jc w:val="center"/>
              <w:rPr>
                <w:sz w:val="20"/>
                <w:szCs w:val="20"/>
                <w:lang w:val="en-GB"/>
              </w:rPr>
            </w:pPr>
            <w:r w:rsidRPr="00EE33FA">
              <w:rPr>
                <w:sz w:val="20"/>
                <w:szCs w:val="20"/>
                <w:lang w:val="en-GB"/>
              </w:rPr>
              <w:t>70</w:t>
            </w:r>
          </w:p>
        </w:tc>
      </w:tr>
      <w:tr w:rsidR="00661971" w:rsidRPr="00EE33FA" w14:paraId="1716EBC3" w14:textId="77777777" w:rsidTr="00396B6F">
        <w:trPr>
          <w:trHeight w:hRule="exact" w:val="284"/>
        </w:trPr>
        <w:tc>
          <w:tcPr>
            <w:tcW w:w="6345" w:type="dxa"/>
            <w:shd w:val="clear" w:color="auto" w:fill="auto"/>
            <w:vAlign w:val="center"/>
          </w:tcPr>
          <w:p w14:paraId="45E03FA0" w14:textId="77777777" w:rsidR="00E71D45" w:rsidRPr="00EE33FA" w:rsidRDefault="00E71D45" w:rsidP="00997FBF">
            <w:pPr>
              <w:spacing w:line="300" w:lineRule="atLeast"/>
              <w:jc w:val="both"/>
              <w:rPr>
                <w:sz w:val="20"/>
                <w:szCs w:val="20"/>
                <w:lang w:val="en-GB"/>
              </w:rPr>
            </w:pPr>
            <w:r w:rsidRPr="00EE33FA">
              <w:rPr>
                <w:sz w:val="20"/>
                <w:szCs w:val="20"/>
                <w:lang w:val="en-GB"/>
              </w:rPr>
              <w:t>Live births per 1000 population</w:t>
            </w:r>
          </w:p>
        </w:tc>
        <w:tc>
          <w:tcPr>
            <w:tcW w:w="1418" w:type="dxa"/>
            <w:shd w:val="clear" w:color="auto" w:fill="auto"/>
            <w:vAlign w:val="center"/>
          </w:tcPr>
          <w:p w14:paraId="46F5B025" w14:textId="77777777" w:rsidR="00E71D45" w:rsidRPr="00EE33FA" w:rsidRDefault="00E71D45" w:rsidP="000E5FC6">
            <w:pPr>
              <w:spacing w:line="300" w:lineRule="atLeast"/>
              <w:jc w:val="center"/>
              <w:rPr>
                <w:sz w:val="20"/>
                <w:szCs w:val="20"/>
                <w:lang w:val="en-GB"/>
              </w:rPr>
            </w:pPr>
            <w:r w:rsidRPr="00EE33FA">
              <w:rPr>
                <w:sz w:val="20"/>
                <w:szCs w:val="20"/>
                <w:lang w:val="en-GB"/>
              </w:rPr>
              <w:t>2012</w:t>
            </w:r>
          </w:p>
        </w:tc>
        <w:tc>
          <w:tcPr>
            <w:tcW w:w="1471" w:type="dxa"/>
            <w:shd w:val="clear" w:color="auto" w:fill="auto"/>
            <w:vAlign w:val="center"/>
          </w:tcPr>
          <w:p w14:paraId="5A735F2B" w14:textId="77777777" w:rsidR="00E71D45" w:rsidRPr="00EE33FA" w:rsidRDefault="00E71D45" w:rsidP="000E5FC6">
            <w:pPr>
              <w:spacing w:line="300" w:lineRule="atLeast"/>
              <w:jc w:val="center"/>
              <w:rPr>
                <w:sz w:val="20"/>
                <w:szCs w:val="20"/>
                <w:lang w:val="en-GB"/>
              </w:rPr>
            </w:pPr>
            <w:r w:rsidRPr="00EE33FA">
              <w:rPr>
                <w:sz w:val="20"/>
                <w:szCs w:val="20"/>
                <w:lang w:val="en-GB"/>
              </w:rPr>
              <w:t>13</w:t>
            </w:r>
          </w:p>
        </w:tc>
      </w:tr>
      <w:tr w:rsidR="00661971" w:rsidRPr="00EE33FA" w14:paraId="787F2795" w14:textId="77777777" w:rsidTr="00396B6F">
        <w:trPr>
          <w:trHeight w:hRule="exact" w:val="284"/>
        </w:trPr>
        <w:tc>
          <w:tcPr>
            <w:tcW w:w="6345" w:type="dxa"/>
            <w:shd w:val="clear" w:color="auto" w:fill="auto"/>
            <w:vAlign w:val="center"/>
          </w:tcPr>
          <w:p w14:paraId="5B7BF0AA" w14:textId="77777777" w:rsidR="00E71D45" w:rsidRPr="00EE33FA" w:rsidRDefault="00E71D45" w:rsidP="00997FBF">
            <w:pPr>
              <w:spacing w:line="300" w:lineRule="atLeast"/>
              <w:jc w:val="both"/>
              <w:rPr>
                <w:sz w:val="20"/>
                <w:szCs w:val="20"/>
                <w:lang w:val="en-GB"/>
              </w:rPr>
            </w:pPr>
            <w:r w:rsidRPr="00EE33FA">
              <w:rPr>
                <w:sz w:val="20"/>
                <w:szCs w:val="20"/>
                <w:lang w:val="en-GB"/>
              </w:rPr>
              <w:t>Physicians per 100 000</w:t>
            </w:r>
          </w:p>
        </w:tc>
        <w:tc>
          <w:tcPr>
            <w:tcW w:w="1418" w:type="dxa"/>
            <w:shd w:val="clear" w:color="auto" w:fill="auto"/>
            <w:vAlign w:val="center"/>
          </w:tcPr>
          <w:p w14:paraId="3CCC8E2A" w14:textId="77777777" w:rsidR="00E71D45" w:rsidRPr="00EE33FA" w:rsidRDefault="00E71D45" w:rsidP="000E5FC6">
            <w:pPr>
              <w:spacing w:line="300" w:lineRule="atLeast"/>
              <w:jc w:val="center"/>
              <w:rPr>
                <w:sz w:val="20"/>
                <w:szCs w:val="20"/>
                <w:lang w:val="en-GB"/>
              </w:rPr>
            </w:pPr>
            <w:r w:rsidRPr="00EE33FA">
              <w:rPr>
                <w:sz w:val="20"/>
                <w:szCs w:val="20"/>
                <w:lang w:val="en-GB"/>
              </w:rPr>
              <w:t>2012</w:t>
            </w:r>
          </w:p>
        </w:tc>
        <w:tc>
          <w:tcPr>
            <w:tcW w:w="1471" w:type="dxa"/>
            <w:shd w:val="clear" w:color="auto" w:fill="auto"/>
            <w:vAlign w:val="center"/>
          </w:tcPr>
          <w:p w14:paraId="0E76A406" w14:textId="77777777" w:rsidR="00E71D45" w:rsidRPr="00EE33FA" w:rsidRDefault="00E71D45" w:rsidP="000E5FC6">
            <w:pPr>
              <w:spacing w:line="300" w:lineRule="atLeast"/>
              <w:jc w:val="center"/>
              <w:rPr>
                <w:sz w:val="20"/>
                <w:szCs w:val="20"/>
                <w:lang w:val="en-GB"/>
              </w:rPr>
            </w:pPr>
            <w:r w:rsidRPr="00EE33FA">
              <w:rPr>
                <w:sz w:val="20"/>
                <w:szCs w:val="20"/>
                <w:lang w:val="en-GB"/>
              </w:rPr>
              <w:t>406</w:t>
            </w:r>
          </w:p>
        </w:tc>
      </w:tr>
      <w:tr w:rsidR="00661971" w:rsidRPr="00EE33FA" w14:paraId="49E971DB" w14:textId="77777777" w:rsidTr="00396B6F">
        <w:trPr>
          <w:trHeight w:hRule="exact" w:val="284"/>
        </w:trPr>
        <w:tc>
          <w:tcPr>
            <w:tcW w:w="6345" w:type="dxa"/>
            <w:shd w:val="clear" w:color="auto" w:fill="auto"/>
            <w:vAlign w:val="center"/>
          </w:tcPr>
          <w:p w14:paraId="411E822E" w14:textId="77777777" w:rsidR="00E71D45" w:rsidRPr="00EE33FA" w:rsidRDefault="00E71D45" w:rsidP="00997FBF">
            <w:pPr>
              <w:spacing w:line="300" w:lineRule="atLeast"/>
              <w:jc w:val="both"/>
              <w:rPr>
                <w:sz w:val="20"/>
                <w:szCs w:val="20"/>
                <w:lang w:val="en-GB"/>
              </w:rPr>
            </w:pPr>
            <w:r w:rsidRPr="00EE33FA">
              <w:rPr>
                <w:sz w:val="20"/>
                <w:szCs w:val="20"/>
                <w:lang w:val="en-GB"/>
              </w:rPr>
              <w:t>SDR all causes, all ages, per 100 000</w:t>
            </w:r>
          </w:p>
        </w:tc>
        <w:tc>
          <w:tcPr>
            <w:tcW w:w="1418" w:type="dxa"/>
            <w:shd w:val="clear" w:color="auto" w:fill="auto"/>
            <w:vAlign w:val="center"/>
          </w:tcPr>
          <w:p w14:paraId="4A74ECB6"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02A9DF55" w14:textId="77777777" w:rsidR="00E71D45" w:rsidRPr="00EE33FA" w:rsidRDefault="00E71D45" w:rsidP="000E5FC6">
            <w:pPr>
              <w:spacing w:line="300" w:lineRule="atLeast"/>
              <w:jc w:val="center"/>
              <w:rPr>
                <w:sz w:val="20"/>
                <w:szCs w:val="20"/>
                <w:lang w:val="en-GB"/>
              </w:rPr>
            </w:pPr>
            <w:r w:rsidRPr="00EE33FA">
              <w:rPr>
                <w:sz w:val="20"/>
                <w:szCs w:val="20"/>
                <w:lang w:val="en-GB"/>
              </w:rPr>
              <w:t>859</w:t>
            </w:r>
          </w:p>
        </w:tc>
      </w:tr>
      <w:tr w:rsidR="00661971" w:rsidRPr="00EE33FA" w14:paraId="4015421F" w14:textId="77777777" w:rsidTr="00396B6F">
        <w:trPr>
          <w:trHeight w:hRule="exact" w:val="284"/>
        </w:trPr>
        <w:tc>
          <w:tcPr>
            <w:tcW w:w="6345" w:type="dxa"/>
            <w:shd w:val="clear" w:color="auto" w:fill="auto"/>
            <w:vAlign w:val="center"/>
          </w:tcPr>
          <w:p w14:paraId="1BC1BE52" w14:textId="77777777" w:rsidR="00E71D45" w:rsidRPr="00EE33FA" w:rsidRDefault="00E71D45" w:rsidP="00997FBF">
            <w:pPr>
              <w:spacing w:line="300" w:lineRule="atLeast"/>
              <w:jc w:val="both"/>
              <w:rPr>
                <w:sz w:val="20"/>
                <w:szCs w:val="20"/>
                <w:lang w:val="en-GB"/>
              </w:rPr>
            </w:pPr>
            <w:r w:rsidRPr="00EE33FA">
              <w:rPr>
                <w:sz w:val="20"/>
                <w:szCs w:val="20"/>
                <w:lang w:val="en-GB"/>
              </w:rPr>
              <w:t>SDR, diseases of circulatory system, all ages, per 100 000</w:t>
            </w:r>
          </w:p>
        </w:tc>
        <w:tc>
          <w:tcPr>
            <w:tcW w:w="1418" w:type="dxa"/>
            <w:shd w:val="clear" w:color="auto" w:fill="auto"/>
            <w:vAlign w:val="center"/>
          </w:tcPr>
          <w:p w14:paraId="72AF1F83"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4358C89F" w14:textId="77777777" w:rsidR="00E71D45" w:rsidRPr="00EE33FA" w:rsidRDefault="00E71D45" w:rsidP="000E5FC6">
            <w:pPr>
              <w:spacing w:line="300" w:lineRule="atLeast"/>
              <w:jc w:val="center"/>
              <w:rPr>
                <w:sz w:val="20"/>
                <w:szCs w:val="20"/>
                <w:lang w:val="en-GB"/>
              </w:rPr>
            </w:pPr>
            <w:r w:rsidRPr="00EE33FA">
              <w:rPr>
                <w:sz w:val="20"/>
                <w:szCs w:val="20"/>
                <w:lang w:val="en-GB"/>
              </w:rPr>
              <w:t>248</w:t>
            </w:r>
          </w:p>
        </w:tc>
      </w:tr>
      <w:tr w:rsidR="00661971" w:rsidRPr="00EE33FA" w14:paraId="3C156B7C" w14:textId="77777777" w:rsidTr="00396B6F">
        <w:trPr>
          <w:trHeight w:hRule="exact" w:val="284"/>
        </w:trPr>
        <w:tc>
          <w:tcPr>
            <w:tcW w:w="6345" w:type="dxa"/>
            <w:shd w:val="clear" w:color="auto" w:fill="auto"/>
            <w:vAlign w:val="center"/>
          </w:tcPr>
          <w:p w14:paraId="0A96683F" w14:textId="77777777" w:rsidR="00E71D45" w:rsidRPr="00EE33FA" w:rsidRDefault="00E71D45" w:rsidP="00997FBF">
            <w:pPr>
              <w:spacing w:line="300" w:lineRule="atLeast"/>
              <w:jc w:val="both"/>
              <w:rPr>
                <w:sz w:val="20"/>
                <w:szCs w:val="20"/>
                <w:lang w:val="en-GB"/>
              </w:rPr>
            </w:pPr>
            <w:r w:rsidRPr="00EE33FA">
              <w:rPr>
                <w:sz w:val="20"/>
                <w:szCs w:val="20"/>
                <w:lang w:val="en-GB"/>
              </w:rPr>
              <w:t>SDR, external causes of injury and poisoning, all ages, per 100 000</w:t>
            </w:r>
          </w:p>
        </w:tc>
        <w:tc>
          <w:tcPr>
            <w:tcW w:w="1418" w:type="dxa"/>
            <w:shd w:val="clear" w:color="auto" w:fill="auto"/>
            <w:vAlign w:val="center"/>
          </w:tcPr>
          <w:p w14:paraId="4729E937"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2DE4C2E4" w14:textId="77777777" w:rsidR="00E71D45" w:rsidRPr="00EE33FA" w:rsidRDefault="00E71D45" w:rsidP="000E5FC6">
            <w:pPr>
              <w:spacing w:line="300" w:lineRule="atLeast"/>
              <w:jc w:val="center"/>
              <w:rPr>
                <w:sz w:val="20"/>
                <w:szCs w:val="20"/>
                <w:lang w:val="en-GB"/>
              </w:rPr>
            </w:pPr>
            <w:r w:rsidRPr="00EE33FA">
              <w:rPr>
                <w:sz w:val="20"/>
                <w:szCs w:val="20"/>
                <w:lang w:val="en-GB"/>
              </w:rPr>
              <w:t>22</w:t>
            </w:r>
          </w:p>
        </w:tc>
      </w:tr>
      <w:tr w:rsidR="00661971" w:rsidRPr="00EE33FA" w14:paraId="65E026D7" w14:textId="77777777" w:rsidTr="00396B6F">
        <w:trPr>
          <w:trHeight w:hRule="exact" w:val="284"/>
        </w:trPr>
        <w:tc>
          <w:tcPr>
            <w:tcW w:w="6345" w:type="dxa"/>
            <w:shd w:val="clear" w:color="auto" w:fill="auto"/>
            <w:vAlign w:val="center"/>
          </w:tcPr>
          <w:p w14:paraId="1CC958E7" w14:textId="77777777" w:rsidR="00E71D45" w:rsidRPr="00EE33FA" w:rsidRDefault="00E71D45" w:rsidP="00997FBF">
            <w:pPr>
              <w:spacing w:line="300" w:lineRule="atLeast"/>
              <w:jc w:val="both"/>
              <w:rPr>
                <w:sz w:val="20"/>
                <w:szCs w:val="20"/>
                <w:lang w:val="en-GB"/>
              </w:rPr>
            </w:pPr>
            <w:r w:rsidRPr="00EE33FA">
              <w:rPr>
                <w:sz w:val="20"/>
                <w:szCs w:val="20"/>
                <w:lang w:val="en-GB"/>
              </w:rPr>
              <w:t>SDR, malignant neoplasms, all ages, per 100 000</w:t>
            </w:r>
          </w:p>
        </w:tc>
        <w:tc>
          <w:tcPr>
            <w:tcW w:w="1418" w:type="dxa"/>
            <w:shd w:val="clear" w:color="auto" w:fill="auto"/>
            <w:vAlign w:val="center"/>
          </w:tcPr>
          <w:p w14:paraId="73645C1F" w14:textId="77777777" w:rsidR="00E71D45" w:rsidRPr="00EE33FA" w:rsidRDefault="00E71D45" w:rsidP="000E5FC6">
            <w:pPr>
              <w:spacing w:line="300" w:lineRule="atLeast"/>
              <w:jc w:val="center"/>
              <w:rPr>
                <w:sz w:val="20"/>
                <w:szCs w:val="20"/>
                <w:lang w:val="en-GB"/>
              </w:rPr>
            </w:pPr>
            <w:r w:rsidRPr="00EE33FA">
              <w:rPr>
                <w:sz w:val="20"/>
                <w:szCs w:val="20"/>
                <w:lang w:val="en-GB"/>
              </w:rPr>
              <w:t>2010</w:t>
            </w:r>
          </w:p>
        </w:tc>
        <w:tc>
          <w:tcPr>
            <w:tcW w:w="1471" w:type="dxa"/>
            <w:shd w:val="clear" w:color="auto" w:fill="auto"/>
            <w:vAlign w:val="center"/>
          </w:tcPr>
          <w:p w14:paraId="6C2F1908" w14:textId="77777777" w:rsidR="00E71D45" w:rsidRPr="00EE33FA" w:rsidRDefault="00E71D45" w:rsidP="000E5FC6">
            <w:pPr>
              <w:spacing w:line="300" w:lineRule="atLeast"/>
              <w:jc w:val="center"/>
              <w:rPr>
                <w:sz w:val="20"/>
                <w:szCs w:val="20"/>
                <w:lang w:val="en-GB"/>
              </w:rPr>
            </w:pPr>
            <w:r w:rsidRPr="00EE33FA">
              <w:rPr>
                <w:sz w:val="20"/>
                <w:szCs w:val="20"/>
                <w:lang w:val="en-GB"/>
              </w:rPr>
              <w:t>56</w:t>
            </w:r>
          </w:p>
        </w:tc>
      </w:tr>
      <w:tr w:rsidR="00661971" w:rsidRPr="00EE33FA" w14:paraId="3F493A00" w14:textId="77777777" w:rsidTr="00396B6F">
        <w:trPr>
          <w:trHeight w:hRule="exact" w:val="284"/>
        </w:trPr>
        <w:tc>
          <w:tcPr>
            <w:tcW w:w="6345" w:type="dxa"/>
            <w:shd w:val="clear" w:color="auto" w:fill="auto"/>
            <w:vAlign w:val="center"/>
          </w:tcPr>
          <w:p w14:paraId="633EE556" w14:textId="77777777" w:rsidR="00E71D45" w:rsidRPr="00EE33FA" w:rsidRDefault="00E71D45" w:rsidP="00997FBF">
            <w:pPr>
              <w:spacing w:line="300" w:lineRule="atLeast"/>
              <w:jc w:val="both"/>
              <w:rPr>
                <w:sz w:val="20"/>
                <w:szCs w:val="20"/>
                <w:lang w:val="en-GB"/>
              </w:rPr>
            </w:pPr>
            <w:r w:rsidRPr="00EE33FA">
              <w:rPr>
                <w:sz w:val="20"/>
                <w:szCs w:val="20"/>
                <w:lang w:val="en-GB"/>
              </w:rPr>
              <w:t>Total health expenditure as % of GDP, WHO estimates</w:t>
            </w:r>
          </w:p>
        </w:tc>
        <w:tc>
          <w:tcPr>
            <w:tcW w:w="1418" w:type="dxa"/>
            <w:shd w:val="clear" w:color="auto" w:fill="auto"/>
            <w:vAlign w:val="center"/>
          </w:tcPr>
          <w:p w14:paraId="7EF10F45" w14:textId="77777777" w:rsidR="00E71D45" w:rsidRPr="00EE33FA" w:rsidRDefault="00E71D45" w:rsidP="000E5FC6">
            <w:pPr>
              <w:spacing w:line="300" w:lineRule="atLeast"/>
              <w:jc w:val="center"/>
              <w:rPr>
                <w:sz w:val="20"/>
                <w:szCs w:val="20"/>
                <w:lang w:val="en-GB"/>
              </w:rPr>
            </w:pPr>
            <w:r w:rsidRPr="00EE33FA">
              <w:rPr>
                <w:sz w:val="20"/>
                <w:szCs w:val="20"/>
                <w:lang w:val="en-GB"/>
              </w:rPr>
              <w:t>2012</w:t>
            </w:r>
          </w:p>
        </w:tc>
        <w:tc>
          <w:tcPr>
            <w:tcW w:w="1471" w:type="dxa"/>
            <w:shd w:val="clear" w:color="auto" w:fill="auto"/>
            <w:vAlign w:val="center"/>
          </w:tcPr>
          <w:p w14:paraId="00E3D403" w14:textId="77777777" w:rsidR="00E71D45" w:rsidRPr="00EE33FA" w:rsidRDefault="00E71D45" w:rsidP="000E5FC6">
            <w:pPr>
              <w:spacing w:line="300" w:lineRule="atLeast"/>
              <w:jc w:val="center"/>
              <w:rPr>
                <w:sz w:val="20"/>
                <w:szCs w:val="20"/>
                <w:lang w:val="en-GB"/>
              </w:rPr>
            </w:pPr>
            <w:r w:rsidRPr="00EE33FA">
              <w:rPr>
                <w:sz w:val="20"/>
                <w:szCs w:val="20"/>
                <w:lang w:val="en-GB"/>
              </w:rPr>
              <w:t>9</w:t>
            </w:r>
          </w:p>
        </w:tc>
      </w:tr>
    </w:tbl>
    <w:p w14:paraId="7742F3B4" w14:textId="699451BF" w:rsidR="009B65F6" w:rsidRPr="00EE33FA" w:rsidRDefault="00374BFC" w:rsidP="00C7767F">
      <w:pPr>
        <w:spacing w:before="120" w:line="300" w:lineRule="atLeast"/>
        <w:jc w:val="center"/>
        <w:rPr>
          <w:bCs/>
          <w:i/>
          <w:lang w:val="en-GB"/>
        </w:rPr>
      </w:pPr>
      <w:r w:rsidRPr="00EE33FA">
        <w:rPr>
          <w:i/>
          <w:lang w:val="en-GB"/>
        </w:rPr>
        <w:t>Figure/table</w:t>
      </w:r>
      <w:r w:rsidRPr="00EE33FA">
        <w:rPr>
          <w:bCs/>
          <w:i/>
          <w:lang w:val="en-GB"/>
        </w:rPr>
        <w:t xml:space="preserve"> 2</w:t>
      </w:r>
      <w:r w:rsidR="006448AC" w:rsidRPr="00EE33FA">
        <w:rPr>
          <w:bCs/>
          <w:i/>
          <w:lang w:val="en-GB"/>
        </w:rPr>
        <w:t>: Selected Health Indicators</w:t>
      </w:r>
    </w:p>
    <w:p w14:paraId="7A10F6B5" w14:textId="77777777" w:rsidR="00CF232F" w:rsidRPr="00EE33FA" w:rsidRDefault="00CF232F" w:rsidP="009B65F6">
      <w:pPr>
        <w:jc w:val="center"/>
        <w:rPr>
          <w:lang w:val="en-GB"/>
        </w:rPr>
      </w:pPr>
    </w:p>
    <w:p w14:paraId="7C89A3AC" w14:textId="20F4BEFF" w:rsidR="0002184C" w:rsidRPr="00EE33FA" w:rsidRDefault="00C756F7" w:rsidP="0002184C">
      <w:pPr>
        <w:pStyle w:val="Heading2"/>
        <w:ind w:firstLine="360"/>
        <w:rPr>
          <w:lang w:val="en-GB"/>
        </w:rPr>
      </w:pPr>
      <w:bookmarkStart w:id="18" w:name="_Toc303889493"/>
      <w:r w:rsidRPr="00EE33FA">
        <w:rPr>
          <w:lang w:val="en-GB"/>
        </w:rPr>
        <w:lastRenderedPageBreak/>
        <w:t xml:space="preserve">Immunization </w:t>
      </w:r>
      <w:r w:rsidR="00CC26FC" w:rsidRPr="00EE33FA">
        <w:rPr>
          <w:lang w:val="en-GB"/>
        </w:rPr>
        <w:t>and</w:t>
      </w:r>
      <w:r w:rsidR="00175D92" w:rsidRPr="00EE33FA">
        <w:rPr>
          <w:lang w:val="en-GB"/>
        </w:rPr>
        <w:t xml:space="preserve"> VPD surveillance </w:t>
      </w:r>
      <w:r w:rsidR="00350CBE" w:rsidRPr="00EE33FA">
        <w:rPr>
          <w:lang w:val="en-GB"/>
        </w:rPr>
        <w:t>program</w:t>
      </w:r>
      <w:r w:rsidR="00175D92" w:rsidRPr="00EE33FA">
        <w:rPr>
          <w:lang w:val="en-GB"/>
        </w:rPr>
        <w:t>s</w:t>
      </w:r>
      <w:bookmarkEnd w:id="18"/>
    </w:p>
    <w:p w14:paraId="3E8172EF" w14:textId="590BD326" w:rsidR="0043744D" w:rsidRPr="00EE33FA" w:rsidRDefault="0043744D" w:rsidP="0043744D">
      <w:pPr>
        <w:spacing w:before="120" w:line="300" w:lineRule="atLeast"/>
        <w:ind w:firstLine="360"/>
        <w:jc w:val="both"/>
        <w:rPr>
          <w:bCs/>
          <w:lang w:val="en-GB"/>
        </w:rPr>
      </w:pPr>
      <w:r w:rsidRPr="00EE33FA">
        <w:rPr>
          <w:bCs/>
          <w:lang w:val="en-GB"/>
        </w:rPr>
        <w:t>Following reform processes</w:t>
      </w:r>
      <w:r w:rsidR="00F5686D" w:rsidRPr="00EE33FA">
        <w:rPr>
          <w:bCs/>
          <w:lang w:val="en-GB"/>
        </w:rPr>
        <w:t>,</w:t>
      </w:r>
      <w:r w:rsidRPr="00EE33FA">
        <w:rPr>
          <w:bCs/>
          <w:lang w:val="en-GB"/>
        </w:rPr>
        <w:t xml:space="preserve"> policy-making, purchasing, service delivery and regulation functions were separated in the current health system</w:t>
      </w:r>
      <w:r w:rsidR="00C777C9" w:rsidRPr="00EE33FA">
        <w:rPr>
          <w:bCs/>
          <w:lang w:val="en-GB"/>
        </w:rPr>
        <w:t xml:space="preserve"> arrangements in Georgia. The M</w:t>
      </w:r>
      <w:r w:rsidRPr="00EE33FA">
        <w:rPr>
          <w:bCs/>
          <w:lang w:val="en-GB"/>
        </w:rPr>
        <w:t xml:space="preserve">LHSA is responsible for policy development, regulation, developing and overseeing implementation of public health programs including National Immunization Program. Some functions have been decentralized to the local level. </w:t>
      </w:r>
    </w:p>
    <w:p w14:paraId="072305AE" w14:textId="4653F725" w:rsidR="0043744D" w:rsidRPr="00EE33FA" w:rsidRDefault="0043744D" w:rsidP="0043744D">
      <w:pPr>
        <w:spacing w:before="120" w:line="300" w:lineRule="atLeast"/>
        <w:ind w:firstLine="360"/>
        <w:jc w:val="both"/>
        <w:rPr>
          <w:bCs/>
          <w:lang w:val="en-GB"/>
        </w:rPr>
      </w:pPr>
      <w:r w:rsidRPr="00EE33FA">
        <w:rPr>
          <w:bCs/>
          <w:lang w:val="en-GB"/>
        </w:rPr>
        <w:t xml:space="preserve">The leading agency </w:t>
      </w:r>
      <w:r w:rsidR="00837C23" w:rsidRPr="00EE33FA">
        <w:rPr>
          <w:bCs/>
          <w:lang w:val="en-GB"/>
        </w:rPr>
        <w:t>in the public health system is the</w:t>
      </w:r>
      <w:r w:rsidRPr="00EE33FA">
        <w:rPr>
          <w:bCs/>
          <w:lang w:val="en-GB"/>
        </w:rPr>
        <w:t xml:space="preserve"> National </w:t>
      </w:r>
      <w:r w:rsidR="00C777C9" w:rsidRPr="00EE33FA">
        <w:rPr>
          <w:bCs/>
          <w:lang w:val="en-GB"/>
        </w:rPr>
        <w:t>Centre</w:t>
      </w:r>
      <w:r w:rsidRPr="00EE33FA">
        <w:rPr>
          <w:bCs/>
          <w:lang w:val="en-GB"/>
        </w:rPr>
        <w:t xml:space="preserve"> for Disease Control and Public Health (NCDC) initially established in 1995 after reform of the Sanitary Epidemiological System with further major reorganizations in 2007 and 2010. The NCDC is a legal body of </w:t>
      </w:r>
      <w:r w:rsidR="00C777C9" w:rsidRPr="00EE33FA">
        <w:rPr>
          <w:bCs/>
          <w:lang w:val="en-GB"/>
        </w:rPr>
        <w:t>Public Law accountable to the M</w:t>
      </w:r>
      <w:r w:rsidRPr="00EE33FA">
        <w:rPr>
          <w:bCs/>
          <w:lang w:val="en-GB"/>
        </w:rPr>
        <w:t xml:space="preserve">LHSA with a dedicated line in the state budget. The NCDC provides national leadership in preventing and controlling of communicable and non-communicable diseases, through developing of national standards and guidelines, health promotion, disease surveillance, immunization, laboratory work, research, providing expert advice and responding to public health emergencies. NCDC provides health statistics to monitor population health and guide policy actions. </w:t>
      </w:r>
    </w:p>
    <w:p w14:paraId="659DA94B" w14:textId="423D78B5" w:rsidR="0043744D" w:rsidRPr="00EE33FA" w:rsidRDefault="0043744D" w:rsidP="0043744D">
      <w:pPr>
        <w:spacing w:before="120" w:line="300" w:lineRule="atLeast"/>
        <w:ind w:firstLine="360"/>
        <w:jc w:val="both"/>
        <w:rPr>
          <w:bCs/>
          <w:lang w:val="en-GB"/>
        </w:rPr>
      </w:pPr>
      <w:r w:rsidRPr="00EE33FA">
        <w:rPr>
          <w:bCs/>
          <w:lang w:val="en-GB"/>
        </w:rPr>
        <w:t>At the local level</w:t>
      </w:r>
      <w:r w:rsidR="00922684" w:rsidRPr="00EE33FA">
        <w:rPr>
          <w:bCs/>
          <w:lang w:val="en-GB"/>
        </w:rPr>
        <w:t>,</w:t>
      </w:r>
      <w:r w:rsidRPr="00EE33FA">
        <w:rPr>
          <w:bCs/>
          <w:lang w:val="en-GB"/>
        </w:rPr>
        <w:t xml:space="preserve"> public health responsibilities are implemented by municipal</w:t>
      </w:r>
      <w:r w:rsidR="004042AC" w:rsidRPr="00EE33FA">
        <w:rPr>
          <w:bCs/>
          <w:lang w:val="en-GB"/>
        </w:rPr>
        <w:t xml:space="preserve"> (district)</w:t>
      </w:r>
      <w:r w:rsidRPr="00EE33FA">
        <w:rPr>
          <w:bCs/>
          <w:lang w:val="en-GB"/>
        </w:rPr>
        <w:t xml:space="preserve"> public health </w:t>
      </w:r>
      <w:r w:rsidR="0087400E" w:rsidRPr="00EE33FA">
        <w:rPr>
          <w:bCs/>
          <w:lang w:val="en-GB"/>
        </w:rPr>
        <w:t>centres</w:t>
      </w:r>
      <w:r w:rsidRPr="00EE33FA">
        <w:rPr>
          <w:bCs/>
          <w:lang w:val="en-GB"/>
        </w:rPr>
        <w:t xml:space="preserve"> (PHC) established by the local governments and financed from three different sources: local municipalities, central budget transfers and contracts from the NCDC. PHC are responsible for disease surveillance, investigation of outbreaks and planning of control measures, vaccine logistics and immunization monitoring, collection and transfer of health statistical reports including immunization reports.</w:t>
      </w:r>
    </w:p>
    <w:p w14:paraId="6D791167" w14:textId="54043FAF" w:rsidR="00344031" w:rsidRPr="00EE33FA" w:rsidRDefault="00922684" w:rsidP="00DF61A9">
      <w:pPr>
        <w:spacing w:before="120" w:line="300" w:lineRule="atLeast"/>
        <w:ind w:firstLine="360"/>
        <w:jc w:val="both"/>
        <w:rPr>
          <w:bCs/>
          <w:lang w:val="en-GB"/>
        </w:rPr>
      </w:pPr>
      <w:r w:rsidRPr="00EE33FA">
        <w:rPr>
          <w:bCs/>
          <w:lang w:val="en-GB"/>
        </w:rPr>
        <w:t>The i</w:t>
      </w:r>
      <w:r w:rsidR="0043744D" w:rsidRPr="00EE33FA">
        <w:rPr>
          <w:bCs/>
          <w:lang w:val="en-GB"/>
        </w:rPr>
        <w:t xml:space="preserve">mmunization program is implemented through decentralized arrangements by primary health care providers, maternity facilities, municipal public health </w:t>
      </w:r>
      <w:r w:rsidR="0087400E" w:rsidRPr="00EE33FA">
        <w:rPr>
          <w:bCs/>
          <w:lang w:val="en-GB"/>
        </w:rPr>
        <w:t>centres</w:t>
      </w:r>
      <w:r w:rsidR="0043744D" w:rsidRPr="00EE33FA">
        <w:rPr>
          <w:bCs/>
          <w:lang w:val="en-GB"/>
        </w:rPr>
        <w:t xml:space="preserve">, NCDC, Georgia Health and Social Program Implementation </w:t>
      </w:r>
      <w:r w:rsidR="0087400E" w:rsidRPr="00EE33FA">
        <w:rPr>
          <w:bCs/>
          <w:lang w:val="en-GB"/>
        </w:rPr>
        <w:t>Centre</w:t>
      </w:r>
      <w:r w:rsidR="0043744D" w:rsidRPr="00EE33FA">
        <w:rPr>
          <w:bCs/>
          <w:lang w:val="en-GB"/>
        </w:rPr>
        <w:t xml:space="preserve"> (GHSPIC) and Social Service Agency (SSA)</w:t>
      </w:r>
      <w:r w:rsidR="0087400E" w:rsidRPr="00EE33FA">
        <w:rPr>
          <w:bCs/>
          <w:lang w:val="en-GB"/>
        </w:rPr>
        <w:t xml:space="preserve"> under the stewardship of the M</w:t>
      </w:r>
      <w:r w:rsidR="0043744D" w:rsidRPr="00EE33FA">
        <w:rPr>
          <w:bCs/>
          <w:lang w:val="en-GB"/>
        </w:rPr>
        <w:t xml:space="preserve">LHSA. </w:t>
      </w:r>
    </w:p>
    <w:p w14:paraId="7C9FA851" w14:textId="599866DF" w:rsidR="009C58CA" w:rsidRPr="00EE33FA" w:rsidRDefault="009C58CA" w:rsidP="009C58CA">
      <w:pPr>
        <w:pStyle w:val="Heading2"/>
        <w:ind w:firstLine="360"/>
        <w:rPr>
          <w:lang w:val="en-GB"/>
        </w:rPr>
      </w:pPr>
      <w:bookmarkStart w:id="19" w:name="_Toc303889494"/>
      <w:r w:rsidRPr="00EE33FA">
        <w:rPr>
          <w:lang w:val="en-GB"/>
        </w:rPr>
        <w:t>Further information on the health system</w:t>
      </w:r>
      <w:bookmarkEnd w:id="19"/>
    </w:p>
    <w:p w14:paraId="14091E38" w14:textId="031F9CCB" w:rsidR="009C58CA" w:rsidRPr="00EE33FA" w:rsidRDefault="00F22D6C" w:rsidP="009C58CA">
      <w:pPr>
        <w:spacing w:before="120" w:line="300" w:lineRule="atLeast"/>
        <w:ind w:firstLine="360"/>
        <w:jc w:val="both"/>
        <w:rPr>
          <w:bCs/>
          <w:lang w:val="en-GB"/>
        </w:rPr>
      </w:pPr>
      <w:r w:rsidRPr="00EE33FA">
        <w:rPr>
          <w:bCs/>
          <w:lang w:val="en-GB"/>
        </w:rPr>
        <w:t>F</w:t>
      </w:r>
      <w:r w:rsidR="009C58CA" w:rsidRPr="00EE33FA">
        <w:rPr>
          <w:bCs/>
          <w:lang w:val="en-GB"/>
        </w:rPr>
        <w:t>urther information on Georgian health sys</w:t>
      </w:r>
      <w:r w:rsidR="004F5BF7" w:rsidRPr="00EE33FA">
        <w:rPr>
          <w:bCs/>
          <w:lang w:val="en-GB"/>
        </w:rPr>
        <w:t xml:space="preserve">tem </w:t>
      </w:r>
      <w:r w:rsidRPr="00EE33FA">
        <w:rPr>
          <w:bCs/>
          <w:lang w:val="en-GB"/>
        </w:rPr>
        <w:t>could be obtained</w:t>
      </w:r>
      <w:r w:rsidR="00275308" w:rsidRPr="00EE33FA">
        <w:rPr>
          <w:bCs/>
          <w:lang w:val="en-GB"/>
        </w:rPr>
        <w:t xml:space="preserve"> </w:t>
      </w:r>
      <w:r w:rsidRPr="00EE33FA">
        <w:rPr>
          <w:bCs/>
          <w:lang w:val="en-GB"/>
        </w:rPr>
        <w:t>in</w:t>
      </w:r>
      <w:r w:rsidR="00275308" w:rsidRPr="00EE33FA">
        <w:rPr>
          <w:bCs/>
          <w:lang w:val="en-GB"/>
        </w:rPr>
        <w:t xml:space="preserve"> </w:t>
      </w:r>
      <w:r w:rsidR="009C58CA" w:rsidRPr="00EE33FA">
        <w:rPr>
          <w:bCs/>
          <w:lang w:val="en-GB"/>
        </w:rPr>
        <w:t>the below web links</w:t>
      </w:r>
      <w:r w:rsidR="00275308" w:rsidRPr="00EE33FA">
        <w:rPr>
          <w:bCs/>
          <w:lang w:val="en-GB"/>
        </w:rPr>
        <w:t>.</w:t>
      </w:r>
    </w:p>
    <w:p w14:paraId="3CD9084F" w14:textId="77777777" w:rsidR="009C58CA" w:rsidRPr="00EE33FA" w:rsidRDefault="009C58CA" w:rsidP="0087400E">
      <w:pPr>
        <w:pStyle w:val="ListParagraph"/>
        <w:numPr>
          <w:ilvl w:val="0"/>
          <w:numId w:val="27"/>
        </w:numPr>
        <w:spacing w:before="120" w:line="300" w:lineRule="atLeast"/>
        <w:jc w:val="both"/>
        <w:rPr>
          <w:rStyle w:val="Hyperlink"/>
          <w:color w:val="000000"/>
          <w:sz w:val="22"/>
          <w:szCs w:val="22"/>
          <w:lang w:val="en-GB"/>
        </w:rPr>
      </w:pPr>
      <w:r w:rsidRPr="00EE33FA">
        <w:rPr>
          <w:rStyle w:val="Hyperlink"/>
          <w:color w:val="000000"/>
          <w:sz w:val="22"/>
          <w:szCs w:val="22"/>
          <w:lang w:val="en-GB"/>
        </w:rPr>
        <w:t>www.moh.gov.ge</w:t>
      </w:r>
    </w:p>
    <w:p w14:paraId="6D20A0DA" w14:textId="77777777" w:rsidR="009C58CA" w:rsidRPr="00EE33FA" w:rsidRDefault="0090139C" w:rsidP="0087400E">
      <w:pPr>
        <w:pStyle w:val="ListParagraph"/>
        <w:numPr>
          <w:ilvl w:val="0"/>
          <w:numId w:val="27"/>
        </w:numPr>
        <w:spacing w:before="120" w:line="300" w:lineRule="atLeast"/>
        <w:jc w:val="both"/>
        <w:rPr>
          <w:rStyle w:val="Hyperlink"/>
          <w:color w:val="000000"/>
          <w:sz w:val="22"/>
          <w:szCs w:val="22"/>
          <w:lang w:val="en-GB"/>
        </w:rPr>
      </w:pPr>
      <w:hyperlink r:id="rId12" w:history="1">
        <w:r w:rsidR="009C58CA" w:rsidRPr="00EE33FA">
          <w:rPr>
            <w:rStyle w:val="Hyperlink"/>
            <w:color w:val="000000"/>
            <w:sz w:val="22"/>
            <w:szCs w:val="22"/>
            <w:lang w:val="en-GB"/>
          </w:rPr>
          <w:t>www.ncdc.ge</w:t>
        </w:r>
      </w:hyperlink>
    </w:p>
    <w:p w14:paraId="17C7C974" w14:textId="77777777" w:rsidR="009C58CA" w:rsidRPr="00EE33FA" w:rsidRDefault="0090139C" w:rsidP="0087400E">
      <w:pPr>
        <w:pStyle w:val="ListParagraph"/>
        <w:numPr>
          <w:ilvl w:val="0"/>
          <w:numId w:val="27"/>
        </w:numPr>
        <w:spacing w:before="120" w:line="300" w:lineRule="atLeast"/>
        <w:jc w:val="both"/>
        <w:rPr>
          <w:rStyle w:val="Hyperlink"/>
          <w:color w:val="000000"/>
          <w:sz w:val="22"/>
          <w:szCs w:val="22"/>
          <w:lang w:val="en-GB"/>
        </w:rPr>
      </w:pPr>
      <w:hyperlink r:id="rId13" w:history="1">
        <w:r w:rsidR="009C58CA" w:rsidRPr="00EE33FA">
          <w:rPr>
            <w:rStyle w:val="Hyperlink"/>
            <w:color w:val="000000"/>
            <w:sz w:val="22"/>
            <w:szCs w:val="22"/>
            <w:lang w:val="en-GB"/>
          </w:rPr>
          <w:t>www.euro.who.int/en/countries/georgia</w:t>
        </w:r>
      </w:hyperlink>
    </w:p>
    <w:p w14:paraId="66881D29" w14:textId="77777777" w:rsidR="009C58CA" w:rsidRPr="00EE33FA" w:rsidRDefault="009C58CA" w:rsidP="0087400E">
      <w:pPr>
        <w:pStyle w:val="ListParagraph"/>
        <w:numPr>
          <w:ilvl w:val="0"/>
          <w:numId w:val="27"/>
        </w:numPr>
        <w:spacing w:before="120" w:line="300" w:lineRule="atLeast"/>
        <w:jc w:val="both"/>
        <w:rPr>
          <w:rStyle w:val="Hyperlink"/>
          <w:color w:val="000000"/>
          <w:sz w:val="22"/>
          <w:szCs w:val="22"/>
          <w:lang w:val="en-GB"/>
        </w:rPr>
      </w:pPr>
      <w:r w:rsidRPr="00EE33FA">
        <w:rPr>
          <w:rStyle w:val="Hyperlink"/>
          <w:color w:val="000000"/>
          <w:sz w:val="22"/>
          <w:szCs w:val="22"/>
          <w:lang w:val="en-GB"/>
        </w:rPr>
        <w:t>www.unicef.ge//lngeng</w:t>
      </w:r>
    </w:p>
    <w:p w14:paraId="5B62E95E" w14:textId="77777777" w:rsidR="009C58CA" w:rsidRPr="00EE33FA" w:rsidRDefault="009C58CA" w:rsidP="009C58CA">
      <w:pPr>
        <w:spacing w:before="120" w:line="300" w:lineRule="atLeast"/>
        <w:jc w:val="both"/>
        <w:rPr>
          <w:bCs/>
          <w:color w:val="000000"/>
          <w:lang w:val="en-GB"/>
        </w:rPr>
      </w:pPr>
    </w:p>
    <w:p w14:paraId="472192C8" w14:textId="7D2CC16C" w:rsidR="00D34D89" w:rsidRPr="00EE33FA" w:rsidRDefault="002F56C0" w:rsidP="0087400E">
      <w:pPr>
        <w:pStyle w:val="Heading1"/>
        <w:keepLines/>
        <w:numPr>
          <w:ilvl w:val="0"/>
          <w:numId w:val="8"/>
        </w:numPr>
        <w:spacing w:before="480"/>
        <w:rPr>
          <w:sz w:val="36"/>
          <w:szCs w:val="36"/>
          <w:lang w:val="en-GB"/>
        </w:rPr>
      </w:pPr>
      <w:r w:rsidRPr="00EE33FA">
        <w:rPr>
          <w:sz w:val="36"/>
          <w:szCs w:val="36"/>
          <w:lang w:val="en-GB"/>
        </w:rPr>
        <w:br w:type="page"/>
      </w:r>
      <w:bookmarkStart w:id="20" w:name="_Toc288065157"/>
      <w:bookmarkStart w:id="21" w:name="_Toc290215925"/>
      <w:bookmarkStart w:id="22" w:name="_Toc303889495"/>
      <w:r w:rsidR="00A401AE" w:rsidRPr="00EE33FA">
        <w:rPr>
          <w:sz w:val="36"/>
          <w:szCs w:val="36"/>
          <w:lang w:val="en-GB"/>
        </w:rPr>
        <w:lastRenderedPageBreak/>
        <w:t>O</w:t>
      </w:r>
      <w:r w:rsidR="00D34D89" w:rsidRPr="00EE33FA">
        <w:rPr>
          <w:sz w:val="36"/>
          <w:szCs w:val="36"/>
          <w:lang w:val="en-GB"/>
        </w:rPr>
        <w:t>bjectives and methodology</w:t>
      </w:r>
      <w:bookmarkEnd w:id="20"/>
      <w:bookmarkEnd w:id="21"/>
      <w:bookmarkEnd w:id="22"/>
    </w:p>
    <w:p w14:paraId="6E08D2C1" w14:textId="23854A80" w:rsidR="00D34D89" w:rsidRPr="00EE33FA" w:rsidRDefault="00A401AE" w:rsidP="00D34D89">
      <w:pPr>
        <w:pStyle w:val="Heading2"/>
        <w:ind w:left="360"/>
        <w:rPr>
          <w:lang w:val="en-GB"/>
        </w:rPr>
      </w:pPr>
      <w:bookmarkStart w:id="23" w:name="_Toc303889496"/>
      <w:r w:rsidRPr="00EE33FA">
        <w:rPr>
          <w:lang w:val="en-GB"/>
        </w:rPr>
        <w:t>O</w:t>
      </w:r>
      <w:r w:rsidR="00D34D89" w:rsidRPr="00EE33FA">
        <w:rPr>
          <w:lang w:val="en-GB"/>
        </w:rPr>
        <w:t>bjectives</w:t>
      </w:r>
      <w:bookmarkEnd w:id="23"/>
    </w:p>
    <w:p w14:paraId="6C8907B8" w14:textId="08A607EF" w:rsidR="00D34D89" w:rsidRPr="00EE33FA" w:rsidRDefault="00D34D89" w:rsidP="00D34D89">
      <w:pPr>
        <w:spacing w:before="120" w:line="300" w:lineRule="atLeast"/>
        <w:ind w:firstLine="360"/>
        <w:jc w:val="both"/>
        <w:rPr>
          <w:lang w:val="en-GB"/>
        </w:rPr>
      </w:pPr>
      <w:r w:rsidRPr="00EE33FA">
        <w:rPr>
          <w:lang w:val="en-GB"/>
        </w:rPr>
        <w:t xml:space="preserve">In line with </w:t>
      </w:r>
      <w:r w:rsidR="009557CF" w:rsidRPr="00EE33FA">
        <w:rPr>
          <w:lang w:val="en-GB"/>
        </w:rPr>
        <w:t>the</w:t>
      </w:r>
      <w:r w:rsidRPr="00EE33FA">
        <w:rPr>
          <w:lang w:val="en-GB"/>
        </w:rPr>
        <w:t xml:space="preserve"> global and regional goals, as well as national immunization </w:t>
      </w:r>
      <w:r w:rsidR="00350CBE" w:rsidRPr="00EE33FA">
        <w:rPr>
          <w:lang w:val="en-GB"/>
        </w:rPr>
        <w:t>program</w:t>
      </w:r>
      <w:r w:rsidRPr="00EE33FA">
        <w:rPr>
          <w:lang w:val="en-GB"/>
        </w:rPr>
        <w:t xml:space="preserve"> priorities, the objectives of the review </w:t>
      </w:r>
      <w:r w:rsidR="009557CF" w:rsidRPr="00EE33FA">
        <w:rPr>
          <w:lang w:val="en-GB"/>
        </w:rPr>
        <w:t>were</w:t>
      </w:r>
      <w:r w:rsidRPr="00EE33FA">
        <w:rPr>
          <w:lang w:val="en-GB"/>
        </w:rPr>
        <w:t xml:space="preserve"> to provide answers to the following questions:</w:t>
      </w:r>
    </w:p>
    <w:p w14:paraId="5FFA0D69" w14:textId="77777777" w:rsidR="00D34D89" w:rsidRPr="00EE33FA" w:rsidRDefault="00D34D89" w:rsidP="0087400E">
      <w:pPr>
        <w:numPr>
          <w:ilvl w:val="0"/>
          <w:numId w:val="4"/>
        </w:numPr>
        <w:spacing w:before="120" w:line="300" w:lineRule="atLeast"/>
        <w:jc w:val="both"/>
        <w:rPr>
          <w:i/>
          <w:lang w:val="en-GB"/>
        </w:rPr>
      </w:pPr>
      <w:r w:rsidRPr="00EE33FA">
        <w:rPr>
          <w:i/>
          <w:lang w:val="en-GB"/>
        </w:rPr>
        <w:t>Which children in Georgia are not being fully immunized, and what are the reasons?</w:t>
      </w:r>
    </w:p>
    <w:p w14:paraId="16E160D2" w14:textId="260C1729" w:rsidR="00D34D89" w:rsidRPr="00EE33FA" w:rsidRDefault="00D34D89" w:rsidP="0087400E">
      <w:pPr>
        <w:numPr>
          <w:ilvl w:val="0"/>
          <w:numId w:val="4"/>
        </w:numPr>
        <w:spacing w:before="120" w:line="300" w:lineRule="atLeast"/>
        <w:jc w:val="both"/>
        <w:rPr>
          <w:i/>
          <w:lang w:val="en-GB"/>
        </w:rPr>
      </w:pPr>
      <w:r w:rsidRPr="00EE33FA">
        <w:rPr>
          <w:i/>
          <w:lang w:val="en-GB"/>
        </w:rPr>
        <w:t>Does the VPD surveillance system meet national</w:t>
      </w:r>
      <w:r w:rsidR="00B36A16" w:rsidRPr="00EE33FA">
        <w:rPr>
          <w:i/>
          <w:lang w:val="en-GB"/>
        </w:rPr>
        <w:t>, regional</w:t>
      </w:r>
      <w:r w:rsidRPr="00EE33FA">
        <w:rPr>
          <w:i/>
          <w:lang w:val="en-GB"/>
        </w:rPr>
        <w:t xml:space="preserve"> and global targets and is it currently able to detect any VPD outbreaks?</w:t>
      </w:r>
    </w:p>
    <w:p w14:paraId="5F4C0C70" w14:textId="70C7D256" w:rsidR="00D34D89" w:rsidRPr="00EE33FA" w:rsidRDefault="00D34D89" w:rsidP="0087400E">
      <w:pPr>
        <w:numPr>
          <w:ilvl w:val="0"/>
          <w:numId w:val="4"/>
        </w:numPr>
        <w:spacing w:before="120" w:line="300" w:lineRule="atLeast"/>
        <w:jc w:val="both"/>
        <w:rPr>
          <w:i/>
          <w:lang w:val="en-GB"/>
        </w:rPr>
      </w:pPr>
      <w:r w:rsidRPr="00EE33FA">
        <w:rPr>
          <w:i/>
          <w:lang w:val="en-GB"/>
        </w:rPr>
        <w:t xml:space="preserve">Are the strategies being implemented </w:t>
      </w:r>
      <w:r w:rsidR="007338D0" w:rsidRPr="00EE33FA">
        <w:rPr>
          <w:i/>
          <w:lang w:val="en-GB"/>
        </w:rPr>
        <w:t>to achieve m</w:t>
      </w:r>
      <w:r w:rsidRPr="00EE33FA">
        <w:rPr>
          <w:i/>
          <w:lang w:val="en-GB"/>
        </w:rPr>
        <w:t xml:space="preserve">easles elimination </w:t>
      </w:r>
      <w:r w:rsidR="00CC26FC" w:rsidRPr="00EE33FA">
        <w:rPr>
          <w:i/>
          <w:lang w:val="en-GB"/>
        </w:rPr>
        <w:t>and</w:t>
      </w:r>
      <w:r w:rsidR="007338D0" w:rsidRPr="00EE33FA">
        <w:rPr>
          <w:i/>
          <w:lang w:val="en-GB"/>
        </w:rPr>
        <w:t xml:space="preserve"> r</w:t>
      </w:r>
      <w:r w:rsidRPr="00EE33FA">
        <w:rPr>
          <w:i/>
          <w:lang w:val="en-GB"/>
        </w:rPr>
        <w:t>ubella/CRS control targets; to sustain polio-free status and meet requirements for the polio endgame plan; to control hepatitis B infection?</w:t>
      </w:r>
    </w:p>
    <w:p w14:paraId="03860EB7" w14:textId="32967053" w:rsidR="00D34D89" w:rsidRPr="00EE33FA" w:rsidRDefault="00D34D89" w:rsidP="0087400E">
      <w:pPr>
        <w:numPr>
          <w:ilvl w:val="0"/>
          <w:numId w:val="4"/>
        </w:numPr>
        <w:spacing w:before="120" w:line="300" w:lineRule="atLeast"/>
        <w:jc w:val="both"/>
        <w:rPr>
          <w:i/>
          <w:lang w:val="en-GB"/>
        </w:rPr>
      </w:pPr>
      <w:r w:rsidRPr="00EE33FA">
        <w:rPr>
          <w:i/>
          <w:lang w:val="en-GB"/>
        </w:rPr>
        <w:t xml:space="preserve">Within health system perspective, will financial sustainability of </w:t>
      </w:r>
      <w:r w:rsidR="0039178D" w:rsidRPr="00EE33FA">
        <w:rPr>
          <w:i/>
          <w:lang w:val="en-GB"/>
        </w:rPr>
        <w:t xml:space="preserve">the </w:t>
      </w:r>
      <w:r w:rsidRPr="00EE33FA">
        <w:rPr>
          <w:i/>
          <w:lang w:val="en-GB"/>
        </w:rPr>
        <w:t xml:space="preserve">national immunization </w:t>
      </w:r>
      <w:r w:rsidR="00350CBE" w:rsidRPr="00EE33FA">
        <w:rPr>
          <w:i/>
          <w:lang w:val="en-GB"/>
        </w:rPr>
        <w:t>program</w:t>
      </w:r>
      <w:r w:rsidRPr="00EE33FA">
        <w:rPr>
          <w:i/>
          <w:lang w:val="en-GB"/>
        </w:rPr>
        <w:t xml:space="preserve"> be achieved?</w:t>
      </w:r>
    </w:p>
    <w:p w14:paraId="48EF36C8" w14:textId="0D3AA2C9" w:rsidR="00D34D89" w:rsidRPr="00EE33FA" w:rsidRDefault="00D34D89" w:rsidP="00D34D89">
      <w:pPr>
        <w:spacing w:before="120" w:line="300" w:lineRule="atLeast"/>
        <w:ind w:firstLine="360"/>
        <w:jc w:val="both"/>
        <w:rPr>
          <w:bCs/>
          <w:color w:val="000000"/>
          <w:lang w:val="en-GB"/>
        </w:rPr>
      </w:pPr>
      <w:r w:rsidRPr="00EE33FA">
        <w:rPr>
          <w:bCs/>
          <w:color w:val="000000"/>
          <w:lang w:val="en-GB"/>
        </w:rPr>
        <w:t xml:space="preserve">The NCDC </w:t>
      </w:r>
      <w:r w:rsidR="009557CF" w:rsidRPr="00EE33FA">
        <w:rPr>
          <w:bCs/>
          <w:color w:val="000000"/>
          <w:lang w:val="en-GB"/>
        </w:rPr>
        <w:t>proposed to specifically</w:t>
      </w:r>
      <w:r w:rsidRPr="00EE33FA">
        <w:rPr>
          <w:bCs/>
          <w:color w:val="000000"/>
          <w:lang w:val="en-GB"/>
        </w:rPr>
        <w:t xml:space="preserve"> articulated </w:t>
      </w:r>
      <w:r w:rsidR="0000186C" w:rsidRPr="00EE33FA">
        <w:rPr>
          <w:bCs/>
          <w:color w:val="000000"/>
          <w:lang w:val="en-GB"/>
        </w:rPr>
        <w:t xml:space="preserve">the review with the following </w:t>
      </w:r>
      <w:r w:rsidRPr="00EE33FA">
        <w:rPr>
          <w:bCs/>
          <w:color w:val="000000"/>
          <w:lang w:val="en-GB"/>
        </w:rPr>
        <w:t>priority components:</w:t>
      </w:r>
    </w:p>
    <w:p w14:paraId="1A699671" w14:textId="404DF20F" w:rsidR="009557CF" w:rsidRPr="00EE33FA" w:rsidRDefault="009557CF" w:rsidP="0087400E">
      <w:pPr>
        <w:numPr>
          <w:ilvl w:val="0"/>
          <w:numId w:val="12"/>
        </w:numPr>
        <w:spacing w:before="120" w:line="300" w:lineRule="atLeast"/>
        <w:ind w:right="-338"/>
        <w:rPr>
          <w:lang w:val="en-GB"/>
        </w:rPr>
      </w:pPr>
      <w:r w:rsidRPr="00EE33FA">
        <w:rPr>
          <w:lang w:val="en-GB"/>
        </w:rPr>
        <w:t xml:space="preserve">Planning </w:t>
      </w:r>
      <w:r w:rsidR="00CC26FC" w:rsidRPr="00EE33FA">
        <w:rPr>
          <w:lang w:val="en-GB"/>
        </w:rPr>
        <w:t>and</w:t>
      </w:r>
      <w:r w:rsidRPr="00EE33FA">
        <w:rPr>
          <w:lang w:val="en-GB"/>
        </w:rPr>
        <w:t xml:space="preserve"> management, including financing sustainability </w:t>
      </w:r>
      <w:r w:rsidR="00CC26FC" w:rsidRPr="00EE33FA">
        <w:rPr>
          <w:lang w:val="en-GB"/>
        </w:rPr>
        <w:t>and</w:t>
      </w:r>
      <w:r w:rsidRPr="00EE33FA">
        <w:rPr>
          <w:lang w:val="en-GB"/>
        </w:rPr>
        <w:t xml:space="preserve"> advocacy</w:t>
      </w:r>
    </w:p>
    <w:p w14:paraId="767302C1" w14:textId="30E3E68F" w:rsidR="009557CF" w:rsidRPr="00EE33FA" w:rsidRDefault="009557CF" w:rsidP="0087400E">
      <w:pPr>
        <w:numPr>
          <w:ilvl w:val="0"/>
          <w:numId w:val="12"/>
        </w:numPr>
        <w:spacing w:before="120" w:line="300" w:lineRule="atLeast"/>
        <w:rPr>
          <w:lang w:val="en-GB"/>
        </w:rPr>
      </w:pPr>
      <w:r w:rsidRPr="00EE33FA">
        <w:rPr>
          <w:lang w:val="en-GB"/>
        </w:rPr>
        <w:t xml:space="preserve">Service delivery, including immunization schedules, strategies, new vaccine introduction, communication </w:t>
      </w:r>
      <w:r w:rsidR="00CC26FC" w:rsidRPr="00EE33FA">
        <w:rPr>
          <w:lang w:val="en-GB"/>
        </w:rPr>
        <w:t>and</w:t>
      </w:r>
      <w:r w:rsidRPr="00EE33FA">
        <w:rPr>
          <w:lang w:val="en-GB"/>
        </w:rPr>
        <w:t xml:space="preserve"> social mobilization</w:t>
      </w:r>
    </w:p>
    <w:p w14:paraId="5C98B511" w14:textId="161E88AD" w:rsidR="009557CF" w:rsidRPr="00EE33FA" w:rsidRDefault="009557CF" w:rsidP="0087400E">
      <w:pPr>
        <w:numPr>
          <w:ilvl w:val="0"/>
          <w:numId w:val="12"/>
        </w:numPr>
        <w:spacing w:before="120" w:line="300" w:lineRule="atLeast"/>
        <w:rPr>
          <w:lang w:val="en-GB"/>
        </w:rPr>
      </w:pPr>
      <w:r w:rsidRPr="00EE33FA">
        <w:rPr>
          <w:lang w:val="en-GB"/>
        </w:rPr>
        <w:t xml:space="preserve">Immunization quality </w:t>
      </w:r>
      <w:r w:rsidR="00CC26FC" w:rsidRPr="00EE33FA">
        <w:rPr>
          <w:lang w:val="en-GB"/>
        </w:rPr>
        <w:t>and</w:t>
      </w:r>
      <w:r w:rsidRPr="00EE33FA">
        <w:rPr>
          <w:lang w:val="en-GB"/>
        </w:rPr>
        <w:t xml:space="preserve"> safety, including AEFI surveillance </w:t>
      </w:r>
      <w:r w:rsidR="00CC26FC" w:rsidRPr="00EE33FA">
        <w:rPr>
          <w:lang w:val="en-GB"/>
        </w:rPr>
        <w:t>and</w:t>
      </w:r>
      <w:r w:rsidRPr="00EE33FA">
        <w:rPr>
          <w:lang w:val="en-GB"/>
        </w:rPr>
        <w:t xml:space="preserve"> NRA</w:t>
      </w:r>
    </w:p>
    <w:p w14:paraId="14F6334D" w14:textId="1769E57D" w:rsidR="009557CF" w:rsidRPr="00EE33FA" w:rsidRDefault="009557CF" w:rsidP="0087400E">
      <w:pPr>
        <w:numPr>
          <w:ilvl w:val="0"/>
          <w:numId w:val="12"/>
        </w:numPr>
        <w:spacing w:before="120" w:line="300" w:lineRule="atLeast"/>
        <w:rPr>
          <w:lang w:val="en-GB"/>
        </w:rPr>
      </w:pPr>
      <w:r w:rsidRPr="00EE33FA">
        <w:rPr>
          <w:lang w:val="en-GB"/>
        </w:rPr>
        <w:t xml:space="preserve">Immunization coverage </w:t>
      </w:r>
      <w:r w:rsidR="00CC26FC" w:rsidRPr="00EE33FA">
        <w:rPr>
          <w:lang w:val="en-GB"/>
        </w:rPr>
        <w:t>and</w:t>
      </w:r>
      <w:r w:rsidRPr="00EE33FA">
        <w:rPr>
          <w:lang w:val="en-GB"/>
        </w:rPr>
        <w:t xml:space="preserve"> monitoring, including program performance</w:t>
      </w:r>
    </w:p>
    <w:p w14:paraId="58CEE687" w14:textId="0A014634" w:rsidR="009557CF" w:rsidRPr="00EE33FA" w:rsidRDefault="009557CF" w:rsidP="0087400E">
      <w:pPr>
        <w:numPr>
          <w:ilvl w:val="0"/>
          <w:numId w:val="12"/>
        </w:numPr>
        <w:spacing w:before="120" w:line="300" w:lineRule="atLeast"/>
        <w:rPr>
          <w:lang w:val="en-GB"/>
        </w:rPr>
      </w:pPr>
      <w:r w:rsidRPr="00EE33FA">
        <w:rPr>
          <w:lang w:val="en-GB"/>
        </w:rPr>
        <w:t xml:space="preserve">VDP surveillance </w:t>
      </w:r>
      <w:r w:rsidR="00CC26FC" w:rsidRPr="00EE33FA">
        <w:rPr>
          <w:lang w:val="en-GB"/>
        </w:rPr>
        <w:t>and</w:t>
      </w:r>
      <w:r w:rsidRPr="00EE33FA">
        <w:rPr>
          <w:lang w:val="en-GB"/>
        </w:rPr>
        <w:t xml:space="preserve"> diseases control (polio, measles/rubella, hepatitis B)</w:t>
      </w:r>
    </w:p>
    <w:p w14:paraId="237A08C3" w14:textId="77777777" w:rsidR="00D34D89" w:rsidRPr="00EE33FA" w:rsidRDefault="00D34D89" w:rsidP="00D34D89">
      <w:pPr>
        <w:pStyle w:val="Heading2"/>
        <w:ind w:left="360"/>
        <w:rPr>
          <w:lang w:val="en-GB"/>
        </w:rPr>
      </w:pPr>
      <w:bookmarkStart w:id="24" w:name="_Toc303889497"/>
      <w:r w:rsidRPr="00EE33FA">
        <w:rPr>
          <w:lang w:val="en-GB"/>
        </w:rPr>
        <w:t>Methodology</w:t>
      </w:r>
      <w:bookmarkEnd w:id="24"/>
    </w:p>
    <w:p w14:paraId="1BAEF3DD" w14:textId="37AAF5AE" w:rsidR="00D34D89" w:rsidRPr="00EE33FA" w:rsidRDefault="00D34D89" w:rsidP="00D34D89">
      <w:pPr>
        <w:spacing w:before="120" w:line="300" w:lineRule="atLeast"/>
        <w:ind w:firstLine="360"/>
        <w:jc w:val="both"/>
        <w:rPr>
          <w:bCs/>
          <w:lang w:val="en-GB"/>
        </w:rPr>
      </w:pPr>
      <w:r w:rsidRPr="00EE33FA">
        <w:rPr>
          <w:bCs/>
          <w:lang w:val="en-GB"/>
        </w:rPr>
        <w:t xml:space="preserve">The review teams </w:t>
      </w:r>
      <w:r w:rsidR="00786320" w:rsidRPr="00EE33FA">
        <w:rPr>
          <w:bCs/>
          <w:lang w:val="en-GB"/>
        </w:rPr>
        <w:t>were using</w:t>
      </w:r>
      <w:r w:rsidRPr="00EE33FA">
        <w:rPr>
          <w:bCs/>
          <w:lang w:val="en-GB"/>
        </w:rPr>
        <w:t xml:space="preserve"> a number of methods to inform their findings, including:</w:t>
      </w:r>
    </w:p>
    <w:p w14:paraId="21CE22A7" w14:textId="77777777" w:rsidR="00D34D89" w:rsidRPr="00EE33FA" w:rsidRDefault="00D34D89" w:rsidP="0087400E">
      <w:pPr>
        <w:numPr>
          <w:ilvl w:val="0"/>
          <w:numId w:val="3"/>
        </w:numPr>
        <w:spacing w:before="120" w:line="300" w:lineRule="atLeast"/>
        <w:jc w:val="both"/>
        <w:rPr>
          <w:bCs/>
          <w:lang w:val="en-GB"/>
        </w:rPr>
      </w:pPr>
      <w:r w:rsidRPr="00EE33FA">
        <w:rPr>
          <w:bCs/>
          <w:lang w:val="en-GB"/>
        </w:rPr>
        <w:t>Desk review including reports, surveillance data, coverage data, feedback mechanism, supervision mechanism, and capacity building initiatives</w:t>
      </w:r>
    </w:p>
    <w:p w14:paraId="7C143170" w14:textId="33F6C604" w:rsidR="00D34D89" w:rsidRPr="00EE33FA" w:rsidRDefault="00D34D89" w:rsidP="0087400E">
      <w:pPr>
        <w:numPr>
          <w:ilvl w:val="0"/>
          <w:numId w:val="3"/>
        </w:numPr>
        <w:spacing w:before="120" w:line="300" w:lineRule="atLeast"/>
        <w:jc w:val="both"/>
        <w:rPr>
          <w:bCs/>
          <w:lang w:val="en-GB"/>
        </w:rPr>
      </w:pPr>
      <w:r w:rsidRPr="00EE33FA">
        <w:rPr>
          <w:bCs/>
          <w:lang w:val="en-GB"/>
        </w:rPr>
        <w:t xml:space="preserve">Interviews with relevant stakeholders including health officials, health facility staff, care givers </w:t>
      </w:r>
      <w:r w:rsidR="00642973" w:rsidRPr="00EE33FA">
        <w:rPr>
          <w:bCs/>
          <w:lang w:val="en-GB"/>
        </w:rPr>
        <w:t xml:space="preserve">on </w:t>
      </w:r>
      <w:r w:rsidRPr="00EE33FA">
        <w:rPr>
          <w:bCs/>
          <w:lang w:val="en-GB"/>
        </w:rPr>
        <w:t>such topics as planning, implementation, s</w:t>
      </w:r>
      <w:r w:rsidR="004F0270" w:rsidRPr="00EE33FA">
        <w:rPr>
          <w:bCs/>
          <w:lang w:val="en-GB"/>
        </w:rPr>
        <w:t>upervision-monitoring mechanism, etc.</w:t>
      </w:r>
    </w:p>
    <w:p w14:paraId="2DB98E8C" w14:textId="77777777" w:rsidR="00D34D89" w:rsidRPr="00EE33FA" w:rsidRDefault="00D34D89" w:rsidP="0087400E">
      <w:pPr>
        <w:numPr>
          <w:ilvl w:val="0"/>
          <w:numId w:val="3"/>
        </w:numPr>
        <w:spacing w:before="120" w:line="300" w:lineRule="atLeast"/>
        <w:jc w:val="both"/>
        <w:rPr>
          <w:bCs/>
          <w:lang w:val="en-GB"/>
        </w:rPr>
      </w:pPr>
      <w:r w:rsidRPr="00EE33FA">
        <w:rPr>
          <w:bCs/>
          <w:lang w:val="en-GB"/>
        </w:rPr>
        <w:t>Data tracking at all levels for data quality and consistency</w:t>
      </w:r>
    </w:p>
    <w:p w14:paraId="525EE779" w14:textId="4B594BC5" w:rsidR="00D34D89" w:rsidRPr="00EE33FA" w:rsidRDefault="00D34D89" w:rsidP="0087400E">
      <w:pPr>
        <w:numPr>
          <w:ilvl w:val="0"/>
          <w:numId w:val="3"/>
        </w:numPr>
        <w:spacing w:before="120" w:line="300" w:lineRule="atLeast"/>
        <w:jc w:val="both"/>
        <w:rPr>
          <w:bCs/>
          <w:lang w:val="en-GB"/>
        </w:rPr>
      </w:pPr>
      <w:r w:rsidRPr="00EE33FA">
        <w:rPr>
          <w:bCs/>
          <w:lang w:val="en-GB"/>
        </w:rPr>
        <w:t>Site visits to assess service delivery and related aspects</w:t>
      </w:r>
    </w:p>
    <w:p w14:paraId="6BB7E4E4" w14:textId="3D965910" w:rsidR="002C1DC6" w:rsidRPr="00EE33FA" w:rsidRDefault="00852804" w:rsidP="002C1DC6">
      <w:pPr>
        <w:spacing w:before="120" w:line="300" w:lineRule="atLeast"/>
        <w:ind w:firstLine="360"/>
        <w:jc w:val="both"/>
        <w:rPr>
          <w:bCs/>
          <w:lang w:val="en-GB"/>
        </w:rPr>
      </w:pPr>
      <w:r w:rsidRPr="00EE33FA">
        <w:rPr>
          <w:bCs/>
          <w:lang w:val="en-GB"/>
        </w:rPr>
        <w:t xml:space="preserve">Using the experience </w:t>
      </w:r>
      <w:r w:rsidR="004F0270" w:rsidRPr="00EE33FA">
        <w:rPr>
          <w:bCs/>
          <w:lang w:val="en-GB"/>
        </w:rPr>
        <w:t>of</w:t>
      </w:r>
      <w:r w:rsidRPr="00EE33FA">
        <w:rPr>
          <w:bCs/>
          <w:lang w:val="en-GB"/>
        </w:rPr>
        <w:t xml:space="preserve"> other i</w:t>
      </w:r>
      <w:r w:rsidR="00D34D89" w:rsidRPr="00EE33FA">
        <w:rPr>
          <w:bCs/>
          <w:lang w:val="en-GB"/>
        </w:rPr>
        <w:t>mmunization reviews, assessment guidelines with key qu</w:t>
      </w:r>
      <w:r w:rsidRPr="00EE33FA">
        <w:rPr>
          <w:bCs/>
          <w:lang w:val="en-GB"/>
        </w:rPr>
        <w:t xml:space="preserve">estions and key informants were </w:t>
      </w:r>
      <w:r w:rsidR="004F0270" w:rsidRPr="00EE33FA">
        <w:rPr>
          <w:bCs/>
          <w:lang w:val="en-GB"/>
        </w:rPr>
        <w:t xml:space="preserve">developed and </w:t>
      </w:r>
      <w:r w:rsidR="00D34D89" w:rsidRPr="00EE33FA">
        <w:rPr>
          <w:bCs/>
          <w:lang w:val="en-GB"/>
        </w:rPr>
        <w:t xml:space="preserve">used to review the required </w:t>
      </w:r>
      <w:r w:rsidR="002C1DC6" w:rsidRPr="00EE33FA">
        <w:rPr>
          <w:bCs/>
          <w:lang w:val="en-GB"/>
        </w:rPr>
        <w:t xml:space="preserve">data </w:t>
      </w:r>
      <w:r w:rsidR="00DC3FA5" w:rsidRPr="00EE33FA">
        <w:rPr>
          <w:bCs/>
          <w:lang w:val="en-GB"/>
        </w:rPr>
        <w:t>in</w:t>
      </w:r>
      <w:r w:rsidR="002C1DC6" w:rsidRPr="00EE33FA">
        <w:rPr>
          <w:bCs/>
          <w:lang w:val="en-GB"/>
        </w:rPr>
        <w:t xml:space="preserve"> each </w:t>
      </w:r>
      <w:r w:rsidR="00DC3FA5" w:rsidRPr="00EE33FA">
        <w:rPr>
          <w:bCs/>
          <w:lang w:val="en-GB"/>
        </w:rPr>
        <w:t xml:space="preserve">health </w:t>
      </w:r>
      <w:r w:rsidR="002C1DC6" w:rsidRPr="00EE33FA">
        <w:rPr>
          <w:bCs/>
          <w:lang w:val="en-GB"/>
        </w:rPr>
        <w:t>facility visited.</w:t>
      </w:r>
    </w:p>
    <w:p w14:paraId="6485261F" w14:textId="77777777" w:rsidR="004F0270" w:rsidRPr="00EE33FA" w:rsidRDefault="004F0270" w:rsidP="002C1DC6">
      <w:pPr>
        <w:spacing w:before="120" w:line="300" w:lineRule="atLeast"/>
        <w:ind w:firstLine="360"/>
        <w:jc w:val="both"/>
        <w:rPr>
          <w:bCs/>
          <w:lang w:val="en-GB"/>
        </w:rPr>
      </w:pPr>
    </w:p>
    <w:p w14:paraId="26A49F48" w14:textId="08D4FC09" w:rsidR="00D34D89" w:rsidRPr="00EE33FA" w:rsidRDefault="00D34D89" w:rsidP="002C1DC6">
      <w:pPr>
        <w:spacing w:before="120" w:line="300" w:lineRule="atLeast"/>
        <w:ind w:firstLine="360"/>
        <w:jc w:val="both"/>
        <w:rPr>
          <w:bCs/>
          <w:lang w:val="en-GB"/>
        </w:rPr>
      </w:pPr>
      <w:r w:rsidRPr="00EE33FA">
        <w:rPr>
          <w:b/>
          <w:lang w:val="en-GB"/>
        </w:rPr>
        <w:lastRenderedPageBreak/>
        <w:t>Selection of the area and institutions to visit</w:t>
      </w:r>
    </w:p>
    <w:p w14:paraId="147F62CD" w14:textId="47466FE7" w:rsidR="00D34D89" w:rsidRPr="00EE33FA" w:rsidRDefault="003236FC" w:rsidP="003236FC">
      <w:pPr>
        <w:spacing w:before="120" w:line="300" w:lineRule="atLeast"/>
        <w:ind w:firstLine="360"/>
        <w:jc w:val="both"/>
        <w:rPr>
          <w:bCs/>
          <w:lang w:val="en-GB"/>
        </w:rPr>
      </w:pPr>
      <w:r w:rsidRPr="00EE33FA">
        <w:rPr>
          <w:bCs/>
          <w:lang w:val="en-GB"/>
        </w:rPr>
        <w:t>In each region/Tbilisi city a minimum of two districts</w:t>
      </w:r>
      <w:r w:rsidR="003F451B" w:rsidRPr="00EE33FA">
        <w:rPr>
          <w:bCs/>
          <w:lang w:val="en-GB"/>
        </w:rPr>
        <w:t xml:space="preserve"> (municipalities)</w:t>
      </w:r>
      <w:r w:rsidRPr="00EE33FA">
        <w:rPr>
          <w:bCs/>
          <w:lang w:val="en-GB"/>
        </w:rPr>
        <w:t xml:space="preserve"> were selected for the country team to visit, one in close proximity to the region capital, the other district being further away from the region capital.  A number of 2-3 health facilities per district </w:t>
      </w:r>
      <w:r w:rsidR="005A50FE" w:rsidRPr="00EE33FA">
        <w:rPr>
          <w:bCs/>
          <w:lang w:val="en-GB"/>
        </w:rPr>
        <w:t>were</w:t>
      </w:r>
      <w:r w:rsidRPr="00EE33FA">
        <w:rPr>
          <w:bCs/>
          <w:lang w:val="en-GB"/>
        </w:rPr>
        <w:t xml:space="preserve"> visited. </w:t>
      </w:r>
      <w:r w:rsidR="00D34D89" w:rsidRPr="00EE33FA">
        <w:rPr>
          <w:bCs/>
          <w:lang w:val="en-GB"/>
        </w:rPr>
        <w:t>The NCDC suggested the following list of regions</w:t>
      </w:r>
      <w:r w:rsidRPr="00EE33FA">
        <w:rPr>
          <w:bCs/>
          <w:lang w:val="en-GB"/>
        </w:rPr>
        <w:t>/districts</w:t>
      </w:r>
      <w:r w:rsidR="00D34D89" w:rsidRPr="00EE33FA">
        <w:rPr>
          <w:bCs/>
          <w:lang w:val="en-GB"/>
        </w:rPr>
        <w:t xml:space="preserve"> to be visited during the review:</w:t>
      </w:r>
    </w:p>
    <w:p w14:paraId="75FE1D8C" w14:textId="6A03A79B" w:rsidR="00D34D89" w:rsidRPr="00EE33FA" w:rsidRDefault="00D34D89" w:rsidP="0087400E">
      <w:pPr>
        <w:numPr>
          <w:ilvl w:val="0"/>
          <w:numId w:val="5"/>
        </w:numPr>
        <w:spacing w:before="60" w:line="300" w:lineRule="atLeast"/>
        <w:ind w:left="714" w:hanging="357"/>
        <w:jc w:val="both"/>
        <w:rPr>
          <w:bCs/>
          <w:color w:val="000000"/>
          <w:lang w:val="en-GB"/>
        </w:rPr>
      </w:pPr>
      <w:r w:rsidRPr="00EE33FA">
        <w:rPr>
          <w:bCs/>
          <w:color w:val="000000"/>
          <w:lang w:val="en-GB"/>
        </w:rPr>
        <w:t>Tbilisi City</w:t>
      </w:r>
      <w:r w:rsidR="00852804" w:rsidRPr="00EE33FA">
        <w:rPr>
          <w:bCs/>
          <w:color w:val="000000"/>
          <w:lang w:val="en-GB"/>
        </w:rPr>
        <w:t>:</w:t>
      </w:r>
      <w:r w:rsidR="00852804" w:rsidRPr="00EE33FA">
        <w:rPr>
          <w:bCs/>
          <w:color w:val="000000"/>
          <w:lang w:val="en-GB"/>
        </w:rPr>
        <w:tab/>
        <w:t>Vake-Saburtalo, Didube-Chugureti</w:t>
      </w:r>
    </w:p>
    <w:p w14:paraId="3B6EC43B" w14:textId="5E093B8A" w:rsidR="00852804" w:rsidRPr="00EE33FA" w:rsidRDefault="00852804" w:rsidP="0087400E">
      <w:pPr>
        <w:numPr>
          <w:ilvl w:val="0"/>
          <w:numId w:val="5"/>
        </w:numPr>
        <w:spacing w:before="60" w:line="300" w:lineRule="atLeast"/>
        <w:ind w:left="714" w:hanging="357"/>
        <w:jc w:val="both"/>
        <w:rPr>
          <w:bCs/>
          <w:color w:val="000000"/>
          <w:lang w:val="en-GB"/>
        </w:rPr>
      </w:pPr>
      <w:r w:rsidRPr="00EE33FA">
        <w:rPr>
          <w:bCs/>
          <w:color w:val="000000"/>
          <w:lang w:val="en-GB"/>
        </w:rPr>
        <w:t>Kakheti:</w:t>
      </w:r>
      <w:r w:rsidRPr="00EE33FA">
        <w:rPr>
          <w:bCs/>
          <w:color w:val="000000"/>
          <w:lang w:val="en-GB"/>
        </w:rPr>
        <w:tab/>
        <w:t>Telavi, Signagi</w:t>
      </w:r>
    </w:p>
    <w:p w14:paraId="57E494D9" w14:textId="1D15AAAA" w:rsidR="00852804" w:rsidRPr="00EE33FA" w:rsidRDefault="00852804" w:rsidP="0087400E">
      <w:pPr>
        <w:numPr>
          <w:ilvl w:val="0"/>
          <w:numId w:val="5"/>
        </w:numPr>
        <w:spacing w:before="60" w:line="300" w:lineRule="atLeast"/>
        <w:ind w:left="714" w:hanging="357"/>
        <w:jc w:val="both"/>
        <w:rPr>
          <w:bCs/>
          <w:color w:val="000000"/>
          <w:lang w:val="en-GB"/>
        </w:rPr>
      </w:pPr>
      <w:r w:rsidRPr="00EE33FA">
        <w:rPr>
          <w:bCs/>
          <w:color w:val="000000"/>
          <w:lang w:val="en-GB"/>
        </w:rPr>
        <w:t>Imereti:</w:t>
      </w:r>
      <w:r w:rsidRPr="00EE33FA">
        <w:rPr>
          <w:bCs/>
          <w:color w:val="000000"/>
          <w:lang w:val="en-GB"/>
        </w:rPr>
        <w:tab/>
        <w:t>Kutaisi, Bagdadi</w:t>
      </w:r>
    </w:p>
    <w:p w14:paraId="30C08436" w14:textId="4E0C981F" w:rsidR="00D34D89" w:rsidRPr="00EE33FA" w:rsidRDefault="00852804" w:rsidP="0087400E">
      <w:pPr>
        <w:numPr>
          <w:ilvl w:val="0"/>
          <w:numId w:val="5"/>
        </w:numPr>
        <w:spacing w:before="60" w:line="300" w:lineRule="atLeast"/>
        <w:ind w:left="714" w:hanging="357"/>
        <w:jc w:val="both"/>
        <w:rPr>
          <w:bCs/>
          <w:color w:val="000000"/>
          <w:lang w:val="en-GB"/>
        </w:rPr>
      </w:pPr>
      <w:r w:rsidRPr="00EE33FA">
        <w:rPr>
          <w:bCs/>
          <w:color w:val="000000"/>
          <w:lang w:val="en-GB"/>
        </w:rPr>
        <w:t>Ajara:</w:t>
      </w:r>
      <w:r w:rsidRPr="00EE33FA">
        <w:rPr>
          <w:bCs/>
          <w:color w:val="000000"/>
          <w:lang w:val="en-GB"/>
        </w:rPr>
        <w:tab/>
      </w:r>
      <w:r w:rsidRPr="00EE33FA">
        <w:rPr>
          <w:bCs/>
          <w:color w:val="000000"/>
          <w:lang w:val="en-GB"/>
        </w:rPr>
        <w:tab/>
      </w:r>
      <w:r w:rsidR="00D34D89" w:rsidRPr="00EE33FA">
        <w:rPr>
          <w:bCs/>
          <w:color w:val="000000"/>
          <w:lang w:val="en-GB"/>
        </w:rPr>
        <w:t>Batumi, Shuakhevi</w:t>
      </w:r>
    </w:p>
    <w:p w14:paraId="3F2B5A36" w14:textId="77777777" w:rsidR="00D34D89" w:rsidRPr="00EE33FA" w:rsidRDefault="00D34D89" w:rsidP="0087400E">
      <w:pPr>
        <w:numPr>
          <w:ilvl w:val="0"/>
          <w:numId w:val="5"/>
        </w:numPr>
        <w:spacing w:before="60" w:line="300" w:lineRule="atLeast"/>
        <w:ind w:left="714" w:hanging="357"/>
        <w:jc w:val="both"/>
        <w:rPr>
          <w:bCs/>
          <w:color w:val="000000"/>
          <w:lang w:val="en-GB"/>
        </w:rPr>
      </w:pPr>
      <w:r w:rsidRPr="00EE33FA">
        <w:rPr>
          <w:bCs/>
          <w:color w:val="000000"/>
          <w:lang w:val="en-GB"/>
        </w:rPr>
        <w:t>Abkhazia</w:t>
      </w:r>
    </w:p>
    <w:p w14:paraId="4AE234DF" w14:textId="3F75B6AB" w:rsidR="00D34D89" w:rsidRPr="00EE33FA" w:rsidRDefault="00D34D89" w:rsidP="00D34D89">
      <w:pPr>
        <w:spacing w:before="120" w:line="300" w:lineRule="atLeast"/>
        <w:ind w:firstLine="360"/>
        <w:jc w:val="both"/>
        <w:rPr>
          <w:bCs/>
          <w:lang w:val="en-GB"/>
        </w:rPr>
      </w:pPr>
      <w:r w:rsidRPr="00EE33FA">
        <w:rPr>
          <w:bCs/>
          <w:lang w:val="en-GB"/>
        </w:rPr>
        <w:t xml:space="preserve">It is important to emphasize that the review </w:t>
      </w:r>
      <w:r w:rsidR="001D4E8F" w:rsidRPr="00EE33FA">
        <w:rPr>
          <w:bCs/>
          <w:lang w:val="en-GB"/>
        </w:rPr>
        <w:t>was</w:t>
      </w:r>
      <w:r w:rsidRPr="00EE33FA">
        <w:rPr>
          <w:bCs/>
          <w:lang w:val="en-GB"/>
        </w:rPr>
        <w:t xml:space="preserve"> no</w:t>
      </w:r>
      <w:r w:rsidR="00E74F8B" w:rsidRPr="00EE33FA">
        <w:rPr>
          <w:bCs/>
          <w:lang w:val="en-GB"/>
        </w:rPr>
        <w:t>t aiming an exhaustive (quantitative</w:t>
      </w:r>
      <w:r w:rsidRPr="00EE33FA">
        <w:rPr>
          <w:bCs/>
          <w:lang w:val="en-GB"/>
        </w:rPr>
        <w:t xml:space="preserve">) analysis but rather a qualitative, trying to understand properly the areas which needs improvements and how to achieve </w:t>
      </w:r>
      <w:r w:rsidR="008B7C7B" w:rsidRPr="00EE33FA">
        <w:rPr>
          <w:bCs/>
          <w:lang w:val="en-GB"/>
        </w:rPr>
        <w:t>them</w:t>
      </w:r>
      <w:r w:rsidRPr="00EE33FA">
        <w:rPr>
          <w:bCs/>
          <w:lang w:val="en-GB"/>
        </w:rPr>
        <w:t>.</w:t>
      </w:r>
    </w:p>
    <w:p w14:paraId="63131B10" w14:textId="77777777" w:rsidR="00D34D89" w:rsidRPr="00EE33FA" w:rsidRDefault="00D34D89" w:rsidP="00D34D89">
      <w:pPr>
        <w:rPr>
          <w:b/>
          <w:lang w:val="en-GB"/>
        </w:rPr>
      </w:pPr>
    </w:p>
    <w:p w14:paraId="6F021CA9" w14:textId="77777777" w:rsidR="00D34D89" w:rsidRPr="00EE33FA" w:rsidRDefault="00D34D89" w:rsidP="002C1DC6">
      <w:pPr>
        <w:ind w:firstLine="360"/>
        <w:rPr>
          <w:b/>
          <w:lang w:val="en-GB"/>
        </w:rPr>
      </w:pPr>
      <w:r w:rsidRPr="00EE33FA">
        <w:rPr>
          <w:b/>
          <w:lang w:val="en-GB"/>
        </w:rPr>
        <w:t>Review teams</w:t>
      </w:r>
    </w:p>
    <w:p w14:paraId="3F127628" w14:textId="28EF765A" w:rsidR="00D34D89" w:rsidRPr="00EE33FA" w:rsidRDefault="00D34D89" w:rsidP="00D34D89">
      <w:pPr>
        <w:spacing w:before="120" w:line="300" w:lineRule="atLeast"/>
        <w:ind w:firstLine="360"/>
        <w:jc w:val="both"/>
        <w:rPr>
          <w:color w:val="000000"/>
          <w:lang w:val="en-GB"/>
        </w:rPr>
      </w:pPr>
      <w:r w:rsidRPr="00EE33FA">
        <w:rPr>
          <w:color w:val="000000"/>
          <w:lang w:val="en-GB"/>
        </w:rPr>
        <w:t xml:space="preserve">One national/central team </w:t>
      </w:r>
      <w:r w:rsidR="001D4E8F" w:rsidRPr="00EE33FA">
        <w:rPr>
          <w:color w:val="000000"/>
          <w:lang w:val="en-GB"/>
        </w:rPr>
        <w:t>was</w:t>
      </w:r>
      <w:r w:rsidRPr="00EE33FA">
        <w:rPr>
          <w:color w:val="000000"/>
          <w:lang w:val="en-GB"/>
        </w:rPr>
        <w:t xml:space="preserve"> </w:t>
      </w:r>
      <w:r w:rsidRPr="00EE33FA">
        <w:rPr>
          <w:lang w:val="en-GB"/>
        </w:rPr>
        <w:t xml:space="preserve">composed of </w:t>
      </w:r>
      <w:r w:rsidRPr="00EE33FA">
        <w:rPr>
          <w:color w:val="000000"/>
          <w:lang w:val="en-GB"/>
        </w:rPr>
        <w:t xml:space="preserve">a national professional paired with an </w:t>
      </w:r>
      <w:r w:rsidRPr="00EE33FA">
        <w:rPr>
          <w:lang w:val="en-GB"/>
        </w:rPr>
        <w:t>international professional</w:t>
      </w:r>
      <w:r w:rsidRPr="00EE33FA">
        <w:rPr>
          <w:color w:val="000000"/>
          <w:lang w:val="en-GB"/>
        </w:rPr>
        <w:t xml:space="preserve"> (team leader), to cover</w:t>
      </w:r>
      <w:r w:rsidRPr="00EE33FA">
        <w:rPr>
          <w:lang w:val="en-GB"/>
        </w:rPr>
        <w:t xml:space="preserve"> central/national level issues, i.e. immunization and VPD surveillance management, financing, procurement, committees, and laboratories.  </w:t>
      </w:r>
      <w:r w:rsidRPr="00EE33FA">
        <w:rPr>
          <w:color w:val="000000"/>
          <w:lang w:val="en-GB"/>
        </w:rPr>
        <w:t xml:space="preserve">This team </w:t>
      </w:r>
      <w:r w:rsidR="001D4E8F" w:rsidRPr="00EE33FA">
        <w:rPr>
          <w:color w:val="000000"/>
          <w:lang w:val="en-GB"/>
        </w:rPr>
        <w:t>was</w:t>
      </w:r>
      <w:r w:rsidRPr="00EE33FA">
        <w:rPr>
          <w:color w:val="000000"/>
          <w:lang w:val="en-GB"/>
        </w:rPr>
        <w:t xml:space="preserve"> basically review</w:t>
      </w:r>
      <w:r w:rsidR="001D4E8F" w:rsidRPr="00EE33FA">
        <w:rPr>
          <w:color w:val="000000"/>
          <w:lang w:val="en-GB"/>
        </w:rPr>
        <w:t>ing</w:t>
      </w:r>
      <w:r w:rsidRPr="00EE33FA">
        <w:rPr>
          <w:color w:val="000000"/>
          <w:lang w:val="en-GB"/>
        </w:rPr>
        <w:t xml:space="preserve"> the National Immunization Strategy and functioning of the </w:t>
      </w:r>
      <w:r w:rsidR="00EB0BED" w:rsidRPr="00EE33FA">
        <w:rPr>
          <w:color w:val="000000"/>
          <w:lang w:val="en-GB"/>
        </w:rPr>
        <w:t>i</w:t>
      </w:r>
      <w:r w:rsidRPr="00EE33FA">
        <w:rPr>
          <w:color w:val="000000"/>
          <w:lang w:val="en-GB"/>
        </w:rPr>
        <w:t xml:space="preserve">mmunization and VPD surveillance </w:t>
      </w:r>
      <w:r w:rsidR="00350CBE" w:rsidRPr="00EE33FA">
        <w:rPr>
          <w:color w:val="000000"/>
          <w:lang w:val="en-GB"/>
        </w:rPr>
        <w:t>program</w:t>
      </w:r>
      <w:r w:rsidRPr="00EE33FA">
        <w:rPr>
          <w:color w:val="000000"/>
          <w:lang w:val="en-GB"/>
        </w:rPr>
        <w:t xml:space="preserve">s at national level, </w:t>
      </w:r>
      <w:r w:rsidR="00EB0BED" w:rsidRPr="00EE33FA">
        <w:rPr>
          <w:color w:val="000000"/>
          <w:lang w:val="en-GB"/>
        </w:rPr>
        <w:t>including p</w:t>
      </w:r>
      <w:r w:rsidRPr="00EE33FA">
        <w:rPr>
          <w:color w:val="000000"/>
          <w:lang w:val="en-GB"/>
        </w:rPr>
        <w:t xml:space="preserve">olio eradication, </w:t>
      </w:r>
      <w:r w:rsidR="00EB0BED" w:rsidRPr="00EE33FA">
        <w:rPr>
          <w:lang w:val="en-GB"/>
        </w:rPr>
        <w:t>m</w:t>
      </w:r>
      <w:r w:rsidRPr="00EE33FA">
        <w:rPr>
          <w:lang w:val="en-GB"/>
        </w:rPr>
        <w:t xml:space="preserve">easles elimination, </w:t>
      </w:r>
      <w:r w:rsidR="00EB0BED" w:rsidRPr="00EE33FA">
        <w:rPr>
          <w:lang w:val="en-GB"/>
        </w:rPr>
        <w:t>r</w:t>
      </w:r>
      <w:r w:rsidRPr="00EE33FA">
        <w:rPr>
          <w:lang w:val="en-GB"/>
        </w:rPr>
        <w:t>ubella/CRS control</w:t>
      </w:r>
      <w:r w:rsidRPr="00EE33FA">
        <w:rPr>
          <w:color w:val="000000"/>
          <w:lang w:val="en-GB"/>
        </w:rPr>
        <w:t xml:space="preserve">, and </w:t>
      </w:r>
      <w:r w:rsidR="00EB0BED" w:rsidRPr="00EE33FA">
        <w:rPr>
          <w:lang w:val="en-GB"/>
        </w:rPr>
        <w:t>h</w:t>
      </w:r>
      <w:r w:rsidRPr="00EE33FA">
        <w:rPr>
          <w:lang w:val="en-GB"/>
        </w:rPr>
        <w:t>epatitis B control</w:t>
      </w:r>
      <w:r w:rsidRPr="00EE33FA">
        <w:rPr>
          <w:color w:val="000000"/>
          <w:lang w:val="en-GB"/>
        </w:rPr>
        <w:t>.</w:t>
      </w:r>
    </w:p>
    <w:p w14:paraId="424BB2A0" w14:textId="5378E123" w:rsidR="00D34D89" w:rsidRPr="00EE33FA" w:rsidRDefault="00D34D89" w:rsidP="00D34D89">
      <w:pPr>
        <w:spacing w:before="120" w:line="300" w:lineRule="atLeast"/>
        <w:ind w:firstLine="360"/>
        <w:jc w:val="both"/>
        <w:rPr>
          <w:lang w:val="en-GB"/>
        </w:rPr>
      </w:pPr>
      <w:r w:rsidRPr="00EE33FA">
        <w:rPr>
          <w:color w:val="000000"/>
          <w:lang w:val="en-GB"/>
        </w:rPr>
        <w:t xml:space="preserve">5 field review teams </w:t>
      </w:r>
      <w:r w:rsidR="001D4E8F" w:rsidRPr="00EE33FA">
        <w:rPr>
          <w:color w:val="000000"/>
          <w:lang w:val="en-GB"/>
        </w:rPr>
        <w:t>were</w:t>
      </w:r>
      <w:r w:rsidRPr="00EE33FA">
        <w:rPr>
          <w:color w:val="000000"/>
          <w:lang w:val="en-GB"/>
        </w:rPr>
        <w:t xml:space="preserve"> each </w:t>
      </w:r>
      <w:r w:rsidRPr="00EE33FA">
        <w:rPr>
          <w:lang w:val="en-GB"/>
        </w:rPr>
        <w:t xml:space="preserve">composed of a national professional paired with an international professional. </w:t>
      </w:r>
      <w:r w:rsidRPr="00EE33FA">
        <w:rPr>
          <w:color w:val="000000"/>
          <w:lang w:val="en-GB"/>
        </w:rPr>
        <w:t xml:space="preserve">These teams </w:t>
      </w:r>
      <w:r w:rsidR="001D4E8F" w:rsidRPr="00EE33FA">
        <w:rPr>
          <w:color w:val="000000"/>
          <w:lang w:val="en-GB"/>
        </w:rPr>
        <w:t>were</w:t>
      </w:r>
      <w:r w:rsidRPr="00EE33FA">
        <w:rPr>
          <w:color w:val="000000"/>
          <w:lang w:val="en-GB"/>
        </w:rPr>
        <w:t xml:space="preserve"> assigned to cover one region/Tbilisi city, two districts per region, </w:t>
      </w:r>
      <w:r w:rsidR="00A66CDB" w:rsidRPr="00EE33FA">
        <w:rPr>
          <w:color w:val="000000"/>
          <w:lang w:val="en-GB"/>
        </w:rPr>
        <w:t xml:space="preserve">and </w:t>
      </w:r>
      <w:r w:rsidRPr="00EE33FA">
        <w:rPr>
          <w:color w:val="000000"/>
          <w:lang w:val="en-GB"/>
        </w:rPr>
        <w:t>2-3 health facilities per district, interviewing health care providers, observing practices and reviewing records.</w:t>
      </w:r>
    </w:p>
    <w:p w14:paraId="6D1072A6" w14:textId="77777777" w:rsidR="00D34D89" w:rsidRPr="00EE33FA" w:rsidRDefault="00D34D89" w:rsidP="00D34D89">
      <w:pPr>
        <w:spacing w:before="120" w:line="300" w:lineRule="atLeast"/>
        <w:jc w:val="both"/>
        <w:rPr>
          <w:bCs/>
          <w:lang w:val="en-GB"/>
        </w:rPr>
      </w:pPr>
    </w:p>
    <w:p w14:paraId="2B0B31EF" w14:textId="77777777" w:rsidR="00D34D89" w:rsidRPr="00EE33FA" w:rsidRDefault="00D34D89" w:rsidP="002C1DC6">
      <w:pPr>
        <w:ind w:firstLine="360"/>
        <w:rPr>
          <w:b/>
          <w:lang w:val="en-GB"/>
        </w:rPr>
      </w:pPr>
      <w:r w:rsidRPr="00EE33FA">
        <w:rPr>
          <w:b/>
          <w:lang w:val="en-GB"/>
        </w:rPr>
        <w:t>Report preparation</w:t>
      </w:r>
    </w:p>
    <w:p w14:paraId="3540E786" w14:textId="3BB6695D" w:rsidR="00D34D89" w:rsidRPr="00EE33FA" w:rsidRDefault="00D34D89" w:rsidP="00C100CF">
      <w:pPr>
        <w:spacing w:before="120" w:line="300" w:lineRule="atLeast"/>
        <w:ind w:firstLine="360"/>
        <w:jc w:val="both"/>
        <w:rPr>
          <w:bCs/>
          <w:lang w:val="en-GB"/>
        </w:rPr>
      </w:pPr>
      <w:r w:rsidRPr="00EE33FA">
        <w:rPr>
          <w:bCs/>
          <w:lang w:val="en-GB"/>
        </w:rPr>
        <w:t xml:space="preserve">Each team </w:t>
      </w:r>
      <w:r w:rsidR="00C100CF" w:rsidRPr="00EE33FA">
        <w:rPr>
          <w:bCs/>
          <w:lang w:val="en-GB"/>
        </w:rPr>
        <w:t>was preparing</w:t>
      </w:r>
      <w:r w:rsidRPr="00EE33FA">
        <w:rPr>
          <w:bCs/>
          <w:lang w:val="en-GB"/>
        </w:rPr>
        <w:t xml:space="preserve"> feedback on </w:t>
      </w:r>
      <w:r w:rsidR="00C100CF" w:rsidRPr="00EE33FA">
        <w:rPr>
          <w:bCs/>
          <w:lang w:val="en-GB"/>
        </w:rPr>
        <w:t xml:space="preserve">their key findings and </w:t>
      </w:r>
      <w:r w:rsidR="008A6D0B" w:rsidRPr="00EE33FA">
        <w:rPr>
          <w:bCs/>
          <w:lang w:val="en-GB"/>
        </w:rPr>
        <w:t xml:space="preserve">drafting </w:t>
      </w:r>
      <w:r w:rsidR="00C100CF" w:rsidRPr="00EE33FA">
        <w:rPr>
          <w:bCs/>
          <w:lang w:val="en-GB"/>
        </w:rPr>
        <w:t>recommendations</w:t>
      </w:r>
      <w:r w:rsidRPr="00EE33FA">
        <w:rPr>
          <w:bCs/>
          <w:lang w:val="en-GB"/>
        </w:rPr>
        <w:t xml:space="preserve"> </w:t>
      </w:r>
      <w:r w:rsidR="0022708A" w:rsidRPr="00EE33FA">
        <w:rPr>
          <w:bCs/>
          <w:lang w:val="en-GB"/>
        </w:rPr>
        <w:t>for</w:t>
      </w:r>
      <w:r w:rsidRPr="00EE33FA">
        <w:rPr>
          <w:bCs/>
          <w:lang w:val="en-GB"/>
        </w:rPr>
        <w:t xml:space="preserve"> </w:t>
      </w:r>
      <w:r w:rsidR="007438DC" w:rsidRPr="00EE33FA">
        <w:rPr>
          <w:bCs/>
          <w:lang w:val="en-GB"/>
        </w:rPr>
        <w:t>each</w:t>
      </w:r>
      <w:r w:rsidRPr="00EE33FA">
        <w:rPr>
          <w:bCs/>
          <w:lang w:val="en-GB"/>
        </w:rPr>
        <w:t xml:space="preserve"> </w:t>
      </w:r>
      <w:r w:rsidR="00C100CF" w:rsidRPr="00EE33FA">
        <w:rPr>
          <w:bCs/>
          <w:lang w:val="en-GB"/>
        </w:rPr>
        <w:t xml:space="preserve">region reviewed, including also the central level. </w:t>
      </w:r>
      <w:r w:rsidRPr="00EE33FA">
        <w:rPr>
          <w:bCs/>
          <w:lang w:val="en-GB"/>
        </w:rPr>
        <w:t>A s</w:t>
      </w:r>
      <w:r w:rsidR="00C100CF" w:rsidRPr="00EE33FA">
        <w:rPr>
          <w:bCs/>
          <w:lang w:val="en-GB"/>
        </w:rPr>
        <w:t xml:space="preserve">hort report was also prepared for each region, for further distribution to the regions. All these information were </w:t>
      </w:r>
      <w:r w:rsidR="007438DC" w:rsidRPr="00EE33FA">
        <w:rPr>
          <w:bCs/>
          <w:lang w:val="en-GB"/>
        </w:rPr>
        <w:t xml:space="preserve">then </w:t>
      </w:r>
      <w:r w:rsidR="00C100CF" w:rsidRPr="00EE33FA">
        <w:rPr>
          <w:bCs/>
          <w:lang w:val="en-GB"/>
        </w:rPr>
        <w:t xml:space="preserve">consolidated into a </w:t>
      </w:r>
      <w:r w:rsidR="007438DC" w:rsidRPr="00EE33FA">
        <w:rPr>
          <w:bCs/>
          <w:lang w:val="en-GB"/>
        </w:rPr>
        <w:t>national-</w:t>
      </w:r>
      <w:r w:rsidR="00C100CF" w:rsidRPr="00EE33FA">
        <w:rPr>
          <w:bCs/>
          <w:lang w:val="en-GB"/>
        </w:rPr>
        <w:t xml:space="preserve">wide </w:t>
      </w:r>
      <w:r w:rsidR="007438DC" w:rsidRPr="00EE33FA">
        <w:rPr>
          <w:bCs/>
          <w:lang w:val="en-GB"/>
        </w:rPr>
        <w:t xml:space="preserve">summary, covering the 5 </w:t>
      </w:r>
      <w:r w:rsidR="007438DC" w:rsidRPr="00EE33FA">
        <w:rPr>
          <w:bCs/>
          <w:color w:val="000000"/>
          <w:lang w:val="en-GB"/>
        </w:rPr>
        <w:t>priority components identified above.</w:t>
      </w:r>
    </w:p>
    <w:p w14:paraId="303F4619" w14:textId="63C1905E" w:rsidR="00D34D89" w:rsidRPr="00EE33FA" w:rsidRDefault="00C100CF" w:rsidP="00501EDB">
      <w:pPr>
        <w:spacing w:before="120" w:line="300" w:lineRule="atLeast"/>
        <w:ind w:firstLine="360"/>
        <w:jc w:val="both"/>
        <w:rPr>
          <w:bCs/>
          <w:lang w:val="en-GB"/>
        </w:rPr>
      </w:pPr>
      <w:r w:rsidRPr="00EE33FA">
        <w:rPr>
          <w:bCs/>
          <w:lang w:val="en-GB"/>
        </w:rPr>
        <w:t xml:space="preserve">A presentation was made with </w:t>
      </w:r>
      <w:r w:rsidR="00017E57" w:rsidRPr="00EE33FA">
        <w:rPr>
          <w:bCs/>
          <w:lang w:val="en-GB"/>
        </w:rPr>
        <w:t>the</w:t>
      </w:r>
      <w:r w:rsidRPr="00EE33FA">
        <w:rPr>
          <w:bCs/>
          <w:lang w:val="en-GB"/>
        </w:rPr>
        <w:t xml:space="preserve"> conclusions and recommendations and presented on the 5</w:t>
      </w:r>
      <w:r w:rsidRPr="00EE33FA">
        <w:rPr>
          <w:bCs/>
          <w:vertAlign w:val="superscript"/>
          <w:lang w:val="en-GB"/>
        </w:rPr>
        <w:t>th</w:t>
      </w:r>
      <w:r w:rsidRPr="00EE33FA">
        <w:rPr>
          <w:bCs/>
          <w:lang w:val="en-GB"/>
        </w:rPr>
        <w:t xml:space="preserve"> August to the </w:t>
      </w:r>
      <w:r w:rsidR="007722CB" w:rsidRPr="00EE33FA">
        <w:rPr>
          <w:bCs/>
          <w:lang w:val="en-GB"/>
        </w:rPr>
        <w:t>MLHSA and to NCDC.</w:t>
      </w:r>
    </w:p>
    <w:p w14:paraId="5AAF376F" w14:textId="77777777" w:rsidR="002F56C0" w:rsidRPr="00EE33FA" w:rsidRDefault="002F56C0">
      <w:pPr>
        <w:rPr>
          <w:rFonts w:ascii="Calibri" w:hAnsi="Calibri"/>
          <w:b/>
          <w:bCs/>
          <w:i/>
          <w:color w:val="4F81BD"/>
          <w:sz w:val="36"/>
          <w:szCs w:val="36"/>
          <w:lang w:val="en-GB"/>
        </w:rPr>
      </w:pPr>
    </w:p>
    <w:p w14:paraId="14E1330E" w14:textId="77777777" w:rsidR="00D34D89" w:rsidRPr="00EE33FA" w:rsidRDefault="00D34D89">
      <w:pPr>
        <w:rPr>
          <w:rFonts w:ascii="Calibri" w:hAnsi="Calibri"/>
          <w:b/>
          <w:bCs/>
          <w:i/>
          <w:color w:val="4F81BD"/>
          <w:sz w:val="36"/>
          <w:szCs w:val="36"/>
          <w:lang w:val="en-GB"/>
        </w:rPr>
      </w:pPr>
      <w:r w:rsidRPr="00EE33FA">
        <w:rPr>
          <w:sz w:val="36"/>
          <w:szCs w:val="36"/>
          <w:lang w:val="en-GB"/>
        </w:rPr>
        <w:br w:type="page"/>
      </w:r>
    </w:p>
    <w:p w14:paraId="05599F29" w14:textId="377EC1E5" w:rsidR="002F56C0" w:rsidRPr="00EE33FA" w:rsidRDefault="002F56C0" w:rsidP="0087400E">
      <w:pPr>
        <w:pStyle w:val="Heading1"/>
        <w:keepLines/>
        <w:numPr>
          <w:ilvl w:val="0"/>
          <w:numId w:val="8"/>
        </w:numPr>
        <w:spacing w:before="480"/>
        <w:rPr>
          <w:sz w:val="36"/>
          <w:szCs w:val="36"/>
          <w:lang w:val="en-GB"/>
        </w:rPr>
      </w:pPr>
      <w:bookmarkStart w:id="25" w:name="_Toc303889498"/>
      <w:r w:rsidRPr="00EE33FA">
        <w:rPr>
          <w:sz w:val="36"/>
          <w:szCs w:val="36"/>
          <w:lang w:val="en-GB"/>
        </w:rPr>
        <w:lastRenderedPageBreak/>
        <w:t>Findings and recommendations</w:t>
      </w:r>
      <w:bookmarkEnd w:id="25"/>
    </w:p>
    <w:p w14:paraId="4CF09C1A" w14:textId="0A2D6A5E" w:rsidR="002F56C0" w:rsidRPr="00EE33FA" w:rsidRDefault="002F56C0" w:rsidP="0087400E">
      <w:pPr>
        <w:pStyle w:val="Heading2"/>
        <w:numPr>
          <w:ilvl w:val="0"/>
          <w:numId w:val="11"/>
        </w:numPr>
        <w:rPr>
          <w:lang w:val="en-GB"/>
        </w:rPr>
      </w:pPr>
      <w:bookmarkStart w:id="26" w:name="_Toc303889499"/>
      <w:r w:rsidRPr="00EE33FA">
        <w:rPr>
          <w:lang w:val="en-GB"/>
        </w:rPr>
        <w:t xml:space="preserve">Planning </w:t>
      </w:r>
      <w:r w:rsidR="00CC26FC" w:rsidRPr="00EE33FA">
        <w:rPr>
          <w:lang w:val="en-GB"/>
        </w:rPr>
        <w:t>and</w:t>
      </w:r>
      <w:r w:rsidRPr="00EE33FA">
        <w:rPr>
          <w:lang w:val="en-GB"/>
        </w:rPr>
        <w:t xml:space="preserve"> management, including financing sustainability </w:t>
      </w:r>
      <w:r w:rsidR="00CC26FC" w:rsidRPr="00EE33FA">
        <w:rPr>
          <w:lang w:val="en-GB"/>
        </w:rPr>
        <w:t>and</w:t>
      </w:r>
      <w:r w:rsidRPr="00EE33FA">
        <w:rPr>
          <w:lang w:val="en-GB"/>
        </w:rPr>
        <w:t xml:space="preserve"> advocacy</w:t>
      </w:r>
      <w:bookmarkEnd w:id="26"/>
    </w:p>
    <w:p w14:paraId="122DD731" w14:textId="2972BBAF" w:rsidR="008D111A" w:rsidRPr="00EE33FA" w:rsidRDefault="008A515F" w:rsidP="00F331D7">
      <w:pPr>
        <w:spacing w:before="120" w:line="300" w:lineRule="atLeast"/>
        <w:jc w:val="both"/>
        <w:rPr>
          <w:b/>
          <w:color w:val="000000" w:themeColor="text1"/>
          <w:lang w:val="en-GB"/>
        </w:rPr>
      </w:pPr>
      <w:r w:rsidRPr="00EE33FA">
        <w:rPr>
          <w:b/>
          <w:color w:val="000000" w:themeColor="text1"/>
          <w:lang w:val="en-GB"/>
        </w:rPr>
        <w:t>General f</w:t>
      </w:r>
      <w:r w:rsidR="008D111A" w:rsidRPr="00EE33FA">
        <w:rPr>
          <w:b/>
          <w:color w:val="000000" w:themeColor="text1"/>
          <w:lang w:val="en-GB"/>
        </w:rPr>
        <w:t>ramework and financing</w:t>
      </w:r>
    </w:p>
    <w:p w14:paraId="3572C7F4" w14:textId="46288DA3" w:rsidR="00AA0F3F" w:rsidRPr="00EE33FA" w:rsidRDefault="003F4A44" w:rsidP="00BF7C28">
      <w:pPr>
        <w:spacing w:before="120" w:line="300" w:lineRule="atLeast"/>
        <w:ind w:firstLine="360"/>
        <w:jc w:val="both"/>
        <w:rPr>
          <w:color w:val="000000" w:themeColor="text1"/>
          <w:lang w:val="en-GB"/>
        </w:rPr>
      </w:pPr>
      <w:r w:rsidRPr="00EE33FA">
        <w:rPr>
          <w:color w:val="000000" w:themeColor="text1"/>
          <w:lang w:val="en-GB"/>
        </w:rPr>
        <w:t xml:space="preserve">The </w:t>
      </w:r>
      <w:r w:rsidR="008D111A" w:rsidRPr="00EE33FA">
        <w:rPr>
          <w:color w:val="000000" w:themeColor="text1"/>
          <w:lang w:val="en-GB"/>
        </w:rPr>
        <w:t>Public Health Law of Georgia defines main responsibilities of the government, medical institutions and population regarding public health an</w:t>
      </w:r>
      <w:r w:rsidRPr="00EE33FA">
        <w:rPr>
          <w:color w:val="000000" w:themeColor="text1"/>
          <w:lang w:val="en-GB"/>
        </w:rPr>
        <w:t>d contains specific chapter on i</w:t>
      </w:r>
      <w:r w:rsidR="008D111A" w:rsidRPr="00EE33FA">
        <w:rPr>
          <w:color w:val="000000" w:themeColor="text1"/>
          <w:lang w:val="en-GB"/>
        </w:rPr>
        <w:t>mmunization general settings. Details on immunization regulations are provided by th</w:t>
      </w:r>
      <w:r w:rsidR="00BF7C28" w:rsidRPr="00EE33FA">
        <w:rPr>
          <w:color w:val="000000" w:themeColor="text1"/>
          <w:lang w:val="en-GB"/>
        </w:rPr>
        <w:t>e Ministerial D</w:t>
      </w:r>
      <w:r w:rsidR="008D111A" w:rsidRPr="00EE33FA">
        <w:rPr>
          <w:color w:val="000000" w:themeColor="text1"/>
          <w:lang w:val="en-GB"/>
        </w:rPr>
        <w:t>ecree #183</w:t>
      </w:r>
      <w:r w:rsidR="00BF7C28" w:rsidRPr="00EE33FA">
        <w:rPr>
          <w:color w:val="000000" w:themeColor="text1"/>
          <w:lang w:val="en-GB"/>
        </w:rPr>
        <w:t>, and VPD surveillance by the Order on Epidemiologic Surveillance and Medical Statistics (2012)</w:t>
      </w:r>
      <w:r w:rsidR="00BF7C28" w:rsidRPr="00EE33FA">
        <w:rPr>
          <w:color w:val="000000" w:themeColor="text1"/>
          <w:lang w:val="en-GB"/>
        </w:rPr>
        <w:tab/>
        <w:t xml:space="preserve">and a recent Governmental Decree on Integrated Surveillance </w:t>
      </w:r>
      <w:r w:rsidR="00FB3FD0" w:rsidRPr="00EE33FA">
        <w:rPr>
          <w:color w:val="000000" w:themeColor="text1"/>
          <w:lang w:val="en-GB"/>
        </w:rPr>
        <w:t>for Communicable Diseases (July</w:t>
      </w:r>
      <w:r w:rsidR="00BF7C28" w:rsidRPr="00EE33FA">
        <w:rPr>
          <w:color w:val="000000" w:themeColor="text1"/>
          <w:lang w:val="en-GB"/>
        </w:rPr>
        <w:t xml:space="preserve"> 2015)</w:t>
      </w:r>
      <w:r w:rsidR="008D111A" w:rsidRPr="00EE33FA">
        <w:rPr>
          <w:color w:val="000000" w:themeColor="text1"/>
          <w:lang w:val="en-GB"/>
        </w:rPr>
        <w:t>. The Government of Georgia is responsible to provide immunization to all the citizens free of charge with consideration of national immunization calendar.</w:t>
      </w:r>
      <w:r w:rsidR="008A515F" w:rsidRPr="00EE33FA">
        <w:rPr>
          <w:color w:val="000000" w:themeColor="text1"/>
          <w:lang w:val="en-GB"/>
        </w:rPr>
        <w:t xml:space="preserve"> </w:t>
      </w:r>
      <w:r w:rsidR="00174900" w:rsidRPr="00EE33FA">
        <w:rPr>
          <w:color w:val="000000" w:themeColor="text1"/>
          <w:lang w:val="en-GB"/>
        </w:rPr>
        <w:t xml:space="preserve">The </w:t>
      </w:r>
      <w:r w:rsidR="0007022F" w:rsidRPr="00EE33FA">
        <w:rPr>
          <w:color w:val="000000" w:themeColor="text1"/>
          <w:lang w:val="en-GB"/>
        </w:rPr>
        <w:t xml:space="preserve">Pubic Health Law generally </w:t>
      </w:r>
      <w:r w:rsidR="008A515F" w:rsidRPr="00EE33FA">
        <w:rPr>
          <w:color w:val="000000" w:themeColor="text1"/>
          <w:lang w:val="en-GB"/>
        </w:rPr>
        <w:t>calls</w:t>
      </w:r>
      <w:r w:rsidR="0007022F" w:rsidRPr="00EE33FA">
        <w:rPr>
          <w:color w:val="000000" w:themeColor="text1"/>
          <w:lang w:val="en-GB"/>
        </w:rPr>
        <w:t xml:space="preserve"> every citizen for vaccination; nevertheless, there is no substantial mechanism to enforce obligation for immunization. People are allowed to deny vaccination and no r</w:t>
      </w:r>
      <w:r w:rsidR="008A515F" w:rsidRPr="00EE33FA">
        <w:rPr>
          <w:color w:val="000000" w:themeColor="text1"/>
          <w:lang w:val="en-GB"/>
        </w:rPr>
        <w:t>estrictions will apply to them.</w:t>
      </w:r>
    </w:p>
    <w:p w14:paraId="0419ECBD" w14:textId="6F2439AF" w:rsidR="00AA0F3F" w:rsidRPr="00EE33FA" w:rsidRDefault="008D111A" w:rsidP="00AA0F3F">
      <w:pPr>
        <w:spacing w:before="120" w:line="300" w:lineRule="atLeast"/>
        <w:ind w:firstLine="360"/>
        <w:jc w:val="both"/>
        <w:rPr>
          <w:bCs/>
          <w:lang w:val="en-GB"/>
        </w:rPr>
      </w:pPr>
      <w:r w:rsidRPr="00EE33FA">
        <w:rPr>
          <w:color w:val="000000" w:themeColor="text1"/>
          <w:lang w:val="en-GB"/>
        </w:rPr>
        <w:t>A budget line item in the national budget for the immunizatio</w:t>
      </w:r>
      <w:r w:rsidR="00FC299C" w:rsidRPr="00EE33FA">
        <w:rPr>
          <w:color w:val="000000" w:themeColor="text1"/>
          <w:lang w:val="en-GB"/>
        </w:rPr>
        <w:t xml:space="preserve">n program exists and </w:t>
      </w:r>
      <w:r w:rsidRPr="00EE33FA">
        <w:rPr>
          <w:color w:val="000000" w:themeColor="text1"/>
          <w:lang w:val="en-GB"/>
        </w:rPr>
        <w:t xml:space="preserve">covers vaccine and vaccine material costs; </w:t>
      </w:r>
      <w:r w:rsidR="00591711">
        <w:rPr>
          <w:color w:val="000000" w:themeColor="text1"/>
          <w:lang w:val="en-GB"/>
        </w:rPr>
        <w:t xml:space="preserve">since 2012, </w:t>
      </w:r>
      <w:r w:rsidRPr="00EE33FA">
        <w:rPr>
          <w:color w:val="000000" w:themeColor="text1"/>
          <w:lang w:val="en-GB"/>
        </w:rPr>
        <w:t>immunization services are no longer its subject. In 2014, cold chain expenses were also covered by the immunization program budget. Shared cost for trainings, transportation, surveillance and other items are disseminated among different programs and administration budgets without separately labelling</w:t>
      </w:r>
      <w:r w:rsidR="0007022F" w:rsidRPr="00EE33FA">
        <w:rPr>
          <w:color w:val="000000" w:themeColor="text1"/>
          <w:lang w:val="en-GB"/>
        </w:rPr>
        <w:t xml:space="preserve"> as immunization cost.</w:t>
      </w:r>
      <w:r w:rsidR="00AA0F3F" w:rsidRPr="00EE33FA">
        <w:rPr>
          <w:color w:val="000000" w:themeColor="text1"/>
          <w:lang w:val="en-GB"/>
        </w:rPr>
        <w:t xml:space="preserve"> </w:t>
      </w:r>
      <w:r w:rsidRPr="00EE33FA">
        <w:rPr>
          <w:color w:val="000000" w:themeColor="text1"/>
          <w:lang w:val="en-GB"/>
        </w:rPr>
        <w:t>Fee for immunization services is integrated into consolidated budget for primary health care services and considered by the Universal Health Care Program Budget and the budget of Villa</w:t>
      </w:r>
      <w:r w:rsidR="0007022F" w:rsidRPr="00EE33FA">
        <w:rPr>
          <w:color w:val="000000" w:themeColor="text1"/>
          <w:lang w:val="en-GB"/>
        </w:rPr>
        <w:t>ge Health Care State Program.</w:t>
      </w:r>
    </w:p>
    <w:p w14:paraId="50977BC5" w14:textId="219AF47C" w:rsidR="00BE36FB" w:rsidRPr="00EE33FA" w:rsidRDefault="008A515F" w:rsidP="00BE36FB">
      <w:pPr>
        <w:spacing w:before="120" w:line="300" w:lineRule="atLeast"/>
        <w:ind w:firstLine="360"/>
        <w:jc w:val="both"/>
        <w:rPr>
          <w:color w:val="000000" w:themeColor="text1"/>
          <w:lang w:val="en-GB"/>
        </w:rPr>
      </w:pPr>
      <w:r w:rsidRPr="00EE33FA">
        <w:rPr>
          <w:color w:val="000000" w:themeColor="text1"/>
          <w:lang w:val="en-GB"/>
        </w:rPr>
        <w:t xml:space="preserve">The current </w:t>
      </w:r>
      <w:r w:rsidR="00AA0F3F" w:rsidRPr="00EE33FA">
        <w:rPr>
          <w:color w:val="000000" w:themeColor="text1"/>
          <w:lang w:val="en-GB"/>
        </w:rPr>
        <w:t xml:space="preserve">comprehensive multi-year plan (cMYP </w:t>
      </w:r>
      <w:r w:rsidRPr="00EE33FA">
        <w:rPr>
          <w:color w:val="000000" w:themeColor="text1"/>
          <w:lang w:val="en-GB"/>
        </w:rPr>
        <w:t xml:space="preserve">2012-2016) provides details about current and future resource requirements on vaccines, cold chain, personnel, equipment and infrastructure and assesses available funds from both, government and donor sides. In addition, the cMYP indicates the resulting funding gaps that serve </w:t>
      </w:r>
      <w:r w:rsidR="00385B4D" w:rsidRPr="00EE33FA">
        <w:rPr>
          <w:color w:val="000000" w:themeColor="text1"/>
          <w:lang w:val="en-GB"/>
        </w:rPr>
        <w:t>MLHSA</w:t>
      </w:r>
      <w:r w:rsidRPr="00EE33FA">
        <w:rPr>
          <w:color w:val="000000" w:themeColor="text1"/>
          <w:lang w:val="en-GB"/>
        </w:rPr>
        <w:t xml:space="preserve"> as an evidence for advocating on additional resources.</w:t>
      </w:r>
      <w:r w:rsidR="00AA0F3F" w:rsidRPr="00EE33FA">
        <w:rPr>
          <w:color w:val="000000" w:themeColor="text1"/>
          <w:lang w:val="en-GB"/>
        </w:rPr>
        <w:t xml:space="preserve"> </w:t>
      </w:r>
      <w:r w:rsidRPr="00EE33FA">
        <w:rPr>
          <w:color w:val="000000" w:themeColor="text1"/>
          <w:lang w:val="en-GB"/>
        </w:rPr>
        <w:t xml:space="preserve">Programmatic part of </w:t>
      </w:r>
      <w:r w:rsidR="00AA0F3F" w:rsidRPr="00EE33FA">
        <w:rPr>
          <w:color w:val="000000" w:themeColor="text1"/>
          <w:lang w:val="en-GB"/>
        </w:rPr>
        <w:t xml:space="preserve">the </w:t>
      </w:r>
      <w:r w:rsidR="008C4535" w:rsidRPr="00EE33FA">
        <w:rPr>
          <w:color w:val="000000" w:themeColor="text1"/>
          <w:lang w:val="en-GB"/>
        </w:rPr>
        <w:t xml:space="preserve">cMYP is considered into the </w:t>
      </w:r>
      <w:r w:rsidRPr="00EE33FA">
        <w:rPr>
          <w:color w:val="000000" w:themeColor="text1"/>
          <w:lang w:val="en-GB"/>
        </w:rPr>
        <w:t>annual state immunization program goals and tasks but costing approaches are disregard in budget planning and program designing.</w:t>
      </w:r>
    </w:p>
    <w:p w14:paraId="67049C55" w14:textId="73D0D6C6" w:rsidR="00BE36FB" w:rsidRPr="00EE33FA" w:rsidRDefault="008A515F" w:rsidP="00BA39B3">
      <w:pPr>
        <w:spacing w:before="120" w:line="300" w:lineRule="atLeast"/>
        <w:ind w:firstLine="360"/>
        <w:jc w:val="both"/>
        <w:rPr>
          <w:color w:val="000000" w:themeColor="text1"/>
          <w:lang w:val="en-GB"/>
        </w:rPr>
      </w:pPr>
      <w:r w:rsidRPr="00EE33FA">
        <w:rPr>
          <w:color w:val="000000" w:themeColor="text1"/>
          <w:lang w:val="en-GB"/>
        </w:rPr>
        <w:t xml:space="preserve">Georgia also develops financial indicators of </w:t>
      </w:r>
      <w:r w:rsidR="005D1207" w:rsidRPr="00EE33FA">
        <w:rPr>
          <w:color w:val="000000" w:themeColor="text1"/>
          <w:lang w:val="en-GB"/>
        </w:rPr>
        <w:t>the WHO-UNICEF Joint Reported Form</w:t>
      </w:r>
      <w:r w:rsidRPr="00EE33FA">
        <w:rPr>
          <w:color w:val="000000" w:themeColor="text1"/>
          <w:lang w:val="en-GB"/>
        </w:rPr>
        <w:t xml:space="preserve"> (JRF) to capture the expenditure on routine immunization, the expenditure on vaccines, the percentages financed by government and the existence of national budget lines for the purchase of vaccines and injection supplies. These are key elements of the financial sustainab</w:t>
      </w:r>
      <w:r w:rsidR="00BE36FB" w:rsidRPr="00EE33FA">
        <w:rPr>
          <w:color w:val="000000" w:themeColor="text1"/>
          <w:lang w:val="en-GB"/>
        </w:rPr>
        <w:t xml:space="preserve">ility of </w:t>
      </w:r>
      <w:r w:rsidR="007E15B6" w:rsidRPr="00EE33FA">
        <w:rPr>
          <w:color w:val="000000" w:themeColor="text1"/>
          <w:lang w:val="en-GB"/>
        </w:rPr>
        <w:t>the immunization program</w:t>
      </w:r>
      <w:r w:rsidR="00BE36FB" w:rsidRPr="00EE33FA">
        <w:rPr>
          <w:color w:val="000000" w:themeColor="text1"/>
          <w:lang w:val="en-GB"/>
        </w:rPr>
        <w:t>.</w:t>
      </w:r>
    </w:p>
    <w:p w14:paraId="36CD72DB" w14:textId="098CE42A" w:rsidR="00376790" w:rsidRPr="00EE33FA" w:rsidRDefault="00BE36FB" w:rsidP="00376790">
      <w:pPr>
        <w:spacing w:before="120" w:line="300" w:lineRule="atLeast"/>
        <w:ind w:firstLine="360"/>
        <w:jc w:val="both"/>
        <w:rPr>
          <w:color w:val="000000" w:themeColor="text1"/>
          <w:lang w:val="en-GB"/>
        </w:rPr>
      </w:pPr>
      <w:r w:rsidRPr="00EE33FA">
        <w:rPr>
          <w:color w:val="000000" w:themeColor="text1"/>
          <w:lang w:val="en-GB"/>
        </w:rPr>
        <w:t xml:space="preserve">Georgia’s surging social spending equals that of richer countries. Though still much lower than the OECD average, Georgia’s social spending in GDP, 9.6 </w:t>
      </w:r>
      <w:r w:rsidR="00BF2F42" w:rsidRPr="00EE33FA">
        <w:rPr>
          <w:color w:val="000000" w:themeColor="text1"/>
          <w:lang w:val="en-GB"/>
        </w:rPr>
        <w:t>%</w:t>
      </w:r>
      <w:r w:rsidRPr="00EE33FA">
        <w:rPr>
          <w:color w:val="000000" w:themeColor="text1"/>
          <w:lang w:val="en-GB"/>
        </w:rPr>
        <w:t xml:space="preserve"> in 2014, has reached the level of </w:t>
      </w:r>
      <w:r w:rsidR="00BA39B3" w:rsidRPr="00EE33FA">
        <w:rPr>
          <w:color w:val="000000" w:themeColor="text1"/>
          <w:lang w:val="en-GB"/>
        </w:rPr>
        <w:t xml:space="preserve">richer countries such as Korea. </w:t>
      </w:r>
      <w:r w:rsidRPr="00EE33FA">
        <w:rPr>
          <w:color w:val="000000" w:themeColor="text1"/>
          <w:lang w:val="en-GB"/>
        </w:rPr>
        <w:t>Georgia is now facing the challenge to sustain its good performance in growth and poverty reduction after it made significant progress in 2010</w:t>
      </w:r>
      <w:r w:rsidRPr="00EE33FA">
        <w:rPr>
          <w:rFonts w:ascii="American Typewriter" w:hAnsi="American Typewriter" w:cs="American Typewriter"/>
          <w:color w:val="000000" w:themeColor="text1"/>
          <w:lang w:val="en-GB"/>
        </w:rPr>
        <w:t>‐</w:t>
      </w:r>
      <w:r w:rsidRPr="00EE33FA">
        <w:rPr>
          <w:color w:val="000000" w:themeColor="text1"/>
          <w:lang w:val="en-GB"/>
        </w:rPr>
        <w:t xml:space="preserve">13. In 2013 the economic growth slowed due to policy uncertainty that followed the transition of government. In the first three quarters of 2014 growth picked up, but it came under pressure in the fourth quarter as the regional economic environment severely deteriorated. Georgia’s economy is still vulnerable to future shocks, which underscores the </w:t>
      </w:r>
      <w:r w:rsidRPr="00EE33FA">
        <w:rPr>
          <w:color w:val="000000" w:themeColor="text1"/>
          <w:lang w:val="en-GB"/>
        </w:rPr>
        <w:lastRenderedPageBreak/>
        <w:t>need for fiscal buffers.</w:t>
      </w:r>
      <w:r w:rsidR="00376790" w:rsidRPr="00EE33FA">
        <w:rPr>
          <w:color w:val="000000" w:themeColor="text1"/>
          <w:lang w:val="en-GB"/>
        </w:rPr>
        <w:t xml:space="preserve"> Depreciation of Georgian Lari by 20% in 2015 and in</w:t>
      </w:r>
      <w:r w:rsidR="00BF2F42" w:rsidRPr="00EE33FA">
        <w:rPr>
          <w:color w:val="000000" w:themeColor="text1"/>
          <w:lang w:val="en-GB"/>
        </w:rPr>
        <w:t>creasing inflation rate (from 3.</w:t>
      </w:r>
      <w:r w:rsidR="00376790" w:rsidRPr="00EE33FA">
        <w:rPr>
          <w:color w:val="000000" w:themeColor="text1"/>
          <w:lang w:val="en-GB"/>
        </w:rPr>
        <w:t>5% in 2014 to 5% in 2015) also affects the capacity to public budget.</w:t>
      </w:r>
    </w:p>
    <w:p w14:paraId="5092C769" w14:textId="05729990" w:rsidR="00376790" w:rsidRPr="00EE33FA" w:rsidRDefault="00376790" w:rsidP="00376790">
      <w:pPr>
        <w:spacing w:before="120" w:line="300" w:lineRule="atLeast"/>
        <w:ind w:firstLine="360"/>
        <w:jc w:val="both"/>
        <w:rPr>
          <w:color w:val="000000" w:themeColor="text1"/>
          <w:lang w:val="en-GB"/>
        </w:rPr>
      </w:pPr>
      <w:r w:rsidRPr="00EE33FA">
        <w:rPr>
          <w:color w:val="000000" w:themeColor="text1"/>
          <w:lang w:val="en-GB"/>
        </w:rPr>
        <w:t>Georgia has initiated the new wave of reforms in health care since 2012. The newly elected Government of Georgia declared h</w:t>
      </w:r>
      <w:r w:rsidR="008F49BF" w:rsidRPr="00EE33FA">
        <w:rPr>
          <w:color w:val="000000" w:themeColor="text1"/>
          <w:lang w:val="en-GB"/>
        </w:rPr>
        <w:t xml:space="preserve">ealth and social sectors as </w:t>
      </w:r>
      <w:r w:rsidRPr="00EE33FA">
        <w:rPr>
          <w:color w:val="000000" w:themeColor="text1"/>
          <w:lang w:val="en-GB"/>
        </w:rPr>
        <w:t>priority</w:t>
      </w:r>
      <w:r w:rsidR="008F49BF" w:rsidRPr="00EE33FA">
        <w:rPr>
          <w:color w:val="000000" w:themeColor="text1"/>
          <w:lang w:val="en-GB"/>
        </w:rPr>
        <w:t xml:space="preserve"> number one</w:t>
      </w:r>
      <w:r w:rsidRPr="00EE33FA">
        <w:rPr>
          <w:color w:val="000000" w:themeColor="text1"/>
          <w:lang w:val="en-GB"/>
        </w:rPr>
        <w:t xml:space="preserve"> and, from February 2013, introduced Universal Health Care to increase the access to the health care services. The strategic document Georgia 2020 sets the goal of reducing 70% out of pocket health expenses in 2012 to 30% by 2020. In 2014, the ministry doubled the health care budget in comparison with 2012 and became the main purchaser of them.</w:t>
      </w:r>
    </w:p>
    <w:p w14:paraId="113EE3F1" w14:textId="4FAFC388" w:rsidR="00BE36FB" w:rsidRPr="00EE33FA" w:rsidRDefault="00675FA4" w:rsidP="007F5614">
      <w:pPr>
        <w:spacing w:before="120" w:line="300" w:lineRule="atLeast"/>
        <w:ind w:firstLine="360"/>
        <w:jc w:val="both"/>
        <w:rPr>
          <w:color w:val="000000" w:themeColor="text1"/>
          <w:lang w:val="en-GB"/>
        </w:rPr>
      </w:pPr>
      <w:r w:rsidRPr="00EE33FA">
        <w:rPr>
          <w:color w:val="000000" w:themeColor="text1"/>
          <w:lang w:val="en-GB"/>
        </w:rPr>
        <w:t xml:space="preserve">Significant increase of </w:t>
      </w:r>
      <w:r w:rsidR="00BE36FB" w:rsidRPr="00EE33FA">
        <w:rPr>
          <w:color w:val="000000" w:themeColor="text1"/>
          <w:lang w:val="en-GB"/>
        </w:rPr>
        <w:t xml:space="preserve">vaccine funds and strong political commitment and prioritization of the national immunization </w:t>
      </w:r>
      <w:r w:rsidR="00350CBE" w:rsidRPr="00EE33FA">
        <w:rPr>
          <w:color w:val="000000" w:themeColor="text1"/>
          <w:lang w:val="en-GB"/>
        </w:rPr>
        <w:t>program</w:t>
      </w:r>
      <w:r w:rsidR="00BE36FB" w:rsidRPr="00EE33FA">
        <w:rPr>
          <w:color w:val="000000" w:themeColor="text1"/>
          <w:lang w:val="en-GB"/>
        </w:rPr>
        <w:t xml:space="preserve"> </w:t>
      </w:r>
      <w:r w:rsidR="002F4BBB" w:rsidRPr="00EE33FA">
        <w:rPr>
          <w:color w:val="000000" w:themeColor="text1"/>
          <w:lang w:val="en-GB"/>
        </w:rPr>
        <w:t xml:space="preserve">have been taken place </w:t>
      </w:r>
      <w:r w:rsidR="00BE36FB" w:rsidRPr="00EE33FA">
        <w:rPr>
          <w:color w:val="000000" w:themeColor="text1"/>
          <w:lang w:val="en-GB"/>
        </w:rPr>
        <w:t>to support the achievement of the MDG’s</w:t>
      </w:r>
      <w:r w:rsidR="00532DC7" w:rsidRPr="00EE33FA">
        <w:rPr>
          <w:color w:val="000000" w:themeColor="text1"/>
          <w:lang w:val="en-GB"/>
        </w:rPr>
        <w:t>, f</w:t>
      </w:r>
      <w:r w:rsidR="00BE36FB" w:rsidRPr="00EE33FA">
        <w:rPr>
          <w:color w:val="000000" w:themeColor="text1"/>
          <w:lang w:val="en-GB"/>
        </w:rPr>
        <w:t xml:space="preserve">rom 4 </w:t>
      </w:r>
      <w:r w:rsidR="002F4BBB" w:rsidRPr="00EE33FA">
        <w:rPr>
          <w:color w:val="000000" w:themeColor="text1"/>
          <w:lang w:val="en-GB"/>
        </w:rPr>
        <w:t>million</w:t>
      </w:r>
      <w:r w:rsidR="00532DC7" w:rsidRPr="00EE33FA">
        <w:rPr>
          <w:color w:val="000000" w:themeColor="text1"/>
          <w:lang w:val="en-GB"/>
        </w:rPr>
        <w:t xml:space="preserve"> (M) </w:t>
      </w:r>
      <w:r w:rsidR="00BE36FB" w:rsidRPr="00EE33FA">
        <w:rPr>
          <w:color w:val="000000" w:themeColor="text1"/>
          <w:lang w:val="en-GB"/>
        </w:rPr>
        <w:t xml:space="preserve">GEL in 2012 to 5.7 M GEL in 2014 and planning to increase </w:t>
      </w:r>
      <w:r w:rsidR="007F5614" w:rsidRPr="00EE33FA">
        <w:rPr>
          <w:color w:val="000000" w:themeColor="text1"/>
          <w:lang w:val="en-GB"/>
        </w:rPr>
        <w:t>from</w:t>
      </w:r>
      <w:r w:rsidR="00BE36FB" w:rsidRPr="00EE33FA">
        <w:rPr>
          <w:color w:val="000000" w:themeColor="text1"/>
          <w:lang w:val="en-GB"/>
        </w:rPr>
        <w:t xml:space="preserve"> 8.2 M GEL in 2015 to 11.4 M GEL in 2016</w:t>
      </w:r>
      <w:r w:rsidR="007F5614" w:rsidRPr="00EE33FA">
        <w:rPr>
          <w:color w:val="000000" w:themeColor="text1"/>
          <w:lang w:val="en-GB"/>
        </w:rPr>
        <w:t xml:space="preserve">. </w:t>
      </w:r>
      <w:r w:rsidR="00BE36FB" w:rsidRPr="00EE33FA">
        <w:rPr>
          <w:color w:val="000000" w:themeColor="text1"/>
          <w:lang w:val="en-GB"/>
        </w:rPr>
        <w:t xml:space="preserve">Similar </w:t>
      </w:r>
      <w:r w:rsidR="003E6FB7" w:rsidRPr="00EE33FA">
        <w:rPr>
          <w:color w:val="000000" w:themeColor="text1"/>
          <w:lang w:val="en-GB"/>
        </w:rPr>
        <w:t>increase in administrative budget of the NCDC has</w:t>
      </w:r>
      <w:r w:rsidR="007F5614" w:rsidRPr="00EE33FA">
        <w:rPr>
          <w:color w:val="000000" w:themeColor="text1"/>
          <w:lang w:val="en-GB"/>
        </w:rPr>
        <w:t xml:space="preserve"> been taken place,</w:t>
      </w:r>
      <w:r w:rsidR="00BE36FB" w:rsidRPr="00EE33FA">
        <w:rPr>
          <w:color w:val="000000" w:themeColor="text1"/>
          <w:lang w:val="en-GB"/>
        </w:rPr>
        <w:t xml:space="preserve"> </w:t>
      </w:r>
      <w:r w:rsidR="007F5614" w:rsidRPr="00EE33FA">
        <w:rPr>
          <w:color w:val="000000" w:themeColor="text1"/>
          <w:lang w:val="en-GB"/>
        </w:rPr>
        <w:t>f</w:t>
      </w:r>
      <w:r w:rsidR="00BE36FB" w:rsidRPr="00EE33FA">
        <w:rPr>
          <w:color w:val="000000" w:themeColor="text1"/>
          <w:lang w:val="en-GB"/>
        </w:rPr>
        <w:t>rom 3.6 M GEL in 2012 to 7.2 M GEL in 2014</w:t>
      </w:r>
      <w:r w:rsidR="007F5614" w:rsidRPr="00EE33FA">
        <w:rPr>
          <w:color w:val="000000" w:themeColor="text1"/>
          <w:lang w:val="en-GB"/>
        </w:rPr>
        <w:t>.</w:t>
      </w:r>
    </w:p>
    <w:p w14:paraId="10E9A2F6" w14:textId="60C36C3B" w:rsidR="009D2D67" w:rsidRPr="00EE33FA" w:rsidRDefault="009D2D67" w:rsidP="007F5614">
      <w:pPr>
        <w:spacing w:before="120" w:line="300" w:lineRule="atLeast"/>
        <w:ind w:firstLine="360"/>
        <w:jc w:val="both"/>
        <w:rPr>
          <w:color w:val="000000" w:themeColor="text1"/>
          <w:lang w:val="en-GB"/>
        </w:rPr>
      </w:pPr>
      <w:r w:rsidRPr="00EE33FA">
        <w:rPr>
          <w:color w:val="000000" w:themeColor="text1"/>
          <w:lang w:val="en-GB"/>
        </w:rPr>
        <w:t xml:space="preserve">The GoG is committed to finance all vaccines (including hexavalent) in the coming years, including the taking over </w:t>
      </w:r>
      <w:r w:rsidR="00EF792C" w:rsidRPr="00EE33FA">
        <w:rPr>
          <w:color w:val="000000" w:themeColor="text1"/>
          <w:lang w:val="en-GB"/>
        </w:rPr>
        <w:t xml:space="preserve">of </w:t>
      </w:r>
      <w:r w:rsidRPr="00EE33FA">
        <w:rPr>
          <w:color w:val="000000" w:themeColor="text1"/>
          <w:lang w:val="en-GB"/>
        </w:rPr>
        <w:t>rotavirus and pneumococcal vaccines.</w:t>
      </w:r>
    </w:p>
    <w:p w14:paraId="4545310F" w14:textId="77777777" w:rsidR="00BE36FB" w:rsidRPr="00EE33FA" w:rsidRDefault="00BE36FB" w:rsidP="00BE36FB">
      <w:pPr>
        <w:spacing w:before="120" w:line="300" w:lineRule="atLeast"/>
        <w:ind w:firstLine="360"/>
        <w:jc w:val="both"/>
        <w:rPr>
          <w:color w:val="000000" w:themeColor="text1"/>
          <w:lang w:val="en-GB"/>
        </w:rPr>
      </w:pPr>
    </w:p>
    <w:p w14:paraId="77BBCD81" w14:textId="7AC7B76F" w:rsidR="00BE36FB" w:rsidRPr="00EE33FA" w:rsidRDefault="00BE36FB" w:rsidP="00035472">
      <w:pPr>
        <w:spacing w:before="120" w:line="300" w:lineRule="atLeast"/>
        <w:ind w:firstLine="1418"/>
        <w:jc w:val="both"/>
        <w:rPr>
          <w:color w:val="000000" w:themeColor="text1"/>
          <w:lang w:val="en-GB"/>
        </w:rPr>
      </w:pPr>
      <w:r w:rsidRPr="00EE33FA">
        <w:rPr>
          <w:noProof/>
          <w:lang w:val="ka-GE" w:eastAsia="ka-GE"/>
        </w:rPr>
        <w:drawing>
          <wp:inline distT="0" distB="0" distL="0" distR="0" wp14:anchorId="5AD51AFA" wp14:editId="176D0B27">
            <wp:extent cx="3944620" cy="2052320"/>
            <wp:effectExtent l="0" t="0" r="17780" b="304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02571C" w14:textId="64B45063" w:rsidR="00BE36FB" w:rsidRPr="00EE33FA" w:rsidRDefault="00BE36FB" w:rsidP="00BE36FB">
      <w:pPr>
        <w:spacing w:before="120" w:line="300" w:lineRule="atLeast"/>
        <w:jc w:val="center"/>
        <w:rPr>
          <w:i/>
          <w:lang w:val="en-GB"/>
        </w:rPr>
      </w:pPr>
      <w:r w:rsidRPr="00EE33FA">
        <w:rPr>
          <w:i/>
          <w:lang w:val="en-GB"/>
        </w:rPr>
        <w:t>Figure/table 3: Routine Immunization Budget Dynamic, 2006-2019</w:t>
      </w:r>
    </w:p>
    <w:p w14:paraId="619C63D7" w14:textId="5234A333" w:rsidR="007F5614" w:rsidRPr="00EE33FA" w:rsidRDefault="00B23E30" w:rsidP="007F5614">
      <w:pPr>
        <w:spacing w:before="120" w:line="300" w:lineRule="atLeast"/>
        <w:jc w:val="both"/>
        <w:rPr>
          <w:b/>
          <w:color w:val="000000" w:themeColor="text1"/>
          <w:lang w:val="en-GB"/>
        </w:rPr>
      </w:pPr>
      <w:r w:rsidRPr="00EE33FA">
        <w:rPr>
          <w:b/>
          <w:color w:val="000000" w:themeColor="text1"/>
          <w:lang w:val="en-GB"/>
        </w:rPr>
        <w:t>Procurement and supply mechanism</w:t>
      </w:r>
    </w:p>
    <w:p w14:paraId="094083A9" w14:textId="7C6FA8BA" w:rsidR="00B23E30" w:rsidRPr="00EE33FA" w:rsidRDefault="00B23E30" w:rsidP="00B23E30">
      <w:pPr>
        <w:spacing w:before="120" w:line="300" w:lineRule="atLeast"/>
        <w:ind w:firstLine="360"/>
        <w:jc w:val="both"/>
        <w:rPr>
          <w:color w:val="000000" w:themeColor="text1"/>
          <w:lang w:val="en-GB"/>
        </w:rPr>
      </w:pPr>
      <w:r w:rsidRPr="00EE33FA">
        <w:rPr>
          <w:color w:val="000000" w:themeColor="text1"/>
          <w:lang w:val="en-GB"/>
        </w:rPr>
        <w:t>Georgia widely uses the opportunity of purchasing vaccines through pooled mechanism and procures all routine vaccines (except hexa</w:t>
      </w:r>
      <w:r w:rsidR="00955D16" w:rsidRPr="00EE33FA">
        <w:rPr>
          <w:color w:val="000000" w:themeColor="text1"/>
          <w:lang w:val="en-GB"/>
        </w:rPr>
        <w:t>valent</w:t>
      </w:r>
      <w:r w:rsidRPr="00EE33FA">
        <w:rPr>
          <w:color w:val="000000" w:themeColor="text1"/>
          <w:lang w:val="en-GB"/>
        </w:rPr>
        <w:t>) through UNICEF Supply Division. The procurement relationship is regulated within the frame of the international agreement between the country and UN</w:t>
      </w:r>
      <w:r w:rsidR="00AA2671" w:rsidRPr="00EE33FA">
        <w:rPr>
          <w:color w:val="000000" w:themeColor="text1"/>
          <w:lang w:val="en-GB"/>
        </w:rPr>
        <w:t>,</w:t>
      </w:r>
      <w:r w:rsidRPr="00EE33FA">
        <w:rPr>
          <w:color w:val="000000" w:themeColor="text1"/>
          <w:lang w:val="en-GB"/>
        </w:rPr>
        <w:t xml:space="preserve"> and Memorandum of Understanding between the government and UNICEF.</w:t>
      </w:r>
    </w:p>
    <w:p w14:paraId="15BEDE3D" w14:textId="0E550950" w:rsidR="00B23E30" w:rsidRPr="00EE33FA" w:rsidRDefault="00B23E30" w:rsidP="00955D16">
      <w:pPr>
        <w:spacing w:before="120" w:line="300" w:lineRule="atLeast"/>
        <w:ind w:firstLine="360"/>
        <w:jc w:val="both"/>
        <w:rPr>
          <w:color w:val="000000" w:themeColor="text1"/>
          <w:lang w:val="en-GB"/>
        </w:rPr>
      </w:pPr>
      <w:r w:rsidRPr="00EE33FA">
        <w:rPr>
          <w:color w:val="000000" w:themeColor="text1"/>
          <w:lang w:val="en-GB"/>
        </w:rPr>
        <w:t>Non-routine vaccines (e.g. anti-rabies</w:t>
      </w:r>
      <w:r w:rsidR="00955D16" w:rsidRPr="00EE33FA">
        <w:rPr>
          <w:color w:val="000000" w:themeColor="text1"/>
          <w:lang w:val="en-GB"/>
        </w:rPr>
        <w:t xml:space="preserve"> and </w:t>
      </w:r>
      <w:r w:rsidR="00150F23" w:rsidRPr="00EE33FA">
        <w:rPr>
          <w:color w:val="000000" w:themeColor="text1"/>
          <w:lang w:val="en-GB"/>
        </w:rPr>
        <w:t>in the future</w:t>
      </w:r>
      <w:r w:rsidR="00955D16" w:rsidRPr="00EE33FA">
        <w:rPr>
          <w:color w:val="000000" w:themeColor="text1"/>
          <w:lang w:val="en-GB"/>
        </w:rPr>
        <w:t xml:space="preserve"> hexavalent</w:t>
      </w:r>
      <w:r w:rsidRPr="00EE33FA">
        <w:rPr>
          <w:color w:val="000000" w:themeColor="text1"/>
          <w:lang w:val="en-GB"/>
        </w:rPr>
        <w:t>) are self-procured through electronic tenders, based on the National State Procurement Law. State procurement legislation allows procurer multi-year tender and contracting. The law does not recognize pooled procurement mechanism u</w:t>
      </w:r>
      <w:r w:rsidR="00150F23" w:rsidRPr="00EE33FA">
        <w:rPr>
          <w:color w:val="000000" w:themeColor="text1"/>
          <w:lang w:val="en-GB"/>
        </w:rPr>
        <w:t xml:space="preserve">nless it is regulated by </w:t>
      </w:r>
      <w:r w:rsidR="00BD3FF2" w:rsidRPr="00EE33FA">
        <w:rPr>
          <w:color w:val="000000" w:themeColor="text1"/>
          <w:lang w:val="en-GB"/>
        </w:rPr>
        <w:t>higher-level</w:t>
      </w:r>
      <w:r w:rsidRPr="00EE33FA">
        <w:rPr>
          <w:color w:val="000000" w:themeColor="text1"/>
          <w:lang w:val="en-GB"/>
        </w:rPr>
        <w:t xml:space="preserve"> legal act (e.g. international agreement between Georgia and UN in case of UNICEF SD).</w:t>
      </w:r>
      <w:r w:rsidR="00955D16" w:rsidRPr="00EE33FA">
        <w:rPr>
          <w:color w:val="000000" w:themeColor="text1"/>
          <w:lang w:val="en-GB"/>
        </w:rPr>
        <w:t xml:space="preserve"> </w:t>
      </w:r>
      <w:r w:rsidRPr="00EE33FA">
        <w:rPr>
          <w:color w:val="000000" w:themeColor="text1"/>
          <w:lang w:val="en-GB"/>
        </w:rPr>
        <w:t xml:space="preserve">The State Procurement Law of Georgia allows exemptions from the law in case of urgency or </w:t>
      </w:r>
      <w:r w:rsidRPr="00EE33FA">
        <w:rPr>
          <w:color w:val="000000" w:themeColor="text1"/>
          <w:lang w:val="en-GB"/>
        </w:rPr>
        <w:lastRenderedPageBreak/>
        <w:t>strategically important needs; purchaser should provide detailed explanation on purchase necessity.</w:t>
      </w:r>
    </w:p>
    <w:p w14:paraId="157949D0" w14:textId="566EAA5E" w:rsidR="00E45B7E" w:rsidRPr="00EE33FA" w:rsidRDefault="00413765" w:rsidP="00E45B7E">
      <w:pPr>
        <w:spacing w:before="120" w:line="300" w:lineRule="atLeast"/>
        <w:ind w:firstLine="360"/>
        <w:jc w:val="both"/>
        <w:rPr>
          <w:color w:val="000000" w:themeColor="text1"/>
          <w:lang w:val="en-GB"/>
        </w:rPr>
      </w:pPr>
      <w:r w:rsidRPr="00EE33FA">
        <w:rPr>
          <w:color w:val="000000" w:themeColor="text1"/>
          <w:lang w:val="en-GB"/>
        </w:rPr>
        <w:t>The current proc</w:t>
      </w:r>
      <w:r w:rsidR="00DB0761" w:rsidRPr="00EE33FA">
        <w:rPr>
          <w:color w:val="000000" w:themeColor="text1"/>
          <w:lang w:val="en-GB"/>
        </w:rPr>
        <w:t xml:space="preserve">urement process is as follows; </w:t>
      </w:r>
      <w:r w:rsidRPr="00EE33FA">
        <w:rPr>
          <w:color w:val="000000" w:themeColor="text1"/>
          <w:lang w:val="en-GB"/>
        </w:rPr>
        <w:t>NCDC place</w:t>
      </w:r>
      <w:r w:rsidR="00DB0761" w:rsidRPr="00EE33FA">
        <w:rPr>
          <w:color w:val="000000" w:themeColor="text1"/>
          <w:lang w:val="en-GB"/>
        </w:rPr>
        <w:t>s</w:t>
      </w:r>
      <w:r w:rsidRPr="00EE33FA">
        <w:rPr>
          <w:color w:val="000000" w:themeColor="text1"/>
          <w:lang w:val="en-GB"/>
        </w:rPr>
        <w:t xml:space="preserve"> the order with full payment in </w:t>
      </w:r>
      <w:r w:rsidR="00DB0761" w:rsidRPr="00EE33FA">
        <w:rPr>
          <w:color w:val="000000" w:themeColor="text1"/>
          <w:lang w:val="en-GB"/>
        </w:rPr>
        <w:t>January</w:t>
      </w:r>
      <w:r w:rsidRPr="00EE33FA">
        <w:rPr>
          <w:color w:val="000000" w:themeColor="text1"/>
          <w:lang w:val="en-GB"/>
        </w:rPr>
        <w:t xml:space="preserve">-February; the delivery is supposed to be within 4-8 weeks; therefore by May vaccines should be received. In 2014 and 2015, several vaccines, including pentavalent, were not received up to July, although full payment were made as mentioned in </w:t>
      </w:r>
      <w:r w:rsidR="00DB0761" w:rsidRPr="00EE33FA">
        <w:rPr>
          <w:color w:val="000000" w:themeColor="text1"/>
          <w:lang w:val="en-GB"/>
        </w:rPr>
        <w:t>January</w:t>
      </w:r>
      <w:r w:rsidRPr="00EE33FA">
        <w:rPr>
          <w:color w:val="000000" w:themeColor="text1"/>
          <w:lang w:val="en-GB"/>
        </w:rPr>
        <w:t xml:space="preserve">-February. It created a real problem of </w:t>
      </w:r>
      <w:r w:rsidR="00DB0761" w:rsidRPr="00EE33FA">
        <w:rPr>
          <w:color w:val="000000" w:themeColor="text1"/>
          <w:lang w:val="en-GB"/>
        </w:rPr>
        <w:t xml:space="preserve">vaccine </w:t>
      </w:r>
      <w:r w:rsidRPr="00EE33FA">
        <w:rPr>
          <w:color w:val="000000" w:themeColor="text1"/>
          <w:lang w:val="en-GB"/>
        </w:rPr>
        <w:t xml:space="preserve">supply for all </w:t>
      </w:r>
      <w:r w:rsidR="001A6002" w:rsidRPr="00EE33FA">
        <w:rPr>
          <w:color w:val="000000" w:themeColor="text1"/>
          <w:lang w:val="en-GB"/>
        </w:rPr>
        <w:t xml:space="preserve">the </w:t>
      </w:r>
      <w:r w:rsidRPr="00EE33FA">
        <w:rPr>
          <w:color w:val="000000" w:themeColor="text1"/>
          <w:lang w:val="en-GB"/>
        </w:rPr>
        <w:t>country. The reason invoked were problems with low number of manufacturers and vaccine market deficit (e.g. pentavalent). Consecutive direct discussion with UNICEF Supply Division</w:t>
      </w:r>
      <w:r w:rsidR="00DB0761" w:rsidRPr="00EE33FA">
        <w:rPr>
          <w:color w:val="000000" w:themeColor="text1"/>
          <w:lang w:val="en-GB"/>
        </w:rPr>
        <w:t xml:space="preserve"> took place</w:t>
      </w:r>
      <w:r w:rsidRPr="00EE33FA">
        <w:rPr>
          <w:color w:val="000000" w:themeColor="text1"/>
          <w:lang w:val="en-GB"/>
        </w:rPr>
        <w:t>, including a visit to Copenhagen by NCDC Head o</w:t>
      </w:r>
      <w:r w:rsidR="00DB0761" w:rsidRPr="00EE33FA">
        <w:rPr>
          <w:color w:val="000000" w:themeColor="text1"/>
          <w:lang w:val="en-GB"/>
        </w:rPr>
        <w:t>f State Program Department.</w:t>
      </w:r>
      <w:r w:rsidR="005C3E43" w:rsidRPr="00EE33FA">
        <w:rPr>
          <w:color w:val="000000" w:themeColor="text1"/>
          <w:lang w:val="en-GB"/>
        </w:rPr>
        <w:t xml:space="preserve"> Ways to solve such problem for the future should be explored.</w:t>
      </w:r>
      <w:r w:rsidR="00E45B7E" w:rsidRPr="00EE33FA">
        <w:rPr>
          <w:color w:val="000000" w:themeColor="text1"/>
          <w:lang w:val="en-GB"/>
        </w:rPr>
        <w:t xml:space="preserve"> Suggestions made by NCDC Head of State Program Department </w:t>
      </w:r>
      <w:r w:rsidR="00F003FE" w:rsidRPr="00EE33FA">
        <w:rPr>
          <w:color w:val="000000" w:themeColor="text1"/>
          <w:lang w:val="en-GB"/>
        </w:rPr>
        <w:t>calls</w:t>
      </w:r>
      <w:r w:rsidR="00E45B7E" w:rsidRPr="00EE33FA">
        <w:rPr>
          <w:color w:val="000000" w:themeColor="text1"/>
          <w:lang w:val="en-GB"/>
        </w:rPr>
        <w:t xml:space="preserve"> UNICEF Supply Division to:</w:t>
      </w:r>
    </w:p>
    <w:p w14:paraId="691170C6" w14:textId="19ACC30B" w:rsidR="00E45B7E" w:rsidRPr="00EE33FA" w:rsidRDefault="00E45B7E" w:rsidP="0087400E">
      <w:pPr>
        <w:pStyle w:val="ListParagraph"/>
        <w:numPr>
          <w:ilvl w:val="0"/>
          <w:numId w:val="14"/>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supply in proper term (as agreed) and work with manufacturers to avoid delays;</w:t>
      </w:r>
    </w:p>
    <w:p w14:paraId="5D204F51" w14:textId="13C33E7D" w:rsidR="00E45B7E" w:rsidRPr="00EE33FA" w:rsidRDefault="00E45B7E" w:rsidP="0087400E">
      <w:pPr>
        <w:pStyle w:val="ListParagraph"/>
        <w:numPr>
          <w:ilvl w:val="0"/>
          <w:numId w:val="14"/>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take into consideration local procurement capability, if not able to supply;</w:t>
      </w:r>
    </w:p>
    <w:p w14:paraId="3B8FCC24" w14:textId="4440EB72" w:rsidR="00E45B7E" w:rsidRPr="00EE33FA" w:rsidRDefault="00E45B7E" w:rsidP="0087400E">
      <w:pPr>
        <w:pStyle w:val="ListParagraph"/>
        <w:numPr>
          <w:ilvl w:val="0"/>
          <w:numId w:val="14"/>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alarm NCDC a bit earlier in case of problem;</w:t>
      </w:r>
    </w:p>
    <w:p w14:paraId="16974245" w14:textId="09954A6F" w:rsidR="00E45B7E" w:rsidRPr="00EE33FA" w:rsidRDefault="00E45B7E" w:rsidP="0087400E">
      <w:pPr>
        <w:pStyle w:val="ListParagraph"/>
        <w:numPr>
          <w:ilvl w:val="0"/>
          <w:numId w:val="14"/>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allow reduction of buffer money (10%); guaranty for vaccine prices;</w:t>
      </w:r>
    </w:p>
    <w:p w14:paraId="03D024DC" w14:textId="7EF7A639" w:rsidR="00E45B7E" w:rsidRPr="00EE33FA" w:rsidRDefault="00E45B7E" w:rsidP="0087400E">
      <w:pPr>
        <w:pStyle w:val="ListParagraph"/>
        <w:numPr>
          <w:ilvl w:val="0"/>
          <w:numId w:val="14"/>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decrease the time for financial documentation (bureaucracy).</w:t>
      </w:r>
    </w:p>
    <w:p w14:paraId="5B2B9270" w14:textId="0CA60030" w:rsidR="00955D16" w:rsidRPr="00EE33FA" w:rsidRDefault="005E2F4D" w:rsidP="00955D16">
      <w:pPr>
        <w:spacing w:before="120" w:line="300" w:lineRule="atLeast"/>
        <w:jc w:val="both"/>
        <w:rPr>
          <w:b/>
          <w:color w:val="000000" w:themeColor="text1"/>
          <w:lang w:val="en-GB"/>
        </w:rPr>
      </w:pPr>
      <w:r w:rsidRPr="00EE33FA">
        <w:rPr>
          <w:b/>
          <w:color w:val="000000" w:themeColor="text1"/>
          <w:lang w:val="en-GB"/>
        </w:rPr>
        <w:t>Planning and management</w:t>
      </w:r>
    </w:p>
    <w:p w14:paraId="448C6A95" w14:textId="1F559B37" w:rsidR="001D6525" w:rsidRPr="00EE33FA" w:rsidRDefault="00A44B97" w:rsidP="001D6525">
      <w:pPr>
        <w:spacing w:before="120" w:line="300" w:lineRule="atLeast"/>
        <w:ind w:firstLine="360"/>
        <w:jc w:val="both"/>
        <w:rPr>
          <w:color w:val="000000" w:themeColor="text1"/>
          <w:lang w:val="en-GB"/>
        </w:rPr>
      </w:pPr>
      <w:r w:rsidRPr="00EE33FA">
        <w:rPr>
          <w:color w:val="000000" w:themeColor="text1"/>
          <w:lang w:val="en-GB"/>
        </w:rPr>
        <w:t>Advisory bodies for immunization</w:t>
      </w:r>
      <w:r w:rsidR="001D6525" w:rsidRPr="00EE33FA">
        <w:rPr>
          <w:color w:val="000000" w:themeColor="text1"/>
          <w:lang w:val="en-GB"/>
        </w:rPr>
        <w:t xml:space="preserve"> and committees for diseases control exist in Georgia. The </w:t>
      </w:r>
      <w:r w:rsidR="001D6525" w:rsidRPr="00EE33FA">
        <w:rPr>
          <w:lang w:val="en-GB"/>
        </w:rPr>
        <w:t>Inter-agency Coordination Committee</w:t>
      </w:r>
      <w:r w:rsidR="001D6525" w:rsidRPr="00EE33FA">
        <w:rPr>
          <w:color w:val="000000" w:themeColor="text1"/>
          <w:lang w:val="en-GB"/>
        </w:rPr>
        <w:t xml:space="preserve"> (</w:t>
      </w:r>
      <w:r w:rsidRPr="00EE33FA">
        <w:rPr>
          <w:color w:val="000000" w:themeColor="text1"/>
          <w:lang w:val="en-GB"/>
        </w:rPr>
        <w:t>ICC</w:t>
      </w:r>
      <w:r w:rsidR="001D6525" w:rsidRPr="00EE33FA">
        <w:rPr>
          <w:color w:val="000000" w:themeColor="text1"/>
          <w:lang w:val="en-GB"/>
        </w:rPr>
        <w:t xml:space="preserve">) meets regularly (more than once a month).  The </w:t>
      </w:r>
      <w:r w:rsidR="001D6525" w:rsidRPr="00EE33FA">
        <w:rPr>
          <w:lang w:val="en-GB"/>
        </w:rPr>
        <w:t>National Certification Committee for Polio Eradication, and the Committee for Measles and Rubella Elimination are also in place.</w:t>
      </w:r>
      <w:r w:rsidR="001D6525" w:rsidRPr="00EE33FA">
        <w:rPr>
          <w:color w:val="000000" w:themeColor="text1"/>
          <w:lang w:val="en-GB"/>
        </w:rPr>
        <w:t xml:space="preserve"> The </w:t>
      </w:r>
      <w:r w:rsidR="001D6525" w:rsidRPr="00EE33FA">
        <w:rPr>
          <w:lang w:val="en-GB"/>
        </w:rPr>
        <w:t>National Technical Advisory Committees (</w:t>
      </w:r>
      <w:r w:rsidR="001D6525" w:rsidRPr="00EE33FA">
        <w:rPr>
          <w:color w:val="000000" w:themeColor="text1"/>
          <w:lang w:val="en-GB"/>
        </w:rPr>
        <w:t xml:space="preserve">NITAG), </w:t>
      </w:r>
      <w:r w:rsidR="008F035F" w:rsidRPr="00EE33FA">
        <w:rPr>
          <w:color w:val="000000" w:themeColor="text1"/>
          <w:lang w:val="en-GB"/>
        </w:rPr>
        <w:t xml:space="preserve">existing since 2008 and revised by law since 2014, </w:t>
      </w:r>
      <w:r w:rsidR="001D6525" w:rsidRPr="00EE33FA">
        <w:rPr>
          <w:color w:val="000000" w:themeColor="text1"/>
          <w:lang w:val="en-GB"/>
        </w:rPr>
        <w:t xml:space="preserve">might not be fully functional, as currently some of its functions </w:t>
      </w:r>
      <w:r w:rsidR="008F035F" w:rsidRPr="00EE33FA">
        <w:rPr>
          <w:color w:val="000000" w:themeColor="text1"/>
          <w:lang w:val="en-GB"/>
        </w:rPr>
        <w:t>are</w:t>
      </w:r>
      <w:r w:rsidR="001D6525" w:rsidRPr="00EE33FA">
        <w:rPr>
          <w:color w:val="000000" w:themeColor="text1"/>
          <w:lang w:val="en-GB"/>
        </w:rPr>
        <w:t xml:space="preserve"> covered somehow in the ICC. Disconnecting ICC and NITAG, with the strengthening of NITAG will be important in the coming future.</w:t>
      </w:r>
    </w:p>
    <w:p w14:paraId="519B7E0C" w14:textId="44DECCD2" w:rsidR="00BF7C28" w:rsidRPr="00EE33FA" w:rsidRDefault="00BF7C28" w:rsidP="007F4B1D">
      <w:pPr>
        <w:spacing w:before="120" w:line="300" w:lineRule="atLeast"/>
        <w:ind w:firstLine="360"/>
        <w:jc w:val="both"/>
        <w:rPr>
          <w:color w:val="000000" w:themeColor="text1"/>
          <w:lang w:val="en-GB"/>
        </w:rPr>
      </w:pPr>
      <w:r w:rsidRPr="00EE33FA">
        <w:rPr>
          <w:color w:val="000000" w:themeColor="text1"/>
          <w:lang w:val="en-GB"/>
        </w:rPr>
        <w:t xml:space="preserve">Concerning </w:t>
      </w:r>
      <w:r w:rsidR="007F4B1D" w:rsidRPr="00EE33FA">
        <w:rPr>
          <w:color w:val="000000" w:themeColor="text1"/>
          <w:lang w:val="en-GB"/>
        </w:rPr>
        <w:t xml:space="preserve">human resources and </w:t>
      </w:r>
      <w:r w:rsidRPr="00EE33FA">
        <w:rPr>
          <w:color w:val="000000" w:themeColor="text1"/>
          <w:lang w:val="en-GB"/>
        </w:rPr>
        <w:t>management of the program, the NCDC</w:t>
      </w:r>
      <w:r w:rsidR="007F4B1D" w:rsidRPr="00EE33FA">
        <w:rPr>
          <w:color w:val="000000" w:themeColor="text1"/>
          <w:lang w:val="en-GB"/>
        </w:rPr>
        <w:t xml:space="preserve"> have strong, experienced and dedicated</w:t>
      </w:r>
      <w:r w:rsidRPr="00EE33FA">
        <w:rPr>
          <w:color w:val="000000" w:themeColor="text1"/>
          <w:lang w:val="en-GB"/>
        </w:rPr>
        <w:t xml:space="preserve"> </w:t>
      </w:r>
      <w:r w:rsidR="002A28AF" w:rsidRPr="00EE33FA">
        <w:rPr>
          <w:color w:val="000000" w:themeColor="text1"/>
          <w:lang w:val="en-GB"/>
        </w:rPr>
        <w:t>staff</w:t>
      </w:r>
      <w:r w:rsidR="007F4B1D" w:rsidRPr="00EE33FA">
        <w:rPr>
          <w:color w:val="000000" w:themeColor="text1"/>
          <w:lang w:val="en-GB"/>
        </w:rPr>
        <w:t xml:space="preserve"> with 7 professionals in the immunization division, </w:t>
      </w:r>
      <w:r w:rsidRPr="00EE33FA">
        <w:rPr>
          <w:color w:val="000000" w:themeColor="text1"/>
          <w:lang w:val="en-GB"/>
        </w:rPr>
        <w:t>5 in cold chain and vaccine delivery</w:t>
      </w:r>
      <w:r w:rsidR="007F4B1D" w:rsidRPr="00EE33FA">
        <w:rPr>
          <w:color w:val="000000" w:themeColor="text1"/>
          <w:lang w:val="en-GB"/>
        </w:rPr>
        <w:t>, and 5 in VDP surveillance division.</w:t>
      </w:r>
    </w:p>
    <w:p w14:paraId="7F770293" w14:textId="63CC4FCD" w:rsidR="002A28AF" w:rsidRPr="00EE33FA" w:rsidRDefault="00A50D57" w:rsidP="002A28AF">
      <w:pPr>
        <w:spacing w:before="120" w:line="300" w:lineRule="atLeast"/>
        <w:ind w:firstLine="360"/>
        <w:jc w:val="both"/>
        <w:rPr>
          <w:color w:val="000000" w:themeColor="text1"/>
          <w:lang w:val="en-GB"/>
        </w:rPr>
      </w:pPr>
      <w:r w:rsidRPr="00EE33FA">
        <w:rPr>
          <w:color w:val="000000" w:themeColor="text1"/>
          <w:lang w:val="en-GB"/>
        </w:rPr>
        <w:t xml:space="preserve">As for planning, </w:t>
      </w:r>
      <w:r w:rsidR="002A435F" w:rsidRPr="00EE33FA">
        <w:rPr>
          <w:color w:val="000000" w:themeColor="text1"/>
          <w:lang w:val="en-GB"/>
        </w:rPr>
        <w:t xml:space="preserve">the </w:t>
      </w:r>
      <w:r w:rsidR="005E2F4D" w:rsidRPr="00EE33FA">
        <w:rPr>
          <w:color w:val="000000" w:themeColor="text1"/>
          <w:lang w:val="en-GB"/>
        </w:rPr>
        <w:t>cMYP 2012-2016</w:t>
      </w:r>
      <w:r w:rsidR="00B003E8" w:rsidRPr="00EE33FA">
        <w:rPr>
          <w:color w:val="000000" w:themeColor="text1"/>
          <w:lang w:val="en-GB"/>
        </w:rPr>
        <w:t xml:space="preserve"> </w:t>
      </w:r>
      <w:r w:rsidR="002A28AF" w:rsidRPr="00EE33FA">
        <w:rPr>
          <w:color w:val="000000" w:themeColor="text1"/>
          <w:lang w:val="en-GB"/>
        </w:rPr>
        <w:t xml:space="preserve">will be </w:t>
      </w:r>
      <w:r w:rsidR="00B003E8" w:rsidRPr="00EE33FA">
        <w:rPr>
          <w:color w:val="000000" w:themeColor="text1"/>
          <w:lang w:val="en-GB"/>
        </w:rPr>
        <w:t>revised</w:t>
      </w:r>
      <w:r w:rsidR="002A28AF" w:rsidRPr="00EE33FA">
        <w:rPr>
          <w:color w:val="000000" w:themeColor="text1"/>
          <w:lang w:val="en-GB"/>
        </w:rPr>
        <w:t xml:space="preserve"> in December 2015. Then the Ministerial Decree #183 which is the core document for immunization will also be reviewed and updated in October 2015 to include new vaccines introduction (hexavalent, bOPV).</w:t>
      </w:r>
    </w:p>
    <w:p w14:paraId="3B0FD154" w14:textId="4867AEA8" w:rsidR="00194CD4" w:rsidRPr="00EE33FA" w:rsidRDefault="00737F97" w:rsidP="00194CD4">
      <w:pPr>
        <w:spacing w:before="120" w:line="300" w:lineRule="atLeast"/>
        <w:ind w:firstLine="360"/>
        <w:jc w:val="both"/>
        <w:rPr>
          <w:color w:val="000000" w:themeColor="text1"/>
          <w:lang w:val="en-GB"/>
        </w:rPr>
      </w:pPr>
      <w:r w:rsidRPr="00EE33FA">
        <w:rPr>
          <w:color w:val="000000" w:themeColor="text1"/>
          <w:lang w:val="en-GB"/>
        </w:rPr>
        <w:t xml:space="preserve">Concerning the </w:t>
      </w:r>
      <w:r w:rsidR="004E7DAA" w:rsidRPr="00EE33FA">
        <w:rPr>
          <w:color w:val="000000" w:themeColor="text1"/>
          <w:lang w:val="en-GB"/>
        </w:rPr>
        <w:t>capacity building/training</w:t>
      </w:r>
      <w:r w:rsidR="00194CD4" w:rsidRPr="00EE33FA">
        <w:rPr>
          <w:color w:val="000000" w:themeColor="text1"/>
          <w:lang w:val="en-GB"/>
        </w:rPr>
        <w:t xml:space="preserve">, due to the several introduction of new vaccines, many training </w:t>
      </w:r>
      <w:r w:rsidR="006067E6" w:rsidRPr="00EE33FA">
        <w:rPr>
          <w:color w:val="000000" w:themeColor="text1"/>
          <w:lang w:val="en-GB"/>
        </w:rPr>
        <w:t xml:space="preserve">courses </w:t>
      </w:r>
      <w:r w:rsidR="00194CD4" w:rsidRPr="00EE33FA">
        <w:rPr>
          <w:color w:val="000000" w:themeColor="text1"/>
          <w:lang w:val="en-GB"/>
        </w:rPr>
        <w:t xml:space="preserve">took place, with Partners support: 3100 doctors/nurses were trained for rotavirus; 147 training courses on PCV; 70 </w:t>
      </w:r>
      <w:r w:rsidR="000E3412" w:rsidRPr="00EE33FA">
        <w:rPr>
          <w:color w:val="000000" w:themeColor="text1"/>
          <w:lang w:val="en-GB"/>
        </w:rPr>
        <w:t xml:space="preserve">for </w:t>
      </w:r>
      <w:r w:rsidR="00194CD4" w:rsidRPr="00EE33FA">
        <w:rPr>
          <w:color w:val="000000" w:themeColor="text1"/>
          <w:lang w:val="en-GB"/>
        </w:rPr>
        <w:t>refresher training; 100 planned for introduction of bOPV and hexavalent.</w:t>
      </w:r>
    </w:p>
    <w:p w14:paraId="68DE48D2" w14:textId="67D00650" w:rsidR="00194CD4" w:rsidRPr="00EE33FA" w:rsidRDefault="00194CD4" w:rsidP="00194CD4">
      <w:pPr>
        <w:spacing w:before="120" w:line="300" w:lineRule="atLeast"/>
        <w:ind w:firstLine="360"/>
        <w:jc w:val="both"/>
        <w:rPr>
          <w:color w:val="000000" w:themeColor="text1"/>
          <w:lang w:val="en-GB"/>
        </w:rPr>
      </w:pPr>
      <w:r w:rsidRPr="00EE33FA">
        <w:rPr>
          <w:color w:val="000000" w:themeColor="text1"/>
          <w:lang w:val="en-GB"/>
        </w:rPr>
        <w:t>As for supervision of activities</w:t>
      </w:r>
      <w:r w:rsidR="00737F97" w:rsidRPr="00EE33FA">
        <w:rPr>
          <w:color w:val="000000" w:themeColor="text1"/>
          <w:lang w:val="en-GB"/>
        </w:rPr>
        <w:t xml:space="preserve">, </w:t>
      </w:r>
      <w:r w:rsidR="00332223" w:rsidRPr="00EE33FA">
        <w:rPr>
          <w:color w:val="000000" w:themeColor="text1"/>
          <w:lang w:val="en-GB"/>
        </w:rPr>
        <w:t xml:space="preserve">the NCDC immunization team </w:t>
      </w:r>
      <w:r w:rsidR="00737F97" w:rsidRPr="00EE33FA">
        <w:rPr>
          <w:color w:val="000000" w:themeColor="text1"/>
          <w:lang w:val="en-GB"/>
        </w:rPr>
        <w:t>regularly conduct supportive supervision visits to the DPHC</w:t>
      </w:r>
      <w:r w:rsidR="00EB42DC" w:rsidRPr="00EE33FA">
        <w:rPr>
          <w:color w:val="000000" w:themeColor="text1"/>
          <w:lang w:val="en-GB"/>
        </w:rPr>
        <w:t>s</w:t>
      </w:r>
      <w:r w:rsidR="00737F97" w:rsidRPr="00EE33FA">
        <w:rPr>
          <w:color w:val="000000" w:themeColor="text1"/>
          <w:lang w:val="en-GB"/>
        </w:rPr>
        <w:t xml:space="preserve">, including some </w:t>
      </w:r>
      <w:r w:rsidR="00332223" w:rsidRPr="00EE33FA">
        <w:rPr>
          <w:color w:val="000000" w:themeColor="text1"/>
          <w:lang w:val="en-GB"/>
        </w:rPr>
        <w:t xml:space="preserve">primary </w:t>
      </w:r>
      <w:r w:rsidR="00737F97" w:rsidRPr="00EE33FA">
        <w:rPr>
          <w:color w:val="000000" w:themeColor="text1"/>
          <w:lang w:val="en-GB"/>
        </w:rPr>
        <w:t xml:space="preserve">health </w:t>
      </w:r>
      <w:r w:rsidR="00332223" w:rsidRPr="00EE33FA">
        <w:rPr>
          <w:color w:val="000000" w:themeColor="text1"/>
          <w:lang w:val="en-GB"/>
        </w:rPr>
        <w:t xml:space="preserve">care </w:t>
      </w:r>
      <w:r w:rsidR="00737F97" w:rsidRPr="00EE33FA">
        <w:rPr>
          <w:color w:val="000000" w:themeColor="text1"/>
          <w:lang w:val="en-GB"/>
        </w:rPr>
        <w:t>facilities in each district</w:t>
      </w:r>
      <w:r w:rsidR="00332223" w:rsidRPr="00EE33FA">
        <w:rPr>
          <w:color w:val="000000" w:themeColor="text1"/>
          <w:lang w:val="en-GB"/>
        </w:rPr>
        <w:t xml:space="preserve">. Often </w:t>
      </w:r>
      <w:r w:rsidR="00873CC2" w:rsidRPr="00EE33FA">
        <w:rPr>
          <w:color w:val="000000" w:themeColor="text1"/>
          <w:lang w:val="en-GB"/>
        </w:rPr>
        <w:t xml:space="preserve">programmatic </w:t>
      </w:r>
      <w:r w:rsidR="00737F97" w:rsidRPr="00EE33FA">
        <w:rPr>
          <w:color w:val="000000" w:themeColor="text1"/>
          <w:lang w:val="en-GB"/>
        </w:rPr>
        <w:t xml:space="preserve">changes in the </w:t>
      </w:r>
      <w:r w:rsidR="00873CC2" w:rsidRPr="00EE33FA">
        <w:rPr>
          <w:color w:val="000000" w:themeColor="text1"/>
          <w:lang w:val="en-GB"/>
        </w:rPr>
        <w:t xml:space="preserve">immunization </w:t>
      </w:r>
      <w:r w:rsidR="00737F97" w:rsidRPr="00EE33FA">
        <w:rPr>
          <w:color w:val="000000" w:themeColor="text1"/>
          <w:lang w:val="en-GB"/>
        </w:rPr>
        <w:t>program</w:t>
      </w:r>
      <w:r w:rsidR="00332223" w:rsidRPr="00EE33FA">
        <w:rPr>
          <w:color w:val="000000" w:themeColor="text1"/>
          <w:lang w:val="en-GB"/>
        </w:rPr>
        <w:t xml:space="preserve"> (e.g. introduction of new vaccine) offer the opportunity to conduct such supportive supervision visit. However </w:t>
      </w:r>
      <w:r w:rsidR="00C37D56" w:rsidRPr="00EE33FA">
        <w:rPr>
          <w:color w:val="000000" w:themeColor="text1"/>
          <w:lang w:val="en-GB"/>
        </w:rPr>
        <w:t>due to</w:t>
      </w:r>
      <w:r w:rsidR="00332223" w:rsidRPr="00EE33FA">
        <w:rPr>
          <w:color w:val="000000" w:themeColor="text1"/>
          <w:lang w:val="en-GB"/>
        </w:rPr>
        <w:t xml:space="preserve"> the system of </w:t>
      </w:r>
      <w:r w:rsidR="00C37D56" w:rsidRPr="00EE33FA">
        <w:rPr>
          <w:color w:val="000000" w:themeColor="text1"/>
          <w:lang w:val="en-GB"/>
        </w:rPr>
        <w:t xml:space="preserve">privatisation of primary health care facilities and their </w:t>
      </w:r>
      <w:r w:rsidR="00BE1108" w:rsidRPr="00EE33FA">
        <w:rPr>
          <w:color w:val="000000" w:themeColor="text1"/>
          <w:lang w:val="en-GB"/>
        </w:rPr>
        <w:t xml:space="preserve">contracting </w:t>
      </w:r>
      <w:r w:rsidR="00C37D56" w:rsidRPr="00EE33FA">
        <w:rPr>
          <w:color w:val="000000" w:themeColor="text1"/>
          <w:lang w:val="en-GB"/>
        </w:rPr>
        <w:t>for</w:t>
      </w:r>
      <w:r w:rsidR="00BE1108" w:rsidRPr="00EE33FA">
        <w:rPr>
          <w:color w:val="000000" w:themeColor="text1"/>
          <w:lang w:val="en-GB"/>
        </w:rPr>
        <w:t xml:space="preserve"> immunization </w:t>
      </w:r>
      <w:r w:rsidR="00C37D56" w:rsidRPr="00EE33FA">
        <w:rPr>
          <w:color w:val="000000" w:themeColor="text1"/>
          <w:lang w:val="en-GB"/>
        </w:rPr>
        <w:t>services by</w:t>
      </w:r>
      <w:r w:rsidR="00BE1108" w:rsidRPr="00EE33FA">
        <w:rPr>
          <w:color w:val="000000" w:themeColor="text1"/>
          <w:lang w:val="en-GB"/>
        </w:rPr>
        <w:t xml:space="preserve"> the </w:t>
      </w:r>
      <w:r w:rsidR="00C37D56" w:rsidRPr="00EE33FA">
        <w:rPr>
          <w:color w:val="000000" w:themeColor="text1"/>
          <w:lang w:val="en-GB"/>
        </w:rPr>
        <w:t>Social Service Agency (SSA)</w:t>
      </w:r>
      <w:r w:rsidR="00D8438F" w:rsidRPr="00EE33FA">
        <w:rPr>
          <w:color w:val="000000" w:themeColor="text1"/>
          <w:lang w:val="en-GB"/>
        </w:rPr>
        <w:t xml:space="preserve">, the supervision by NCDC </w:t>
      </w:r>
      <w:r w:rsidR="00D8438F" w:rsidRPr="00EE33FA">
        <w:rPr>
          <w:color w:val="000000" w:themeColor="text1"/>
          <w:lang w:val="en-GB"/>
        </w:rPr>
        <w:lastRenderedPageBreak/>
        <w:t>remai</w:t>
      </w:r>
      <w:r w:rsidR="00395463" w:rsidRPr="00EE33FA">
        <w:rPr>
          <w:color w:val="000000" w:themeColor="text1"/>
          <w:lang w:val="en-GB"/>
        </w:rPr>
        <w:t>ns mainly an advising activity</w:t>
      </w:r>
      <w:r w:rsidR="00D8438F" w:rsidRPr="00EE33FA">
        <w:rPr>
          <w:color w:val="000000" w:themeColor="text1"/>
          <w:lang w:val="en-GB"/>
        </w:rPr>
        <w:t xml:space="preserve">, recommending what to improve, but </w:t>
      </w:r>
      <w:r w:rsidR="00395463" w:rsidRPr="00EE33FA">
        <w:rPr>
          <w:color w:val="000000" w:themeColor="text1"/>
          <w:lang w:val="en-GB"/>
        </w:rPr>
        <w:t>not having</w:t>
      </w:r>
      <w:r w:rsidR="00D8438F" w:rsidRPr="00EE33FA">
        <w:rPr>
          <w:color w:val="000000" w:themeColor="text1"/>
          <w:lang w:val="en-GB"/>
        </w:rPr>
        <w:t xml:space="preserve"> any power to enforce</w:t>
      </w:r>
      <w:r w:rsidR="00395463" w:rsidRPr="00EE33FA">
        <w:rPr>
          <w:color w:val="000000" w:themeColor="text1"/>
          <w:lang w:val="en-GB"/>
        </w:rPr>
        <w:t xml:space="preserve"> changes when</w:t>
      </w:r>
      <w:r w:rsidR="00D8438F" w:rsidRPr="00EE33FA">
        <w:rPr>
          <w:color w:val="000000" w:themeColor="text1"/>
          <w:lang w:val="en-GB"/>
        </w:rPr>
        <w:t xml:space="preserve"> wrong practices and behaviours</w:t>
      </w:r>
      <w:r w:rsidR="00395463" w:rsidRPr="00EE33FA">
        <w:rPr>
          <w:color w:val="000000" w:themeColor="text1"/>
          <w:lang w:val="en-GB"/>
        </w:rPr>
        <w:t xml:space="preserve"> occur</w:t>
      </w:r>
      <w:r w:rsidR="00D8438F" w:rsidRPr="00EE33FA">
        <w:rPr>
          <w:color w:val="000000" w:themeColor="text1"/>
          <w:lang w:val="en-GB"/>
        </w:rPr>
        <w:t xml:space="preserve">. It </w:t>
      </w:r>
      <w:r w:rsidR="0000502D" w:rsidRPr="00EE33FA">
        <w:rPr>
          <w:color w:val="000000" w:themeColor="text1"/>
          <w:lang w:val="en-GB"/>
        </w:rPr>
        <w:t xml:space="preserve">very </w:t>
      </w:r>
      <w:r w:rsidR="00D8438F" w:rsidRPr="00EE33FA">
        <w:rPr>
          <w:color w:val="000000" w:themeColor="text1"/>
          <w:lang w:val="en-GB"/>
        </w:rPr>
        <w:t xml:space="preserve">much </w:t>
      </w:r>
      <w:r w:rsidR="00395463" w:rsidRPr="00EE33FA">
        <w:rPr>
          <w:color w:val="000000" w:themeColor="text1"/>
          <w:lang w:val="en-GB"/>
        </w:rPr>
        <w:t>limits</w:t>
      </w:r>
      <w:r w:rsidR="00D8438F" w:rsidRPr="00EE33FA">
        <w:rPr>
          <w:color w:val="000000" w:themeColor="text1"/>
          <w:lang w:val="en-GB"/>
        </w:rPr>
        <w:t xml:space="preserve"> their own </w:t>
      </w:r>
      <w:r w:rsidR="004753A7" w:rsidRPr="00EE33FA">
        <w:rPr>
          <w:color w:val="000000" w:themeColor="text1"/>
          <w:lang w:val="en-GB"/>
        </w:rPr>
        <w:t xml:space="preserve">impact, especially </w:t>
      </w:r>
      <w:r w:rsidR="00395463" w:rsidRPr="00EE33FA">
        <w:rPr>
          <w:color w:val="000000" w:themeColor="text1"/>
          <w:lang w:val="en-GB"/>
        </w:rPr>
        <w:t>regarding</w:t>
      </w:r>
      <w:r w:rsidR="004753A7" w:rsidRPr="00EE33FA">
        <w:rPr>
          <w:color w:val="000000" w:themeColor="text1"/>
          <w:lang w:val="en-GB"/>
        </w:rPr>
        <w:t xml:space="preserve"> primary health care facilities which do not put immunization as a priority (e.g. large polyclinic with inpatients department). Ways </w:t>
      </w:r>
      <w:r w:rsidR="00395463" w:rsidRPr="00EE33FA">
        <w:rPr>
          <w:color w:val="000000" w:themeColor="text1"/>
          <w:lang w:val="en-GB"/>
        </w:rPr>
        <w:t>to solve this problem should be explored and discussed wit</w:t>
      </w:r>
      <w:r w:rsidR="009A7BBC" w:rsidRPr="00EE33FA">
        <w:rPr>
          <w:color w:val="000000" w:themeColor="text1"/>
          <w:lang w:val="en-GB"/>
        </w:rPr>
        <w:t xml:space="preserve">h MLHSA, SSA and Municipalities, including use of incentives, advocacy, encouragement, but also constraining the health facilities if they don’t comply. </w:t>
      </w:r>
    </w:p>
    <w:p w14:paraId="54A1E35E" w14:textId="77777777" w:rsidR="007F5614" w:rsidRPr="00EE33FA" w:rsidRDefault="007F5614" w:rsidP="00F331D7">
      <w:pPr>
        <w:spacing w:before="120" w:line="300" w:lineRule="atLeast"/>
        <w:jc w:val="both"/>
        <w:rPr>
          <w:color w:val="000000" w:themeColor="text1"/>
          <w:lang w:val="en-GB"/>
        </w:rPr>
      </w:pPr>
    </w:p>
    <w:p w14:paraId="73BE2DAC" w14:textId="24B86766" w:rsidR="002354FE" w:rsidRPr="00EE33FA" w:rsidRDefault="002354FE" w:rsidP="0027316C">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Summary findings and recommendations</w:t>
      </w:r>
    </w:p>
    <w:p w14:paraId="10A13B7C" w14:textId="77777777" w:rsidR="002354FE" w:rsidRPr="00EE33FA" w:rsidRDefault="002354FE" w:rsidP="002354FE">
      <w:pPr>
        <w:spacing w:before="60" w:after="60"/>
        <w:ind w:left="357" w:right="-1"/>
        <w:rPr>
          <w:lang w:val="en-GB"/>
        </w:rPr>
      </w:pPr>
      <w:r w:rsidRPr="00EE33FA">
        <w:rPr>
          <w:b/>
          <w:color w:val="4F81BD"/>
          <w:lang w:val="en-GB"/>
        </w:rPr>
        <w:t>Major achievements</w:t>
      </w:r>
    </w:p>
    <w:p w14:paraId="20CD68D5" w14:textId="77777777" w:rsidR="0007022F" w:rsidRPr="00EE33FA" w:rsidRDefault="0007022F"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Government financing of immunization program sustained and increased, reflected in the budget for the coming year (introduction of hexavalent)</w:t>
      </w:r>
    </w:p>
    <w:p w14:paraId="033B7492" w14:textId="77777777" w:rsidR="0007022F" w:rsidRPr="00EE33FA" w:rsidRDefault="0007022F"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NCDC management and supervision of the immunization program, including competent and experienced staff: a strong part of the system</w:t>
      </w:r>
    </w:p>
    <w:p w14:paraId="1AF3B991" w14:textId="77777777" w:rsidR="0007022F" w:rsidRPr="00EE33FA" w:rsidRDefault="0007022F"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Advisory bodies and committees exist and most of them function</w:t>
      </w:r>
    </w:p>
    <w:p w14:paraId="1322AFD2" w14:textId="77777777" w:rsidR="0007022F" w:rsidRPr="00EE33FA" w:rsidRDefault="0007022F"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Core official documents on immunization available, and currently being revised</w:t>
      </w:r>
    </w:p>
    <w:p w14:paraId="34BFC1FD" w14:textId="77777777" w:rsidR="0007022F" w:rsidRPr="00EE33FA" w:rsidRDefault="0007022F"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Good settings in urban polyclinics; health staff dedicated</w:t>
      </w:r>
    </w:p>
    <w:p w14:paraId="3B81D151" w14:textId="77777777" w:rsidR="0007022F" w:rsidRPr="00EE33FA" w:rsidRDefault="0007022F"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Regular training on various technical areas</w:t>
      </w:r>
    </w:p>
    <w:p w14:paraId="4DD3067B" w14:textId="50134E8D" w:rsidR="002354FE" w:rsidRPr="00EE33FA" w:rsidRDefault="002354FE" w:rsidP="002354FE">
      <w:pPr>
        <w:spacing w:before="60" w:after="60"/>
        <w:ind w:left="360" w:right="-1"/>
        <w:rPr>
          <w:lang w:val="en-GB"/>
        </w:rPr>
      </w:pPr>
      <w:r w:rsidRPr="00EE33FA">
        <w:rPr>
          <w:b/>
          <w:color w:val="4F81BD"/>
          <w:lang w:val="en-GB"/>
        </w:rPr>
        <w:t>Major issues identified</w:t>
      </w:r>
    </w:p>
    <w:p w14:paraId="24528E26" w14:textId="77777777" w:rsidR="0007022F" w:rsidRPr="00EE33FA" w:rsidRDefault="0007022F"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Lack of systemic approaches and incentives for increasing/maintaining immunization performance among service providers</w:t>
      </w:r>
    </w:p>
    <w:p w14:paraId="0E2415A9" w14:textId="77777777" w:rsidR="0007022F" w:rsidRPr="00EE33FA" w:rsidRDefault="0007022F"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Shortages of several vaccines due to time delay in supply by UNICEF, problem of global market deficit and delayed transactions</w:t>
      </w:r>
    </w:p>
    <w:p w14:paraId="195F9D4F" w14:textId="77777777" w:rsidR="0007022F" w:rsidRPr="00EE33FA" w:rsidRDefault="0007022F"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Lack of regulation and enforcement by SSA/Municipality/DPHC to ensure service quality in health facilities</w:t>
      </w:r>
    </w:p>
    <w:p w14:paraId="042299EC" w14:textId="56BBDEC9" w:rsidR="0007022F" w:rsidRPr="00EE33FA" w:rsidRDefault="0007022F"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Problem of optimization of human resources at public health </w:t>
      </w:r>
      <w:r w:rsidR="00D5150F" w:rsidRPr="00EE33FA">
        <w:rPr>
          <w:rFonts w:ascii="Times New Roman" w:hAnsi="Times New Roman"/>
          <w:lang w:val="en-GB"/>
        </w:rPr>
        <w:t>centre</w:t>
      </w:r>
      <w:r w:rsidRPr="00EE33FA">
        <w:rPr>
          <w:rFonts w:ascii="Times New Roman" w:hAnsi="Times New Roman"/>
          <w:lang w:val="en-GB"/>
        </w:rPr>
        <w:t xml:space="preserve"> and primary health care levels</w:t>
      </w:r>
    </w:p>
    <w:p w14:paraId="6C04825D" w14:textId="1F3F35D1" w:rsidR="006309F0" w:rsidRPr="00EE33FA" w:rsidRDefault="0007022F"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Quality of infrastructure and of working conditions low in most of public health centres (DPHC) and some of primary health care facilities</w:t>
      </w:r>
    </w:p>
    <w:p w14:paraId="0D797760" w14:textId="09F39BE9" w:rsidR="006309F0" w:rsidRPr="00EE33FA" w:rsidRDefault="006309F0" w:rsidP="006309F0">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Main recommendations</w:t>
      </w:r>
    </w:p>
    <w:p w14:paraId="00C075BB" w14:textId="77777777" w:rsidR="0007022F" w:rsidRPr="00EE33FA" w:rsidRDefault="0007022F" w:rsidP="0087400E">
      <w:pPr>
        <w:pStyle w:val="ListParagraph"/>
        <w:numPr>
          <w:ilvl w:val="0"/>
          <w:numId w:val="1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GoG to maintain its continuous effort for financial sustainability</w:t>
      </w:r>
    </w:p>
    <w:p w14:paraId="727148A5" w14:textId="77777777" w:rsidR="0007022F" w:rsidRPr="00EE33FA" w:rsidRDefault="0007022F" w:rsidP="0087400E">
      <w:pPr>
        <w:pStyle w:val="ListParagraph"/>
        <w:numPr>
          <w:ilvl w:val="0"/>
          <w:numId w:val="1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Ways to “regulate” the quality and performance of services of DPHC and health facilities to be envisaged (e.g. incentive/punitive)</w:t>
      </w:r>
    </w:p>
    <w:p w14:paraId="7EFCC73E" w14:textId="77777777" w:rsidR="0007022F" w:rsidRPr="00EE33FA" w:rsidRDefault="0007022F" w:rsidP="0087400E">
      <w:pPr>
        <w:pStyle w:val="ListParagraph"/>
        <w:numPr>
          <w:ilvl w:val="0"/>
          <w:numId w:val="1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UNICEF SD to be advocated to facilitate transactions, work with manufacturers to avoid delays, and to inform government in advance in case of supply shortages</w:t>
      </w:r>
    </w:p>
    <w:p w14:paraId="42749115" w14:textId="77777777" w:rsidR="0007022F" w:rsidRPr="00EE33FA" w:rsidRDefault="0007022F" w:rsidP="0087400E">
      <w:pPr>
        <w:pStyle w:val="ListParagraph"/>
        <w:numPr>
          <w:ilvl w:val="0"/>
          <w:numId w:val="1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Receiving vaccines in a single shipment per year to be considered</w:t>
      </w:r>
    </w:p>
    <w:p w14:paraId="0CEE9A57" w14:textId="77777777" w:rsidR="0007022F" w:rsidRPr="00EE33FA" w:rsidRDefault="0007022F" w:rsidP="0087400E">
      <w:pPr>
        <w:pStyle w:val="ListParagraph"/>
        <w:numPr>
          <w:ilvl w:val="0"/>
          <w:numId w:val="1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NCDC’s technical and financial strong capacity to manage and supervise the program to be fully maintained</w:t>
      </w:r>
    </w:p>
    <w:p w14:paraId="621DFD33" w14:textId="77777777" w:rsidR="0007022F" w:rsidRPr="00EE33FA" w:rsidRDefault="0007022F" w:rsidP="00F331D7">
      <w:pPr>
        <w:spacing w:before="120" w:line="300" w:lineRule="atLeast"/>
        <w:jc w:val="both"/>
        <w:rPr>
          <w:color w:val="000000" w:themeColor="text1"/>
          <w:lang w:val="en-GB"/>
        </w:rPr>
      </w:pPr>
    </w:p>
    <w:p w14:paraId="7CC584DA" w14:textId="2AE51B15" w:rsidR="000171D5" w:rsidRPr="00EE33FA" w:rsidRDefault="002F56C0" w:rsidP="0087400E">
      <w:pPr>
        <w:pStyle w:val="Heading2"/>
        <w:numPr>
          <w:ilvl w:val="0"/>
          <w:numId w:val="11"/>
        </w:numPr>
        <w:rPr>
          <w:lang w:val="en-GB"/>
        </w:rPr>
      </w:pPr>
      <w:bookmarkStart w:id="27" w:name="_Toc303889500"/>
      <w:r w:rsidRPr="00EE33FA">
        <w:rPr>
          <w:lang w:val="en-GB"/>
        </w:rPr>
        <w:lastRenderedPageBreak/>
        <w:t xml:space="preserve">Service delivery, including immunization schedules, strategies, new vaccine introduction, communication </w:t>
      </w:r>
      <w:r w:rsidR="00CC26FC" w:rsidRPr="00EE33FA">
        <w:rPr>
          <w:lang w:val="en-GB"/>
        </w:rPr>
        <w:t>and</w:t>
      </w:r>
      <w:r w:rsidRPr="00EE33FA">
        <w:rPr>
          <w:lang w:val="en-GB"/>
        </w:rPr>
        <w:t xml:space="preserve"> social mobilization</w:t>
      </w:r>
      <w:bookmarkEnd w:id="27"/>
    </w:p>
    <w:p w14:paraId="761447A5" w14:textId="4CAF60C6" w:rsidR="00C22B5B" w:rsidRDefault="00AA4A4F" w:rsidP="00824BD0">
      <w:pPr>
        <w:spacing w:before="120" w:line="300" w:lineRule="atLeast"/>
        <w:ind w:firstLine="360"/>
        <w:jc w:val="both"/>
        <w:rPr>
          <w:lang w:val="en-GB"/>
        </w:rPr>
      </w:pPr>
      <w:r>
        <w:rPr>
          <w:lang w:val="en-GB"/>
        </w:rPr>
        <w:t>The current immunization</w:t>
      </w:r>
      <w:r w:rsidR="004E0C43">
        <w:rPr>
          <w:lang w:val="en-GB"/>
        </w:rPr>
        <w:t xml:space="preserve"> schedules </w:t>
      </w:r>
      <w:r w:rsidR="003723C5">
        <w:rPr>
          <w:lang w:val="en-GB"/>
        </w:rPr>
        <w:t xml:space="preserve">were defined by the </w:t>
      </w:r>
      <w:r w:rsidR="003723C5" w:rsidRPr="003723C5">
        <w:rPr>
          <w:lang w:val="en-GB"/>
        </w:rPr>
        <w:t>Order N</w:t>
      </w:r>
      <w:r w:rsidR="003723C5">
        <w:rPr>
          <w:lang w:val="en-GB"/>
        </w:rPr>
        <w:t xml:space="preserve">o. 183 </w:t>
      </w:r>
      <w:r w:rsidR="003723C5" w:rsidRPr="003723C5">
        <w:rPr>
          <w:lang w:val="en-GB"/>
        </w:rPr>
        <w:t>06.25.2010</w:t>
      </w:r>
      <w:r w:rsidR="003723C5">
        <w:rPr>
          <w:lang w:val="en-GB"/>
        </w:rPr>
        <w:t xml:space="preserve"> (</w:t>
      </w:r>
      <w:r w:rsidR="00113FE3">
        <w:rPr>
          <w:lang w:val="en-GB"/>
        </w:rPr>
        <w:t>shown below</w:t>
      </w:r>
      <w:r w:rsidR="003723C5">
        <w:rPr>
          <w:lang w:val="en-GB"/>
        </w:rPr>
        <w:t>)</w:t>
      </w:r>
      <w:r w:rsidR="00113FE3">
        <w:rPr>
          <w:lang w:val="en-GB"/>
        </w:rPr>
        <w:t>. No infringement to these schedules h</w:t>
      </w:r>
      <w:r w:rsidR="00312609">
        <w:rPr>
          <w:lang w:val="en-GB"/>
        </w:rPr>
        <w:t>as been observed during the fiel</w:t>
      </w:r>
      <w:r w:rsidR="00113FE3">
        <w:rPr>
          <w:lang w:val="en-GB"/>
        </w:rPr>
        <w:t>d visits, and in general immunization</w:t>
      </w:r>
      <w:r w:rsidR="00113FE3" w:rsidRPr="00A732C6">
        <w:rPr>
          <w:lang w:val="en-GB"/>
        </w:rPr>
        <w:t xml:space="preserve"> practices and </w:t>
      </w:r>
      <w:r w:rsidR="00312609">
        <w:rPr>
          <w:lang w:val="en-GB"/>
        </w:rPr>
        <w:t>vaccine</w:t>
      </w:r>
      <w:r w:rsidR="003723C5">
        <w:rPr>
          <w:lang w:val="en-GB"/>
        </w:rPr>
        <w:t xml:space="preserve"> </w:t>
      </w:r>
      <w:r w:rsidR="00113FE3" w:rsidRPr="00A732C6">
        <w:rPr>
          <w:lang w:val="en-GB"/>
        </w:rPr>
        <w:t>handling</w:t>
      </w:r>
      <w:r w:rsidR="00113FE3">
        <w:rPr>
          <w:lang w:val="en-GB"/>
        </w:rPr>
        <w:t xml:space="preserve"> are correct.</w:t>
      </w:r>
    </w:p>
    <w:p w14:paraId="738FC1B1" w14:textId="77777777" w:rsidR="00AA4A4F" w:rsidRDefault="00AA4A4F" w:rsidP="00A732C6">
      <w:pPr>
        <w:spacing w:before="120" w:line="300" w:lineRule="atLeast"/>
        <w:jc w:val="both"/>
        <w:rPr>
          <w:lang w:val="en-GB"/>
        </w:rPr>
      </w:pPr>
    </w:p>
    <w:tbl>
      <w:tblPr>
        <w:tblStyle w:val="TableGrid"/>
        <w:tblW w:w="10073"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1701"/>
        <w:gridCol w:w="820"/>
        <w:gridCol w:w="820"/>
        <w:gridCol w:w="899"/>
        <w:gridCol w:w="899"/>
        <w:gridCol w:w="899"/>
        <w:gridCol w:w="899"/>
        <w:gridCol w:w="899"/>
        <w:gridCol w:w="835"/>
        <w:gridCol w:w="835"/>
      </w:tblGrid>
      <w:tr w:rsidR="00824BD0" w:rsidRPr="00AC0232" w14:paraId="7C5170D5" w14:textId="77777777" w:rsidTr="00824BD0">
        <w:tc>
          <w:tcPr>
            <w:tcW w:w="567" w:type="dxa"/>
          </w:tcPr>
          <w:p w14:paraId="781CF033" w14:textId="77777777" w:rsidR="00824BD0" w:rsidRPr="00AC0232" w:rsidRDefault="00824BD0" w:rsidP="008536EB">
            <w:pPr>
              <w:jc w:val="center"/>
              <w:rPr>
                <w:i/>
                <w:sz w:val="22"/>
                <w:szCs w:val="22"/>
              </w:rPr>
            </w:pPr>
          </w:p>
        </w:tc>
        <w:tc>
          <w:tcPr>
            <w:tcW w:w="1701" w:type="dxa"/>
          </w:tcPr>
          <w:p w14:paraId="0937D7BB" w14:textId="77777777" w:rsidR="00824BD0" w:rsidRPr="00AC0232" w:rsidRDefault="00824BD0" w:rsidP="008536EB">
            <w:pPr>
              <w:jc w:val="center"/>
              <w:rPr>
                <w:sz w:val="22"/>
                <w:szCs w:val="22"/>
              </w:rPr>
            </w:pPr>
          </w:p>
        </w:tc>
        <w:tc>
          <w:tcPr>
            <w:tcW w:w="820" w:type="dxa"/>
          </w:tcPr>
          <w:p w14:paraId="3E5BD682" w14:textId="77777777" w:rsidR="00824BD0" w:rsidRPr="00AC0232" w:rsidRDefault="00824BD0" w:rsidP="008536EB">
            <w:pPr>
              <w:jc w:val="center"/>
              <w:rPr>
                <w:sz w:val="22"/>
                <w:szCs w:val="22"/>
              </w:rPr>
            </w:pPr>
            <w:r w:rsidRPr="00AC0232">
              <w:rPr>
                <w:sz w:val="22"/>
                <w:szCs w:val="22"/>
              </w:rPr>
              <w:t>0-5</w:t>
            </w:r>
          </w:p>
          <w:p w14:paraId="64410E31" w14:textId="77777777" w:rsidR="00824BD0" w:rsidRPr="00AC0232" w:rsidRDefault="00824BD0" w:rsidP="008536EB">
            <w:pPr>
              <w:jc w:val="center"/>
              <w:rPr>
                <w:sz w:val="22"/>
                <w:szCs w:val="22"/>
              </w:rPr>
            </w:pPr>
            <w:r w:rsidRPr="00AC0232">
              <w:rPr>
                <w:sz w:val="22"/>
                <w:szCs w:val="22"/>
              </w:rPr>
              <w:t>days</w:t>
            </w:r>
          </w:p>
        </w:tc>
        <w:tc>
          <w:tcPr>
            <w:tcW w:w="820" w:type="dxa"/>
          </w:tcPr>
          <w:p w14:paraId="2ECA6D41" w14:textId="77777777" w:rsidR="00824BD0" w:rsidRPr="00AC0232" w:rsidRDefault="00824BD0" w:rsidP="008536EB">
            <w:pPr>
              <w:jc w:val="center"/>
              <w:rPr>
                <w:sz w:val="22"/>
                <w:szCs w:val="22"/>
              </w:rPr>
            </w:pPr>
            <w:r w:rsidRPr="00AC0232">
              <w:rPr>
                <w:sz w:val="22"/>
                <w:szCs w:val="22"/>
              </w:rPr>
              <w:t>0-12</w:t>
            </w:r>
          </w:p>
          <w:p w14:paraId="26CE2F55" w14:textId="77777777" w:rsidR="00824BD0" w:rsidRPr="00AC0232" w:rsidRDefault="00824BD0" w:rsidP="008536EB">
            <w:pPr>
              <w:jc w:val="center"/>
              <w:rPr>
                <w:sz w:val="22"/>
                <w:szCs w:val="22"/>
              </w:rPr>
            </w:pPr>
            <w:r w:rsidRPr="00AC0232">
              <w:rPr>
                <w:sz w:val="22"/>
                <w:szCs w:val="22"/>
              </w:rPr>
              <w:t>days</w:t>
            </w:r>
          </w:p>
        </w:tc>
        <w:tc>
          <w:tcPr>
            <w:tcW w:w="899" w:type="dxa"/>
          </w:tcPr>
          <w:p w14:paraId="4EFA85C0" w14:textId="77777777" w:rsidR="00824BD0" w:rsidRPr="00AC0232" w:rsidRDefault="00824BD0" w:rsidP="008536EB">
            <w:pPr>
              <w:jc w:val="center"/>
              <w:rPr>
                <w:sz w:val="22"/>
                <w:szCs w:val="22"/>
              </w:rPr>
            </w:pPr>
            <w:r w:rsidRPr="00AC0232">
              <w:rPr>
                <w:sz w:val="22"/>
                <w:szCs w:val="22"/>
              </w:rPr>
              <w:t>2</w:t>
            </w:r>
          </w:p>
          <w:p w14:paraId="7BEA0797" w14:textId="77777777" w:rsidR="00824BD0" w:rsidRPr="00AC0232" w:rsidRDefault="00824BD0" w:rsidP="008536EB">
            <w:pPr>
              <w:jc w:val="center"/>
              <w:rPr>
                <w:sz w:val="22"/>
                <w:szCs w:val="22"/>
              </w:rPr>
            </w:pPr>
            <w:r w:rsidRPr="00AC0232">
              <w:rPr>
                <w:sz w:val="22"/>
                <w:szCs w:val="22"/>
              </w:rPr>
              <w:t>months</w:t>
            </w:r>
          </w:p>
        </w:tc>
        <w:tc>
          <w:tcPr>
            <w:tcW w:w="899" w:type="dxa"/>
          </w:tcPr>
          <w:p w14:paraId="5C321AD3" w14:textId="77777777" w:rsidR="00824BD0" w:rsidRPr="00AC0232" w:rsidRDefault="00824BD0" w:rsidP="008536EB">
            <w:pPr>
              <w:jc w:val="center"/>
              <w:rPr>
                <w:sz w:val="22"/>
                <w:szCs w:val="22"/>
              </w:rPr>
            </w:pPr>
            <w:r w:rsidRPr="00AC0232">
              <w:rPr>
                <w:sz w:val="22"/>
                <w:szCs w:val="22"/>
              </w:rPr>
              <w:t>3</w:t>
            </w:r>
          </w:p>
          <w:p w14:paraId="093BEAF2" w14:textId="77777777" w:rsidR="00824BD0" w:rsidRPr="00AC0232" w:rsidRDefault="00824BD0" w:rsidP="008536EB">
            <w:pPr>
              <w:jc w:val="center"/>
              <w:rPr>
                <w:sz w:val="22"/>
                <w:szCs w:val="22"/>
              </w:rPr>
            </w:pPr>
            <w:r w:rsidRPr="00AC0232">
              <w:rPr>
                <w:sz w:val="22"/>
                <w:szCs w:val="22"/>
              </w:rPr>
              <w:t>months</w:t>
            </w:r>
          </w:p>
        </w:tc>
        <w:tc>
          <w:tcPr>
            <w:tcW w:w="899" w:type="dxa"/>
          </w:tcPr>
          <w:p w14:paraId="5AB0F4AB" w14:textId="77777777" w:rsidR="00824BD0" w:rsidRPr="00AC0232" w:rsidRDefault="00824BD0" w:rsidP="008536EB">
            <w:pPr>
              <w:jc w:val="center"/>
              <w:rPr>
                <w:sz w:val="22"/>
                <w:szCs w:val="22"/>
              </w:rPr>
            </w:pPr>
            <w:r w:rsidRPr="00AC0232">
              <w:rPr>
                <w:sz w:val="22"/>
                <w:szCs w:val="22"/>
              </w:rPr>
              <w:t>4</w:t>
            </w:r>
          </w:p>
          <w:p w14:paraId="51A72B26" w14:textId="77777777" w:rsidR="00824BD0" w:rsidRPr="00AC0232" w:rsidRDefault="00824BD0" w:rsidP="008536EB">
            <w:pPr>
              <w:jc w:val="center"/>
              <w:rPr>
                <w:sz w:val="22"/>
                <w:szCs w:val="22"/>
              </w:rPr>
            </w:pPr>
            <w:r w:rsidRPr="00AC0232">
              <w:rPr>
                <w:sz w:val="22"/>
                <w:szCs w:val="22"/>
              </w:rPr>
              <w:t>months</w:t>
            </w:r>
          </w:p>
        </w:tc>
        <w:tc>
          <w:tcPr>
            <w:tcW w:w="899" w:type="dxa"/>
          </w:tcPr>
          <w:p w14:paraId="152F2148" w14:textId="77777777" w:rsidR="00824BD0" w:rsidRPr="00AC0232" w:rsidRDefault="00824BD0" w:rsidP="008536EB">
            <w:pPr>
              <w:jc w:val="center"/>
              <w:rPr>
                <w:sz w:val="22"/>
                <w:szCs w:val="22"/>
              </w:rPr>
            </w:pPr>
            <w:r w:rsidRPr="00AC0232">
              <w:rPr>
                <w:sz w:val="22"/>
                <w:szCs w:val="22"/>
              </w:rPr>
              <w:t>12</w:t>
            </w:r>
          </w:p>
          <w:p w14:paraId="4C1C7DC7" w14:textId="77777777" w:rsidR="00824BD0" w:rsidRPr="00AC0232" w:rsidRDefault="00824BD0" w:rsidP="008536EB">
            <w:pPr>
              <w:jc w:val="center"/>
              <w:rPr>
                <w:sz w:val="22"/>
                <w:szCs w:val="22"/>
              </w:rPr>
            </w:pPr>
            <w:r w:rsidRPr="00AC0232">
              <w:rPr>
                <w:sz w:val="22"/>
                <w:szCs w:val="22"/>
              </w:rPr>
              <w:t>months</w:t>
            </w:r>
          </w:p>
        </w:tc>
        <w:tc>
          <w:tcPr>
            <w:tcW w:w="899" w:type="dxa"/>
          </w:tcPr>
          <w:p w14:paraId="7C122517" w14:textId="77777777" w:rsidR="00824BD0" w:rsidRPr="00AC0232" w:rsidRDefault="00824BD0" w:rsidP="008536EB">
            <w:pPr>
              <w:jc w:val="center"/>
              <w:rPr>
                <w:sz w:val="22"/>
                <w:szCs w:val="22"/>
              </w:rPr>
            </w:pPr>
            <w:r w:rsidRPr="00AC0232">
              <w:rPr>
                <w:sz w:val="22"/>
                <w:szCs w:val="22"/>
              </w:rPr>
              <w:t>18</w:t>
            </w:r>
          </w:p>
          <w:p w14:paraId="5F25CF7A" w14:textId="77777777" w:rsidR="00824BD0" w:rsidRPr="00AC0232" w:rsidRDefault="00824BD0" w:rsidP="008536EB">
            <w:pPr>
              <w:jc w:val="center"/>
              <w:rPr>
                <w:sz w:val="22"/>
                <w:szCs w:val="22"/>
              </w:rPr>
            </w:pPr>
            <w:r w:rsidRPr="00AC0232">
              <w:rPr>
                <w:sz w:val="22"/>
                <w:szCs w:val="22"/>
              </w:rPr>
              <w:t>months</w:t>
            </w:r>
          </w:p>
        </w:tc>
        <w:tc>
          <w:tcPr>
            <w:tcW w:w="835" w:type="dxa"/>
          </w:tcPr>
          <w:p w14:paraId="4895595B" w14:textId="77777777" w:rsidR="00824BD0" w:rsidRPr="00AC0232" w:rsidRDefault="00824BD0" w:rsidP="008536EB">
            <w:pPr>
              <w:jc w:val="center"/>
              <w:rPr>
                <w:sz w:val="22"/>
                <w:szCs w:val="22"/>
              </w:rPr>
            </w:pPr>
            <w:r w:rsidRPr="00AC0232">
              <w:rPr>
                <w:sz w:val="22"/>
                <w:szCs w:val="22"/>
              </w:rPr>
              <w:t>5</w:t>
            </w:r>
          </w:p>
          <w:p w14:paraId="2491D053" w14:textId="77777777" w:rsidR="00824BD0" w:rsidRPr="00AC0232" w:rsidRDefault="00824BD0" w:rsidP="008536EB">
            <w:pPr>
              <w:jc w:val="center"/>
              <w:rPr>
                <w:sz w:val="22"/>
                <w:szCs w:val="22"/>
              </w:rPr>
            </w:pPr>
            <w:r w:rsidRPr="00AC0232">
              <w:rPr>
                <w:sz w:val="22"/>
                <w:szCs w:val="22"/>
              </w:rPr>
              <w:t>years</w:t>
            </w:r>
          </w:p>
        </w:tc>
        <w:tc>
          <w:tcPr>
            <w:tcW w:w="835" w:type="dxa"/>
          </w:tcPr>
          <w:p w14:paraId="08F1D8F2" w14:textId="77777777" w:rsidR="00824BD0" w:rsidRPr="00AC0232" w:rsidRDefault="00824BD0" w:rsidP="008536EB">
            <w:pPr>
              <w:jc w:val="center"/>
              <w:rPr>
                <w:sz w:val="22"/>
                <w:szCs w:val="22"/>
              </w:rPr>
            </w:pPr>
            <w:r w:rsidRPr="00AC0232">
              <w:rPr>
                <w:sz w:val="22"/>
                <w:szCs w:val="22"/>
              </w:rPr>
              <w:t>14</w:t>
            </w:r>
          </w:p>
          <w:p w14:paraId="411C78C2" w14:textId="77777777" w:rsidR="00824BD0" w:rsidRPr="00AC0232" w:rsidRDefault="00824BD0" w:rsidP="008536EB">
            <w:pPr>
              <w:jc w:val="center"/>
              <w:rPr>
                <w:sz w:val="22"/>
                <w:szCs w:val="22"/>
              </w:rPr>
            </w:pPr>
            <w:r w:rsidRPr="00AC0232">
              <w:rPr>
                <w:sz w:val="22"/>
                <w:szCs w:val="22"/>
              </w:rPr>
              <w:t>years</w:t>
            </w:r>
          </w:p>
        </w:tc>
      </w:tr>
      <w:tr w:rsidR="00824BD0" w:rsidRPr="00AC0232" w14:paraId="01E1F890" w14:textId="77777777" w:rsidTr="00824BD0">
        <w:tc>
          <w:tcPr>
            <w:tcW w:w="567" w:type="dxa"/>
          </w:tcPr>
          <w:p w14:paraId="5B628AB9" w14:textId="77777777" w:rsidR="00824BD0" w:rsidRPr="00AC0232" w:rsidRDefault="00824BD0" w:rsidP="008536EB">
            <w:pPr>
              <w:jc w:val="center"/>
              <w:rPr>
                <w:i/>
                <w:sz w:val="22"/>
                <w:szCs w:val="22"/>
              </w:rPr>
            </w:pPr>
            <w:r w:rsidRPr="00AC0232">
              <w:rPr>
                <w:i/>
                <w:sz w:val="22"/>
                <w:szCs w:val="22"/>
              </w:rPr>
              <w:t>1</w:t>
            </w:r>
          </w:p>
        </w:tc>
        <w:tc>
          <w:tcPr>
            <w:tcW w:w="1701" w:type="dxa"/>
          </w:tcPr>
          <w:p w14:paraId="6E70B20C" w14:textId="00D4A26E" w:rsidR="00824BD0" w:rsidRPr="00AC0232" w:rsidRDefault="00824BD0" w:rsidP="008536EB">
            <w:pPr>
              <w:rPr>
                <w:sz w:val="22"/>
                <w:szCs w:val="22"/>
              </w:rPr>
            </w:pPr>
            <w:r w:rsidRPr="00AC0232">
              <w:rPr>
                <w:sz w:val="22"/>
                <w:szCs w:val="22"/>
              </w:rPr>
              <w:t>BCG</w:t>
            </w:r>
          </w:p>
        </w:tc>
        <w:tc>
          <w:tcPr>
            <w:tcW w:w="820" w:type="dxa"/>
            <w:shd w:val="clear" w:color="auto" w:fill="B3B3B3"/>
          </w:tcPr>
          <w:p w14:paraId="746B6434" w14:textId="77777777" w:rsidR="00824BD0" w:rsidRPr="00AC0232" w:rsidRDefault="00824BD0" w:rsidP="008536EB">
            <w:pPr>
              <w:rPr>
                <w:sz w:val="22"/>
                <w:szCs w:val="22"/>
              </w:rPr>
            </w:pPr>
          </w:p>
        </w:tc>
        <w:tc>
          <w:tcPr>
            <w:tcW w:w="820" w:type="dxa"/>
          </w:tcPr>
          <w:p w14:paraId="56F003D1" w14:textId="77777777" w:rsidR="00824BD0" w:rsidRPr="00AC0232" w:rsidRDefault="00824BD0" w:rsidP="008536EB">
            <w:pPr>
              <w:rPr>
                <w:sz w:val="22"/>
                <w:szCs w:val="22"/>
              </w:rPr>
            </w:pPr>
          </w:p>
        </w:tc>
        <w:tc>
          <w:tcPr>
            <w:tcW w:w="899" w:type="dxa"/>
          </w:tcPr>
          <w:p w14:paraId="50CF5C8A" w14:textId="77777777" w:rsidR="00824BD0" w:rsidRPr="00AC0232" w:rsidRDefault="00824BD0" w:rsidP="008536EB">
            <w:pPr>
              <w:rPr>
                <w:sz w:val="22"/>
                <w:szCs w:val="22"/>
              </w:rPr>
            </w:pPr>
          </w:p>
        </w:tc>
        <w:tc>
          <w:tcPr>
            <w:tcW w:w="899" w:type="dxa"/>
          </w:tcPr>
          <w:p w14:paraId="3E1DFE63" w14:textId="77777777" w:rsidR="00824BD0" w:rsidRPr="00AC0232" w:rsidRDefault="00824BD0" w:rsidP="008536EB">
            <w:pPr>
              <w:rPr>
                <w:sz w:val="22"/>
                <w:szCs w:val="22"/>
              </w:rPr>
            </w:pPr>
          </w:p>
        </w:tc>
        <w:tc>
          <w:tcPr>
            <w:tcW w:w="899" w:type="dxa"/>
          </w:tcPr>
          <w:p w14:paraId="1FB4F728" w14:textId="77777777" w:rsidR="00824BD0" w:rsidRPr="00AC0232" w:rsidRDefault="00824BD0" w:rsidP="008536EB">
            <w:pPr>
              <w:rPr>
                <w:sz w:val="22"/>
                <w:szCs w:val="22"/>
              </w:rPr>
            </w:pPr>
          </w:p>
        </w:tc>
        <w:tc>
          <w:tcPr>
            <w:tcW w:w="899" w:type="dxa"/>
          </w:tcPr>
          <w:p w14:paraId="7C7A6F2D" w14:textId="77777777" w:rsidR="00824BD0" w:rsidRPr="00AC0232" w:rsidRDefault="00824BD0" w:rsidP="008536EB">
            <w:pPr>
              <w:rPr>
                <w:sz w:val="22"/>
                <w:szCs w:val="22"/>
              </w:rPr>
            </w:pPr>
          </w:p>
        </w:tc>
        <w:tc>
          <w:tcPr>
            <w:tcW w:w="899" w:type="dxa"/>
          </w:tcPr>
          <w:p w14:paraId="000813A7" w14:textId="77777777" w:rsidR="00824BD0" w:rsidRPr="00AC0232" w:rsidRDefault="00824BD0" w:rsidP="008536EB">
            <w:pPr>
              <w:rPr>
                <w:sz w:val="22"/>
                <w:szCs w:val="22"/>
              </w:rPr>
            </w:pPr>
          </w:p>
        </w:tc>
        <w:tc>
          <w:tcPr>
            <w:tcW w:w="835" w:type="dxa"/>
          </w:tcPr>
          <w:p w14:paraId="50E69C59" w14:textId="77777777" w:rsidR="00824BD0" w:rsidRPr="00AC0232" w:rsidRDefault="00824BD0" w:rsidP="008536EB">
            <w:pPr>
              <w:rPr>
                <w:sz w:val="22"/>
                <w:szCs w:val="22"/>
              </w:rPr>
            </w:pPr>
          </w:p>
        </w:tc>
        <w:tc>
          <w:tcPr>
            <w:tcW w:w="835" w:type="dxa"/>
          </w:tcPr>
          <w:p w14:paraId="3A08E264" w14:textId="77777777" w:rsidR="00824BD0" w:rsidRPr="00AC0232" w:rsidRDefault="00824BD0" w:rsidP="008536EB">
            <w:pPr>
              <w:rPr>
                <w:sz w:val="22"/>
                <w:szCs w:val="22"/>
              </w:rPr>
            </w:pPr>
          </w:p>
        </w:tc>
      </w:tr>
      <w:tr w:rsidR="00824BD0" w:rsidRPr="00AC0232" w14:paraId="3FDB520D" w14:textId="77777777" w:rsidTr="00824BD0">
        <w:tc>
          <w:tcPr>
            <w:tcW w:w="567" w:type="dxa"/>
          </w:tcPr>
          <w:p w14:paraId="550964CF" w14:textId="77777777" w:rsidR="00824BD0" w:rsidRPr="00AC0232" w:rsidRDefault="00824BD0" w:rsidP="008536EB">
            <w:pPr>
              <w:jc w:val="center"/>
              <w:rPr>
                <w:i/>
                <w:sz w:val="22"/>
                <w:szCs w:val="22"/>
              </w:rPr>
            </w:pPr>
            <w:r w:rsidRPr="00AC0232">
              <w:rPr>
                <w:i/>
                <w:sz w:val="22"/>
                <w:szCs w:val="22"/>
              </w:rPr>
              <w:t>2</w:t>
            </w:r>
          </w:p>
        </w:tc>
        <w:tc>
          <w:tcPr>
            <w:tcW w:w="1701" w:type="dxa"/>
          </w:tcPr>
          <w:p w14:paraId="646D3164" w14:textId="71896F64" w:rsidR="00824BD0" w:rsidRPr="00AC0232" w:rsidRDefault="00564E27" w:rsidP="008536EB">
            <w:pPr>
              <w:rPr>
                <w:sz w:val="22"/>
                <w:szCs w:val="22"/>
              </w:rPr>
            </w:pPr>
            <w:r w:rsidRPr="00AC0232">
              <w:rPr>
                <w:sz w:val="22"/>
                <w:szCs w:val="22"/>
              </w:rPr>
              <w:t>Hep.</w:t>
            </w:r>
            <w:r w:rsidR="00824BD0" w:rsidRPr="00AC0232">
              <w:rPr>
                <w:sz w:val="22"/>
                <w:szCs w:val="22"/>
              </w:rPr>
              <w:t>B</w:t>
            </w:r>
          </w:p>
        </w:tc>
        <w:tc>
          <w:tcPr>
            <w:tcW w:w="820" w:type="dxa"/>
          </w:tcPr>
          <w:p w14:paraId="4C0CB227" w14:textId="77777777" w:rsidR="00824BD0" w:rsidRPr="00AC0232" w:rsidRDefault="00824BD0" w:rsidP="008536EB">
            <w:pPr>
              <w:rPr>
                <w:sz w:val="22"/>
                <w:szCs w:val="22"/>
              </w:rPr>
            </w:pPr>
          </w:p>
        </w:tc>
        <w:tc>
          <w:tcPr>
            <w:tcW w:w="820" w:type="dxa"/>
            <w:shd w:val="clear" w:color="auto" w:fill="B3B3B3"/>
          </w:tcPr>
          <w:p w14:paraId="1E1B606E" w14:textId="77777777" w:rsidR="00824BD0" w:rsidRPr="00AC0232" w:rsidRDefault="00824BD0" w:rsidP="008536EB">
            <w:pPr>
              <w:rPr>
                <w:sz w:val="22"/>
                <w:szCs w:val="22"/>
              </w:rPr>
            </w:pPr>
          </w:p>
        </w:tc>
        <w:tc>
          <w:tcPr>
            <w:tcW w:w="899" w:type="dxa"/>
          </w:tcPr>
          <w:p w14:paraId="1B4F22C5" w14:textId="77777777" w:rsidR="00824BD0" w:rsidRPr="00AC0232" w:rsidRDefault="00824BD0" w:rsidP="008536EB">
            <w:pPr>
              <w:rPr>
                <w:sz w:val="22"/>
                <w:szCs w:val="22"/>
              </w:rPr>
            </w:pPr>
          </w:p>
        </w:tc>
        <w:tc>
          <w:tcPr>
            <w:tcW w:w="899" w:type="dxa"/>
          </w:tcPr>
          <w:p w14:paraId="45F5ABFE" w14:textId="77777777" w:rsidR="00824BD0" w:rsidRPr="00AC0232" w:rsidRDefault="00824BD0" w:rsidP="008536EB">
            <w:pPr>
              <w:rPr>
                <w:sz w:val="22"/>
                <w:szCs w:val="22"/>
              </w:rPr>
            </w:pPr>
          </w:p>
        </w:tc>
        <w:tc>
          <w:tcPr>
            <w:tcW w:w="899" w:type="dxa"/>
          </w:tcPr>
          <w:p w14:paraId="7CD41399" w14:textId="77777777" w:rsidR="00824BD0" w:rsidRPr="00AC0232" w:rsidRDefault="00824BD0" w:rsidP="008536EB">
            <w:pPr>
              <w:rPr>
                <w:sz w:val="22"/>
                <w:szCs w:val="22"/>
              </w:rPr>
            </w:pPr>
          </w:p>
        </w:tc>
        <w:tc>
          <w:tcPr>
            <w:tcW w:w="899" w:type="dxa"/>
          </w:tcPr>
          <w:p w14:paraId="6F00DD19" w14:textId="77777777" w:rsidR="00824BD0" w:rsidRPr="00AC0232" w:rsidRDefault="00824BD0" w:rsidP="008536EB">
            <w:pPr>
              <w:rPr>
                <w:sz w:val="22"/>
                <w:szCs w:val="22"/>
              </w:rPr>
            </w:pPr>
          </w:p>
        </w:tc>
        <w:tc>
          <w:tcPr>
            <w:tcW w:w="899" w:type="dxa"/>
          </w:tcPr>
          <w:p w14:paraId="0F2F067D" w14:textId="77777777" w:rsidR="00824BD0" w:rsidRPr="00AC0232" w:rsidRDefault="00824BD0" w:rsidP="008536EB">
            <w:pPr>
              <w:rPr>
                <w:sz w:val="22"/>
                <w:szCs w:val="22"/>
              </w:rPr>
            </w:pPr>
          </w:p>
        </w:tc>
        <w:tc>
          <w:tcPr>
            <w:tcW w:w="835" w:type="dxa"/>
          </w:tcPr>
          <w:p w14:paraId="1A18AD5F" w14:textId="77777777" w:rsidR="00824BD0" w:rsidRPr="00AC0232" w:rsidRDefault="00824BD0" w:rsidP="008536EB">
            <w:pPr>
              <w:rPr>
                <w:sz w:val="22"/>
                <w:szCs w:val="22"/>
              </w:rPr>
            </w:pPr>
          </w:p>
        </w:tc>
        <w:tc>
          <w:tcPr>
            <w:tcW w:w="835" w:type="dxa"/>
          </w:tcPr>
          <w:p w14:paraId="3FBFE5AF" w14:textId="77777777" w:rsidR="00824BD0" w:rsidRPr="00AC0232" w:rsidRDefault="00824BD0" w:rsidP="008536EB">
            <w:pPr>
              <w:rPr>
                <w:sz w:val="22"/>
                <w:szCs w:val="22"/>
              </w:rPr>
            </w:pPr>
          </w:p>
        </w:tc>
      </w:tr>
      <w:tr w:rsidR="00824BD0" w:rsidRPr="00AC0232" w14:paraId="66776E3F" w14:textId="77777777" w:rsidTr="00824BD0">
        <w:tc>
          <w:tcPr>
            <w:tcW w:w="567" w:type="dxa"/>
          </w:tcPr>
          <w:p w14:paraId="5BE790A4" w14:textId="77777777" w:rsidR="00824BD0" w:rsidRPr="00AC0232" w:rsidRDefault="00824BD0" w:rsidP="008536EB">
            <w:pPr>
              <w:jc w:val="center"/>
              <w:rPr>
                <w:i/>
                <w:sz w:val="22"/>
                <w:szCs w:val="22"/>
              </w:rPr>
            </w:pPr>
            <w:r w:rsidRPr="00AC0232">
              <w:rPr>
                <w:i/>
                <w:sz w:val="22"/>
                <w:szCs w:val="22"/>
              </w:rPr>
              <w:t>3</w:t>
            </w:r>
          </w:p>
        </w:tc>
        <w:tc>
          <w:tcPr>
            <w:tcW w:w="1701" w:type="dxa"/>
          </w:tcPr>
          <w:p w14:paraId="5DA4CE33" w14:textId="701FE0B7" w:rsidR="00824BD0" w:rsidRPr="00AC0232" w:rsidRDefault="00A23C27" w:rsidP="001564FF">
            <w:pPr>
              <w:ind w:right="-250"/>
              <w:rPr>
                <w:sz w:val="22"/>
                <w:szCs w:val="22"/>
              </w:rPr>
            </w:pPr>
            <w:r w:rsidRPr="00AC0232">
              <w:rPr>
                <w:sz w:val="22"/>
                <w:szCs w:val="22"/>
              </w:rPr>
              <w:t>D</w:t>
            </w:r>
            <w:r w:rsidR="00564E27" w:rsidRPr="00AC0232">
              <w:rPr>
                <w:sz w:val="22"/>
                <w:szCs w:val="22"/>
              </w:rPr>
              <w:t>T</w:t>
            </w:r>
            <w:r w:rsidRPr="00AC0232">
              <w:rPr>
                <w:sz w:val="22"/>
                <w:szCs w:val="22"/>
              </w:rPr>
              <w:t>P</w:t>
            </w:r>
            <w:r w:rsidR="00564E27" w:rsidRPr="00AC0232">
              <w:rPr>
                <w:sz w:val="22"/>
                <w:szCs w:val="22"/>
              </w:rPr>
              <w:t>-Hi</w:t>
            </w:r>
            <w:r w:rsidR="00824BD0" w:rsidRPr="00AC0232">
              <w:rPr>
                <w:sz w:val="22"/>
                <w:szCs w:val="22"/>
              </w:rPr>
              <w:t>b</w:t>
            </w:r>
            <w:r w:rsidR="00564E27" w:rsidRPr="00AC0232">
              <w:rPr>
                <w:sz w:val="22"/>
                <w:szCs w:val="22"/>
              </w:rPr>
              <w:t>-Hep.</w:t>
            </w:r>
            <w:r w:rsidR="00824BD0" w:rsidRPr="00AC0232">
              <w:rPr>
                <w:sz w:val="22"/>
                <w:szCs w:val="22"/>
              </w:rPr>
              <w:t>B</w:t>
            </w:r>
            <w:r w:rsidR="001564FF" w:rsidRPr="00AC0232">
              <w:rPr>
                <w:sz w:val="22"/>
                <w:szCs w:val="22"/>
              </w:rPr>
              <w:t>*</w:t>
            </w:r>
          </w:p>
        </w:tc>
        <w:tc>
          <w:tcPr>
            <w:tcW w:w="820" w:type="dxa"/>
          </w:tcPr>
          <w:p w14:paraId="16876694" w14:textId="77777777" w:rsidR="00824BD0" w:rsidRPr="00AC0232" w:rsidRDefault="00824BD0" w:rsidP="008536EB">
            <w:pPr>
              <w:rPr>
                <w:sz w:val="22"/>
                <w:szCs w:val="22"/>
              </w:rPr>
            </w:pPr>
          </w:p>
        </w:tc>
        <w:tc>
          <w:tcPr>
            <w:tcW w:w="820" w:type="dxa"/>
          </w:tcPr>
          <w:p w14:paraId="6376EC64" w14:textId="77777777" w:rsidR="00824BD0" w:rsidRPr="00AC0232" w:rsidRDefault="00824BD0" w:rsidP="008536EB">
            <w:pPr>
              <w:rPr>
                <w:sz w:val="22"/>
                <w:szCs w:val="22"/>
              </w:rPr>
            </w:pPr>
          </w:p>
        </w:tc>
        <w:tc>
          <w:tcPr>
            <w:tcW w:w="899" w:type="dxa"/>
            <w:shd w:val="clear" w:color="auto" w:fill="B3B3B3"/>
          </w:tcPr>
          <w:p w14:paraId="6457B41C" w14:textId="77777777" w:rsidR="00824BD0" w:rsidRPr="00AC0232" w:rsidRDefault="00824BD0" w:rsidP="008536EB">
            <w:pPr>
              <w:rPr>
                <w:sz w:val="22"/>
                <w:szCs w:val="22"/>
              </w:rPr>
            </w:pPr>
          </w:p>
        </w:tc>
        <w:tc>
          <w:tcPr>
            <w:tcW w:w="899" w:type="dxa"/>
            <w:shd w:val="clear" w:color="auto" w:fill="B3B3B3"/>
          </w:tcPr>
          <w:p w14:paraId="13A572B6" w14:textId="77777777" w:rsidR="00824BD0" w:rsidRPr="00AC0232" w:rsidRDefault="00824BD0" w:rsidP="008536EB">
            <w:pPr>
              <w:rPr>
                <w:sz w:val="22"/>
                <w:szCs w:val="22"/>
              </w:rPr>
            </w:pPr>
          </w:p>
        </w:tc>
        <w:tc>
          <w:tcPr>
            <w:tcW w:w="899" w:type="dxa"/>
            <w:shd w:val="clear" w:color="auto" w:fill="B3B3B3"/>
          </w:tcPr>
          <w:p w14:paraId="4D2E701B" w14:textId="77777777" w:rsidR="00824BD0" w:rsidRPr="00AC0232" w:rsidRDefault="00824BD0" w:rsidP="008536EB">
            <w:pPr>
              <w:rPr>
                <w:sz w:val="22"/>
                <w:szCs w:val="22"/>
              </w:rPr>
            </w:pPr>
          </w:p>
        </w:tc>
        <w:tc>
          <w:tcPr>
            <w:tcW w:w="899" w:type="dxa"/>
          </w:tcPr>
          <w:p w14:paraId="098F9A4C" w14:textId="77777777" w:rsidR="00824BD0" w:rsidRPr="00AC0232" w:rsidRDefault="00824BD0" w:rsidP="008536EB">
            <w:pPr>
              <w:rPr>
                <w:sz w:val="22"/>
                <w:szCs w:val="22"/>
              </w:rPr>
            </w:pPr>
          </w:p>
        </w:tc>
        <w:tc>
          <w:tcPr>
            <w:tcW w:w="899" w:type="dxa"/>
          </w:tcPr>
          <w:p w14:paraId="651F0AF5" w14:textId="77777777" w:rsidR="00824BD0" w:rsidRPr="00AC0232" w:rsidRDefault="00824BD0" w:rsidP="008536EB">
            <w:pPr>
              <w:rPr>
                <w:sz w:val="22"/>
                <w:szCs w:val="22"/>
              </w:rPr>
            </w:pPr>
          </w:p>
        </w:tc>
        <w:tc>
          <w:tcPr>
            <w:tcW w:w="835" w:type="dxa"/>
          </w:tcPr>
          <w:p w14:paraId="72F43F6E" w14:textId="77777777" w:rsidR="00824BD0" w:rsidRPr="00AC0232" w:rsidRDefault="00824BD0" w:rsidP="008536EB">
            <w:pPr>
              <w:rPr>
                <w:sz w:val="22"/>
                <w:szCs w:val="22"/>
              </w:rPr>
            </w:pPr>
          </w:p>
        </w:tc>
        <w:tc>
          <w:tcPr>
            <w:tcW w:w="835" w:type="dxa"/>
          </w:tcPr>
          <w:p w14:paraId="1F32446B" w14:textId="77777777" w:rsidR="00824BD0" w:rsidRPr="00AC0232" w:rsidRDefault="00824BD0" w:rsidP="008536EB">
            <w:pPr>
              <w:rPr>
                <w:sz w:val="22"/>
                <w:szCs w:val="22"/>
              </w:rPr>
            </w:pPr>
          </w:p>
        </w:tc>
      </w:tr>
      <w:tr w:rsidR="00824BD0" w:rsidRPr="00AC0232" w14:paraId="2B58680A" w14:textId="77777777" w:rsidTr="00824BD0">
        <w:tc>
          <w:tcPr>
            <w:tcW w:w="567" w:type="dxa"/>
          </w:tcPr>
          <w:p w14:paraId="0ECD5BA1" w14:textId="77777777" w:rsidR="00824BD0" w:rsidRPr="00AC0232" w:rsidRDefault="00824BD0" w:rsidP="008536EB">
            <w:pPr>
              <w:jc w:val="center"/>
              <w:rPr>
                <w:i/>
                <w:sz w:val="22"/>
                <w:szCs w:val="22"/>
              </w:rPr>
            </w:pPr>
            <w:r w:rsidRPr="00AC0232">
              <w:rPr>
                <w:i/>
                <w:sz w:val="22"/>
                <w:szCs w:val="22"/>
              </w:rPr>
              <w:t>4</w:t>
            </w:r>
          </w:p>
        </w:tc>
        <w:tc>
          <w:tcPr>
            <w:tcW w:w="1701" w:type="dxa"/>
          </w:tcPr>
          <w:p w14:paraId="7740E2D0" w14:textId="77777777" w:rsidR="00824BD0" w:rsidRPr="00AC0232" w:rsidRDefault="00824BD0" w:rsidP="008536EB">
            <w:pPr>
              <w:rPr>
                <w:sz w:val="22"/>
                <w:szCs w:val="22"/>
              </w:rPr>
            </w:pPr>
            <w:r w:rsidRPr="00AC0232">
              <w:rPr>
                <w:sz w:val="22"/>
                <w:szCs w:val="22"/>
              </w:rPr>
              <w:t>DPT</w:t>
            </w:r>
          </w:p>
        </w:tc>
        <w:tc>
          <w:tcPr>
            <w:tcW w:w="820" w:type="dxa"/>
          </w:tcPr>
          <w:p w14:paraId="0F4A2FAA" w14:textId="77777777" w:rsidR="00824BD0" w:rsidRPr="00AC0232" w:rsidRDefault="00824BD0" w:rsidP="008536EB">
            <w:pPr>
              <w:rPr>
                <w:sz w:val="22"/>
                <w:szCs w:val="22"/>
              </w:rPr>
            </w:pPr>
          </w:p>
        </w:tc>
        <w:tc>
          <w:tcPr>
            <w:tcW w:w="820" w:type="dxa"/>
          </w:tcPr>
          <w:p w14:paraId="2C134807" w14:textId="77777777" w:rsidR="00824BD0" w:rsidRPr="00AC0232" w:rsidRDefault="00824BD0" w:rsidP="008536EB">
            <w:pPr>
              <w:rPr>
                <w:sz w:val="22"/>
                <w:szCs w:val="22"/>
              </w:rPr>
            </w:pPr>
          </w:p>
        </w:tc>
        <w:tc>
          <w:tcPr>
            <w:tcW w:w="899" w:type="dxa"/>
          </w:tcPr>
          <w:p w14:paraId="7ABF0204" w14:textId="77777777" w:rsidR="00824BD0" w:rsidRPr="00AC0232" w:rsidRDefault="00824BD0" w:rsidP="008536EB">
            <w:pPr>
              <w:rPr>
                <w:sz w:val="22"/>
                <w:szCs w:val="22"/>
              </w:rPr>
            </w:pPr>
          </w:p>
        </w:tc>
        <w:tc>
          <w:tcPr>
            <w:tcW w:w="899" w:type="dxa"/>
          </w:tcPr>
          <w:p w14:paraId="0CBD4C9E" w14:textId="77777777" w:rsidR="00824BD0" w:rsidRPr="00AC0232" w:rsidRDefault="00824BD0" w:rsidP="008536EB">
            <w:pPr>
              <w:rPr>
                <w:sz w:val="22"/>
                <w:szCs w:val="22"/>
              </w:rPr>
            </w:pPr>
          </w:p>
        </w:tc>
        <w:tc>
          <w:tcPr>
            <w:tcW w:w="899" w:type="dxa"/>
          </w:tcPr>
          <w:p w14:paraId="5530F1EF" w14:textId="77777777" w:rsidR="00824BD0" w:rsidRPr="00AC0232" w:rsidRDefault="00824BD0" w:rsidP="008536EB">
            <w:pPr>
              <w:rPr>
                <w:sz w:val="22"/>
                <w:szCs w:val="22"/>
              </w:rPr>
            </w:pPr>
          </w:p>
        </w:tc>
        <w:tc>
          <w:tcPr>
            <w:tcW w:w="899" w:type="dxa"/>
          </w:tcPr>
          <w:p w14:paraId="51BE41ED" w14:textId="77777777" w:rsidR="00824BD0" w:rsidRPr="00AC0232" w:rsidRDefault="00824BD0" w:rsidP="008536EB">
            <w:pPr>
              <w:rPr>
                <w:sz w:val="22"/>
                <w:szCs w:val="22"/>
              </w:rPr>
            </w:pPr>
          </w:p>
        </w:tc>
        <w:tc>
          <w:tcPr>
            <w:tcW w:w="899" w:type="dxa"/>
            <w:shd w:val="clear" w:color="auto" w:fill="B3B3B3"/>
          </w:tcPr>
          <w:p w14:paraId="0AF414B7" w14:textId="77777777" w:rsidR="00824BD0" w:rsidRPr="00AC0232" w:rsidRDefault="00824BD0" w:rsidP="008536EB">
            <w:pPr>
              <w:rPr>
                <w:sz w:val="22"/>
                <w:szCs w:val="22"/>
              </w:rPr>
            </w:pPr>
          </w:p>
        </w:tc>
        <w:tc>
          <w:tcPr>
            <w:tcW w:w="835" w:type="dxa"/>
          </w:tcPr>
          <w:p w14:paraId="50CB6E5F" w14:textId="77777777" w:rsidR="00824BD0" w:rsidRPr="00AC0232" w:rsidRDefault="00824BD0" w:rsidP="008536EB">
            <w:pPr>
              <w:rPr>
                <w:sz w:val="22"/>
                <w:szCs w:val="22"/>
              </w:rPr>
            </w:pPr>
          </w:p>
        </w:tc>
        <w:tc>
          <w:tcPr>
            <w:tcW w:w="835" w:type="dxa"/>
          </w:tcPr>
          <w:p w14:paraId="27560DB4" w14:textId="77777777" w:rsidR="00824BD0" w:rsidRPr="00AC0232" w:rsidRDefault="00824BD0" w:rsidP="008536EB">
            <w:pPr>
              <w:rPr>
                <w:sz w:val="22"/>
                <w:szCs w:val="22"/>
              </w:rPr>
            </w:pPr>
          </w:p>
        </w:tc>
      </w:tr>
      <w:tr w:rsidR="00824BD0" w:rsidRPr="00AC0232" w14:paraId="3D92FCEA" w14:textId="77777777" w:rsidTr="00824BD0">
        <w:tc>
          <w:tcPr>
            <w:tcW w:w="567" w:type="dxa"/>
          </w:tcPr>
          <w:p w14:paraId="799C2391" w14:textId="77777777" w:rsidR="00824BD0" w:rsidRPr="00AC0232" w:rsidRDefault="00824BD0" w:rsidP="008536EB">
            <w:pPr>
              <w:jc w:val="center"/>
              <w:rPr>
                <w:i/>
                <w:sz w:val="22"/>
                <w:szCs w:val="22"/>
              </w:rPr>
            </w:pPr>
            <w:r w:rsidRPr="00AC0232">
              <w:rPr>
                <w:i/>
                <w:sz w:val="22"/>
                <w:szCs w:val="22"/>
              </w:rPr>
              <w:t>5</w:t>
            </w:r>
          </w:p>
        </w:tc>
        <w:tc>
          <w:tcPr>
            <w:tcW w:w="1701" w:type="dxa"/>
          </w:tcPr>
          <w:p w14:paraId="760D6D01" w14:textId="77777777" w:rsidR="00824BD0" w:rsidRPr="00AC0232" w:rsidRDefault="00824BD0" w:rsidP="008536EB">
            <w:pPr>
              <w:rPr>
                <w:sz w:val="22"/>
                <w:szCs w:val="22"/>
              </w:rPr>
            </w:pPr>
            <w:r w:rsidRPr="00AC0232">
              <w:rPr>
                <w:sz w:val="22"/>
                <w:szCs w:val="22"/>
              </w:rPr>
              <w:t>OPV</w:t>
            </w:r>
          </w:p>
        </w:tc>
        <w:tc>
          <w:tcPr>
            <w:tcW w:w="820" w:type="dxa"/>
          </w:tcPr>
          <w:p w14:paraId="7C1BBEF6" w14:textId="77777777" w:rsidR="00824BD0" w:rsidRPr="00AC0232" w:rsidRDefault="00824BD0" w:rsidP="008536EB">
            <w:pPr>
              <w:rPr>
                <w:sz w:val="22"/>
                <w:szCs w:val="22"/>
              </w:rPr>
            </w:pPr>
          </w:p>
        </w:tc>
        <w:tc>
          <w:tcPr>
            <w:tcW w:w="820" w:type="dxa"/>
          </w:tcPr>
          <w:p w14:paraId="4F79F075" w14:textId="77777777" w:rsidR="00824BD0" w:rsidRPr="00AC0232" w:rsidRDefault="00824BD0" w:rsidP="008536EB">
            <w:pPr>
              <w:rPr>
                <w:sz w:val="22"/>
                <w:szCs w:val="22"/>
              </w:rPr>
            </w:pPr>
          </w:p>
        </w:tc>
        <w:tc>
          <w:tcPr>
            <w:tcW w:w="899" w:type="dxa"/>
            <w:shd w:val="clear" w:color="auto" w:fill="B3B3B3"/>
          </w:tcPr>
          <w:p w14:paraId="140A938B" w14:textId="77777777" w:rsidR="00824BD0" w:rsidRPr="00AC0232" w:rsidRDefault="00824BD0" w:rsidP="008536EB">
            <w:pPr>
              <w:rPr>
                <w:sz w:val="22"/>
                <w:szCs w:val="22"/>
              </w:rPr>
            </w:pPr>
          </w:p>
        </w:tc>
        <w:tc>
          <w:tcPr>
            <w:tcW w:w="899" w:type="dxa"/>
            <w:shd w:val="clear" w:color="auto" w:fill="B3B3B3"/>
          </w:tcPr>
          <w:p w14:paraId="74CB0992" w14:textId="77777777" w:rsidR="00824BD0" w:rsidRPr="00AC0232" w:rsidRDefault="00824BD0" w:rsidP="008536EB">
            <w:pPr>
              <w:rPr>
                <w:sz w:val="22"/>
                <w:szCs w:val="22"/>
              </w:rPr>
            </w:pPr>
          </w:p>
        </w:tc>
        <w:tc>
          <w:tcPr>
            <w:tcW w:w="899" w:type="dxa"/>
            <w:shd w:val="clear" w:color="auto" w:fill="B3B3B3"/>
          </w:tcPr>
          <w:p w14:paraId="2C3B0A38" w14:textId="77777777" w:rsidR="00824BD0" w:rsidRPr="00AC0232" w:rsidRDefault="00824BD0" w:rsidP="008536EB">
            <w:pPr>
              <w:rPr>
                <w:sz w:val="22"/>
                <w:szCs w:val="22"/>
              </w:rPr>
            </w:pPr>
          </w:p>
        </w:tc>
        <w:tc>
          <w:tcPr>
            <w:tcW w:w="899" w:type="dxa"/>
          </w:tcPr>
          <w:p w14:paraId="7003DAA3" w14:textId="77777777" w:rsidR="00824BD0" w:rsidRPr="00AC0232" w:rsidRDefault="00824BD0" w:rsidP="008536EB">
            <w:pPr>
              <w:rPr>
                <w:sz w:val="22"/>
                <w:szCs w:val="22"/>
              </w:rPr>
            </w:pPr>
          </w:p>
        </w:tc>
        <w:tc>
          <w:tcPr>
            <w:tcW w:w="899" w:type="dxa"/>
            <w:shd w:val="clear" w:color="auto" w:fill="B3B3B3"/>
          </w:tcPr>
          <w:p w14:paraId="5EE78651" w14:textId="77777777" w:rsidR="00824BD0" w:rsidRPr="00AC0232" w:rsidRDefault="00824BD0" w:rsidP="008536EB">
            <w:pPr>
              <w:rPr>
                <w:sz w:val="22"/>
                <w:szCs w:val="22"/>
              </w:rPr>
            </w:pPr>
          </w:p>
        </w:tc>
        <w:tc>
          <w:tcPr>
            <w:tcW w:w="835" w:type="dxa"/>
            <w:shd w:val="clear" w:color="auto" w:fill="B3B3B3"/>
          </w:tcPr>
          <w:p w14:paraId="7318A8DD" w14:textId="77777777" w:rsidR="00824BD0" w:rsidRPr="00AC0232" w:rsidRDefault="00824BD0" w:rsidP="008536EB">
            <w:pPr>
              <w:rPr>
                <w:sz w:val="22"/>
                <w:szCs w:val="22"/>
              </w:rPr>
            </w:pPr>
          </w:p>
        </w:tc>
        <w:tc>
          <w:tcPr>
            <w:tcW w:w="835" w:type="dxa"/>
          </w:tcPr>
          <w:p w14:paraId="14132584" w14:textId="77777777" w:rsidR="00824BD0" w:rsidRPr="00AC0232" w:rsidRDefault="00824BD0" w:rsidP="008536EB">
            <w:pPr>
              <w:rPr>
                <w:sz w:val="22"/>
                <w:szCs w:val="22"/>
              </w:rPr>
            </w:pPr>
          </w:p>
        </w:tc>
      </w:tr>
      <w:tr w:rsidR="00824BD0" w:rsidRPr="00AC0232" w14:paraId="1BBD51CA" w14:textId="77777777" w:rsidTr="00824BD0">
        <w:tc>
          <w:tcPr>
            <w:tcW w:w="567" w:type="dxa"/>
          </w:tcPr>
          <w:p w14:paraId="4AFD6D2E" w14:textId="77777777" w:rsidR="00824BD0" w:rsidRPr="00AC0232" w:rsidRDefault="00824BD0" w:rsidP="008536EB">
            <w:pPr>
              <w:jc w:val="center"/>
              <w:rPr>
                <w:i/>
                <w:sz w:val="22"/>
                <w:szCs w:val="22"/>
              </w:rPr>
            </w:pPr>
            <w:r w:rsidRPr="00AC0232">
              <w:rPr>
                <w:i/>
                <w:sz w:val="22"/>
                <w:szCs w:val="22"/>
              </w:rPr>
              <w:t>6</w:t>
            </w:r>
          </w:p>
        </w:tc>
        <w:tc>
          <w:tcPr>
            <w:tcW w:w="1701" w:type="dxa"/>
          </w:tcPr>
          <w:p w14:paraId="7752652F" w14:textId="77777777" w:rsidR="00824BD0" w:rsidRPr="00AC0232" w:rsidRDefault="00824BD0" w:rsidP="008536EB">
            <w:pPr>
              <w:rPr>
                <w:sz w:val="22"/>
                <w:szCs w:val="22"/>
              </w:rPr>
            </w:pPr>
            <w:r w:rsidRPr="00AC0232">
              <w:rPr>
                <w:sz w:val="22"/>
                <w:szCs w:val="22"/>
              </w:rPr>
              <w:t>MMR</w:t>
            </w:r>
          </w:p>
        </w:tc>
        <w:tc>
          <w:tcPr>
            <w:tcW w:w="820" w:type="dxa"/>
          </w:tcPr>
          <w:p w14:paraId="2F00B65C" w14:textId="77777777" w:rsidR="00824BD0" w:rsidRPr="00AC0232" w:rsidRDefault="00824BD0" w:rsidP="008536EB">
            <w:pPr>
              <w:rPr>
                <w:sz w:val="22"/>
                <w:szCs w:val="22"/>
              </w:rPr>
            </w:pPr>
          </w:p>
        </w:tc>
        <w:tc>
          <w:tcPr>
            <w:tcW w:w="820" w:type="dxa"/>
          </w:tcPr>
          <w:p w14:paraId="4960ABAE" w14:textId="77777777" w:rsidR="00824BD0" w:rsidRPr="00AC0232" w:rsidRDefault="00824BD0" w:rsidP="008536EB">
            <w:pPr>
              <w:rPr>
                <w:sz w:val="22"/>
                <w:szCs w:val="22"/>
              </w:rPr>
            </w:pPr>
          </w:p>
        </w:tc>
        <w:tc>
          <w:tcPr>
            <w:tcW w:w="899" w:type="dxa"/>
          </w:tcPr>
          <w:p w14:paraId="1CA71E43" w14:textId="77777777" w:rsidR="00824BD0" w:rsidRPr="00AC0232" w:rsidRDefault="00824BD0" w:rsidP="008536EB">
            <w:pPr>
              <w:rPr>
                <w:sz w:val="22"/>
                <w:szCs w:val="22"/>
              </w:rPr>
            </w:pPr>
          </w:p>
        </w:tc>
        <w:tc>
          <w:tcPr>
            <w:tcW w:w="899" w:type="dxa"/>
          </w:tcPr>
          <w:p w14:paraId="5240A0F8" w14:textId="77777777" w:rsidR="00824BD0" w:rsidRPr="00AC0232" w:rsidRDefault="00824BD0" w:rsidP="008536EB">
            <w:pPr>
              <w:rPr>
                <w:sz w:val="22"/>
                <w:szCs w:val="22"/>
              </w:rPr>
            </w:pPr>
          </w:p>
        </w:tc>
        <w:tc>
          <w:tcPr>
            <w:tcW w:w="899" w:type="dxa"/>
          </w:tcPr>
          <w:p w14:paraId="146C1F84" w14:textId="77777777" w:rsidR="00824BD0" w:rsidRPr="00AC0232" w:rsidRDefault="00824BD0" w:rsidP="008536EB">
            <w:pPr>
              <w:rPr>
                <w:sz w:val="22"/>
                <w:szCs w:val="22"/>
              </w:rPr>
            </w:pPr>
          </w:p>
        </w:tc>
        <w:tc>
          <w:tcPr>
            <w:tcW w:w="899" w:type="dxa"/>
            <w:shd w:val="clear" w:color="auto" w:fill="B3B3B3"/>
          </w:tcPr>
          <w:p w14:paraId="1301C121" w14:textId="77777777" w:rsidR="00824BD0" w:rsidRPr="00AC0232" w:rsidRDefault="00824BD0" w:rsidP="008536EB">
            <w:pPr>
              <w:rPr>
                <w:sz w:val="22"/>
                <w:szCs w:val="22"/>
              </w:rPr>
            </w:pPr>
          </w:p>
        </w:tc>
        <w:tc>
          <w:tcPr>
            <w:tcW w:w="899" w:type="dxa"/>
          </w:tcPr>
          <w:p w14:paraId="455ACEFA" w14:textId="77777777" w:rsidR="00824BD0" w:rsidRPr="00AC0232" w:rsidRDefault="00824BD0" w:rsidP="008536EB">
            <w:pPr>
              <w:rPr>
                <w:sz w:val="22"/>
                <w:szCs w:val="22"/>
              </w:rPr>
            </w:pPr>
          </w:p>
        </w:tc>
        <w:tc>
          <w:tcPr>
            <w:tcW w:w="835" w:type="dxa"/>
            <w:shd w:val="clear" w:color="auto" w:fill="B3B3B3"/>
          </w:tcPr>
          <w:p w14:paraId="47C32B4E" w14:textId="77777777" w:rsidR="00824BD0" w:rsidRPr="00AC0232" w:rsidRDefault="00824BD0" w:rsidP="008536EB">
            <w:pPr>
              <w:rPr>
                <w:sz w:val="22"/>
                <w:szCs w:val="22"/>
              </w:rPr>
            </w:pPr>
          </w:p>
        </w:tc>
        <w:tc>
          <w:tcPr>
            <w:tcW w:w="835" w:type="dxa"/>
          </w:tcPr>
          <w:p w14:paraId="25612B0D" w14:textId="77777777" w:rsidR="00824BD0" w:rsidRPr="00AC0232" w:rsidRDefault="00824BD0" w:rsidP="008536EB">
            <w:pPr>
              <w:rPr>
                <w:sz w:val="22"/>
                <w:szCs w:val="22"/>
              </w:rPr>
            </w:pPr>
          </w:p>
        </w:tc>
      </w:tr>
      <w:tr w:rsidR="00824BD0" w:rsidRPr="00AC0232" w14:paraId="268D1C53" w14:textId="77777777" w:rsidTr="00824BD0">
        <w:tc>
          <w:tcPr>
            <w:tcW w:w="567" w:type="dxa"/>
          </w:tcPr>
          <w:p w14:paraId="48F77179" w14:textId="77777777" w:rsidR="00824BD0" w:rsidRPr="00AC0232" w:rsidRDefault="00824BD0" w:rsidP="008536EB">
            <w:pPr>
              <w:jc w:val="center"/>
              <w:rPr>
                <w:i/>
                <w:sz w:val="22"/>
                <w:szCs w:val="22"/>
              </w:rPr>
            </w:pPr>
            <w:r w:rsidRPr="00AC0232">
              <w:rPr>
                <w:i/>
                <w:sz w:val="22"/>
                <w:szCs w:val="22"/>
              </w:rPr>
              <w:t>7</w:t>
            </w:r>
          </w:p>
        </w:tc>
        <w:tc>
          <w:tcPr>
            <w:tcW w:w="1701" w:type="dxa"/>
          </w:tcPr>
          <w:p w14:paraId="57C9068C" w14:textId="77777777" w:rsidR="00824BD0" w:rsidRPr="00AC0232" w:rsidRDefault="00824BD0" w:rsidP="008536EB">
            <w:pPr>
              <w:rPr>
                <w:sz w:val="22"/>
                <w:szCs w:val="22"/>
              </w:rPr>
            </w:pPr>
            <w:r w:rsidRPr="00AC0232">
              <w:rPr>
                <w:sz w:val="22"/>
                <w:szCs w:val="22"/>
              </w:rPr>
              <w:t>DT</w:t>
            </w:r>
          </w:p>
        </w:tc>
        <w:tc>
          <w:tcPr>
            <w:tcW w:w="820" w:type="dxa"/>
          </w:tcPr>
          <w:p w14:paraId="560D0FA9" w14:textId="77777777" w:rsidR="00824BD0" w:rsidRPr="00AC0232" w:rsidRDefault="00824BD0" w:rsidP="008536EB">
            <w:pPr>
              <w:rPr>
                <w:sz w:val="22"/>
                <w:szCs w:val="22"/>
              </w:rPr>
            </w:pPr>
          </w:p>
        </w:tc>
        <w:tc>
          <w:tcPr>
            <w:tcW w:w="820" w:type="dxa"/>
          </w:tcPr>
          <w:p w14:paraId="4E1EA853" w14:textId="77777777" w:rsidR="00824BD0" w:rsidRPr="00AC0232" w:rsidRDefault="00824BD0" w:rsidP="008536EB">
            <w:pPr>
              <w:rPr>
                <w:sz w:val="22"/>
                <w:szCs w:val="22"/>
              </w:rPr>
            </w:pPr>
          </w:p>
        </w:tc>
        <w:tc>
          <w:tcPr>
            <w:tcW w:w="899" w:type="dxa"/>
          </w:tcPr>
          <w:p w14:paraId="092C6181" w14:textId="77777777" w:rsidR="00824BD0" w:rsidRPr="00AC0232" w:rsidRDefault="00824BD0" w:rsidP="008536EB">
            <w:pPr>
              <w:rPr>
                <w:sz w:val="22"/>
                <w:szCs w:val="22"/>
              </w:rPr>
            </w:pPr>
          </w:p>
        </w:tc>
        <w:tc>
          <w:tcPr>
            <w:tcW w:w="899" w:type="dxa"/>
          </w:tcPr>
          <w:p w14:paraId="06A5542E" w14:textId="77777777" w:rsidR="00824BD0" w:rsidRPr="00AC0232" w:rsidRDefault="00824BD0" w:rsidP="008536EB">
            <w:pPr>
              <w:rPr>
                <w:sz w:val="22"/>
                <w:szCs w:val="22"/>
              </w:rPr>
            </w:pPr>
          </w:p>
        </w:tc>
        <w:tc>
          <w:tcPr>
            <w:tcW w:w="899" w:type="dxa"/>
          </w:tcPr>
          <w:p w14:paraId="0F9B12AD" w14:textId="77777777" w:rsidR="00824BD0" w:rsidRPr="00AC0232" w:rsidRDefault="00824BD0" w:rsidP="008536EB">
            <w:pPr>
              <w:rPr>
                <w:sz w:val="22"/>
                <w:szCs w:val="22"/>
              </w:rPr>
            </w:pPr>
          </w:p>
        </w:tc>
        <w:tc>
          <w:tcPr>
            <w:tcW w:w="899" w:type="dxa"/>
          </w:tcPr>
          <w:p w14:paraId="4B281F89" w14:textId="77777777" w:rsidR="00824BD0" w:rsidRPr="00AC0232" w:rsidRDefault="00824BD0" w:rsidP="008536EB">
            <w:pPr>
              <w:rPr>
                <w:sz w:val="22"/>
                <w:szCs w:val="22"/>
              </w:rPr>
            </w:pPr>
          </w:p>
        </w:tc>
        <w:tc>
          <w:tcPr>
            <w:tcW w:w="899" w:type="dxa"/>
          </w:tcPr>
          <w:p w14:paraId="5D4E9672" w14:textId="77777777" w:rsidR="00824BD0" w:rsidRPr="00AC0232" w:rsidRDefault="00824BD0" w:rsidP="008536EB">
            <w:pPr>
              <w:rPr>
                <w:sz w:val="22"/>
                <w:szCs w:val="22"/>
              </w:rPr>
            </w:pPr>
          </w:p>
        </w:tc>
        <w:tc>
          <w:tcPr>
            <w:tcW w:w="835" w:type="dxa"/>
            <w:shd w:val="clear" w:color="auto" w:fill="B3B3B3"/>
          </w:tcPr>
          <w:p w14:paraId="2AEE7ECA" w14:textId="77777777" w:rsidR="00824BD0" w:rsidRPr="00AC0232" w:rsidRDefault="00824BD0" w:rsidP="008536EB">
            <w:pPr>
              <w:rPr>
                <w:sz w:val="22"/>
                <w:szCs w:val="22"/>
              </w:rPr>
            </w:pPr>
          </w:p>
        </w:tc>
        <w:tc>
          <w:tcPr>
            <w:tcW w:w="835" w:type="dxa"/>
          </w:tcPr>
          <w:p w14:paraId="1A82CA07" w14:textId="77777777" w:rsidR="00824BD0" w:rsidRPr="00AC0232" w:rsidRDefault="00824BD0" w:rsidP="008536EB">
            <w:pPr>
              <w:rPr>
                <w:sz w:val="22"/>
                <w:szCs w:val="22"/>
              </w:rPr>
            </w:pPr>
          </w:p>
        </w:tc>
      </w:tr>
      <w:tr w:rsidR="00824BD0" w:rsidRPr="00AC0232" w14:paraId="7D6092FC" w14:textId="77777777" w:rsidTr="00824BD0">
        <w:tc>
          <w:tcPr>
            <w:tcW w:w="567" w:type="dxa"/>
          </w:tcPr>
          <w:p w14:paraId="0E847552" w14:textId="77777777" w:rsidR="00824BD0" w:rsidRPr="00AC0232" w:rsidRDefault="00824BD0" w:rsidP="008536EB">
            <w:pPr>
              <w:jc w:val="center"/>
              <w:rPr>
                <w:i/>
                <w:sz w:val="22"/>
                <w:szCs w:val="22"/>
              </w:rPr>
            </w:pPr>
            <w:r w:rsidRPr="00AC0232">
              <w:rPr>
                <w:i/>
                <w:sz w:val="22"/>
                <w:szCs w:val="22"/>
              </w:rPr>
              <w:t>8</w:t>
            </w:r>
          </w:p>
        </w:tc>
        <w:tc>
          <w:tcPr>
            <w:tcW w:w="1701" w:type="dxa"/>
          </w:tcPr>
          <w:p w14:paraId="0A95841D" w14:textId="77777777" w:rsidR="00824BD0" w:rsidRPr="00AC0232" w:rsidRDefault="00824BD0" w:rsidP="008536EB">
            <w:pPr>
              <w:rPr>
                <w:sz w:val="22"/>
                <w:szCs w:val="22"/>
              </w:rPr>
            </w:pPr>
            <w:r w:rsidRPr="00AC0232">
              <w:rPr>
                <w:sz w:val="22"/>
                <w:szCs w:val="22"/>
              </w:rPr>
              <w:t>Td</w:t>
            </w:r>
          </w:p>
        </w:tc>
        <w:tc>
          <w:tcPr>
            <w:tcW w:w="820" w:type="dxa"/>
          </w:tcPr>
          <w:p w14:paraId="24F9FE4A" w14:textId="77777777" w:rsidR="00824BD0" w:rsidRPr="00AC0232" w:rsidRDefault="00824BD0" w:rsidP="008536EB">
            <w:pPr>
              <w:rPr>
                <w:sz w:val="22"/>
                <w:szCs w:val="22"/>
              </w:rPr>
            </w:pPr>
          </w:p>
        </w:tc>
        <w:tc>
          <w:tcPr>
            <w:tcW w:w="820" w:type="dxa"/>
          </w:tcPr>
          <w:p w14:paraId="259D27BD" w14:textId="77777777" w:rsidR="00824BD0" w:rsidRPr="00AC0232" w:rsidRDefault="00824BD0" w:rsidP="008536EB">
            <w:pPr>
              <w:rPr>
                <w:sz w:val="22"/>
                <w:szCs w:val="22"/>
              </w:rPr>
            </w:pPr>
          </w:p>
        </w:tc>
        <w:tc>
          <w:tcPr>
            <w:tcW w:w="899" w:type="dxa"/>
          </w:tcPr>
          <w:p w14:paraId="190A42BF" w14:textId="77777777" w:rsidR="00824BD0" w:rsidRPr="00AC0232" w:rsidRDefault="00824BD0" w:rsidP="008536EB">
            <w:pPr>
              <w:rPr>
                <w:sz w:val="22"/>
                <w:szCs w:val="22"/>
              </w:rPr>
            </w:pPr>
          </w:p>
        </w:tc>
        <w:tc>
          <w:tcPr>
            <w:tcW w:w="899" w:type="dxa"/>
          </w:tcPr>
          <w:p w14:paraId="39AF5EFF" w14:textId="77777777" w:rsidR="00824BD0" w:rsidRPr="00AC0232" w:rsidRDefault="00824BD0" w:rsidP="008536EB">
            <w:pPr>
              <w:rPr>
                <w:sz w:val="22"/>
                <w:szCs w:val="22"/>
              </w:rPr>
            </w:pPr>
          </w:p>
        </w:tc>
        <w:tc>
          <w:tcPr>
            <w:tcW w:w="899" w:type="dxa"/>
          </w:tcPr>
          <w:p w14:paraId="17DC2CAA" w14:textId="77777777" w:rsidR="00824BD0" w:rsidRPr="00AC0232" w:rsidRDefault="00824BD0" w:rsidP="008536EB">
            <w:pPr>
              <w:rPr>
                <w:sz w:val="22"/>
                <w:szCs w:val="22"/>
              </w:rPr>
            </w:pPr>
          </w:p>
        </w:tc>
        <w:tc>
          <w:tcPr>
            <w:tcW w:w="899" w:type="dxa"/>
          </w:tcPr>
          <w:p w14:paraId="74AA28EE" w14:textId="77777777" w:rsidR="00824BD0" w:rsidRPr="00AC0232" w:rsidRDefault="00824BD0" w:rsidP="008536EB">
            <w:pPr>
              <w:rPr>
                <w:sz w:val="22"/>
                <w:szCs w:val="22"/>
              </w:rPr>
            </w:pPr>
          </w:p>
        </w:tc>
        <w:tc>
          <w:tcPr>
            <w:tcW w:w="899" w:type="dxa"/>
          </w:tcPr>
          <w:p w14:paraId="3EF134FD" w14:textId="77777777" w:rsidR="00824BD0" w:rsidRPr="00AC0232" w:rsidRDefault="00824BD0" w:rsidP="008536EB">
            <w:pPr>
              <w:rPr>
                <w:sz w:val="22"/>
                <w:szCs w:val="22"/>
              </w:rPr>
            </w:pPr>
          </w:p>
        </w:tc>
        <w:tc>
          <w:tcPr>
            <w:tcW w:w="835" w:type="dxa"/>
          </w:tcPr>
          <w:p w14:paraId="468A9192" w14:textId="77777777" w:rsidR="00824BD0" w:rsidRPr="00AC0232" w:rsidRDefault="00824BD0" w:rsidP="008536EB">
            <w:pPr>
              <w:rPr>
                <w:sz w:val="22"/>
                <w:szCs w:val="22"/>
              </w:rPr>
            </w:pPr>
          </w:p>
        </w:tc>
        <w:tc>
          <w:tcPr>
            <w:tcW w:w="835" w:type="dxa"/>
            <w:shd w:val="clear" w:color="auto" w:fill="B3B3B3"/>
          </w:tcPr>
          <w:p w14:paraId="4CFF68B4" w14:textId="77777777" w:rsidR="00824BD0" w:rsidRPr="00AC0232" w:rsidRDefault="00824BD0" w:rsidP="008536EB">
            <w:pPr>
              <w:rPr>
                <w:sz w:val="22"/>
                <w:szCs w:val="22"/>
              </w:rPr>
            </w:pPr>
          </w:p>
        </w:tc>
      </w:tr>
      <w:tr w:rsidR="00824BD0" w:rsidRPr="00AC0232" w14:paraId="33CD6A2B" w14:textId="77777777" w:rsidTr="00824BD0">
        <w:tc>
          <w:tcPr>
            <w:tcW w:w="567" w:type="dxa"/>
          </w:tcPr>
          <w:p w14:paraId="7CF3C654" w14:textId="77777777" w:rsidR="00824BD0" w:rsidRPr="00AC0232" w:rsidRDefault="00824BD0" w:rsidP="008536EB">
            <w:pPr>
              <w:jc w:val="center"/>
              <w:rPr>
                <w:i/>
                <w:sz w:val="22"/>
                <w:szCs w:val="22"/>
              </w:rPr>
            </w:pPr>
            <w:r w:rsidRPr="00AC0232">
              <w:rPr>
                <w:i/>
                <w:sz w:val="22"/>
                <w:szCs w:val="22"/>
              </w:rPr>
              <w:t>9</w:t>
            </w:r>
          </w:p>
        </w:tc>
        <w:tc>
          <w:tcPr>
            <w:tcW w:w="1701" w:type="dxa"/>
          </w:tcPr>
          <w:p w14:paraId="2F0C7D3A" w14:textId="77777777" w:rsidR="00824BD0" w:rsidRPr="00AC0232" w:rsidRDefault="00824BD0" w:rsidP="008536EB">
            <w:pPr>
              <w:rPr>
                <w:sz w:val="22"/>
                <w:szCs w:val="22"/>
              </w:rPr>
            </w:pPr>
            <w:r w:rsidRPr="00AC0232">
              <w:rPr>
                <w:sz w:val="22"/>
                <w:szCs w:val="22"/>
              </w:rPr>
              <w:t>Rota</w:t>
            </w:r>
          </w:p>
        </w:tc>
        <w:tc>
          <w:tcPr>
            <w:tcW w:w="820" w:type="dxa"/>
          </w:tcPr>
          <w:p w14:paraId="0D2CE587" w14:textId="77777777" w:rsidR="00824BD0" w:rsidRPr="00AC0232" w:rsidRDefault="00824BD0" w:rsidP="008536EB">
            <w:pPr>
              <w:rPr>
                <w:sz w:val="22"/>
                <w:szCs w:val="22"/>
              </w:rPr>
            </w:pPr>
          </w:p>
        </w:tc>
        <w:tc>
          <w:tcPr>
            <w:tcW w:w="820" w:type="dxa"/>
          </w:tcPr>
          <w:p w14:paraId="0E6E1C26" w14:textId="77777777" w:rsidR="00824BD0" w:rsidRPr="00AC0232" w:rsidRDefault="00824BD0" w:rsidP="008536EB">
            <w:pPr>
              <w:rPr>
                <w:sz w:val="22"/>
                <w:szCs w:val="22"/>
              </w:rPr>
            </w:pPr>
          </w:p>
        </w:tc>
        <w:tc>
          <w:tcPr>
            <w:tcW w:w="899" w:type="dxa"/>
            <w:shd w:val="clear" w:color="auto" w:fill="B3B3B3"/>
          </w:tcPr>
          <w:p w14:paraId="313AA8CF" w14:textId="77777777" w:rsidR="00824BD0" w:rsidRPr="00AC0232" w:rsidRDefault="00824BD0" w:rsidP="008536EB">
            <w:pPr>
              <w:rPr>
                <w:sz w:val="22"/>
                <w:szCs w:val="22"/>
              </w:rPr>
            </w:pPr>
          </w:p>
        </w:tc>
        <w:tc>
          <w:tcPr>
            <w:tcW w:w="899" w:type="dxa"/>
            <w:shd w:val="clear" w:color="auto" w:fill="B3B3B3"/>
          </w:tcPr>
          <w:p w14:paraId="326AE039" w14:textId="77777777" w:rsidR="00824BD0" w:rsidRPr="00AC0232" w:rsidRDefault="00824BD0" w:rsidP="008536EB">
            <w:pPr>
              <w:rPr>
                <w:sz w:val="22"/>
                <w:szCs w:val="22"/>
              </w:rPr>
            </w:pPr>
          </w:p>
        </w:tc>
        <w:tc>
          <w:tcPr>
            <w:tcW w:w="899" w:type="dxa"/>
          </w:tcPr>
          <w:p w14:paraId="4928A813" w14:textId="77777777" w:rsidR="00824BD0" w:rsidRPr="00AC0232" w:rsidRDefault="00824BD0" w:rsidP="008536EB">
            <w:pPr>
              <w:rPr>
                <w:sz w:val="22"/>
                <w:szCs w:val="22"/>
              </w:rPr>
            </w:pPr>
          </w:p>
        </w:tc>
        <w:tc>
          <w:tcPr>
            <w:tcW w:w="899" w:type="dxa"/>
          </w:tcPr>
          <w:p w14:paraId="37C4B1AD" w14:textId="77777777" w:rsidR="00824BD0" w:rsidRPr="00AC0232" w:rsidRDefault="00824BD0" w:rsidP="008536EB">
            <w:pPr>
              <w:rPr>
                <w:sz w:val="22"/>
                <w:szCs w:val="22"/>
              </w:rPr>
            </w:pPr>
          </w:p>
        </w:tc>
        <w:tc>
          <w:tcPr>
            <w:tcW w:w="899" w:type="dxa"/>
          </w:tcPr>
          <w:p w14:paraId="0FE10C59" w14:textId="77777777" w:rsidR="00824BD0" w:rsidRPr="00AC0232" w:rsidRDefault="00824BD0" w:rsidP="008536EB">
            <w:pPr>
              <w:rPr>
                <w:sz w:val="22"/>
                <w:szCs w:val="22"/>
              </w:rPr>
            </w:pPr>
          </w:p>
        </w:tc>
        <w:tc>
          <w:tcPr>
            <w:tcW w:w="835" w:type="dxa"/>
          </w:tcPr>
          <w:p w14:paraId="47A36548" w14:textId="77777777" w:rsidR="00824BD0" w:rsidRPr="00AC0232" w:rsidRDefault="00824BD0" w:rsidP="008536EB">
            <w:pPr>
              <w:rPr>
                <w:sz w:val="22"/>
                <w:szCs w:val="22"/>
              </w:rPr>
            </w:pPr>
          </w:p>
        </w:tc>
        <w:tc>
          <w:tcPr>
            <w:tcW w:w="835" w:type="dxa"/>
          </w:tcPr>
          <w:p w14:paraId="627168C6" w14:textId="77777777" w:rsidR="00824BD0" w:rsidRPr="00AC0232" w:rsidRDefault="00824BD0" w:rsidP="008536EB">
            <w:pPr>
              <w:rPr>
                <w:sz w:val="22"/>
                <w:szCs w:val="22"/>
              </w:rPr>
            </w:pPr>
          </w:p>
        </w:tc>
      </w:tr>
      <w:tr w:rsidR="00824BD0" w:rsidRPr="00AC0232" w14:paraId="37A066F9" w14:textId="77777777" w:rsidTr="00824BD0">
        <w:tc>
          <w:tcPr>
            <w:tcW w:w="567" w:type="dxa"/>
          </w:tcPr>
          <w:p w14:paraId="6A6EBF39" w14:textId="77777777" w:rsidR="00824BD0" w:rsidRPr="00AC0232" w:rsidRDefault="00824BD0" w:rsidP="008536EB">
            <w:pPr>
              <w:jc w:val="center"/>
              <w:rPr>
                <w:i/>
                <w:sz w:val="22"/>
                <w:szCs w:val="22"/>
              </w:rPr>
            </w:pPr>
            <w:r w:rsidRPr="00AC0232">
              <w:rPr>
                <w:i/>
                <w:sz w:val="22"/>
                <w:szCs w:val="22"/>
              </w:rPr>
              <w:t>10</w:t>
            </w:r>
          </w:p>
        </w:tc>
        <w:tc>
          <w:tcPr>
            <w:tcW w:w="1701" w:type="dxa"/>
          </w:tcPr>
          <w:p w14:paraId="35AAD21D" w14:textId="77777777" w:rsidR="00824BD0" w:rsidRPr="00AC0232" w:rsidRDefault="00824BD0" w:rsidP="008536EB">
            <w:pPr>
              <w:rPr>
                <w:sz w:val="22"/>
                <w:szCs w:val="22"/>
              </w:rPr>
            </w:pPr>
            <w:r w:rsidRPr="00AC0232">
              <w:rPr>
                <w:sz w:val="22"/>
                <w:szCs w:val="22"/>
              </w:rPr>
              <w:t>PCV</w:t>
            </w:r>
          </w:p>
        </w:tc>
        <w:tc>
          <w:tcPr>
            <w:tcW w:w="820" w:type="dxa"/>
          </w:tcPr>
          <w:p w14:paraId="754B654B" w14:textId="77777777" w:rsidR="00824BD0" w:rsidRPr="00AC0232" w:rsidRDefault="00824BD0" w:rsidP="008536EB">
            <w:pPr>
              <w:rPr>
                <w:sz w:val="22"/>
                <w:szCs w:val="22"/>
              </w:rPr>
            </w:pPr>
          </w:p>
        </w:tc>
        <w:tc>
          <w:tcPr>
            <w:tcW w:w="820" w:type="dxa"/>
          </w:tcPr>
          <w:p w14:paraId="6879E861" w14:textId="77777777" w:rsidR="00824BD0" w:rsidRPr="00AC0232" w:rsidRDefault="00824BD0" w:rsidP="008536EB">
            <w:pPr>
              <w:rPr>
                <w:sz w:val="22"/>
                <w:szCs w:val="22"/>
              </w:rPr>
            </w:pPr>
          </w:p>
        </w:tc>
        <w:tc>
          <w:tcPr>
            <w:tcW w:w="899" w:type="dxa"/>
            <w:shd w:val="clear" w:color="auto" w:fill="B3B3B3"/>
          </w:tcPr>
          <w:p w14:paraId="27D4AE14" w14:textId="77777777" w:rsidR="00824BD0" w:rsidRPr="00AC0232" w:rsidRDefault="00824BD0" w:rsidP="008536EB">
            <w:pPr>
              <w:rPr>
                <w:sz w:val="22"/>
                <w:szCs w:val="22"/>
              </w:rPr>
            </w:pPr>
          </w:p>
        </w:tc>
        <w:tc>
          <w:tcPr>
            <w:tcW w:w="899" w:type="dxa"/>
            <w:shd w:val="clear" w:color="auto" w:fill="B3B3B3"/>
          </w:tcPr>
          <w:p w14:paraId="2526EAC4" w14:textId="77777777" w:rsidR="00824BD0" w:rsidRPr="00AC0232" w:rsidRDefault="00824BD0" w:rsidP="008536EB">
            <w:pPr>
              <w:rPr>
                <w:sz w:val="22"/>
                <w:szCs w:val="22"/>
              </w:rPr>
            </w:pPr>
          </w:p>
        </w:tc>
        <w:tc>
          <w:tcPr>
            <w:tcW w:w="899" w:type="dxa"/>
          </w:tcPr>
          <w:p w14:paraId="61092F34" w14:textId="77777777" w:rsidR="00824BD0" w:rsidRPr="00AC0232" w:rsidRDefault="00824BD0" w:rsidP="008536EB">
            <w:pPr>
              <w:rPr>
                <w:sz w:val="22"/>
                <w:szCs w:val="22"/>
              </w:rPr>
            </w:pPr>
          </w:p>
        </w:tc>
        <w:tc>
          <w:tcPr>
            <w:tcW w:w="899" w:type="dxa"/>
            <w:shd w:val="clear" w:color="auto" w:fill="B3B3B3"/>
          </w:tcPr>
          <w:p w14:paraId="3864BB1A" w14:textId="77777777" w:rsidR="00824BD0" w:rsidRPr="00AC0232" w:rsidRDefault="00824BD0" w:rsidP="008536EB">
            <w:pPr>
              <w:rPr>
                <w:sz w:val="22"/>
                <w:szCs w:val="22"/>
              </w:rPr>
            </w:pPr>
          </w:p>
        </w:tc>
        <w:tc>
          <w:tcPr>
            <w:tcW w:w="899" w:type="dxa"/>
          </w:tcPr>
          <w:p w14:paraId="0B6AACCA" w14:textId="77777777" w:rsidR="00824BD0" w:rsidRPr="00AC0232" w:rsidRDefault="00824BD0" w:rsidP="008536EB">
            <w:pPr>
              <w:rPr>
                <w:sz w:val="22"/>
                <w:szCs w:val="22"/>
              </w:rPr>
            </w:pPr>
          </w:p>
        </w:tc>
        <w:tc>
          <w:tcPr>
            <w:tcW w:w="835" w:type="dxa"/>
          </w:tcPr>
          <w:p w14:paraId="16737AC8" w14:textId="77777777" w:rsidR="00824BD0" w:rsidRPr="00AC0232" w:rsidRDefault="00824BD0" w:rsidP="008536EB">
            <w:pPr>
              <w:rPr>
                <w:sz w:val="22"/>
                <w:szCs w:val="22"/>
              </w:rPr>
            </w:pPr>
          </w:p>
        </w:tc>
        <w:tc>
          <w:tcPr>
            <w:tcW w:w="835" w:type="dxa"/>
          </w:tcPr>
          <w:p w14:paraId="673A0360" w14:textId="77777777" w:rsidR="00824BD0" w:rsidRPr="00AC0232" w:rsidRDefault="00824BD0" w:rsidP="008536EB">
            <w:pPr>
              <w:rPr>
                <w:sz w:val="22"/>
                <w:szCs w:val="22"/>
              </w:rPr>
            </w:pPr>
          </w:p>
        </w:tc>
      </w:tr>
    </w:tbl>
    <w:p w14:paraId="3899ACF0" w14:textId="360D7DCE" w:rsidR="001564FF" w:rsidRPr="001564FF" w:rsidRDefault="001564FF" w:rsidP="001564FF">
      <w:pPr>
        <w:ind w:right="-250"/>
        <w:rPr>
          <w:sz w:val="20"/>
          <w:szCs w:val="20"/>
        </w:rPr>
      </w:pPr>
      <w:r w:rsidRPr="001564FF">
        <w:rPr>
          <w:sz w:val="20"/>
          <w:szCs w:val="20"/>
          <w:lang w:val="en-GB"/>
        </w:rPr>
        <w:t xml:space="preserve">* Pentavalent vaccine: </w:t>
      </w:r>
      <w:r w:rsidR="00A23C27">
        <w:rPr>
          <w:sz w:val="20"/>
          <w:szCs w:val="20"/>
        </w:rPr>
        <w:t>DTwP</w:t>
      </w:r>
      <w:r w:rsidRPr="001564FF">
        <w:rPr>
          <w:sz w:val="20"/>
          <w:szCs w:val="20"/>
        </w:rPr>
        <w:t>-Hib-Hep.B</w:t>
      </w:r>
    </w:p>
    <w:p w14:paraId="47B98957" w14:textId="12C10C96" w:rsidR="000546CB" w:rsidRPr="000546CB" w:rsidRDefault="00824BD0" w:rsidP="000546CB">
      <w:pPr>
        <w:spacing w:before="120" w:line="300" w:lineRule="atLeast"/>
        <w:jc w:val="center"/>
        <w:rPr>
          <w:bCs/>
          <w:i/>
          <w:lang w:val="en-GB"/>
        </w:rPr>
      </w:pPr>
      <w:r w:rsidRPr="00EE33FA">
        <w:rPr>
          <w:i/>
          <w:lang w:val="en-GB"/>
        </w:rPr>
        <w:t>Figure/table</w:t>
      </w:r>
      <w:r w:rsidRPr="00EE33FA">
        <w:rPr>
          <w:bCs/>
          <w:i/>
          <w:lang w:val="en-GB"/>
        </w:rPr>
        <w:t xml:space="preserve"> 4: Immunization Schedule</w:t>
      </w:r>
      <w:r w:rsidR="006F0B2B">
        <w:rPr>
          <w:bCs/>
          <w:i/>
          <w:lang w:val="en-GB"/>
        </w:rPr>
        <w:t xml:space="preserve"> – c</w:t>
      </w:r>
      <w:r w:rsidR="00AE58AD">
        <w:rPr>
          <w:bCs/>
          <w:i/>
          <w:lang w:val="en-GB"/>
        </w:rPr>
        <w:t>urrent, 2015</w:t>
      </w:r>
    </w:p>
    <w:p w14:paraId="3E69C8F4" w14:textId="7FEE9604" w:rsidR="00AC0232" w:rsidRDefault="00AC0232" w:rsidP="00AC0232">
      <w:pPr>
        <w:spacing w:before="120" w:line="300" w:lineRule="atLeast"/>
        <w:ind w:firstLine="360"/>
        <w:jc w:val="both"/>
        <w:rPr>
          <w:lang w:val="en-GB"/>
        </w:rPr>
      </w:pPr>
      <w:r>
        <w:rPr>
          <w:lang w:val="en-GB"/>
        </w:rPr>
        <w:t>As part of the Polio Endgame strategy, Georgia will introduce IPV and bOPV</w:t>
      </w:r>
      <w:r w:rsidR="00EB3E29">
        <w:rPr>
          <w:lang w:val="en-GB"/>
        </w:rPr>
        <w:t xml:space="preserve">. Hexavalent vaccine was chosen and will replace Pentavalent vaccine.  Acellular Pertussis </w:t>
      </w:r>
      <w:r w:rsidR="000546CB">
        <w:rPr>
          <w:lang w:val="en-GB"/>
        </w:rPr>
        <w:t xml:space="preserve">will therefore </w:t>
      </w:r>
      <w:r w:rsidR="00C934E5">
        <w:rPr>
          <w:lang w:val="en-GB"/>
        </w:rPr>
        <w:t>replace</w:t>
      </w:r>
      <w:r w:rsidR="000546CB">
        <w:rPr>
          <w:lang w:val="en-GB"/>
        </w:rPr>
        <w:t xml:space="preserve"> whole cell Pertussis.</w:t>
      </w:r>
      <w:r w:rsidR="00C934E5">
        <w:rPr>
          <w:lang w:val="en-GB"/>
        </w:rPr>
        <w:t xml:space="preserve"> </w:t>
      </w:r>
      <w:r w:rsidR="00443CCF">
        <w:rPr>
          <w:lang w:val="en-GB"/>
        </w:rPr>
        <w:t xml:space="preserve"> </w:t>
      </w:r>
      <w:r w:rsidR="00C934E5">
        <w:rPr>
          <w:lang w:val="en-GB"/>
        </w:rPr>
        <w:t>New immunization schedules will be as follows.</w:t>
      </w:r>
    </w:p>
    <w:p w14:paraId="0ADDC7E8" w14:textId="2D7C669E" w:rsidR="004E0C43" w:rsidRDefault="004E0C43" w:rsidP="00A732C6">
      <w:pPr>
        <w:spacing w:before="120" w:line="300" w:lineRule="atLeast"/>
        <w:jc w:val="both"/>
        <w:rPr>
          <w:lang w:val="en-GB"/>
        </w:rPr>
      </w:pPr>
    </w:p>
    <w:tbl>
      <w:tblPr>
        <w:tblStyle w:val="TableGrid"/>
        <w:tblW w:w="1047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2098"/>
        <w:gridCol w:w="820"/>
        <w:gridCol w:w="820"/>
        <w:gridCol w:w="899"/>
        <w:gridCol w:w="899"/>
        <w:gridCol w:w="899"/>
        <w:gridCol w:w="899"/>
        <w:gridCol w:w="899"/>
        <w:gridCol w:w="835"/>
        <w:gridCol w:w="835"/>
      </w:tblGrid>
      <w:tr w:rsidR="009A23F9" w:rsidRPr="0002498E" w14:paraId="2D220FC1" w14:textId="77777777" w:rsidTr="009A23F9">
        <w:tc>
          <w:tcPr>
            <w:tcW w:w="567" w:type="dxa"/>
          </w:tcPr>
          <w:p w14:paraId="50D5F130" w14:textId="77777777" w:rsidR="009A23F9" w:rsidRPr="009A23F9" w:rsidRDefault="009A23F9" w:rsidP="008536EB">
            <w:pPr>
              <w:jc w:val="center"/>
              <w:rPr>
                <w:i/>
                <w:sz w:val="22"/>
                <w:szCs w:val="22"/>
              </w:rPr>
            </w:pPr>
          </w:p>
        </w:tc>
        <w:tc>
          <w:tcPr>
            <w:tcW w:w="2098" w:type="dxa"/>
          </w:tcPr>
          <w:p w14:paraId="3A928D0A" w14:textId="77777777" w:rsidR="009A23F9" w:rsidRPr="0002498E" w:rsidRDefault="009A23F9" w:rsidP="008536EB">
            <w:pPr>
              <w:jc w:val="center"/>
              <w:rPr>
                <w:sz w:val="22"/>
                <w:szCs w:val="22"/>
              </w:rPr>
            </w:pPr>
          </w:p>
        </w:tc>
        <w:tc>
          <w:tcPr>
            <w:tcW w:w="820" w:type="dxa"/>
          </w:tcPr>
          <w:p w14:paraId="233980DE" w14:textId="77777777" w:rsidR="009A23F9" w:rsidRPr="0002498E" w:rsidRDefault="009A23F9" w:rsidP="008536EB">
            <w:pPr>
              <w:jc w:val="center"/>
              <w:rPr>
                <w:sz w:val="22"/>
                <w:szCs w:val="22"/>
              </w:rPr>
            </w:pPr>
            <w:r w:rsidRPr="0002498E">
              <w:rPr>
                <w:sz w:val="22"/>
                <w:szCs w:val="22"/>
              </w:rPr>
              <w:t>0-5</w:t>
            </w:r>
          </w:p>
          <w:p w14:paraId="70117C05" w14:textId="77777777" w:rsidR="009A23F9" w:rsidRPr="0002498E" w:rsidRDefault="009A23F9" w:rsidP="008536EB">
            <w:pPr>
              <w:jc w:val="center"/>
              <w:rPr>
                <w:sz w:val="22"/>
                <w:szCs w:val="22"/>
              </w:rPr>
            </w:pPr>
            <w:r w:rsidRPr="0002498E">
              <w:rPr>
                <w:sz w:val="22"/>
                <w:szCs w:val="22"/>
              </w:rPr>
              <w:t>days</w:t>
            </w:r>
          </w:p>
        </w:tc>
        <w:tc>
          <w:tcPr>
            <w:tcW w:w="820" w:type="dxa"/>
          </w:tcPr>
          <w:p w14:paraId="69CFAE92" w14:textId="77777777" w:rsidR="009A23F9" w:rsidRPr="0002498E" w:rsidRDefault="009A23F9" w:rsidP="008536EB">
            <w:pPr>
              <w:jc w:val="center"/>
              <w:rPr>
                <w:sz w:val="22"/>
                <w:szCs w:val="22"/>
              </w:rPr>
            </w:pPr>
            <w:r w:rsidRPr="0002498E">
              <w:rPr>
                <w:sz w:val="22"/>
                <w:szCs w:val="22"/>
              </w:rPr>
              <w:t>0-12</w:t>
            </w:r>
          </w:p>
          <w:p w14:paraId="5F690076" w14:textId="77777777" w:rsidR="009A23F9" w:rsidRPr="0002498E" w:rsidRDefault="009A23F9" w:rsidP="008536EB">
            <w:pPr>
              <w:jc w:val="center"/>
              <w:rPr>
                <w:sz w:val="22"/>
                <w:szCs w:val="22"/>
              </w:rPr>
            </w:pPr>
            <w:r w:rsidRPr="0002498E">
              <w:rPr>
                <w:sz w:val="22"/>
                <w:szCs w:val="22"/>
              </w:rPr>
              <w:t>days</w:t>
            </w:r>
          </w:p>
        </w:tc>
        <w:tc>
          <w:tcPr>
            <w:tcW w:w="899" w:type="dxa"/>
          </w:tcPr>
          <w:p w14:paraId="5A439E82" w14:textId="77777777" w:rsidR="009A23F9" w:rsidRPr="0002498E" w:rsidRDefault="009A23F9" w:rsidP="008536EB">
            <w:pPr>
              <w:jc w:val="center"/>
              <w:rPr>
                <w:sz w:val="22"/>
                <w:szCs w:val="22"/>
              </w:rPr>
            </w:pPr>
            <w:r w:rsidRPr="0002498E">
              <w:rPr>
                <w:sz w:val="22"/>
                <w:szCs w:val="22"/>
              </w:rPr>
              <w:t>2</w:t>
            </w:r>
          </w:p>
          <w:p w14:paraId="6F24D3CA" w14:textId="77777777" w:rsidR="009A23F9" w:rsidRPr="0002498E" w:rsidRDefault="009A23F9" w:rsidP="008536EB">
            <w:pPr>
              <w:jc w:val="center"/>
              <w:rPr>
                <w:sz w:val="22"/>
                <w:szCs w:val="22"/>
              </w:rPr>
            </w:pPr>
            <w:r w:rsidRPr="0002498E">
              <w:rPr>
                <w:sz w:val="22"/>
                <w:szCs w:val="22"/>
              </w:rPr>
              <w:t>months</w:t>
            </w:r>
          </w:p>
        </w:tc>
        <w:tc>
          <w:tcPr>
            <w:tcW w:w="899" w:type="dxa"/>
          </w:tcPr>
          <w:p w14:paraId="72DDE22B" w14:textId="77777777" w:rsidR="009A23F9" w:rsidRPr="0002498E" w:rsidRDefault="009A23F9" w:rsidP="008536EB">
            <w:pPr>
              <w:jc w:val="center"/>
              <w:rPr>
                <w:sz w:val="22"/>
                <w:szCs w:val="22"/>
              </w:rPr>
            </w:pPr>
            <w:r w:rsidRPr="0002498E">
              <w:rPr>
                <w:sz w:val="22"/>
                <w:szCs w:val="22"/>
              </w:rPr>
              <w:t>3</w:t>
            </w:r>
          </w:p>
          <w:p w14:paraId="453A7A24" w14:textId="77777777" w:rsidR="009A23F9" w:rsidRPr="0002498E" w:rsidRDefault="009A23F9" w:rsidP="008536EB">
            <w:pPr>
              <w:jc w:val="center"/>
              <w:rPr>
                <w:sz w:val="22"/>
                <w:szCs w:val="22"/>
              </w:rPr>
            </w:pPr>
            <w:r w:rsidRPr="0002498E">
              <w:rPr>
                <w:sz w:val="22"/>
                <w:szCs w:val="22"/>
              </w:rPr>
              <w:t>months</w:t>
            </w:r>
          </w:p>
        </w:tc>
        <w:tc>
          <w:tcPr>
            <w:tcW w:w="899" w:type="dxa"/>
          </w:tcPr>
          <w:p w14:paraId="6F6C8DEB" w14:textId="77777777" w:rsidR="009A23F9" w:rsidRPr="0002498E" w:rsidRDefault="009A23F9" w:rsidP="008536EB">
            <w:pPr>
              <w:jc w:val="center"/>
              <w:rPr>
                <w:sz w:val="22"/>
                <w:szCs w:val="22"/>
              </w:rPr>
            </w:pPr>
            <w:r w:rsidRPr="0002498E">
              <w:rPr>
                <w:sz w:val="22"/>
                <w:szCs w:val="22"/>
              </w:rPr>
              <w:t>4</w:t>
            </w:r>
          </w:p>
          <w:p w14:paraId="328D5E38" w14:textId="77777777" w:rsidR="009A23F9" w:rsidRPr="0002498E" w:rsidRDefault="009A23F9" w:rsidP="008536EB">
            <w:pPr>
              <w:jc w:val="center"/>
              <w:rPr>
                <w:sz w:val="22"/>
                <w:szCs w:val="22"/>
              </w:rPr>
            </w:pPr>
            <w:r w:rsidRPr="0002498E">
              <w:rPr>
                <w:sz w:val="22"/>
                <w:szCs w:val="22"/>
              </w:rPr>
              <w:t>months</w:t>
            </w:r>
          </w:p>
        </w:tc>
        <w:tc>
          <w:tcPr>
            <w:tcW w:w="899" w:type="dxa"/>
          </w:tcPr>
          <w:p w14:paraId="746448E8" w14:textId="77777777" w:rsidR="009A23F9" w:rsidRPr="0002498E" w:rsidRDefault="009A23F9" w:rsidP="008536EB">
            <w:pPr>
              <w:jc w:val="center"/>
              <w:rPr>
                <w:sz w:val="22"/>
                <w:szCs w:val="22"/>
              </w:rPr>
            </w:pPr>
            <w:r w:rsidRPr="0002498E">
              <w:rPr>
                <w:sz w:val="22"/>
                <w:szCs w:val="22"/>
              </w:rPr>
              <w:t>12</w:t>
            </w:r>
          </w:p>
          <w:p w14:paraId="464DDFD2" w14:textId="77777777" w:rsidR="009A23F9" w:rsidRPr="0002498E" w:rsidRDefault="009A23F9" w:rsidP="008536EB">
            <w:pPr>
              <w:jc w:val="center"/>
              <w:rPr>
                <w:sz w:val="22"/>
                <w:szCs w:val="22"/>
              </w:rPr>
            </w:pPr>
            <w:r w:rsidRPr="0002498E">
              <w:rPr>
                <w:sz w:val="22"/>
                <w:szCs w:val="22"/>
              </w:rPr>
              <w:t>months</w:t>
            </w:r>
          </w:p>
        </w:tc>
        <w:tc>
          <w:tcPr>
            <w:tcW w:w="899" w:type="dxa"/>
          </w:tcPr>
          <w:p w14:paraId="349058BA" w14:textId="77777777" w:rsidR="009A23F9" w:rsidRPr="0002498E" w:rsidRDefault="009A23F9" w:rsidP="008536EB">
            <w:pPr>
              <w:jc w:val="center"/>
              <w:rPr>
                <w:sz w:val="22"/>
                <w:szCs w:val="22"/>
              </w:rPr>
            </w:pPr>
            <w:r w:rsidRPr="0002498E">
              <w:rPr>
                <w:sz w:val="22"/>
                <w:szCs w:val="22"/>
              </w:rPr>
              <w:t>18</w:t>
            </w:r>
          </w:p>
          <w:p w14:paraId="20A89E74" w14:textId="77777777" w:rsidR="009A23F9" w:rsidRPr="0002498E" w:rsidRDefault="009A23F9" w:rsidP="008536EB">
            <w:pPr>
              <w:jc w:val="center"/>
              <w:rPr>
                <w:sz w:val="22"/>
                <w:szCs w:val="22"/>
              </w:rPr>
            </w:pPr>
            <w:r w:rsidRPr="0002498E">
              <w:rPr>
                <w:sz w:val="22"/>
                <w:szCs w:val="22"/>
              </w:rPr>
              <w:t>months</w:t>
            </w:r>
          </w:p>
        </w:tc>
        <w:tc>
          <w:tcPr>
            <w:tcW w:w="835" w:type="dxa"/>
          </w:tcPr>
          <w:p w14:paraId="7FD39B88" w14:textId="77777777" w:rsidR="009A23F9" w:rsidRPr="0002498E" w:rsidRDefault="009A23F9" w:rsidP="008536EB">
            <w:pPr>
              <w:jc w:val="center"/>
              <w:rPr>
                <w:sz w:val="22"/>
                <w:szCs w:val="22"/>
              </w:rPr>
            </w:pPr>
            <w:r w:rsidRPr="0002498E">
              <w:rPr>
                <w:sz w:val="22"/>
                <w:szCs w:val="22"/>
              </w:rPr>
              <w:t>5</w:t>
            </w:r>
          </w:p>
          <w:p w14:paraId="7402B6F9" w14:textId="77777777" w:rsidR="009A23F9" w:rsidRPr="0002498E" w:rsidRDefault="009A23F9" w:rsidP="008536EB">
            <w:pPr>
              <w:jc w:val="center"/>
              <w:rPr>
                <w:sz w:val="22"/>
                <w:szCs w:val="22"/>
              </w:rPr>
            </w:pPr>
            <w:r w:rsidRPr="0002498E">
              <w:rPr>
                <w:sz w:val="22"/>
                <w:szCs w:val="22"/>
              </w:rPr>
              <w:t>years</w:t>
            </w:r>
          </w:p>
        </w:tc>
        <w:tc>
          <w:tcPr>
            <w:tcW w:w="835" w:type="dxa"/>
          </w:tcPr>
          <w:p w14:paraId="2732775A" w14:textId="77777777" w:rsidR="009A23F9" w:rsidRPr="0002498E" w:rsidRDefault="009A23F9" w:rsidP="008536EB">
            <w:pPr>
              <w:jc w:val="center"/>
              <w:rPr>
                <w:sz w:val="22"/>
                <w:szCs w:val="22"/>
              </w:rPr>
            </w:pPr>
            <w:r w:rsidRPr="0002498E">
              <w:rPr>
                <w:sz w:val="22"/>
                <w:szCs w:val="22"/>
              </w:rPr>
              <w:t>14</w:t>
            </w:r>
          </w:p>
          <w:p w14:paraId="56198C23" w14:textId="77777777" w:rsidR="009A23F9" w:rsidRPr="0002498E" w:rsidRDefault="009A23F9" w:rsidP="008536EB">
            <w:pPr>
              <w:jc w:val="center"/>
              <w:rPr>
                <w:sz w:val="22"/>
                <w:szCs w:val="22"/>
              </w:rPr>
            </w:pPr>
            <w:r w:rsidRPr="0002498E">
              <w:rPr>
                <w:sz w:val="22"/>
                <w:szCs w:val="22"/>
              </w:rPr>
              <w:t>years</w:t>
            </w:r>
          </w:p>
        </w:tc>
      </w:tr>
      <w:tr w:rsidR="009A23F9" w:rsidRPr="0002498E" w14:paraId="55C78590" w14:textId="77777777" w:rsidTr="009A23F9">
        <w:tc>
          <w:tcPr>
            <w:tcW w:w="567" w:type="dxa"/>
          </w:tcPr>
          <w:p w14:paraId="0EC32E51" w14:textId="77777777" w:rsidR="009A23F9" w:rsidRPr="009A23F9" w:rsidRDefault="009A23F9" w:rsidP="008536EB">
            <w:pPr>
              <w:jc w:val="center"/>
              <w:rPr>
                <w:i/>
                <w:sz w:val="22"/>
                <w:szCs w:val="22"/>
              </w:rPr>
            </w:pPr>
            <w:r w:rsidRPr="009A23F9">
              <w:rPr>
                <w:i/>
                <w:sz w:val="22"/>
                <w:szCs w:val="22"/>
              </w:rPr>
              <w:t>1</w:t>
            </w:r>
          </w:p>
        </w:tc>
        <w:tc>
          <w:tcPr>
            <w:tcW w:w="2098" w:type="dxa"/>
          </w:tcPr>
          <w:p w14:paraId="70D48CAD" w14:textId="77777777" w:rsidR="009A23F9" w:rsidRPr="0002498E" w:rsidRDefault="009A23F9" w:rsidP="008536EB">
            <w:pPr>
              <w:rPr>
                <w:sz w:val="22"/>
                <w:szCs w:val="22"/>
              </w:rPr>
            </w:pPr>
            <w:r w:rsidRPr="0002498E">
              <w:rPr>
                <w:sz w:val="22"/>
                <w:szCs w:val="22"/>
              </w:rPr>
              <w:t xml:space="preserve"> BCG</w:t>
            </w:r>
          </w:p>
        </w:tc>
        <w:tc>
          <w:tcPr>
            <w:tcW w:w="820" w:type="dxa"/>
            <w:shd w:val="clear" w:color="auto" w:fill="B3B3B3"/>
          </w:tcPr>
          <w:p w14:paraId="2525ABFB" w14:textId="77777777" w:rsidR="009A23F9" w:rsidRPr="0002498E" w:rsidRDefault="009A23F9" w:rsidP="008536EB">
            <w:pPr>
              <w:rPr>
                <w:sz w:val="22"/>
                <w:szCs w:val="22"/>
              </w:rPr>
            </w:pPr>
          </w:p>
        </w:tc>
        <w:tc>
          <w:tcPr>
            <w:tcW w:w="820" w:type="dxa"/>
          </w:tcPr>
          <w:p w14:paraId="31437BA6" w14:textId="77777777" w:rsidR="009A23F9" w:rsidRPr="0002498E" w:rsidRDefault="009A23F9" w:rsidP="008536EB">
            <w:pPr>
              <w:rPr>
                <w:sz w:val="22"/>
                <w:szCs w:val="22"/>
              </w:rPr>
            </w:pPr>
          </w:p>
        </w:tc>
        <w:tc>
          <w:tcPr>
            <w:tcW w:w="899" w:type="dxa"/>
          </w:tcPr>
          <w:p w14:paraId="04EB6361" w14:textId="77777777" w:rsidR="009A23F9" w:rsidRPr="0002498E" w:rsidRDefault="009A23F9" w:rsidP="008536EB">
            <w:pPr>
              <w:rPr>
                <w:sz w:val="22"/>
                <w:szCs w:val="22"/>
              </w:rPr>
            </w:pPr>
          </w:p>
        </w:tc>
        <w:tc>
          <w:tcPr>
            <w:tcW w:w="899" w:type="dxa"/>
          </w:tcPr>
          <w:p w14:paraId="55502C12" w14:textId="77777777" w:rsidR="009A23F9" w:rsidRPr="0002498E" w:rsidRDefault="009A23F9" w:rsidP="008536EB">
            <w:pPr>
              <w:rPr>
                <w:sz w:val="22"/>
                <w:szCs w:val="22"/>
              </w:rPr>
            </w:pPr>
          </w:p>
        </w:tc>
        <w:tc>
          <w:tcPr>
            <w:tcW w:w="899" w:type="dxa"/>
          </w:tcPr>
          <w:p w14:paraId="7FB79257" w14:textId="77777777" w:rsidR="009A23F9" w:rsidRPr="0002498E" w:rsidRDefault="009A23F9" w:rsidP="008536EB">
            <w:pPr>
              <w:rPr>
                <w:sz w:val="22"/>
                <w:szCs w:val="22"/>
              </w:rPr>
            </w:pPr>
          </w:p>
        </w:tc>
        <w:tc>
          <w:tcPr>
            <w:tcW w:w="899" w:type="dxa"/>
          </w:tcPr>
          <w:p w14:paraId="407611B6" w14:textId="77777777" w:rsidR="009A23F9" w:rsidRPr="0002498E" w:rsidRDefault="009A23F9" w:rsidP="008536EB">
            <w:pPr>
              <w:rPr>
                <w:sz w:val="22"/>
                <w:szCs w:val="22"/>
              </w:rPr>
            </w:pPr>
          </w:p>
        </w:tc>
        <w:tc>
          <w:tcPr>
            <w:tcW w:w="899" w:type="dxa"/>
          </w:tcPr>
          <w:p w14:paraId="0C924192" w14:textId="77777777" w:rsidR="009A23F9" w:rsidRPr="0002498E" w:rsidRDefault="009A23F9" w:rsidP="008536EB">
            <w:pPr>
              <w:rPr>
                <w:sz w:val="22"/>
                <w:szCs w:val="22"/>
              </w:rPr>
            </w:pPr>
          </w:p>
        </w:tc>
        <w:tc>
          <w:tcPr>
            <w:tcW w:w="835" w:type="dxa"/>
          </w:tcPr>
          <w:p w14:paraId="61EA3855" w14:textId="77777777" w:rsidR="009A23F9" w:rsidRPr="0002498E" w:rsidRDefault="009A23F9" w:rsidP="008536EB">
            <w:pPr>
              <w:rPr>
                <w:sz w:val="22"/>
                <w:szCs w:val="22"/>
              </w:rPr>
            </w:pPr>
          </w:p>
        </w:tc>
        <w:tc>
          <w:tcPr>
            <w:tcW w:w="835" w:type="dxa"/>
          </w:tcPr>
          <w:p w14:paraId="717FFADB" w14:textId="77777777" w:rsidR="009A23F9" w:rsidRPr="0002498E" w:rsidRDefault="009A23F9" w:rsidP="008536EB">
            <w:pPr>
              <w:rPr>
                <w:sz w:val="22"/>
                <w:szCs w:val="22"/>
              </w:rPr>
            </w:pPr>
          </w:p>
        </w:tc>
      </w:tr>
      <w:tr w:rsidR="009A23F9" w:rsidRPr="0002498E" w14:paraId="2C686A3F" w14:textId="77777777" w:rsidTr="009A23F9">
        <w:tc>
          <w:tcPr>
            <w:tcW w:w="567" w:type="dxa"/>
          </w:tcPr>
          <w:p w14:paraId="625BD5A1" w14:textId="77777777" w:rsidR="009A23F9" w:rsidRPr="009A23F9" w:rsidRDefault="009A23F9" w:rsidP="008536EB">
            <w:pPr>
              <w:jc w:val="center"/>
              <w:rPr>
                <w:i/>
                <w:sz w:val="22"/>
                <w:szCs w:val="22"/>
              </w:rPr>
            </w:pPr>
            <w:r w:rsidRPr="009A23F9">
              <w:rPr>
                <w:i/>
                <w:sz w:val="22"/>
                <w:szCs w:val="22"/>
              </w:rPr>
              <w:t>2</w:t>
            </w:r>
          </w:p>
        </w:tc>
        <w:tc>
          <w:tcPr>
            <w:tcW w:w="2098" w:type="dxa"/>
          </w:tcPr>
          <w:p w14:paraId="781F660A" w14:textId="77777777" w:rsidR="009A23F9" w:rsidRPr="0002498E" w:rsidRDefault="009A23F9" w:rsidP="008536EB">
            <w:pPr>
              <w:rPr>
                <w:sz w:val="22"/>
                <w:szCs w:val="22"/>
              </w:rPr>
            </w:pPr>
            <w:r w:rsidRPr="0002498E">
              <w:rPr>
                <w:sz w:val="22"/>
                <w:szCs w:val="22"/>
              </w:rPr>
              <w:t>Hep.B</w:t>
            </w:r>
          </w:p>
        </w:tc>
        <w:tc>
          <w:tcPr>
            <w:tcW w:w="820" w:type="dxa"/>
          </w:tcPr>
          <w:p w14:paraId="679A84B1" w14:textId="77777777" w:rsidR="009A23F9" w:rsidRPr="0002498E" w:rsidRDefault="009A23F9" w:rsidP="008536EB">
            <w:pPr>
              <w:rPr>
                <w:sz w:val="22"/>
                <w:szCs w:val="22"/>
              </w:rPr>
            </w:pPr>
          </w:p>
        </w:tc>
        <w:tc>
          <w:tcPr>
            <w:tcW w:w="820" w:type="dxa"/>
            <w:shd w:val="clear" w:color="auto" w:fill="B3B3B3"/>
          </w:tcPr>
          <w:p w14:paraId="2DE16C45" w14:textId="77777777" w:rsidR="009A23F9" w:rsidRPr="0002498E" w:rsidRDefault="009A23F9" w:rsidP="008536EB">
            <w:pPr>
              <w:rPr>
                <w:sz w:val="22"/>
                <w:szCs w:val="22"/>
              </w:rPr>
            </w:pPr>
          </w:p>
        </w:tc>
        <w:tc>
          <w:tcPr>
            <w:tcW w:w="899" w:type="dxa"/>
          </w:tcPr>
          <w:p w14:paraId="3C03511C" w14:textId="77777777" w:rsidR="009A23F9" w:rsidRPr="0002498E" w:rsidRDefault="009A23F9" w:rsidP="008536EB">
            <w:pPr>
              <w:rPr>
                <w:sz w:val="22"/>
                <w:szCs w:val="22"/>
              </w:rPr>
            </w:pPr>
          </w:p>
        </w:tc>
        <w:tc>
          <w:tcPr>
            <w:tcW w:w="899" w:type="dxa"/>
          </w:tcPr>
          <w:p w14:paraId="664B61EE" w14:textId="77777777" w:rsidR="009A23F9" w:rsidRPr="0002498E" w:rsidRDefault="009A23F9" w:rsidP="008536EB">
            <w:pPr>
              <w:rPr>
                <w:sz w:val="22"/>
                <w:szCs w:val="22"/>
              </w:rPr>
            </w:pPr>
          </w:p>
        </w:tc>
        <w:tc>
          <w:tcPr>
            <w:tcW w:w="899" w:type="dxa"/>
          </w:tcPr>
          <w:p w14:paraId="74F8E197" w14:textId="77777777" w:rsidR="009A23F9" w:rsidRPr="0002498E" w:rsidRDefault="009A23F9" w:rsidP="008536EB">
            <w:pPr>
              <w:rPr>
                <w:sz w:val="22"/>
                <w:szCs w:val="22"/>
              </w:rPr>
            </w:pPr>
          </w:p>
        </w:tc>
        <w:tc>
          <w:tcPr>
            <w:tcW w:w="899" w:type="dxa"/>
          </w:tcPr>
          <w:p w14:paraId="0AF360E9" w14:textId="77777777" w:rsidR="009A23F9" w:rsidRPr="0002498E" w:rsidRDefault="009A23F9" w:rsidP="008536EB">
            <w:pPr>
              <w:rPr>
                <w:sz w:val="22"/>
                <w:szCs w:val="22"/>
              </w:rPr>
            </w:pPr>
          </w:p>
        </w:tc>
        <w:tc>
          <w:tcPr>
            <w:tcW w:w="899" w:type="dxa"/>
          </w:tcPr>
          <w:p w14:paraId="35D97248" w14:textId="77777777" w:rsidR="009A23F9" w:rsidRPr="0002498E" w:rsidRDefault="009A23F9" w:rsidP="008536EB">
            <w:pPr>
              <w:rPr>
                <w:sz w:val="22"/>
                <w:szCs w:val="22"/>
              </w:rPr>
            </w:pPr>
          </w:p>
        </w:tc>
        <w:tc>
          <w:tcPr>
            <w:tcW w:w="835" w:type="dxa"/>
          </w:tcPr>
          <w:p w14:paraId="7202115D" w14:textId="77777777" w:rsidR="009A23F9" w:rsidRPr="0002498E" w:rsidRDefault="009A23F9" w:rsidP="008536EB">
            <w:pPr>
              <w:rPr>
                <w:sz w:val="22"/>
                <w:szCs w:val="22"/>
              </w:rPr>
            </w:pPr>
          </w:p>
        </w:tc>
        <w:tc>
          <w:tcPr>
            <w:tcW w:w="835" w:type="dxa"/>
          </w:tcPr>
          <w:p w14:paraId="54611B7D" w14:textId="77777777" w:rsidR="009A23F9" w:rsidRPr="0002498E" w:rsidRDefault="009A23F9" w:rsidP="008536EB">
            <w:pPr>
              <w:rPr>
                <w:sz w:val="22"/>
                <w:szCs w:val="22"/>
              </w:rPr>
            </w:pPr>
          </w:p>
        </w:tc>
      </w:tr>
      <w:tr w:rsidR="009A23F9" w:rsidRPr="0002498E" w14:paraId="30132982" w14:textId="77777777" w:rsidTr="009A23F9">
        <w:tc>
          <w:tcPr>
            <w:tcW w:w="567" w:type="dxa"/>
          </w:tcPr>
          <w:p w14:paraId="3CC0B294" w14:textId="77777777" w:rsidR="009A23F9" w:rsidRPr="009A23F9" w:rsidRDefault="009A23F9" w:rsidP="008536EB">
            <w:pPr>
              <w:jc w:val="center"/>
              <w:rPr>
                <w:i/>
                <w:sz w:val="22"/>
                <w:szCs w:val="22"/>
              </w:rPr>
            </w:pPr>
            <w:r w:rsidRPr="009A23F9">
              <w:rPr>
                <w:i/>
                <w:sz w:val="22"/>
                <w:szCs w:val="22"/>
              </w:rPr>
              <w:t>3</w:t>
            </w:r>
          </w:p>
        </w:tc>
        <w:tc>
          <w:tcPr>
            <w:tcW w:w="2098" w:type="dxa"/>
          </w:tcPr>
          <w:p w14:paraId="478F9A60" w14:textId="31CB247A" w:rsidR="009A23F9" w:rsidRPr="0002498E" w:rsidRDefault="009A23F9" w:rsidP="008536EB">
            <w:pPr>
              <w:ind w:right="-278"/>
              <w:rPr>
                <w:sz w:val="22"/>
                <w:szCs w:val="22"/>
              </w:rPr>
            </w:pPr>
            <w:r w:rsidRPr="0002498E">
              <w:rPr>
                <w:sz w:val="22"/>
                <w:szCs w:val="22"/>
                <w:lang w:val="ka-GE"/>
              </w:rPr>
              <w:t>DTP-Hib-Hep.B</w:t>
            </w:r>
            <w:r w:rsidRPr="0002498E">
              <w:rPr>
                <w:sz w:val="22"/>
                <w:szCs w:val="22"/>
              </w:rPr>
              <w:t>-IPV</w:t>
            </w:r>
            <w:r>
              <w:rPr>
                <w:sz w:val="22"/>
                <w:szCs w:val="22"/>
              </w:rPr>
              <w:t>*</w:t>
            </w:r>
          </w:p>
        </w:tc>
        <w:tc>
          <w:tcPr>
            <w:tcW w:w="820" w:type="dxa"/>
          </w:tcPr>
          <w:p w14:paraId="6B224112" w14:textId="77777777" w:rsidR="009A23F9" w:rsidRPr="0002498E" w:rsidRDefault="009A23F9" w:rsidP="008536EB">
            <w:pPr>
              <w:rPr>
                <w:sz w:val="22"/>
                <w:szCs w:val="22"/>
              </w:rPr>
            </w:pPr>
          </w:p>
        </w:tc>
        <w:tc>
          <w:tcPr>
            <w:tcW w:w="820" w:type="dxa"/>
          </w:tcPr>
          <w:p w14:paraId="1C273478" w14:textId="77777777" w:rsidR="009A23F9" w:rsidRPr="0002498E" w:rsidRDefault="009A23F9" w:rsidP="008536EB">
            <w:pPr>
              <w:rPr>
                <w:sz w:val="22"/>
                <w:szCs w:val="22"/>
              </w:rPr>
            </w:pPr>
          </w:p>
        </w:tc>
        <w:tc>
          <w:tcPr>
            <w:tcW w:w="899" w:type="dxa"/>
            <w:shd w:val="clear" w:color="auto" w:fill="B3B3B3"/>
          </w:tcPr>
          <w:p w14:paraId="2714ACD9" w14:textId="77777777" w:rsidR="009A23F9" w:rsidRPr="0002498E" w:rsidRDefault="009A23F9" w:rsidP="008536EB">
            <w:pPr>
              <w:rPr>
                <w:sz w:val="22"/>
                <w:szCs w:val="22"/>
              </w:rPr>
            </w:pPr>
          </w:p>
        </w:tc>
        <w:tc>
          <w:tcPr>
            <w:tcW w:w="899" w:type="dxa"/>
            <w:shd w:val="clear" w:color="auto" w:fill="B3B3B3"/>
          </w:tcPr>
          <w:p w14:paraId="5F37BEB9" w14:textId="77777777" w:rsidR="009A23F9" w:rsidRPr="0002498E" w:rsidRDefault="009A23F9" w:rsidP="008536EB">
            <w:pPr>
              <w:rPr>
                <w:sz w:val="22"/>
                <w:szCs w:val="22"/>
              </w:rPr>
            </w:pPr>
          </w:p>
        </w:tc>
        <w:tc>
          <w:tcPr>
            <w:tcW w:w="899" w:type="dxa"/>
            <w:shd w:val="clear" w:color="auto" w:fill="B3B3B3"/>
          </w:tcPr>
          <w:p w14:paraId="789C9A64" w14:textId="77777777" w:rsidR="009A23F9" w:rsidRPr="0002498E" w:rsidRDefault="009A23F9" w:rsidP="008536EB">
            <w:pPr>
              <w:rPr>
                <w:sz w:val="22"/>
                <w:szCs w:val="22"/>
              </w:rPr>
            </w:pPr>
          </w:p>
        </w:tc>
        <w:tc>
          <w:tcPr>
            <w:tcW w:w="899" w:type="dxa"/>
          </w:tcPr>
          <w:p w14:paraId="2ADBF0B4" w14:textId="77777777" w:rsidR="009A23F9" w:rsidRPr="0002498E" w:rsidRDefault="009A23F9" w:rsidP="008536EB">
            <w:pPr>
              <w:rPr>
                <w:sz w:val="22"/>
                <w:szCs w:val="22"/>
              </w:rPr>
            </w:pPr>
          </w:p>
        </w:tc>
        <w:tc>
          <w:tcPr>
            <w:tcW w:w="899" w:type="dxa"/>
          </w:tcPr>
          <w:p w14:paraId="52AE0554" w14:textId="77777777" w:rsidR="009A23F9" w:rsidRPr="0002498E" w:rsidRDefault="009A23F9" w:rsidP="008536EB">
            <w:pPr>
              <w:rPr>
                <w:sz w:val="22"/>
                <w:szCs w:val="22"/>
              </w:rPr>
            </w:pPr>
          </w:p>
        </w:tc>
        <w:tc>
          <w:tcPr>
            <w:tcW w:w="835" w:type="dxa"/>
          </w:tcPr>
          <w:p w14:paraId="790F3C7B" w14:textId="77777777" w:rsidR="009A23F9" w:rsidRPr="0002498E" w:rsidRDefault="009A23F9" w:rsidP="008536EB">
            <w:pPr>
              <w:rPr>
                <w:sz w:val="22"/>
                <w:szCs w:val="22"/>
              </w:rPr>
            </w:pPr>
          </w:p>
        </w:tc>
        <w:tc>
          <w:tcPr>
            <w:tcW w:w="835" w:type="dxa"/>
          </w:tcPr>
          <w:p w14:paraId="58903A23" w14:textId="77777777" w:rsidR="009A23F9" w:rsidRPr="0002498E" w:rsidRDefault="009A23F9" w:rsidP="008536EB">
            <w:pPr>
              <w:rPr>
                <w:sz w:val="22"/>
                <w:szCs w:val="22"/>
              </w:rPr>
            </w:pPr>
          </w:p>
        </w:tc>
      </w:tr>
      <w:tr w:rsidR="009A23F9" w:rsidRPr="0002498E" w14:paraId="4B00AB15" w14:textId="77777777" w:rsidTr="009A23F9">
        <w:tc>
          <w:tcPr>
            <w:tcW w:w="567" w:type="dxa"/>
          </w:tcPr>
          <w:p w14:paraId="6A2C1D11" w14:textId="77777777" w:rsidR="009A23F9" w:rsidRPr="009A23F9" w:rsidRDefault="009A23F9" w:rsidP="008536EB">
            <w:pPr>
              <w:jc w:val="center"/>
              <w:rPr>
                <w:i/>
                <w:sz w:val="22"/>
                <w:szCs w:val="22"/>
              </w:rPr>
            </w:pPr>
            <w:r w:rsidRPr="009A23F9">
              <w:rPr>
                <w:i/>
                <w:sz w:val="22"/>
                <w:szCs w:val="22"/>
              </w:rPr>
              <w:t>4</w:t>
            </w:r>
          </w:p>
        </w:tc>
        <w:tc>
          <w:tcPr>
            <w:tcW w:w="2098" w:type="dxa"/>
          </w:tcPr>
          <w:p w14:paraId="396401E6" w14:textId="77777777" w:rsidR="009A23F9" w:rsidRPr="0002498E" w:rsidRDefault="009A23F9" w:rsidP="008536EB">
            <w:pPr>
              <w:rPr>
                <w:sz w:val="22"/>
                <w:szCs w:val="22"/>
              </w:rPr>
            </w:pPr>
            <w:r w:rsidRPr="0002498E">
              <w:rPr>
                <w:sz w:val="22"/>
                <w:szCs w:val="22"/>
              </w:rPr>
              <w:t>DTP</w:t>
            </w:r>
          </w:p>
        </w:tc>
        <w:tc>
          <w:tcPr>
            <w:tcW w:w="820" w:type="dxa"/>
          </w:tcPr>
          <w:p w14:paraId="4CA99D89" w14:textId="77777777" w:rsidR="009A23F9" w:rsidRPr="0002498E" w:rsidRDefault="009A23F9" w:rsidP="008536EB">
            <w:pPr>
              <w:rPr>
                <w:sz w:val="22"/>
                <w:szCs w:val="22"/>
              </w:rPr>
            </w:pPr>
          </w:p>
        </w:tc>
        <w:tc>
          <w:tcPr>
            <w:tcW w:w="820" w:type="dxa"/>
          </w:tcPr>
          <w:p w14:paraId="220D6777" w14:textId="77777777" w:rsidR="009A23F9" w:rsidRPr="0002498E" w:rsidRDefault="009A23F9" w:rsidP="008536EB">
            <w:pPr>
              <w:rPr>
                <w:sz w:val="22"/>
                <w:szCs w:val="22"/>
              </w:rPr>
            </w:pPr>
          </w:p>
        </w:tc>
        <w:tc>
          <w:tcPr>
            <w:tcW w:w="899" w:type="dxa"/>
            <w:tcBorders>
              <w:bottom w:val="dotted" w:sz="4" w:space="0" w:color="auto"/>
            </w:tcBorders>
          </w:tcPr>
          <w:p w14:paraId="7746F9C6" w14:textId="77777777" w:rsidR="009A23F9" w:rsidRPr="0002498E" w:rsidRDefault="009A23F9" w:rsidP="008536EB">
            <w:pPr>
              <w:rPr>
                <w:sz w:val="22"/>
                <w:szCs w:val="22"/>
              </w:rPr>
            </w:pPr>
          </w:p>
        </w:tc>
        <w:tc>
          <w:tcPr>
            <w:tcW w:w="899" w:type="dxa"/>
            <w:tcBorders>
              <w:bottom w:val="dotted" w:sz="4" w:space="0" w:color="auto"/>
            </w:tcBorders>
          </w:tcPr>
          <w:p w14:paraId="78E90DF2" w14:textId="77777777" w:rsidR="009A23F9" w:rsidRPr="0002498E" w:rsidRDefault="009A23F9" w:rsidP="008536EB">
            <w:pPr>
              <w:rPr>
                <w:sz w:val="22"/>
                <w:szCs w:val="22"/>
              </w:rPr>
            </w:pPr>
          </w:p>
        </w:tc>
        <w:tc>
          <w:tcPr>
            <w:tcW w:w="899" w:type="dxa"/>
            <w:tcBorders>
              <w:bottom w:val="dotted" w:sz="4" w:space="0" w:color="auto"/>
            </w:tcBorders>
          </w:tcPr>
          <w:p w14:paraId="1FC90835" w14:textId="77777777" w:rsidR="009A23F9" w:rsidRPr="0002498E" w:rsidRDefault="009A23F9" w:rsidP="008536EB">
            <w:pPr>
              <w:rPr>
                <w:sz w:val="22"/>
                <w:szCs w:val="22"/>
              </w:rPr>
            </w:pPr>
          </w:p>
        </w:tc>
        <w:tc>
          <w:tcPr>
            <w:tcW w:w="899" w:type="dxa"/>
          </w:tcPr>
          <w:p w14:paraId="7E4CA680" w14:textId="77777777" w:rsidR="009A23F9" w:rsidRPr="0002498E" w:rsidRDefault="009A23F9" w:rsidP="008536EB">
            <w:pPr>
              <w:rPr>
                <w:sz w:val="22"/>
                <w:szCs w:val="22"/>
              </w:rPr>
            </w:pPr>
          </w:p>
        </w:tc>
        <w:tc>
          <w:tcPr>
            <w:tcW w:w="899" w:type="dxa"/>
            <w:shd w:val="clear" w:color="auto" w:fill="B3B3B3"/>
          </w:tcPr>
          <w:p w14:paraId="5D9C871E" w14:textId="77777777" w:rsidR="009A23F9" w:rsidRPr="0002498E" w:rsidRDefault="009A23F9" w:rsidP="008536EB">
            <w:pPr>
              <w:rPr>
                <w:sz w:val="22"/>
                <w:szCs w:val="22"/>
              </w:rPr>
            </w:pPr>
          </w:p>
        </w:tc>
        <w:tc>
          <w:tcPr>
            <w:tcW w:w="835" w:type="dxa"/>
          </w:tcPr>
          <w:p w14:paraId="58F8653C" w14:textId="77777777" w:rsidR="009A23F9" w:rsidRPr="0002498E" w:rsidRDefault="009A23F9" w:rsidP="008536EB">
            <w:pPr>
              <w:rPr>
                <w:sz w:val="22"/>
                <w:szCs w:val="22"/>
              </w:rPr>
            </w:pPr>
          </w:p>
        </w:tc>
        <w:tc>
          <w:tcPr>
            <w:tcW w:w="835" w:type="dxa"/>
          </w:tcPr>
          <w:p w14:paraId="4C5098BF" w14:textId="77777777" w:rsidR="009A23F9" w:rsidRPr="0002498E" w:rsidRDefault="009A23F9" w:rsidP="008536EB">
            <w:pPr>
              <w:rPr>
                <w:sz w:val="22"/>
                <w:szCs w:val="22"/>
              </w:rPr>
            </w:pPr>
          </w:p>
        </w:tc>
      </w:tr>
      <w:tr w:rsidR="009A23F9" w:rsidRPr="0002498E" w14:paraId="7E9D0E16" w14:textId="77777777" w:rsidTr="009A23F9">
        <w:tc>
          <w:tcPr>
            <w:tcW w:w="567" w:type="dxa"/>
          </w:tcPr>
          <w:p w14:paraId="73B01A58" w14:textId="77777777" w:rsidR="009A23F9" w:rsidRPr="009A23F9" w:rsidRDefault="009A23F9" w:rsidP="008536EB">
            <w:pPr>
              <w:jc w:val="center"/>
              <w:rPr>
                <w:i/>
                <w:sz w:val="22"/>
                <w:szCs w:val="22"/>
              </w:rPr>
            </w:pPr>
            <w:r w:rsidRPr="009A23F9">
              <w:rPr>
                <w:i/>
                <w:sz w:val="22"/>
                <w:szCs w:val="22"/>
              </w:rPr>
              <w:t>5</w:t>
            </w:r>
          </w:p>
        </w:tc>
        <w:tc>
          <w:tcPr>
            <w:tcW w:w="2098" w:type="dxa"/>
          </w:tcPr>
          <w:p w14:paraId="45EF9A61" w14:textId="77777777" w:rsidR="009A23F9" w:rsidRPr="0002498E" w:rsidRDefault="009A23F9" w:rsidP="008536EB">
            <w:pPr>
              <w:rPr>
                <w:sz w:val="22"/>
                <w:szCs w:val="22"/>
              </w:rPr>
            </w:pPr>
            <w:r w:rsidRPr="0002498E">
              <w:rPr>
                <w:sz w:val="22"/>
                <w:szCs w:val="22"/>
              </w:rPr>
              <w:t>bOPV</w:t>
            </w:r>
          </w:p>
        </w:tc>
        <w:tc>
          <w:tcPr>
            <w:tcW w:w="820" w:type="dxa"/>
          </w:tcPr>
          <w:p w14:paraId="1402512F" w14:textId="77777777" w:rsidR="009A23F9" w:rsidRPr="0002498E" w:rsidRDefault="009A23F9" w:rsidP="008536EB">
            <w:pPr>
              <w:rPr>
                <w:sz w:val="22"/>
                <w:szCs w:val="22"/>
              </w:rPr>
            </w:pPr>
          </w:p>
        </w:tc>
        <w:tc>
          <w:tcPr>
            <w:tcW w:w="820" w:type="dxa"/>
          </w:tcPr>
          <w:p w14:paraId="37F138AA" w14:textId="77777777" w:rsidR="009A23F9" w:rsidRPr="0002498E" w:rsidRDefault="009A23F9" w:rsidP="008536EB">
            <w:pPr>
              <w:rPr>
                <w:sz w:val="22"/>
                <w:szCs w:val="22"/>
              </w:rPr>
            </w:pPr>
          </w:p>
        </w:tc>
        <w:tc>
          <w:tcPr>
            <w:tcW w:w="899" w:type="dxa"/>
            <w:shd w:val="clear" w:color="auto" w:fill="auto"/>
          </w:tcPr>
          <w:p w14:paraId="3C179B43" w14:textId="77777777" w:rsidR="009A23F9" w:rsidRPr="0002498E" w:rsidRDefault="009A23F9" w:rsidP="008536EB">
            <w:pPr>
              <w:rPr>
                <w:sz w:val="22"/>
                <w:szCs w:val="22"/>
              </w:rPr>
            </w:pPr>
          </w:p>
        </w:tc>
        <w:tc>
          <w:tcPr>
            <w:tcW w:w="899" w:type="dxa"/>
            <w:shd w:val="clear" w:color="auto" w:fill="auto"/>
          </w:tcPr>
          <w:p w14:paraId="70AC3A72" w14:textId="77777777" w:rsidR="009A23F9" w:rsidRPr="0002498E" w:rsidRDefault="009A23F9" w:rsidP="008536EB">
            <w:pPr>
              <w:rPr>
                <w:sz w:val="22"/>
                <w:szCs w:val="22"/>
              </w:rPr>
            </w:pPr>
          </w:p>
        </w:tc>
        <w:tc>
          <w:tcPr>
            <w:tcW w:w="899" w:type="dxa"/>
            <w:shd w:val="clear" w:color="auto" w:fill="auto"/>
          </w:tcPr>
          <w:p w14:paraId="1A4B10D7" w14:textId="77777777" w:rsidR="009A23F9" w:rsidRPr="0002498E" w:rsidRDefault="009A23F9" w:rsidP="008536EB">
            <w:pPr>
              <w:rPr>
                <w:sz w:val="22"/>
                <w:szCs w:val="22"/>
              </w:rPr>
            </w:pPr>
          </w:p>
        </w:tc>
        <w:tc>
          <w:tcPr>
            <w:tcW w:w="899" w:type="dxa"/>
          </w:tcPr>
          <w:p w14:paraId="4CD1D176" w14:textId="77777777" w:rsidR="009A23F9" w:rsidRPr="0002498E" w:rsidRDefault="009A23F9" w:rsidP="008536EB">
            <w:pPr>
              <w:rPr>
                <w:sz w:val="22"/>
                <w:szCs w:val="22"/>
              </w:rPr>
            </w:pPr>
          </w:p>
        </w:tc>
        <w:tc>
          <w:tcPr>
            <w:tcW w:w="899" w:type="dxa"/>
            <w:shd w:val="clear" w:color="auto" w:fill="B3B3B3"/>
          </w:tcPr>
          <w:p w14:paraId="285D6F0A" w14:textId="77777777" w:rsidR="009A23F9" w:rsidRPr="0002498E" w:rsidRDefault="009A23F9" w:rsidP="008536EB">
            <w:pPr>
              <w:rPr>
                <w:sz w:val="22"/>
                <w:szCs w:val="22"/>
              </w:rPr>
            </w:pPr>
          </w:p>
        </w:tc>
        <w:tc>
          <w:tcPr>
            <w:tcW w:w="835" w:type="dxa"/>
            <w:shd w:val="clear" w:color="auto" w:fill="B3B3B3"/>
          </w:tcPr>
          <w:p w14:paraId="23799DF0" w14:textId="77777777" w:rsidR="009A23F9" w:rsidRPr="0002498E" w:rsidRDefault="009A23F9" w:rsidP="008536EB">
            <w:pPr>
              <w:rPr>
                <w:sz w:val="22"/>
                <w:szCs w:val="22"/>
              </w:rPr>
            </w:pPr>
          </w:p>
        </w:tc>
        <w:tc>
          <w:tcPr>
            <w:tcW w:w="835" w:type="dxa"/>
          </w:tcPr>
          <w:p w14:paraId="0BACC8B9" w14:textId="77777777" w:rsidR="009A23F9" w:rsidRPr="0002498E" w:rsidRDefault="009A23F9" w:rsidP="008536EB">
            <w:pPr>
              <w:rPr>
                <w:sz w:val="22"/>
                <w:szCs w:val="22"/>
              </w:rPr>
            </w:pPr>
          </w:p>
        </w:tc>
      </w:tr>
      <w:tr w:rsidR="009A23F9" w:rsidRPr="0002498E" w14:paraId="4DA9F7B2" w14:textId="77777777" w:rsidTr="009A23F9">
        <w:tc>
          <w:tcPr>
            <w:tcW w:w="567" w:type="dxa"/>
          </w:tcPr>
          <w:p w14:paraId="6A325AA0" w14:textId="77777777" w:rsidR="009A23F9" w:rsidRPr="009A23F9" w:rsidRDefault="009A23F9" w:rsidP="008536EB">
            <w:pPr>
              <w:jc w:val="center"/>
              <w:rPr>
                <w:i/>
                <w:sz w:val="22"/>
                <w:szCs w:val="22"/>
              </w:rPr>
            </w:pPr>
            <w:r w:rsidRPr="009A23F9">
              <w:rPr>
                <w:i/>
                <w:sz w:val="22"/>
                <w:szCs w:val="22"/>
              </w:rPr>
              <w:t>6</w:t>
            </w:r>
          </w:p>
        </w:tc>
        <w:tc>
          <w:tcPr>
            <w:tcW w:w="2098" w:type="dxa"/>
          </w:tcPr>
          <w:p w14:paraId="28CB970D" w14:textId="77777777" w:rsidR="009A23F9" w:rsidRPr="0002498E" w:rsidRDefault="009A23F9" w:rsidP="008536EB">
            <w:pPr>
              <w:rPr>
                <w:sz w:val="22"/>
                <w:szCs w:val="22"/>
              </w:rPr>
            </w:pPr>
            <w:r w:rsidRPr="0002498E">
              <w:rPr>
                <w:sz w:val="22"/>
                <w:szCs w:val="22"/>
              </w:rPr>
              <w:t>MMR</w:t>
            </w:r>
          </w:p>
        </w:tc>
        <w:tc>
          <w:tcPr>
            <w:tcW w:w="820" w:type="dxa"/>
          </w:tcPr>
          <w:p w14:paraId="256E88EB" w14:textId="77777777" w:rsidR="009A23F9" w:rsidRPr="0002498E" w:rsidRDefault="009A23F9" w:rsidP="008536EB">
            <w:pPr>
              <w:rPr>
                <w:sz w:val="22"/>
                <w:szCs w:val="22"/>
              </w:rPr>
            </w:pPr>
          </w:p>
        </w:tc>
        <w:tc>
          <w:tcPr>
            <w:tcW w:w="820" w:type="dxa"/>
          </w:tcPr>
          <w:p w14:paraId="1C8765E2" w14:textId="77777777" w:rsidR="009A23F9" w:rsidRPr="0002498E" w:rsidRDefault="009A23F9" w:rsidP="008536EB">
            <w:pPr>
              <w:rPr>
                <w:sz w:val="22"/>
                <w:szCs w:val="22"/>
              </w:rPr>
            </w:pPr>
          </w:p>
        </w:tc>
        <w:tc>
          <w:tcPr>
            <w:tcW w:w="899" w:type="dxa"/>
          </w:tcPr>
          <w:p w14:paraId="115C3FA9" w14:textId="77777777" w:rsidR="009A23F9" w:rsidRPr="0002498E" w:rsidRDefault="009A23F9" w:rsidP="008536EB">
            <w:pPr>
              <w:rPr>
                <w:sz w:val="22"/>
                <w:szCs w:val="22"/>
              </w:rPr>
            </w:pPr>
          </w:p>
        </w:tc>
        <w:tc>
          <w:tcPr>
            <w:tcW w:w="899" w:type="dxa"/>
          </w:tcPr>
          <w:p w14:paraId="1B02DE7C" w14:textId="77777777" w:rsidR="009A23F9" w:rsidRPr="0002498E" w:rsidRDefault="009A23F9" w:rsidP="008536EB">
            <w:pPr>
              <w:rPr>
                <w:sz w:val="22"/>
                <w:szCs w:val="22"/>
              </w:rPr>
            </w:pPr>
          </w:p>
        </w:tc>
        <w:tc>
          <w:tcPr>
            <w:tcW w:w="899" w:type="dxa"/>
          </w:tcPr>
          <w:p w14:paraId="581DF557" w14:textId="77777777" w:rsidR="009A23F9" w:rsidRPr="0002498E" w:rsidRDefault="009A23F9" w:rsidP="008536EB">
            <w:pPr>
              <w:rPr>
                <w:sz w:val="22"/>
                <w:szCs w:val="22"/>
              </w:rPr>
            </w:pPr>
          </w:p>
        </w:tc>
        <w:tc>
          <w:tcPr>
            <w:tcW w:w="899" w:type="dxa"/>
            <w:shd w:val="clear" w:color="auto" w:fill="B3B3B3"/>
          </w:tcPr>
          <w:p w14:paraId="1059F096" w14:textId="77777777" w:rsidR="009A23F9" w:rsidRPr="0002498E" w:rsidRDefault="009A23F9" w:rsidP="008536EB">
            <w:pPr>
              <w:rPr>
                <w:sz w:val="22"/>
                <w:szCs w:val="22"/>
              </w:rPr>
            </w:pPr>
          </w:p>
        </w:tc>
        <w:tc>
          <w:tcPr>
            <w:tcW w:w="899" w:type="dxa"/>
          </w:tcPr>
          <w:p w14:paraId="656F6622" w14:textId="77777777" w:rsidR="009A23F9" w:rsidRPr="0002498E" w:rsidRDefault="009A23F9" w:rsidP="008536EB">
            <w:pPr>
              <w:rPr>
                <w:sz w:val="22"/>
                <w:szCs w:val="22"/>
              </w:rPr>
            </w:pPr>
          </w:p>
        </w:tc>
        <w:tc>
          <w:tcPr>
            <w:tcW w:w="835" w:type="dxa"/>
            <w:shd w:val="clear" w:color="auto" w:fill="B3B3B3"/>
          </w:tcPr>
          <w:p w14:paraId="7DAE16AA" w14:textId="77777777" w:rsidR="009A23F9" w:rsidRPr="0002498E" w:rsidRDefault="009A23F9" w:rsidP="008536EB">
            <w:pPr>
              <w:rPr>
                <w:sz w:val="22"/>
                <w:szCs w:val="22"/>
              </w:rPr>
            </w:pPr>
          </w:p>
        </w:tc>
        <w:tc>
          <w:tcPr>
            <w:tcW w:w="835" w:type="dxa"/>
          </w:tcPr>
          <w:p w14:paraId="1AA882AD" w14:textId="77777777" w:rsidR="009A23F9" w:rsidRPr="0002498E" w:rsidRDefault="009A23F9" w:rsidP="008536EB">
            <w:pPr>
              <w:rPr>
                <w:sz w:val="22"/>
                <w:szCs w:val="22"/>
              </w:rPr>
            </w:pPr>
          </w:p>
        </w:tc>
      </w:tr>
      <w:tr w:rsidR="009A23F9" w:rsidRPr="0002498E" w14:paraId="6D8C6412" w14:textId="77777777" w:rsidTr="009A23F9">
        <w:tc>
          <w:tcPr>
            <w:tcW w:w="567" w:type="dxa"/>
          </w:tcPr>
          <w:p w14:paraId="0C904122" w14:textId="77777777" w:rsidR="009A23F9" w:rsidRPr="009A23F9" w:rsidRDefault="009A23F9" w:rsidP="008536EB">
            <w:pPr>
              <w:jc w:val="center"/>
              <w:rPr>
                <w:i/>
                <w:sz w:val="22"/>
                <w:szCs w:val="22"/>
              </w:rPr>
            </w:pPr>
            <w:r w:rsidRPr="009A23F9">
              <w:rPr>
                <w:i/>
                <w:sz w:val="22"/>
                <w:szCs w:val="22"/>
              </w:rPr>
              <w:t>7</w:t>
            </w:r>
          </w:p>
        </w:tc>
        <w:tc>
          <w:tcPr>
            <w:tcW w:w="2098" w:type="dxa"/>
          </w:tcPr>
          <w:p w14:paraId="151F642F" w14:textId="77777777" w:rsidR="009A23F9" w:rsidRPr="0002498E" w:rsidRDefault="009A23F9" w:rsidP="008536EB">
            <w:pPr>
              <w:rPr>
                <w:sz w:val="22"/>
                <w:szCs w:val="22"/>
              </w:rPr>
            </w:pPr>
            <w:r w:rsidRPr="0002498E">
              <w:rPr>
                <w:sz w:val="22"/>
                <w:szCs w:val="22"/>
              </w:rPr>
              <w:t>DT</w:t>
            </w:r>
          </w:p>
        </w:tc>
        <w:tc>
          <w:tcPr>
            <w:tcW w:w="820" w:type="dxa"/>
          </w:tcPr>
          <w:p w14:paraId="705326B4" w14:textId="77777777" w:rsidR="009A23F9" w:rsidRPr="0002498E" w:rsidRDefault="009A23F9" w:rsidP="008536EB">
            <w:pPr>
              <w:rPr>
                <w:sz w:val="22"/>
                <w:szCs w:val="22"/>
              </w:rPr>
            </w:pPr>
          </w:p>
        </w:tc>
        <w:tc>
          <w:tcPr>
            <w:tcW w:w="820" w:type="dxa"/>
          </w:tcPr>
          <w:p w14:paraId="4100BA1B" w14:textId="77777777" w:rsidR="009A23F9" w:rsidRPr="0002498E" w:rsidRDefault="009A23F9" w:rsidP="008536EB">
            <w:pPr>
              <w:rPr>
                <w:sz w:val="22"/>
                <w:szCs w:val="22"/>
              </w:rPr>
            </w:pPr>
          </w:p>
        </w:tc>
        <w:tc>
          <w:tcPr>
            <w:tcW w:w="899" w:type="dxa"/>
          </w:tcPr>
          <w:p w14:paraId="53F07B3E" w14:textId="77777777" w:rsidR="009A23F9" w:rsidRPr="0002498E" w:rsidRDefault="009A23F9" w:rsidP="008536EB">
            <w:pPr>
              <w:rPr>
                <w:sz w:val="22"/>
                <w:szCs w:val="22"/>
              </w:rPr>
            </w:pPr>
          </w:p>
        </w:tc>
        <w:tc>
          <w:tcPr>
            <w:tcW w:w="899" w:type="dxa"/>
          </w:tcPr>
          <w:p w14:paraId="4BB4E6C5" w14:textId="77777777" w:rsidR="009A23F9" w:rsidRPr="0002498E" w:rsidRDefault="009A23F9" w:rsidP="008536EB">
            <w:pPr>
              <w:rPr>
                <w:sz w:val="22"/>
                <w:szCs w:val="22"/>
              </w:rPr>
            </w:pPr>
          </w:p>
        </w:tc>
        <w:tc>
          <w:tcPr>
            <w:tcW w:w="899" w:type="dxa"/>
          </w:tcPr>
          <w:p w14:paraId="7605E6F5" w14:textId="77777777" w:rsidR="009A23F9" w:rsidRPr="0002498E" w:rsidRDefault="009A23F9" w:rsidP="008536EB">
            <w:pPr>
              <w:rPr>
                <w:sz w:val="22"/>
                <w:szCs w:val="22"/>
              </w:rPr>
            </w:pPr>
          </w:p>
        </w:tc>
        <w:tc>
          <w:tcPr>
            <w:tcW w:w="899" w:type="dxa"/>
          </w:tcPr>
          <w:p w14:paraId="5B7A4B93" w14:textId="77777777" w:rsidR="009A23F9" w:rsidRPr="0002498E" w:rsidRDefault="009A23F9" w:rsidP="008536EB">
            <w:pPr>
              <w:rPr>
                <w:sz w:val="22"/>
                <w:szCs w:val="22"/>
              </w:rPr>
            </w:pPr>
          </w:p>
        </w:tc>
        <w:tc>
          <w:tcPr>
            <w:tcW w:w="899" w:type="dxa"/>
          </w:tcPr>
          <w:p w14:paraId="7DB228EE" w14:textId="77777777" w:rsidR="009A23F9" w:rsidRPr="0002498E" w:rsidRDefault="009A23F9" w:rsidP="008536EB">
            <w:pPr>
              <w:rPr>
                <w:sz w:val="22"/>
                <w:szCs w:val="22"/>
              </w:rPr>
            </w:pPr>
          </w:p>
        </w:tc>
        <w:tc>
          <w:tcPr>
            <w:tcW w:w="835" w:type="dxa"/>
            <w:shd w:val="clear" w:color="auto" w:fill="B3B3B3"/>
          </w:tcPr>
          <w:p w14:paraId="36D92D32" w14:textId="77777777" w:rsidR="009A23F9" w:rsidRPr="0002498E" w:rsidRDefault="009A23F9" w:rsidP="008536EB">
            <w:pPr>
              <w:rPr>
                <w:sz w:val="22"/>
                <w:szCs w:val="22"/>
              </w:rPr>
            </w:pPr>
          </w:p>
        </w:tc>
        <w:tc>
          <w:tcPr>
            <w:tcW w:w="835" w:type="dxa"/>
          </w:tcPr>
          <w:p w14:paraId="44A79F05" w14:textId="77777777" w:rsidR="009A23F9" w:rsidRPr="0002498E" w:rsidRDefault="009A23F9" w:rsidP="008536EB">
            <w:pPr>
              <w:rPr>
                <w:sz w:val="22"/>
                <w:szCs w:val="22"/>
              </w:rPr>
            </w:pPr>
          </w:p>
        </w:tc>
      </w:tr>
      <w:tr w:rsidR="009A23F9" w:rsidRPr="0002498E" w14:paraId="29945294" w14:textId="77777777" w:rsidTr="009A23F9">
        <w:tc>
          <w:tcPr>
            <w:tcW w:w="567" w:type="dxa"/>
          </w:tcPr>
          <w:p w14:paraId="3DE7FDE6" w14:textId="77777777" w:rsidR="009A23F9" w:rsidRPr="009A23F9" w:rsidRDefault="009A23F9" w:rsidP="008536EB">
            <w:pPr>
              <w:jc w:val="center"/>
              <w:rPr>
                <w:i/>
                <w:sz w:val="22"/>
                <w:szCs w:val="22"/>
              </w:rPr>
            </w:pPr>
            <w:r w:rsidRPr="009A23F9">
              <w:rPr>
                <w:i/>
                <w:sz w:val="22"/>
                <w:szCs w:val="22"/>
              </w:rPr>
              <w:t>8</w:t>
            </w:r>
          </w:p>
        </w:tc>
        <w:tc>
          <w:tcPr>
            <w:tcW w:w="2098" w:type="dxa"/>
          </w:tcPr>
          <w:p w14:paraId="08044809" w14:textId="77777777" w:rsidR="009A23F9" w:rsidRPr="0002498E" w:rsidRDefault="009A23F9" w:rsidP="008536EB">
            <w:pPr>
              <w:rPr>
                <w:sz w:val="22"/>
                <w:szCs w:val="22"/>
              </w:rPr>
            </w:pPr>
            <w:r w:rsidRPr="0002498E">
              <w:rPr>
                <w:sz w:val="22"/>
                <w:szCs w:val="22"/>
              </w:rPr>
              <w:t>Td</w:t>
            </w:r>
          </w:p>
        </w:tc>
        <w:tc>
          <w:tcPr>
            <w:tcW w:w="820" w:type="dxa"/>
          </w:tcPr>
          <w:p w14:paraId="274C2ED4" w14:textId="77777777" w:rsidR="009A23F9" w:rsidRPr="0002498E" w:rsidRDefault="009A23F9" w:rsidP="008536EB">
            <w:pPr>
              <w:rPr>
                <w:sz w:val="22"/>
                <w:szCs w:val="22"/>
              </w:rPr>
            </w:pPr>
          </w:p>
        </w:tc>
        <w:tc>
          <w:tcPr>
            <w:tcW w:w="820" w:type="dxa"/>
          </w:tcPr>
          <w:p w14:paraId="30AD3F47" w14:textId="77777777" w:rsidR="009A23F9" w:rsidRPr="0002498E" w:rsidRDefault="009A23F9" w:rsidP="008536EB">
            <w:pPr>
              <w:rPr>
                <w:sz w:val="22"/>
                <w:szCs w:val="22"/>
              </w:rPr>
            </w:pPr>
          </w:p>
        </w:tc>
        <w:tc>
          <w:tcPr>
            <w:tcW w:w="899" w:type="dxa"/>
          </w:tcPr>
          <w:p w14:paraId="01614C7B" w14:textId="77777777" w:rsidR="009A23F9" w:rsidRPr="0002498E" w:rsidRDefault="009A23F9" w:rsidP="008536EB">
            <w:pPr>
              <w:rPr>
                <w:sz w:val="22"/>
                <w:szCs w:val="22"/>
              </w:rPr>
            </w:pPr>
          </w:p>
        </w:tc>
        <w:tc>
          <w:tcPr>
            <w:tcW w:w="899" w:type="dxa"/>
          </w:tcPr>
          <w:p w14:paraId="0CBFBB51" w14:textId="77777777" w:rsidR="009A23F9" w:rsidRPr="0002498E" w:rsidRDefault="009A23F9" w:rsidP="008536EB">
            <w:pPr>
              <w:rPr>
                <w:sz w:val="22"/>
                <w:szCs w:val="22"/>
              </w:rPr>
            </w:pPr>
          </w:p>
        </w:tc>
        <w:tc>
          <w:tcPr>
            <w:tcW w:w="899" w:type="dxa"/>
          </w:tcPr>
          <w:p w14:paraId="3281C17C" w14:textId="77777777" w:rsidR="009A23F9" w:rsidRPr="0002498E" w:rsidRDefault="009A23F9" w:rsidP="008536EB">
            <w:pPr>
              <w:rPr>
                <w:sz w:val="22"/>
                <w:szCs w:val="22"/>
              </w:rPr>
            </w:pPr>
          </w:p>
        </w:tc>
        <w:tc>
          <w:tcPr>
            <w:tcW w:w="899" w:type="dxa"/>
          </w:tcPr>
          <w:p w14:paraId="36E873B9" w14:textId="77777777" w:rsidR="009A23F9" w:rsidRPr="0002498E" w:rsidRDefault="009A23F9" w:rsidP="008536EB">
            <w:pPr>
              <w:rPr>
                <w:sz w:val="22"/>
                <w:szCs w:val="22"/>
              </w:rPr>
            </w:pPr>
          </w:p>
        </w:tc>
        <w:tc>
          <w:tcPr>
            <w:tcW w:w="899" w:type="dxa"/>
          </w:tcPr>
          <w:p w14:paraId="0EAC4ED9" w14:textId="77777777" w:rsidR="009A23F9" w:rsidRPr="0002498E" w:rsidRDefault="009A23F9" w:rsidP="008536EB">
            <w:pPr>
              <w:rPr>
                <w:sz w:val="22"/>
                <w:szCs w:val="22"/>
              </w:rPr>
            </w:pPr>
          </w:p>
        </w:tc>
        <w:tc>
          <w:tcPr>
            <w:tcW w:w="835" w:type="dxa"/>
          </w:tcPr>
          <w:p w14:paraId="03599355" w14:textId="77777777" w:rsidR="009A23F9" w:rsidRPr="0002498E" w:rsidRDefault="009A23F9" w:rsidP="008536EB">
            <w:pPr>
              <w:rPr>
                <w:sz w:val="22"/>
                <w:szCs w:val="22"/>
              </w:rPr>
            </w:pPr>
          </w:p>
        </w:tc>
        <w:tc>
          <w:tcPr>
            <w:tcW w:w="835" w:type="dxa"/>
            <w:shd w:val="clear" w:color="auto" w:fill="B3B3B3"/>
          </w:tcPr>
          <w:p w14:paraId="1E75D5B5" w14:textId="77777777" w:rsidR="009A23F9" w:rsidRPr="0002498E" w:rsidRDefault="009A23F9" w:rsidP="008536EB">
            <w:pPr>
              <w:rPr>
                <w:sz w:val="22"/>
                <w:szCs w:val="22"/>
              </w:rPr>
            </w:pPr>
          </w:p>
        </w:tc>
      </w:tr>
      <w:tr w:rsidR="009A23F9" w:rsidRPr="0002498E" w14:paraId="78EB5CE1" w14:textId="77777777" w:rsidTr="009A23F9">
        <w:tc>
          <w:tcPr>
            <w:tcW w:w="567" w:type="dxa"/>
          </w:tcPr>
          <w:p w14:paraId="3A30B8BB" w14:textId="77777777" w:rsidR="009A23F9" w:rsidRPr="009A23F9" w:rsidRDefault="009A23F9" w:rsidP="008536EB">
            <w:pPr>
              <w:jc w:val="center"/>
              <w:rPr>
                <w:i/>
                <w:sz w:val="22"/>
                <w:szCs w:val="22"/>
              </w:rPr>
            </w:pPr>
            <w:r w:rsidRPr="009A23F9">
              <w:rPr>
                <w:i/>
                <w:sz w:val="22"/>
                <w:szCs w:val="22"/>
              </w:rPr>
              <w:t>9</w:t>
            </w:r>
          </w:p>
        </w:tc>
        <w:tc>
          <w:tcPr>
            <w:tcW w:w="2098" w:type="dxa"/>
          </w:tcPr>
          <w:p w14:paraId="7A2BA3EA" w14:textId="77777777" w:rsidR="009A23F9" w:rsidRPr="0002498E" w:rsidRDefault="009A23F9" w:rsidP="008536EB">
            <w:pPr>
              <w:rPr>
                <w:sz w:val="22"/>
                <w:szCs w:val="22"/>
              </w:rPr>
            </w:pPr>
            <w:r w:rsidRPr="0002498E">
              <w:rPr>
                <w:sz w:val="22"/>
                <w:szCs w:val="22"/>
              </w:rPr>
              <w:t>Rota</w:t>
            </w:r>
          </w:p>
        </w:tc>
        <w:tc>
          <w:tcPr>
            <w:tcW w:w="820" w:type="dxa"/>
          </w:tcPr>
          <w:p w14:paraId="773C3ADF" w14:textId="77777777" w:rsidR="009A23F9" w:rsidRPr="0002498E" w:rsidRDefault="009A23F9" w:rsidP="008536EB">
            <w:pPr>
              <w:rPr>
                <w:sz w:val="22"/>
                <w:szCs w:val="22"/>
              </w:rPr>
            </w:pPr>
          </w:p>
        </w:tc>
        <w:tc>
          <w:tcPr>
            <w:tcW w:w="820" w:type="dxa"/>
          </w:tcPr>
          <w:p w14:paraId="5CAB6862" w14:textId="77777777" w:rsidR="009A23F9" w:rsidRPr="0002498E" w:rsidRDefault="009A23F9" w:rsidP="008536EB">
            <w:pPr>
              <w:rPr>
                <w:sz w:val="22"/>
                <w:szCs w:val="22"/>
              </w:rPr>
            </w:pPr>
          </w:p>
        </w:tc>
        <w:tc>
          <w:tcPr>
            <w:tcW w:w="899" w:type="dxa"/>
            <w:shd w:val="clear" w:color="auto" w:fill="B3B3B3"/>
          </w:tcPr>
          <w:p w14:paraId="36D05CAE" w14:textId="77777777" w:rsidR="009A23F9" w:rsidRPr="0002498E" w:rsidRDefault="009A23F9" w:rsidP="008536EB">
            <w:pPr>
              <w:rPr>
                <w:sz w:val="22"/>
                <w:szCs w:val="22"/>
              </w:rPr>
            </w:pPr>
          </w:p>
        </w:tc>
        <w:tc>
          <w:tcPr>
            <w:tcW w:w="899" w:type="dxa"/>
            <w:shd w:val="clear" w:color="auto" w:fill="B3B3B3"/>
          </w:tcPr>
          <w:p w14:paraId="72805A52" w14:textId="77777777" w:rsidR="009A23F9" w:rsidRPr="0002498E" w:rsidRDefault="009A23F9" w:rsidP="008536EB">
            <w:pPr>
              <w:rPr>
                <w:sz w:val="22"/>
                <w:szCs w:val="22"/>
              </w:rPr>
            </w:pPr>
          </w:p>
        </w:tc>
        <w:tc>
          <w:tcPr>
            <w:tcW w:w="899" w:type="dxa"/>
          </w:tcPr>
          <w:p w14:paraId="4115F732" w14:textId="77777777" w:rsidR="009A23F9" w:rsidRPr="0002498E" w:rsidRDefault="009A23F9" w:rsidP="008536EB">
            <w:pPr>
              <w:rPr>
                <w:sz w:val="22"/>
                <w:szCs w:val="22"/>
              </w:rPr>
            </w:pPr>
          </w:p>
        </w:tc>
        <w:tc>
          <w:tcPr>
            <w:tcW w:w="899" w:type="dxa"/>
          </w:tcPr>
          <w:p w14:paraId="02B9194D" w14:textId="77777777" w:rsidR="009A23F9" w:rsidRPr="0002498E" w:rsidRDefault="009A23F9" w:rsidP="008536EB">
            <w:pPr>
              <w:rPr>
                <w:sz w:val="22"/>
                <w:szCs w:val="22"/>
              </w:rPr>
            </w:pPr>
          </w:p>
        </w:tc>
        <w:tc>
          <w:tcPr>
            <w:tcW w:w="899" w:type="dxa"/>
          </w:tcPr>
          <w:p w14:paraId="120C542D" w14:textId="77777777" w:rsidR="009A23F9" w:rsidRPr="0002498E" w:rsidRDefault="009A23F9" w:rsidP="008536EB">
            <w:pPr>
              <w:rPr>
                <w:sz w:val="22"/>
                <w:szCs w:val="22"/>
              </w:rPr>
            </w:pPr>
          </w:p>
        </w:tc>
        <w:tc>
          <w:tcPr>
            <w:tcW w:w="835" w:type="dxa"/>
          </w:tcPr>
          <w:p w14:paraId="7E05F479" w14:textId="77777777" w:rsidR="009A23F9" w:rsidRPr="0002498E" w:rsidRDefault="009A23F9" w:rsidP="008536EB">
            <w:pPr>
              <w:rPr>
                <w:sz w:val="22"/>
                <w:szCs w:val="22"/>
              </w:rPr>
            </w:pPr>
          </w:p>
        </w:tc>
        <w:tc>
          <w:tcPr>
            <w:tcW w:w="835" w:type="dxa"/>
          </w:tcPr>
          <w:p w14:paraId="4580CAA8" w14:textId="77777777" w:rsidR="009A23F9" w:rsidRPr="0002498E" w:rsidRDefault="009A23F9" w:rsidP="008536EB">
            <w:pPr>
              <w:rPr>
                <w:sz w:val="22"/>
                <w:szCs w:val="22"/>
              </w:rPr>
            </w:pPr>
          </w:p>
        </w:tc>
      </w:tr>
      <w:tr w:rsidR="009A23F9" w:rsidRPr="0002498E" w14:paraId="4F69A6C8" w14:textId="77777777" w:rsidTr="009A23F9">
        <w:tc>
          <w:tcPr>
            <w:tcW w:w="567" w:type="dxa"/>
          </w:tcPr>
          <w:p w14:paraId="7857195F" w14:textId="77777777" w:rsidR="009A23F9" w:rsidRPr="009A23F9" w:rsidRDefault="009A23F9" w:rsidP="008536EB">
            <w:pPr>
              <w:jc w:val="center"/>
              <w:rPr>
                <w:i/>
                <w:sz w:val="22"/>
                <w:szCs w:val="22"/>
              </w:rPr>
            </w:pPr>
            <w:r w:rsidRPr="009A23F9">
              <w:rPr>
                <w:i/>
                <w:sz w:val="22"/>
                <w:szCs w:val="22"/>
              </w:rPr>
              <w:t>10</w:t>
            </w:r>
          </w:p>
        </w:tc>
        <w:tc>
          <w:tcPr>
            <w:tcW w:w="2098" w:type="dxa"/>
          </w:tcPr>
          <w:p w14:paraId="4075589C" w14:textId="77777777" w:rsidR="009A23F9" w:rsidRPr="0002498E" w:rsidRDefault="009A23F9" w:rsidP="008536EB">
            <w:pPr>
              <w:rPr>
                <w:sz w:val="22"/>
                <w:szCs w:val="22"/>
              </w:rPr>
            </w:pPr>
            <w:r w:rsidRPr="0002498E">
              <w:rPr>
                <w:sz w:val="22"/>
                <w:szCs w:val="22"/>
              </w:rPr>
              <w:t>PCV</w:t>
            </w:r>
          </w:p>
        </w:tc>
        <w:tc>
          <w:tcPr>
            <w:tcW w:w="820" w:type="dxa"/>
          </w:tcPr>
          <w:p w14:paraId="70D51F54" w14:textId="77777777" w:rsidR="009A23F9" w:rsidRPr="0002498E" w:rsidRDefault="009A23F9" w:rsidP="008536EB">
            <w:pPr>
              <w:rPr>
                <w:sz w:val="22"/>
                <w:szCs w:val="22"/>
              </w:rPr>
            </w:pPr>
          </w:p>
        </w:tc>
        <w:tc>
          <w:tcPr>
            <w:tcW w:w="820" w:type="dxa"/>
          </w:tcPr>
          <w:p w14:paraId="3B1FBE5F" w14:textId="77777777" w:rsidR="009A23F9" w:rsidRPr="0002498E" w:rsidRDefault="009A23F9" w:rsidP="008536EB">
            <w:pPr>
              <w:rPr>
                <w:sz w:val="22"/>
                <w:szCs w:val="22"/>
              </w:rPr>
            </w:pPr>
          </w:p>
        </w:tc>
        <w:tc>
          <w:tcPr>
            <w:tcW w:w="899" w:type="dxa"/>
            <w:shd w:val="clear" w:color="auto" w:fill="B3B3B3"/>
          </w:tcPr>
          <w:p w14:paraId="4BD708DE" w14:textId="77777777" w:rsidR="009A23F9" w:rsidRPr="0002498E" w:rsidRDefault="009A23F9" w:rsidP="008536EB">
            <w:pPr>
              <w:rPr>
                <w:sz w:val="22"/>
                <w:szCs w:val="22"/>
              </w:rPr>
            </w:pPr>
          </w:p>
        </w:tc>
        <w:tc>
          <w:tcPr>
            <w:tcW w:w="899" w:type="dxa"/>
            <w:shd w:val="clear" w:color="auto" w:fill="B3B3B3"/>
          </w:tcPr>
          <w:p w14:paraId="137C1BFF" w14:textId="77777777" w:rsidR="009A23F9" w:rsidRPr="0002498E" w:rsidRDefault="009A23F9" w:rsidP="008536EB">
            <w:pPr>
              <w:rPr>
                <w:sz w:val="22"/>
                <w:szCs w:val="22"/>
              </w:rPr>
            </w:pPr>
          </w:p>
        </w:tc>
        <w:tc>
          <w:tcPr>
            <w:tcW w:w="899" w:type="dxa"/>
          </w:tcPr>
          <w:p w14:paraId="1B4AB5F8" w14:textId="77777777" w:rsidR="009A23F9" w:rsidRPr="0002498E" w:rsidRDefault="009A23F9" w:rsidP="008536EB">
            <w:pPr>
              <w:rPr>
                <w:sz w:val="22"/>
                <w:szCs w:val="22"/>
              </w:rPr>
            </w:pPr>
          </w:p>
        </w:tc>
        <w:tc>
          <w:tcPr>
            <w:tcW w:w="899" w:type="dxa"/>
            <w:shd w:val="clear" w:color="auto" w:fill="B3B3B3"/>
          </w:tcPr>
          <w:p w14:paraId="1C33A4A4" w14:textId="77777777" w:rsidR="009A23F9" w:rsidRPr="0002498E" w:rsidRDefault="009A23F9" w:rsidP="008536EB">
            <w:pPr>
              <w:rPr>
                <w:sz w:val="22"/>
                <w:szCs w:val="22"/>
              </w:rPr>
            </w:pPr>
          </w:p>
        </w:tc>
        <w:tc>
          <w:tcPr>
            <w:tcW w:w="899" w:type="dxa"/>
          </w:tcPr>
          <w:p w14:paraId="043FEE3D" w14:textId="77777777" w:rsidR="009A23F9" w:rsidRPr="0002498E" w:rsidRDefault="009A23F9" w:rsidP="008536EB">
            <w:pPr>
              <w:rPr>
                <w:sz w:val="22"/>
                <w:szCs w:val="22"/>
              </w:rPr>
            </w:pPr>
          </w:p>
        </w:tc>
        <w:tc>
          <w:tcPr>
            <w:tcW w:w="835" w:type="dxa"/>
          </w:tcPr>
          <w:p w14:paraId="23A358A7" w14:textId="77777777" w:rsidR="009A23F9" w:rsidRPr="0002498E" w:rsidRDefault="009A23F9" w:rsidP="008536EB">
            <w:pPr>
              <w:rPr>
                <w:sz w:val="22"/>
                <w:szCs w:val="22"/>
              </w:rPr>
            </w:pPr>
          </w:p>
        </w:tc>
        <w:tc>
          <w:tcPr>
            <w:tcW w:w="835" w:type="dxa"/>
          </w:tcPr>
          <w:p w14:paraId="4C8CC4E0" w14:textId="77777777" w:rsidR="009A23F9" w:rsidRPr="0002498E" w:rsidRDefault="009A23F9" w:rsidP="008536EB">
            <w:pPr>
              <w:rPr>
                <w:sz w:val="22"/>
                <w:szCs w:val="22"/>
              </w:rPr>
            </w:pPr>
          </w:p>
        </w:tc>
      </w:tr>
    </w:tbl>
    <w:p w14:paraId="6946F880" w14:textId="21881D14" w:rsidR="009A23F9" w:rsidRPr="001564FF" w:rsidRDefault="009A23F9" w:rsidP="009A23F9">
      <w:pPr>
        <w:ind w:right="-250"/>
        <w:rPr>
          <w:sz w:val="20"/>
          <w:szCs w:val="20"/>
        </w:rPr>
      </w:pPr>
      <w:r w:rsidRPr="001564FF">
        <w:rPr>
          <w:sz w:val="20"/>
          <w:szCs w:val="20"/>
          <w:lang w:val="en-GB"/>
        </w:rPr>
        <w:t xml:space="preserve">* </w:t>
      </w:r>
      <w:r>
        <w:rPr>
          <w:sz w:val="20"/>
          <w:szCs w:val="20"/>
          <w:lang w:val="en-GB"/>
        </w:rPr>
        <w:t>Hexavalent</w:t>
      </w:r>
      <w:r w:rsidRPr="001564FF">
        <w:rPr>
          <w:sz w:val="20"/>
          <w:szCs w:val="20"/>
          <w:lang w:val="en-GB"/>
        </w:rPr>
        <w:t xml:space="preserve"> vaccine: </w:t>
      </w:r>
      <w:r>
        <w:rPr>
          <w:sz w:val="20"/>
          <w:szCs w:val="20"/>
        </w:rPr>
        <w:t>DTaP</w:t>
      </w:r>
      <w:r w:rsidRPr="001564FF">
        <w:rPr>
          <w:sz w:val="20"/>
          <w:szCs w:val="20"/>
        </w:rPr>
        <w:t>-Hib-Hep.B</w:t>
      </w:r>
      <w:r>
        <w:rPr>
          <w:sz w:val="20"/>
          <w:szCs w:val="20"/>
        </w:rPr>
        <w:t>-IPV</w:t>
      </w:r>
    </w:p>
    <w:p w14:paraId="794AC78D" w14:textId="5B896F02" w:rsidR="004E0C43" w:rsidRPr="008E4B7A" w:rsidRDefault="009A23F9" w:rsidP="008E4B7A">
      <w:pPr>
        <w:spacing w:before="120" w:line="300" w:lineRule="atLeast"/>
        <w:jc w:val="center"/>
        <w:rPr>
          <w:bCs/>
          <w:i/>
          <w:lang w:val="en-GB"/>
        </w:rPr>
      </w:pPr>
      <w:r w:rsidRPr="00EE33FA">
        <w:rPr>
          <w:i/>
          <w:lang w:val="en-GB"/>
        </w:rPr>
        <w:t>Figure/table</w:t>
      </w:r>
      <w:r w:rsidRPr="00EE33FA">
        <w:rPr>
          <w:bCs/>
          <w:i/>
          <w:lang w:val="en-GB"/>
        </w:rPr>
        <w:t xml:space="preserve"> </w:t>
      </w:r>
      <w:r w:rsidR="00C82088">
        <w:rPr>
          <w:bCs/>
          <w:i/>
          <w:lang w:val="en-GB"/>
        </w:rPr>
        <w:t>5</w:t>
      </w:r>
      <w:r w:rsidRPr="00EE33FA">
        <w:rPr>
          <w:bCs/>
          <w:i/>
          <w:lang w:val="en-GB"/>
        </w:rPr>
        <w:t>: Immunization Schedule</w:t>
      </w:r>
      <w:r w:rsidR="00AE58AD">
        <w:rPr>
          <w:bCs/>
          <w:i/>
          <w:lang w:val="en-GB"/>
        </w:rPr>
        <w:t xml:space="preserve"> – planned, end of 2015 and 2016</w:t>
      </w:r>
    </w:p>
    <w:p w14:paraId="545E051B" w14:textId="360EC466" w:rsidR="00A703D4" w:rsidRPr="00A732C6" w:rsidRDefault="00A703D4" w:rsidP="00A703D4">
      <w:pPr>
        <w:spacing w:before="120" w:line="300" w:lineRule="atLeast"/>
        <w:ind w:firstLine="360"/>
        <w:jc w:val="both"/>
        <w:rPr>
          <w:lang w:val="en-GB"/>
        </w:rPr>
      </w:pPr>
      <w:r>
        <w:rPr>
          <w:lang w:val="en-GB"/>
        </w:rPr>
        <w:t>Rotavirus vaccine</w:t>
      </w:r>
      <w:r w:rsidRPr="00A732C6">
        <w:rPr>
          <w:lang w:val="en-GB"/>
        </w:rPr>
        <w:t xml:space="preserve"> and PCV </w:t>
      </w:r>
      <w:r w:rsidR="008A44B2">
        <w:rPr>
          <w:lang w:val="en-GB"/>
        </w:rPr>
        <w:t>introduction was</w:t>
      </w:r>
      <w:r w:rsidRPr="00A732C6">
        <w:rPr>
          <w:lang w:val="en-GB"/>
        </w:rPr>
        <w:t xml:space="preserve"> well received by the health staff and parents. None of the </w:t>
      </w:r>
      <w:r>
        <w:rPr>
          <w:lang w:val="en-GB"/>
        </w:rPr>
        <w:t>family practitioners</w:t>
      </w:r>
      <w:r w:rsidRPr="00A732C6">
        <w:rPr>
          <w:lang w:val="en-GB"/>
        </w:rPr>
        <w:t xml:space="preserve"> expressed any concern about the necessity of the new vaccines. In general </w:t>
      </w:r>
      <w:r>
        <w:rPr>
          <w:lang w:val="en-GB"/>
        </w:rPr>
        <w:t>Rotavirus vaccine</w:t>
      </w:r>
      <w:r w:rsidRPr="00A732C6">
        <w:rPr>
          <w:lang w:val="en-GB"/>
        </w:rPr>
        <w:t xml:space="preserve"> coverage is lower compared to other vaccines administered at the same age, and this difference was explained by the age limitation and delays in receiving the other antigens. Although some </w:t>
      </w:r>
      <w:r w:rsidR="008E4B7A">
        <w:rPr>
          <w:lang w:val="en-GB"/>
        </w:rPr>
        <w:t>family practitioners</w:t>
      </w:r>
      <w:r w:rsidR="008E4B7A" w:rsidRPr="00A732C6">
        <w:rPr>
          <w:lang w:val="en-GB"/>
        </w:rPr>
        <w:t xml:space="preserve"> </w:t>
      </w:r>
      <w:r w:rsidRPr="00A732C6">
        <w:rPr>
          <w:lang w:val="en-GB"/>
        </w:rPr>
        <w:t xml:space="preserve">were initially concerned about the </w:t>
      </w:r>
      <w:r w:rsidR="006421D0" w:rsidRPr="00A732C6">
        <w:rPr>
          <w:lang w:val="en-GB"/>
        </w:rPr>
        <w:t>parents’</w:t>
      </w:r>
      <w:r w:rsidRPr="00A732C6">
        <w:rPr>
          <w:lang w:val="en-GB"/>
        </w:rPr>
        <w:t xml:space="preserve"> reaction to two injections in the same visit, in practi</w:t>
      </w:r>
      <w:r w:rsidR="008E4B7A">
        <w:rPr>
          <w:lang w:val="en-GB"/>
        </w:rPr>
        <w:t xml:space="preserve">ce PCV </w:t>
      </w:r>
      <w:r w:rsidR="006421D0">
        <w:rPr>
          <w:lang w:val="en-GB"/>
        </w:rPr>
        <w:t>rollout</w:t>
      </w:r>
      <w:r w:rsidR="008E4B7A">
        <w:rPr>
          <w:lang w:val="en-GB"/>
        </w:rPr>
        <w:t xml:space="preserve"> was going well.</w:t>
      </w:r>
    </w:p>
    <w:p w14:paraId="3AD339D2" w14:textId="77777777" w:rsidR="00A703D4" w:rsidRDefault="00A703D4" w:rsidP="00A732C6">
      <w:pPr>
        <w:spacing w:before="120" w:line="300" w:lineRule="atLeast"/>
        <w:jc w:val="both"/>
        <w:rPr>
          <w:lang w:val="en-GB"/>
        </w:rPr>
      </w:pPr>
    </w:p>
    <w:p w14:paraId="44BDD5EB" w14:textId="71B47D7A" w:rsidR="003C3087" w:rsidRDefault="003C3087" w:rsidP="003C3087">
      <w:pPr>
        <w:spacing w:before="120" w:line="300" w:lineRule="atLeast"/>
        <w:ind w:firstLine="360"/>
        <w:jc w:val="both"/>
        <w:rPr>
          <w:lang w:val="en-GB"/>
        </w:rPr>
      </w:pPr>
      <w:r>
        <w:rPr>
          <w:lang w:val="en-GB"/>
        </w:rPr>
        <w:t xml:space="preserve">Concerning the access to immunization, it is not a problem </w:t>
      </w:r>
      <w:r w:rsidR="00C94360">
        <w:rPr>
          <w:lang w:val="en-GB"/>
        </w:rPr>
        <w:t xml:space="preserve">in major cities </w:t>
      </w:r>
      <w:r>
        <w:rPr>
          <w:lang w:val="en-GB"/>
        </w:rPr>
        <w:t>(high frequency of immunization provision). In rural area, b</w:t>
      </w:r>
      <w:r w:rsidRPr="00A732C6">
        <w:rPr>
          <w:lang w:val="en-GB"/>
        </w:rPr>
        <w:t>ecause of the low nu</w:t>
      </w:r>
      <w:r>
        <w:rPr>
          <w:lang w:val="en-GB"/>
        </w:rPr>
        <w:t>mber of children per facility, health centres</w:t>
      </w:r>
      <w:r w:rsidRPr="00A732C6">
        <w:rPr>
          <w:lang w:val="en-GB"/>
        </w:rPr>
        <w:t xml:space="preserve"> </w:t>
      </w:r>
      <w:r>
        <w:rPr>
          <w:lang w:val="en-GB"/>
        </w:rPr>
        <w:t>are providing</w:t>
      </w:r>
      <w:r w:rsidRPr="00A732C6">
        <w:rPr>
          <w:lang w:val="en-GB"/>
        </w:rPr>
        <w:t xml:space="preserve"> immunization se</w:t>
      </w:r>
      <w:r>
        <w:rPr>
          <w:lang w:val="en-GB"/>
        </w:rPr>
        <w:t>rvices only on designated dates (</w:t>
      </w:r>
      <w:r w:rsidRPr="00A732C6">
        <w:rPr>
          <w:lang w:val="en-GB"/>
        </w:rPr>
        <w:t xml:space="preserve">once a month in </w:t>
      </w:r>
      <w:r>
        <w:rPr>
          <w:lang w:val="en-GB"/>
        </w:rPr>
        <w:t>some</w:t>
      </w:r>
      <w:r w:rsidRPr="00A732C6">
        <w:rPr>
          <w:lang w:val="en-GB"/>
        </w:rPr>
        <w:t xml:space="preserve"> areas</w:t>
      </w:r>
      <w:r>
        <w:rPr>
          <w:lang w:val="en-GB"/>
        </w:rPr>
        <w:t>).</w:t>
      </w:r>
    </w:p>
    <w:p w14:paraId="24FB759C" w14:textId="794D3ABC" w:rsidR="00096E46" w:rsidRDefault="00096E46" w:rsidP="00CE7F97">
      <w:pPr>
        <w:spacing w:before="120" w:line="300" w:lineRule="atLeast"/>
        <w:ind w:firstLine="360"/>
        <w:jc w:val="both"/>
        <w:rPr>
          <w:lang w:val="en-GB"/>
        </w:rPr>
      </w:pPr>
      <w:r>
        <w:rPr>
          <w:lang w:val="en-GB"/>
        </w:rPr>
        <w:t>About the d</w:t>
      </w:r>
      <w:r w:rsidRPr="00096E46">
        <w:rPr>
          <w:lang w:val="en-GB"/>
        </w:rPr>
        <w:t xml:space="preserve">istribution process of the registered </w:t>
      </w:r>
      <w:r w:rsidR="00CF3FEF">
        <w:rPr>
          <w:lang w:val="en-GB"/>
        </w:rPr>
        <w:t xml:space="preserve">children, </w:t>
      </w:r>
      <w:r w:rsidRPr="00096E46">
        <w:rPr>
          <w:lang w:val="en-GB"/>
        </w:rPr>
        <w:t>ascertainment of the p</w:t>
      </w:r>
      <w:r>
        <w:rPr>
          <w:lang w:val="en-GB"/>
        </w:rPr>
        <w:t xml:space="preserve">rojected target </w:t>
      </w:r>
      <w:r w:rsidR="00CF3FEF">
        <w:rPr>
          <w:lang w:val="en-GB"/>
        </w:rPr>
        <w:t>population</w:t>
      </w:r>
      <w:r w:rsidRPr="00096E46">
        <w:rPr>
          <w:lang w:val="en-GB"/>
        </w:rPr>
        <w:t xml:space="preserve"> has been difficult lately due to the newly established medical facilities</w:t>
      </w:r>
      <w:r w:rsidR="00CF3FEF">
        <w:rPr>
          <w:lang w:val="en-GB"/>
        </w:rPr>
        <w:t>, and the fact that the parents can choose their facilities for immunization</w:t>
      </w:r>
      <w:r w:rsidRPr="00096E46">
        <w:rPr>
          <w:lang w:val="en-GB"/>
        </w:rPr>
        <w:t>. Their contingent is in the formation phase, the beneficiaries of the other facilities are</w:t>
      </w:r>
      <w:r w:rsidR="00CF3FEF">
        <w:rPr>
          <w:lang w:val="en-GB"/>
        </w:rPr>
        <w:t xml:space="preserve"> being recruited and the population </w:t>
      </w:r>
      <w:r w:rsidRPr="00096E46">
        <w:rPr>
          <w:lang w:val="en-GB"/>
        </w:rPr>
        <w:t xml:space="preserve">can </w:t>
      </w:r>
      <w:r w:rsidR="00CF3FEF">
        <w:rPr>
          <w:lang w:val="en-GB"/>
        </w:rPr>
        <w:t>cho</w:t>
      </w:r>
      <w:r w:rsidR="003E23DD">
        <w:rPr>
          <w:lang w:val="en-GB"/>
        </w:rPr>
        <w:t>o</w:t>
      </w:r>
      <w:r w:rsidR="00CF3FEF">
        <w:rPr>
          <w:lang w:val="en-GB"/>
        </w:rPr>
        <w:t>se the facility themselves</w:t>
      </w:r>
      <w:r w:rsidRPr="00096E46">
        <w:rPr>
          <w:lang w:val="en-GB"/>
        </w:rPr>
        <w:t xml:space="preserve">. Hence, it is likely that the target </w:t>
      </w:r>
      <w:r w:rsidR="00CF3FEF">
        <w:rPr>
          <w:lang w:val="en-GB"/>
        </w:rPr>
        <w:t>population</w:t>
      </w:r>
      <w:r w:rsidRPr="00096E46">
        <w:rPr>
          <w:lang w:val="en-GB"/>
        </w:rPr>
        <w:t xml:space="preserve"> of </w:t>
      </w:r>
      <w:r w:rsidR="00CF3FEF">
        <w:rPr>
          <w:lang w:val="en-GB"/>
        </w:rPr>
        <w:t>some</w:t>
      </w:r>
      <w:r w:rsidRPr="00096E46">
        <w:rPr>
          <w:lang w:val="en-GB"/>
        </w:rPr>
        <w:t xml:space="preserve"> facilities </w:t>
      </w:r>
      <w:r w:rsidR="00CF3FEF">
        <w:rPr>
          <w:lang w:val="en-GB"/>
        </w:rPr>
        <w:t xml:space="preserve">can increase, while </w:t>
      </w:r>
      <w:r w:rsidR="000831E7">
        <w:rPr>
          <w:lang w:val="en-GB"/>
        </w:rPr>
        <w:t xml:space="preserve">in </w:t>
      </w:r>
      <w:r w:rsidR="00CF3FEF">
        <w:rPr>
          <w:lang w:val="en-GB"/>
        </w:rPr>
        <w:t>other</w:t>
      </w:r>
      <w:r w:rsidR="000831E7">
        <w:rPr>
          <w:lang w:val="en-GB"/>
        </w:rPr>
        <w:t>s</w:t>
      </w:r>
      <w:r w:rsidR="00CF3FEF">
        <w:rPr>
          <w:lang w:val="en-GB"/>
        </w:rPr>
        <w:t xml:space="preserve"> </w:t>
      </w:r>
      <w:r w:rsidR="000831E7">
        <w:rPr>
          <w:lang w:val="en-GB"/>
        </w:rPr>
        <w:t xml:space="preserve">it </w:t>
      </w:r>
      <w:r w:rsidR="00CF3FEF">
        <w:rPr>
          <w:lang w:val="en-GB"/>
        </w:rPr>
        <w:t xml:space="preserve">can </w:t>
      </w:r>
      <w:r w:rsidRPr="00096E46">
        <w:rPr>
          <w:lang w:val="en-GB"/>
        </w:rPr>
        <w:t>decrease</w:t>
      </w:r>
      <w:r w:rsidR="00CF3FEF">
        <w:rPr>
          <w:lang w:val="en-GB"/>
        </w:rPr>
        <w:t>. It brings a real challenge in actively covering the target population.</w:t>
      </w:r>
    </w:p>
    <w:p w14:paraId="395B110B" w14:textId="4DC299A9" w:rsidR="00C812D4" w:rsidRDefault="00C812D4" w:rsidP="00C812D4">
      <w:pPr>
        <w:spacing w:before="120" w:line="300" w:lineRule="atLeast"/>
        <w:ind w:firstLine="360"/>
        <w:jc w:val="both"/>
        <w:rPr>
          <w:lang w:val="en-GB"/>
        </w:rPr>
      </w:pPr>
      <w:r>
        <w:rPr>
          <w:lang w:val="en-GB"/>
        </w:rPr>
        <w:t>Concerning the strategies to reach the highest coverage, although there is a s</w:t>
      </w:r>
      <w:r w:rsidRPr="00C812D4">
        <w:rPr>
          <w:lang w:val="en-GB"/>
        </w:rPr>
        <w:t>trong involvement of health staff in follow-up with parents on immunization timelines (phone</w:t>
      </w:r>
      <w:r>
        <w:rPr>
          <w:lang w:val="en-GB"/>
        </w:rPr>
        <w:t>-sms</w:t>
      </w:r>
      <w:r w:rsidRPr="00C812D4">
        <w:rPr>
          <w:lang w:val="en-GB"/>
        </w:rPr>
        <w:t xml:space="preserve"> reminders of the need to bring </w:t>
      </w:r>
      <w:r w:rsidR="007D4708">
        <w:rPr>
          <w:lang w:val="en-GB"/>
        </w:rPr>
        <w:t xml:space="preserve">children </w:t>
      </w:r>
      <w:r w:rsidRPr="00C812D4">
        <w:rPr>
          <w:lang w:val="en-GB"/>
        </w:rPr>
        <w:t xml:space="preserve">for vaccination, efforts to explain to parents the value and safety of immunization), </w:t>
      </w:r>
      <w:r>
        <w:rPr>
          <w:lang w:val="en-GB"/>
        </w:rPr>
        <w:t xml:space="preserve">there are </w:t>
      </w:r>
      <w:r w:rsidRPr="00C812D4">
        <w:rPr>
          <w:lang w:val="en-GB"/>
        </w:rPr>
        <w:t xml:space="preserve">still </w:t>
      </w:r>
      <w:r>
        <w:rPr>
          <w:lang w:val="en-GB"/>
        </w:rPr>
        <w:t xml:space="preserve">children missed or </w:t>
      </w:r>
      <w:r w:rsidRPr="00C812D4">
        <w:rPr>
          <w:lang w:val="en-GB"/>
        </w:rPr>
        <w:t>immunizatio</w:t>
      </w:r>
      <w:r>
        <w:rPr>
          <w:lang w:val="en-GB"/>
        </w:rPr>
        <w:t xml:space="preserve">n delays, </w:t>
      </w:r>
      <w:r w:rsidR="00F97939">
        <w:rPr>
          <w:lang w:val="en-GB"/>
        </w:rPr>
        <w:t>leading to</w:t>
      </w:r>
      <w:r>
        <w:rPr>
          <w:lang w:val="en-GB"/>
        </w:rPr>
        <w:t xml:space="preserve"> a </w:t>
      </w:r>
      <w:r w:rsidRPr="00C812D4">
        <w:rPr>
          <w:lang w:val="en-GB"/>
        </w:rPr>
        <w:t>s</w:t>
      </w:r>
      <w:r>
        <w:rPr>
          <w:lang w:val="en-GB"/>
        </w:rPr>
        <w:t>ignificant drop-out between doses of antigens (</w:t>
      </w:r>
      <w:r w:rsidR="009279A7">
        <w:rPr>
          <w:lang w:val="en-GB"/>
        </w:rPr>
        <w:t xml:space="preserve">refer to </w:t>
      </w:r>
      <w:r>
        <w:rPr>
          <w:lang w:val="en-GB"/>
        </w:rPr>
        <w:t>data provide</w:t>
      </w:r>
      <w:r w:rsidR="00F97939">
        <w:rPr>
          <w:lang w:val="en-GB"/>
        </w:rPr>
        <w:t>d</w:t>
      </w:r>
      <w:r>
        <w:rPr>
          <w:lang w:val="en-GB"/>
        </w:rPr>
        <w:t xml:space="preserve"> in chapter IV on immunization coverage and monitoring). In major cities, the a</w:t>
      </w:r>
      <w:r w:rsidRPr="00A732C6">
        <w:rPr>
          <w:lang w:val="en-GB"/>
        </w:rPr>
        <w:t xml:space="preserve">ctive catch up of </w:t>
      </w:r>
      <w:r w:rsidR="00764804">
        <w:rPr>
          <w:lang w:val="en-GB"/>
        </w:rPr>
        <w:t xml:space="preserve">unimmunized </w:t>
      </w:r>
      <w:r w:rsidRPr="00A732C6">
        <w:rPr>
          <w:lang w:val="en-GB"/>
        </w:rPr>
        <w:t xml:space="preserve">children </w:t>
      </w:r>
      <w:r>
        <w:rPr>
          <w:lang w:val="en-GB"/>
        </w:rPr>
        <w:t>appears to be</w:t>
      </w:r>
      <w:r w:rsidR="00F97939">
        <w:rPr>
          <w:lang w:val="en-GB"/>
        </w:rPr>
        <w:t xml:space="preserve"> a challenge for health staff, </w:t>
      </w:r>
      <w:r>
        <w:rPr>
          <w:lang w:val="en-GB"/>
        </w:rPr>
        <w:t xml:space="preserve">due to </w:t>
      </w:r>
      <w:r w:rsidR="00F97939">
        <w:rPr>
          <w:lang w:val="en-GB"/>
        </w:rPr>
        <w:t>lack of incentives, time and motivation</w:t>
      </w:r>
      <w:r>
        <w:rPr>
          <w:lang w:val="en-GB"/>
        </w:rPr>
        <w:t>.</w:t>
      </w:r>
    </w:p>
    <w:p w14:paraId="0BEEDF4E" w14:textId="0E7F6199" w:rsidR="00CC139A" w:rsidRDefault="00CC020F" w:rsidP="00CC020F">
      <w:pPr>
        <w:spacing w:before="120" w:line="300" w:lineRule="atLeast"/>
        <w:ind w:firstLine="360"/>
        <w:jc w:val="both"/>
        <w:rPr>
          <w:lang w:val="en-GB"/>
        </w:rPr>
      </w:pPr>
      <w:r>
        <w:rPr>
          <w:lang w:val="en-GB"/>
        </w:rPr>
        <w:t xml:space="preserve">The issue of mandatory vaccination in Georgia makes debates, </w:t>
      </w:r>
      <w:r w:rsidR="00E813EA">
        <w:rPr>
          <w:lang w:val="en-GB"/>
        </w:rPr>
        <w:t>but</w:t>
      </w:r>
      <w:r>
        <w:rPr>
          <w:lang w:val="en-GB"/>
        </w:rPr>
        <w:t xml:space="preserve"> has to be handled carefully to avoid backslash</w:t>
      </w:r>
      <w:r w:rsidR="00F51242">
        <w:rPr>
          <w:lang w:val="en-GB"/>
        </w:rPr>
        <w:t>es</w:t>
      </w:r>
      <w:r>
        <w:rPr>
          <w:lang w:val="en-GB"/>
        </w:rPr>
        <w:t xml:space="preserve"> by the population. </w:t>
      </w:r>
      <w:r w:rsidR="00F51242">
        <w:rPr>
          <w:lang w:val="en-GB"/>
        </w:rPr>
        <w:t>I</w:t>
      </w:r>
      <w:r w:rsidR="00CC139A" w:rsidRPr="00CC139A">
        <w:rPr>
          <w:lang w:val="en-GB"/>
        </w:rPr>
        <w:t>ntervention/recommendation by MLHSA for school/kindergarten entry requirements (immunization/health certificate)</w:t>
      </w:r>
      <w:r>
        <w:rPr>
          <w:lang w:val="en-GB"/>
        </w:rPr>
        <w:t xml:space="preserve"> might </w:t>
      </w:r>
      <w:r w:rsidR="00F51242">
        <w:rPr>
          <w:lang w:val="en-GB"/>
        </w:rPr>
        <w:t>be a good way to explore.</w:t>
      </w:r>
    </w:p>
    <w:p w14:paraId="7B3488F2" w14:textId="45D5C117" w:rsidR="00526D86" w:rsidRPr="00A732C6" w:rsidRDefault="00526D86" w:rsidP="005F6F0A">
      <w:pPr>
        <w:spacing w:before="120" w:line="300" w:lineRule="atLeast"/>
        <w:ind w:firstLine="360"/>
        <w:jc w:val="both"/>
        <w:rPr>
          <w:lang w:val="en-GB"/>
        </w:rPr>
      </w:pPr>
      <w:r>
        <w:rPr>
          <w:lang w:val="en-GB"/>
        </w:rPr>
        <w:t xml:space="preserve">It was noticed in </w:t>
      </w:r>
      <w:r w:rsidR="0075593D">
        <w:rPr>
          <w:lang w:val="en-GB"/>
        </w:rPr>
        <w:t xml:space="preserve">major city like </w:t>
      </w:r>
      <w:r>
        <w:rPr>
          <w:lang w:val="en-GB"/>
        </w:rPr>
        <w:t>Tbilisi that l</w:t>
      </w:r>
      <w:r w:rsidR="0075593D">
        <w:rPr>
          <w:lang w:val="en-GB"/>
        </w:rPr>
        <w:t>arger</w:t>
      </w:r>
      <w:r w:rsidRPr="00EE33FA">
        <w:rPr>
          <w:lang w:val="en-GB"/>
        </w:rPr>
        <w:t xml:space="preserve"> health facilities with inpatient department </w:t>
      </w:r>
      <w:r w:rsidR="0075593D">
        <w:rPr>
          <w:lang w:val="en-GB"/>
        </w:rPr>
        <w:t xml:space="preserve">are </w:t>
      </w:r>
      <w:r w:rsidRPr="00EE33FA">
        <w:rPr>
          <w:lang w:val="en-GB"/>
        </w:rPr>
        <w:t>less interested in implementing immunization</w:t>
      </w:r>
      <w:r>
        <w:rPr>
          <w:lang w:val="en-GB"/>
        </w:rPr>
        <w:t xml:space="preserve"> </w:t>
      </w:r>
      <w:r w:rsidR="00382990">
        <w:rPr>
          <w:lang w:val="en-GB"/>
        </w:rPr>
        <w:t>services, mainly due to the</w:t>
      </w:r>
      <w:r w:rsidR="0075593D">
        <w:rPr>
          <w:lang w:val="en-GB"/>
        </w:rPr>
        <w:t xml:space="preserve"> </w:t>
      </w:r>
      <w:r>
        <w:rPr>
          <w:lang w:val="en-GB"/>
        </w:rPr>
        <w:t xml:space="preserve">question of </w:t>
      </w:r>
      <w:r w:rsidRPr="00A732C6">
        <w:rPr>
          <w:lang w:val="en-GB"/>
        </w:rPr>
        <w:t>optimizatio</w:t>
      </w:r>
      <w:r w:rsidR="0075593D">
        <w:rPr>
          <w:lang w:val="en-GB"/>
        </w:rPr>
        <w:t>n of time/cost for health staff</w:t>
      </w:r>
      <w:r>
        <w:rPr>
          <w:lang w:val="en-GB"/>
        </w:rPr>
        <w:t>.</w:t>
      </w:r>
    </w:p>
    <w:p w14:paraId="2790D4B9" w14:textId="449BA2B0" w:rsidR="00235E1D" w:rsidRDefault="005E37C4" w:rsidP="00526D86">
      <w:pPr>
        <w:spacing w:before="120" w:line="300" w:lineRule="atLeast"/>
        <w:ind w:firstLine="360"/>
        <w:jc w:val="both"/>
        <w:rPr>
          <w:lang w:val="en-GB"/>
        </w:rPr>
      </w:pPr>
      <w:r w:rsidRPr="00A732C6">
        <w:rPr>
          <w:lang w:val="en-GB"/>
        </w:rPr>
        <w:t xml:space="preserve">Contraindications </w:t>
      </w:r>
      <w:r>
        <w:rPr>
          <w:lang w:val="en-GB"/>
        </w:rPr>
        <w:t>are</w:t>
      </w:r>
      <w:r w:rsidRPr="00A732C6">
        <w:rPr>
          <w:lang w:val="en-GB"/>
        </w:rPr>
        <w:t xml:space="preserve"> still widely applied. </w:t>
      </w:r>
      <w:r>
        <w:rPr>
          <w:lang w:val="en-GB"/>
        </w:rPr>
        <w:t>Family practitioners</w:t>
      </w:r>
      <w:r w:rsidRPr="00A732C6">
        <w:rPr>
          <w:lang w:val="en-GB"/>
        </w:rPr>
        <w:t xml:space="preserve"> cited fever, respiratory infections and diarrhoea as temporary contraindications delaying vaccination for 1-2 months. Other conditions including neurological and developmental disorders, </w:t>
      </w:r>
      <w:r w:rsidR="00972A03" w:rsidRPr="00A732C6">
        <w:rPr>
          <w:lang w:val="en-GB"/>
        </w:rPr>
        <w:t>anaemia</w:t>
      </w:r>
      <w:r w:rsidRPr="00A732C6">
        <w:rPr>
          <w:lang w:val="en-GB"/>
        </w:rPr>
        <w:t xml:space="preserve"> and </w:t>
      </w:r>
      <w:r w:rsidR="00972A03" w:rsidRPr="00A732C6">
        <w:rPr>
          <w:lang w:val="en-GB"/>
        </w:rPr>
        <w:t>haemangioma</w:t>
      </w:r>
      <w:r w:rsidRPr="00A732C6">
        <w:rPr>
          <w:lang w:val="en-GB"/>
        </w:rPr>
        <w:t xml:space="preserve"> led to the referral to other speciali</w:t>
      </w:r>
      <w:r w:rsidR="00071C7D">
        <w:rPr>
          <w:lang w:val="en-GB"/>
        </w:rPr>
        <w:t>sts (neurologist, immunologist</w:t>
      </w:r>
      <w:r w:rsidRPr="00A732C6">
        <w:rPr>
          <w:lang w:val="en-GB"/>
        </w:rPr>
        <w:t>, surgeon</w:t>
      </w:r>
      <w:r w:rsidR="00071C7D">
        <w:rPr>
          <w:lang w:val="en-GB"/>
        </w:rPr>
        <w:t xml:space="preserve"> and other specialists</w:t>
      </w:r>
      <w:r w:rsidRPr="00A732C6">
        <w:rPr>
          <w:lang w:val="en-GB"/>
        </w:rPr>
        <w:t>) and almost always resulted with holding on all vaccination</w:t>
      </w:r>
      <w:r w:rsidR="00235E1D">
        <w:rPr>
          <w:lang w:val="en-GB"/>
        </w:rPr>
        <w:t>s until the issue was resolved.</w:t>
      </w:r>
    </w:p>
    <w:p w14:paraId="462AF03A" w14:textId="57CAA212" w:rsidR="001C350B" w:rsidRDefault="001C350B" w:rsidP="001C350B">
      <w:pPr>
        <w:spacing w:before="120" w:line="300" w:lineRule="atLeast"/>
        <w:ind w:firstLine="360"/>
        <w:jc w:val="both"/>
        <w:rPr>
          <w:lang w:val="en-GB"/>
        </w:rPr>
      </w:pPr>
      <w:r>
        <w:rPr>
          <w:lang w:val="en-GB"/>
        </w:rPr>
        <w:t xml:space="preserve">Concerning </w:t>
      </w:r>
      <w:r w:rsidRPr="001C350B">
        <w:rPr>
          <w:lang w:val="en-GB"/>
        </w:rPr>
        <w:t>communication and social mobilization</w:t>
      </w:r>
      <w:r>
        <w:rPr>
          <w:lang w:val="en-GB"/>
        </w:rPr>
        <w:t>, the h</w:t>
      </w:r>
      <w:r w:rsidRPr="00A732C6">
        <w:rPr>
          <w:lang w:val="en-GB"/>
        </w:rPr>
        <w:t xml:space="preserve">ealth staff thought that the public had become more knowledgeable and aware of the benefits of immunization in the past 2-3 years. Although parents asked more questions now, it </w:t>
      </w:r>
      <w:r>
        <w:rPr>
          <w:lang w:val="en-GB"/>
        </w:rPr>
        <w:t>is</w:t>
      </w:r>
      <w:r w:rsidRPr="00A732C6">
        <w:rPr>
          <w:lang w:val="en-GB"/>
        </w:rPr>
        <w:t xml:space="preserve"> easier to communicate with them and to explain issues. Health staff also started to provide more detailed information on the expected side effects of vaccines</w:t>
      </w:r>
      <w:r w:rsidR="00165FCF">
        <w:rPr>
          <w:lang w:val="en-GB"/>
        </w:rPr>
        <w:t xml:space="preserve"> (AEFI)</w:t>
      </w:r>
      <w:r w:rsidRPr="00A732C6">
        <w:rPr>
          <w:lang w:val="en-GB"/>
        </w:rPr>
        <w:t xml:space="preserve"> which increased transparency and helped to manage expectations of parents.</w:t>
      </w:r>
    </w:p>
    <w:p w14:paraId="19FBDA1A" w14:textId="6E2B494F" w:rsidR="00A732C6" w:rsidRDefault="004366A6" w:rsidP="004366A6">
      <w:pPr>
        <w:spacing w:before="120" w:line="300" w:lineRule="atLeast"/>
        <w:ind w:firstLine="360"/>
        <w:jc w:val="both"/>
        <w:rPr>
          <w:lang w:val="en-GB"/>
        </w:rPr>
      </w:pPr>
      <w:r>
        <w:rPr>
          <w:lang w:val="en-GB"/>
        </w:rPr>
        <w:t>T</w:t>
      </w:r>
      <w:r w:rsidR="004B1AC8">
        <w:rPr>
          <w:lang w:val="en-GB"/>
        </w:rPr>
        <w:t xml:space="preserve">he proportion of </w:t>
      </w:r>
      <w:r w:rsidR="001C350B">
        <w:rPr>
          <w:lang w:val="en-GB"/>
        </w:rPr>
        <w:t xml:space="preserve">real refusal </w:t>
      </w:r>
      <w:r w:rsidR="004B1AC8">
        <w:rPr>
          <w:lang w:val="en-GB"/>
        </w:rPr>
        <w:t xml:space="preserve">seems to be </w:t>
      </w:r>
      <w:r>
        <w:rPr>
          <w:lang w:val="en-GB"/>
        </w:rPr>
        <w:t xml:space="preserve">not so </w:t>
      </w:r>
      <w:r w:rsidR="004B1AC8">
        <w:rPr>
          <w:lang w:val="en-GB"/>
        </w:rPr>
        <w:t>high, the r</w:t>
      </w:r>
      <w:r>
        <w:rPr>
          <w:lang w:val="en-GB"/>
        </w:rPr>
        <w:t>easons being</w:t>
      </w:r>
      <w:r w:rsidR="00A732C6" w:rsidRPr="00A732C6">
        <w:rPr>
          <w:lang w:val="en-GB"/>
        </w:rPr>
        <w:t xml:space="preserve"> mainly vaccine safety concerns with information obtained from friends, relati</w:t>
      </w:r>
      <w:r w:rsidR="004B1AC8">
        <w:rPr>
          <w:lang w:val="en-GB"/>
        </w:rPr>
        <w:t xml:space="preserve">ves, </w:t>
      </w:r>
      <w:r w:rsidR="00680416">
        <w:rPr>
          <w:lang w:val="en-GB"/>
        </w:rPr>
        <w:t>Internet</w:t>
      </w:r>
      <w:r w:rsidR="004B1AC8">
        <w:rPr>
          <w:lang w:val="en-GB"/>
        </w:rPr>
        <w:t xml:space="preserve"> and social media.</w:t>
      </w:r>
      <w:r>
        <w:rPr>
          <w:lang w:val="en-GB"/>
        </w:rPr>
        <w:t xml:space="preserve">  </w:t>
      </w:r>
      <w:r>
        <w:rPr>
          <w:lang w:val="en-GB"/>
        </w:rPr>
        <w:lastRenderedPageBreak/>
        <w:t>The main issue is more some hesitancy among the parents asking</w:t>
      </w:r>
      <w:r w:rsidRPr="00A732C6">
        <w:rPr>
          <w:lang w:val="en-GB"/>
        </w:rPr>
        <w:t xml:space="preserve"> to postpone vaccinatio</w:t>
      </w:r>
      <w:r>
        <w:rPr>
          <w:lang w:val="en-GB"/>
        </w:rPr>
        <w:t>n, particularly in urban areas. Social mobilization material</w:t>
      </w:r>
      <w:r w:rsidR="00DD2541">
        <w:rPr>
          <w:lang w:val="en-GB"/>
        </w:rPr>
        <w:t>s</w:t>
      </w:r>
      <w:r>
        <w:rPr>
          <w:lang w:val="en-GB"/>
        </w:rPr>
        <w:t xml:space="preserve"> were mainly observed for new vaccines introduction (e.g. PCV).</w:t>
      </w:r>
    </w:p>
    <w:p w14:paraId="627363CB" w14:textId="54EE3A7A" w:rsidR="004366A6" w:rsidRPr="00A732C6" w:rsidRDefault="003C3087" w:rsidP="004366A6">
      <w:pPr>
        <w:spacing w:before="120" w:line="300" w:lineRule="atLeast"/>
        <w:ind w:firstLine="360"/>
        <w:jc w:val="both"/>
        <w:rPr>
          <w:lang w:val="en-GB"/>
        </w:rPr>
      </w:pPr>
      <w:r>
        <w:rPr>
          <w:lang w:val="en-GB"/>
        </w:rPr>
        <w:t xml:space="preserve">Although the </w:t>
      </w:r>
      <w:r w:rsidRPr="00EE33FA">
        <w:rPr>
          <w:lang w:val="en-GB"/>
        </w:rPr>
        <w:t xml:space="preserve">Health Promotion team at </w:t>
      </w:r>
      <w:r>
        <w:rPr>
          <w:lang w:val="en-GB"/>
        </w:rPr>
        <w:t xml:space="preserve">the </w:t>
      </w:r>
      <w:r w:rsidRPr="00EE33FA">
        <w:rPr>
          <w:lang w:val="en-GB"/>
        </w:rPr>
        <w:t xml:space="preserve">national level </w:t>
      </w:r>
      <w:r>
        <w:rPr>
          <w:lang w:val="en-GB"/>
        </w:rPr>
        <w:t>got its</w:t>
      </w:r>
      <w:r w:rsidRPr="00EE33FA">
        <w:rPr>
          <w:lang w:val="en-GB"/>
        </w:rPr>
        <w:t xml:space="preserve"> capacity increased </w:t>
      </w:r>
      <w:r>
        <w:rPr>
          <w:lang w:val="en-GB"/>
        </w:rPr>
        <w:t>in the recent years (human and financial resources), i</w:t>
      </w:r>
      <w:r w:rsidR="004366A6">
        <w:rPr>
          <w:lang w:val="en-GB"/>
        </w:rPr>
        <w:t>t was noted by all team</w:t>
      </w:r>
      <w:r w:rsidR="00DD2541">
        <w:rPr>
          <w:lang w:val="en-GB"/>
        </w:rPr>
        <w:t>s</w:t>
      </w:r>
      <w:r w:rsidR="004366A6">
        <w:rPr>
          <w:lang w:val="en-GB"/>
        </w:rPr>
        <w:t xml:space="preserve"> that the communication strategies </w:t>
      </w:r>
      <w:r>
        <w:rPr>
          <w:lang w:val="en-GB"/>
        </w:rPr>
        <w:t>and actions</w:t>
      </w:r>
      <w:r w:rsidR="00DD2541">
        <w:rPr>
          <w:lang w:val="en-GB"/>
        </w:rPr>
        <w:t>/materials at the field level</w:t>
      </w:r>
      <w:r>
        <w:rPr>
          <w:lang w:val="en-GB"/>
        </w:rPr>
        <w:t xml:space="preserve"> were</w:t>
      </w:r>
      <w:r w:rsidR="004366A6">
        <w:rPr>
          <w:lang w:val="en-GB"/>
        </w:rPr>
        <w:t xml:space="preserve"> not </w:t>
      </w:r>
      <w:r w:rsidR="00DD2541">
        <w:rPr>
          <w:lang w:val="en-GB"/>
        </w:rPr>
        <w:t>up to</w:t>
      </w:r>
      <w:r w:rsidR="004366A6">
        <w:rPr>
          <w:lang w:val="en-GB"/>
        </w:rPr>
        <w:t xml:space="preserve"> the level it should be</w:t>
      </w:r>
      <w:r w:rsidR="00DD2541">
        <w:rPr>
          <w:lang w:val="en-GB"/>
        </w:rPr>
        <w:t xml:space="preserve"> for </w:t>
      </w:r>
      <w:r w:rsidR="005B565D">
        <w:rPr>
          <w:lang w:val="en-GB"/>
        </w:rPr>
        <w:t>an</w:t>
      </w:r>
      <w:r w:rsidR="00DD2541">
        <w:rPr>
          <w:lang w:val="en-GB"/>
        </w:rPr>
        <w:t xml:space="preserve"> immunization program.</w:t>
      </w:r>
    </w:p>
    <w:p w14:paraId="1676674A" w14:textId="77777777" w:rsidR="00320C95" w:rsidRPr="00EE33FA" w:rsidRDefault="00320C95" w:rsidP="001F12FF">
      <w:pPr>
        <w:spacing w:before="120" w:line="300" w:lineRule="atLeast"/>
        <w:jc w:val="both"/>
        <w:rPr>
          <w:color w:val="000000" w:themeColor="text1"/>
          <w:lang w:val="en-GB"/>
        </w:rPr>
      </w:pPr>
    </w:p>
    <w:p w14:paraId="5ED8B612" w14:textId="77777777" w:rsidR="001F12FF" w:rsidRPr="00EE33FA" w:rsidRDefault="001F12FF" w:rsidP="001F12FF">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Summary findings and recommendations</w:t>
      </w:r>
    </w:p>
    <w:p w14:paraId="3ACDC368" w14:textId="77777777" w:rsidR="001F12FF" w:rsidRPr="00EE33FA" w:rsidRDefault="001F12FF" w:rsidP="001F12FF">
      <w:pPr>
        <w:spacing w:before="60" w:after="60"/>
        <w:ind w:left="357" w:right="-1"/>
        <w:rPr>
          <w:lang w:val="en-GB"/>
        </w:rPr>
      </w:pPr>
      <w:r w:rsidRPr="00EE33FA">
        <w:rPr>
          <w:b/>
          <w:color w:val="4F81BD"/>
          <w:lang w:val="en-GB"/>
        </w:rPr>
        <w:t>Major achievements</w:t>
      </w:r>
    </w:p>
    <w:p w14:paraId="29EDECD6"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National immunization schedule followed by service providers, and in line with WHO recommendations</w:t>
      </w:r>
    </w:p>
    <w:p w14:paraId="27A385B7"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Immunization practices and vaccines handling observed during the review: in general good</w:t>
      </w:r>
    </w:p>
    <w:p w14:paraId="474D8B42"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Rotavirus vaccine and PCV implementation proceeding fairly well</w:t>
      </w:r>
    </w:p>
    <w:p w14:paraId="04E42B49"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Around 95% of all vaccinations are provided by the state program, share of commercial vaccines minimal</w:t>
      </w:r>
    </w:p>
    <w:p w14:paraId="405D4DDC"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Improved knowledge and awareness of parents on immunization in recent years</w:t>
      </w:r>
    </w:p>
    <w:p w14:paraId="5680CF8E"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Health Promotion team at national level with increased capacity (human and financial resources) </w:t>
      </w:r>
    </w:p>
    <w:p w14:paraId="3EADAFDB" w14:textId="77777777" w:rsidR="001F12FF" w:rsidRPr="00EE33FA" w:rsidRDefault="001F12FF" w:rsidP="001F12FF">
      <w:pPr>
        <w:spacing w:before="60" w:after="60"/>
        <w:ind w:left="360" w:right="-1"/>
        <w:rPr>
          <w:lang w:val="en-GB"/>
        </w:rPr>
      </w:pPr>
      <w:r w:rsidRPr="00EE33FA">
        <w:rPr>
          <w:b/>
          <w:color w:val="4F81BD"/>
          <w:lang w:val="en-GB"/>
        </w:rPr>
        <w:t>Major issues identified</w:t>
      </w:r>
    </w:p>
    <w:p w14:paraId="43A44F2D" w14:textId="77777777" w:rsidR="00320C95" w:rsidRPr="00EE33FA" w:rsidRDefault="00320C95" w:rsidP="00320C95">
      <w:pPr>
        <w:pStyle w:val="ListParagraph"/>
        <w:numPr>
          <w:ilvl w:val="0"/>
          <w:numId w:val="6"/>
        </w:numPr>
        <w:spacing w:before="60" w:after="60"/>
        <w:ind w:right="-142"/>
        <w:contextualSpacing w:val="0"/>
        <w:rPr>
          <w:rFonts w:ascii="Times New Roman" w:hAnsi="Times New Roman"/>
          <w:lang w:val="en-GB"/>
        </w:rPr>
      </w:pPr>
      <w:r w:rsidRPr="00EE33FA">
        <w:rPr>
          <w:rFonts w:ascii="Times New Roman" w:hAnsi="Times New Roman"/>
          <w:lang w:val="en-GB"/>
        </w:rPr>
        <w:t>False contraindications still widespread, including temporary ones, inducing low coverage and drop-out</w:t>
      </w:r>
    </w:p>
    <w:p w14:paraId="117E378F"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Active follow up of children: a challenge for health staff (cost, time, motivation) for urban areas</w:t>
      </w:r>
    </w:p>
    <w:p w14:paraId="322623FE"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Larger health facilities with inpatient department less interested in implementing immunization</w:t>
      </w:r>
    </w:p>
    <w:p w14:paraId="7C3FA634"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Increasing vaccine hesitancy among parents in large cities</w:t>
      </w:r>
    </w:p>
    <w:p w14:paraId="20F9ECCF" w14:textId="77FDEE4B" w:rsidR="00496DA2" w:rsidRPr="00496DA2" w:rsidRDefault="00320C95" w:rsidP="00496DA2">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Lack of trained/skilled professionals for health promotion (at all levels)</w:t>
      </w:r>
    </w:p>
    <w:p w14:paraId="489B19D2" w14:textId="77777777" w:rsidR="001F12FF" w:rsidRPr="00EE33FA" w:rsidRDefault="001F12FF" w:rsidP="001F12FF">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Main recommendations</w:t>
      </w:r>
    </w:p>
    <w:p w14:paraId="59E3AFE9" w14:textId="00F4C0F5" w:rsidR="00320C95" w:rsidRPr="00320C95" w:rsidRDefault="00320C95" w:rsidP="00320C95">
      <w:pPr>
        <w:pStyle w:val="ListParagraph"/>
        <w:numPr>
          <w:ilvl w:val="0"/>
          <w:numId w:val="24"/>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320C95">
        <w:rPr>
          <w:rFonts w:ascii="Times New Roman" w:hAnsi="Times New Roman"/>
          <w:lang w:val="en-GB"/>
        </w:rPr>
        <w:t>Explore various strategies to reduce false contraindications (scientific workshops, behaviour change models)</w:t>
      </w:r>
    </w:p>
    <w:p w14:paraId="0EE05C35" w14:textId="679AB9D3" w:rsidR="00320C95" w:rsidRPr="00320C95" w:rsidRDefault="00320C95" w:rsidP="00320C95">
      <w:pPr>
        <w:pStyle w:val="ListParagraph"/>
        <w:numPr>
          <w:ilvl w:val="0"/>
          <w:numId w:val="24"/>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rPr>
          <w:rFonts w:ascii="Times New Roman" w:hAnsi="Times New Roman"/>
          <w:lang w:val="en-GB"/>
        </w:rPr>
      </w:pPr>
      <w:r w:rsidRPr="00320C95">
        <w:rPr>
          <w:rFonts w:ascii="Times New Roman" w:hAnsi="Times New Roman"/>
          <w:lang w:val="en-GB"/>
        </w:rPr>
        <w:t>Explore intervention/recommendation by MLHSA for school/kindergarten entry requirements (immunization/health certificate)</w:t>
      </w:r>
    </w:p>
    <w:p w14:paraId="503E1992" w14:textId="35D7B429" w:rsidR="00320C95" w:rsidRPr="00320C95" w:rsidRDefault="00320C95" w:rsidP="00320C95">
      <w:pPr>
        <w:pStyle w:val="ListParagraph"/>
        <w:numPr>
          <w:ilvl w:val="0"/>
          <w:numId w:val="24"/>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rPr>
          <w:rFonts w:ascii="Times New Roman" w:hAnsi="Times New Roman"/>
          <w:lang w:val="en-GB"/>
        </w:rPr>
      </w:pPr>
      <w:r w:rsidRPr="00320C95">
        <w:rPr>
          <w:rFonts w:ascii="Times New Roman" w:hAnsi="Times New Roman"/>
          <w:lang w:val="en-GB"/>
        </w:rPr>
        <w:t>Develop comprehensive communication strategies; allocate sufficient resource, training and information material</w:t>
      </w:r>
    </w:p>
    <w:p w14:paraId="7967D858" w14:textId="2F276C67" w:rsidR="00320C95" w:rsidRPr="00320C95" w:rsidRDefault="00320C95" w:rsidP="00320C95">
      <w:pPr>
        <w:pStyle w:val="ListParagraph"/>
        <w:numPr>
          <w:ilvl w:val="0"/>
          <w:numId w:val="24"/>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rPr>
          <w:rFonts w:ascii="Times New Roman" w:hAnsi="Times New Roman"/>
          <w:lang w:val="en-GB"/>
        </w:rPr>
      </w:pPr>
      <w:r w:rsidRPr="00320C95">
        <w:rPr>
          <w:rFonts w:ascii="Times New Roman" w:hAnsi="Times New Roman"/>
          <w:lang w:val="en-GB"/>
        </w:rPr>
        <w:t>Increase capacity in health communication in NCDC and DPHCs, with technical assistance</w:t>
      </w:r>
    </w:p>
    <w:p w14:paraId="188EFD48" w14:textId="77777777" w:rsidR="00352409" w:rsidRPr="00EE33FA" w:rsidRDefault="00352409" w:rsidP="00F331D7">
      <w:pPr>
        <w:spacing w:before="120" w:line="300" w:lineRule="atLeast"/>
        <w:jc w:val="both"/>
        <w:rPr>
          <w:b/>
          <w:lang w:val="en-GB"/>
        </w:rPr>
      </w:pPr>
    </w:p>
    <w:p w14:paraId="195F3BD0" w14:textId="4CFA2FA1" w:rsidR="00676DCE" w:rsidRPr="00EE33FA" w:rsidRDefault="002F56C0" w:rsidP="0087400E">
      <w:pPr>
        <w:pStyle w:val="Heading2"/>
        <w:numPr>
          <w:ilvl w:val="0"/>
          <w:numId w:val="11"/>
        </w:numPr>
        <w:rPr>
          <w:lang w:val="en-GB"/>
        </w:rPr>
      </w:pPr>
      <w:bookmarkStart w:id="28" w:name="_Toc303889501"/>
      <w:r w:rsidRPr="00EE33FA">
        <w:rPr>
          <w:lang w:val="en-GB"/>
        </w:rPr>
        <w:lastRenderedPageBreak/>
        <w:t xml:space="preserve">Immunization quality </w:t>
      </w:r>
      <w:r w:rsidR="00CC26FC" w:rsidRPr="00EE33FA">
        <w:rPr>
          <w:lang w:val="en-GB"/>
        </w:rPr>
        <w:t>and</w:t>
      </w:r>
      <w:r w:rsidRPr="00EE33FA">
        <w:rPr>
          <w:lang w:val="en-GB"/>
        </w:rPr>
        <w:t xml:space="preserve"> safety, including AEFI surveillance </w:t>
      </w:r>
      <w:r w:rsidR="00CC26FC" w:rsidRPr="00EE33FA">
        <w:rPr>
          <w:lang w:val="en-GB"/>
        </w:rPr>
        <w:t>and</w:t>
      </w:r>
      <w:r w:rsidRPr="00EE33FA">
        <w:rPr>
          <w:lang w:val="en-GB"/>
        </w:rPr>
        <w:t xml:space="preserve"> NRA</w:t>
      </w:r>
      <w:bookmarkEnd w:id="28"/>
    </w:p>
    <w:p w14:paraId="5F491AB9" w14:textId="20A3A7B5" w:rsidR="00A50AC1" w:rsidRPr="00EE33FA" w:rsidRDefault="00A50AC1" w:rsidP="00A50AC1">
      <w:pPr>
        <w:spacing w:before="120" w:line="300" w:lineRule="atLeast"/>
        <w:jc w:val="both"/>
        <w:rPr>
          <w:b/>
          <w:color w:val="000000" w:themeColor="text1"/>
          <w:lang w:val="en-GB"/>
        </w:rPr>
      </w:pPr>
      <w:r w:rsidRPr="00EE33FA">
        <w:rPr>
          <w:b/>
          <w:color w:val="000000" w:themeColor="text1"/>
          <w:lang w:val="en-GB"/>
        </w:rPr>
        <w:t>Cold chain and logistics</w:t>
      </w:r>
    </w:p>
    <w:p w14:paraId="3678020B" w14:textId="4EF1EFAA" w:rsidR="002A3C24" w:rsidRPr="00EE33FA" w:rsidRDefault="0035068C" w:rsidP="00596F1E">
      <w:pPr>
        <w:spacing w:before="120" w:line="300" w:lineRule="atLeast"/>
        <w:ind w:firstLine="360"/>
        <w:jc w:val="both"/>
        <w:rPr>
          <w:lang w:val="en-GB"/>
        </w:rPr>
      </w:pPr>
      <w:r w:rsidRPr="00EE33FA">
        <w:rPr>
          <w:color w:val="000000" w:themeColor="text1"/>
          <w:lang w:val="en-GB"/>
        </w:rPr>
        <w:t xml:space="preserve">With the introduction </w:t>
      </w:r>
      <w:r w:rsidR="005A38BD" w:rsidRPr="00EE33FA">
        <w:rPr>
          <w:color w:val="000000" w:themeColor="text1"/>
          <w:lang w:val="en-GB"/>
        </w:rPr>
        <w:t>of</w:t>
      </w:r>
      <w:r w:rsidRPr="00EE33FA">
        <w:rPr>
          <w:color w:val="000000" w:themeColor="text1"/>
          <w:lang w:val="en-GB"/>
        </w:rPr>
        <w:t xml:space="preserve"> expensive vaccines, the quality and capacity </w:t>
      </w:r>
      <w:r w:rsidR="00307BBE" w:rsidRPr="00EE33FA">
        <w:rPr>
          <w:color w:val="000000" w:themeColor="text1"/>
          <w:lang w:val="en-GB"/>
        </w:rPr>
        <w:t>of</w:t>
      </w:r>
      <w:r w:rsidRPr="00EE33FA">
        <w:rPr>
          <w:color w:val="000000" w:themeColor="text1"/>
          <w:lang w:val="en-GB"/>
        </w:rPr>
        <w:t xml:space="preserve"> the cold </w:t>
      </w:r>
      <w:r w:rsidR="00307BBE" w:rsidRPr="00EE33FA">
        <w:rPr>
          <w:color w:val="000000" w:themeColor="text1"/>
          <w:lang w:val="en-GB"/>
        </w:rPr>
        <w:t xml:space="preserve">chain </w:t>
      </w:r>
      <w:r w:rsidRPr="00EE33FA">
        <w:rPr>
          <w:color w:val="000000" w:themeColor="text1"/>
          <w:lang w:val="en-GB"/>
        </w:rPr>
        <w:t>through</w:t>
      </w:r>
      <w:r w:rsidR="002A2311" w:rsidRPr="00EE33FA">
        <w:rPr>
          <w:color w:val="000000" w:themeColor="text1"/>
          <w:lang w:val="en-GB"/>
        </w:rPr>
        <w:t>out</w:t>
      </w:r>
      <w:r w:rsidR="00307BBE" w:rsidRPr="00EE33FA">
        <w:rPr>
          <w:color w:val="000000" w:themeColor="text1"/>
          <w:lang w:val="en-GB"/>
        </w:rPr>
        <w:t xml:space="preserve"> the country became critical. </w:t>
      </w:r>
      <w:r w:rsidRPr="00EE33FA">
        <w:rPr>
          <w:color w:val="000000" w:themeColor="text1"/>
          <w:lang w:val="en-GB"/>
        </w:rPr>
        <w:t xml:space="preserve">An EVM assessment (2014) and </w:t>
      </w:r>
      <w:r w:rsidRPr="00EE33FA">
        <w:rPr>
          <w:lang w:val="en-GB"/>
        </w:rPr>
        <w:t>a cold chain inventory assessment (2013) were conducted.</w:t>
      </w:r>
      <w:r w:rsidR="00596F1E" w:rsidRPr="00EE33FA">
        <w:rPr>
          <w:lang w:val="en-GB"/>
        </w:rPr>
        <w:t xml:space="preserve"> </w:t>
      </w:r>
      <w:r w:rsidRPr="00EE33FA">
        <w:rPr>
          <w:lang w:val="en-GB"/>
        </w:rPr>
        <w:t xml:space="preserve">The </w:t>
      </w:r>
      <w:r w:rsidR="00596F1E" w:rsidRPr="00EE33FA">
        <w:rPr>
          <w:lang w:val="en-GB"/>
        </w:rPr>
        <w:t xml:space="preserve">current </w:t>
      </w:r>
      <w:r w:rsidR="00A34077" w:rsidRPr="00EE33FA">
        <w:rPr>
          <w:lang w:val="en-GB"/>
        </w:rPr>
        <w:t xml:space="preserve">immunization </w:t>
      </w:r>
      <w:r w:rsidRPr="00EE33FA">
        <w:rPr>
          <w:lang w:val="en-GB"/>
        </w:rPr>
        <w:t xml:space="preserve">review found that the national vaccine store is of a high quality standard. </w:t>
      </w:r>
      <w:r w:rsidR="002A3C24" w:rsidRPr="00EE33FA">
        <w:rPr>
          <w:lang w:val="en-GB"/>
        </w:rPr>
        <w:t xml:space="preserve">The settings at the national level (office, cold rooms, stores) are all in good condition and well managed. </w:t>
      </w:r>
      <w:r w:rsidR="00596F1E" w:rsidRPr="00EE33FA">
        <w:rPr>
          <w:lang w:val="en-GB"/>
        </w:rPr>
        <w:t xml:space="preserve">The staff </w:t>
      </w:r>
      <w:r w:rsidR="00596F1E" w:rsidRPr="00EE33FA">
        <w:rPr>
          <w:color w:val="000000" w:themeColor="text1"/>
          <w:lang w:val="en-GB"/>
        </w:rPr>
        <w:t xml:space="preserve">have good skills, are experienced and dedicated. </w:t>
      </w:r>
      <w:r w:rsidR="002A3C24" w:rsidRPr="00EE33FA">
        <w:rPr>
          <w:lang w:val="en-GB"/>
        </w:rPr>
        <w:t xml:space="preserve">Several of the EVM </w:t>
      </w:r>
      <w:r w:rsidR="002A3C24" w:rsidRPr="00EE33FA">
        <w:rPr>
          <w:color w:val="000000" w:themeColor="text1"/>
          <w:lang w:val="en-GB"/>
        </w:rPr>
        <w:t xml:space="preserve">assessment </w:t>
      </w:r>
      <w:r w:rsidR="002A3C24" w:rsidRPr="00EE33FA">
        <w:rPr>
          <w:lang w:val="en-GB"/>
        </w:rPr>
        <w:t>recommendations have been implemented (see annex)</w:t>
      </w:r>
      <w:r w:rsidR="00596F1E" w:rsidRPr="00EE33FA">
        <w:rPr>
          <w:lang w:val="en-GB"/>
        </w:rPr>
        <w:t>.</w:t>
      </w:r>
    </w:p>
    <w:p w14:paraId="2CEE307D" w14:textId="6C792ED3" w:rsidR="000050F9" w:rsidRPr="00EE33FA" w:rsidRDefault="0035068C" w:rsidP="000050F9">
      <w:pPr>
        <w:spacing w:before="120" w:line="300" w:lineRule="atLeast"/>
        <w:ind w:firstLine="360"/>
        <w:jc w:val="both"/>
        <w:rPr>
          <w:lang w:val="en-GB"/>
        </w:rPr>
      </w:pPr>
      <w:r w:rsidRPr="00EE33FA">
        <w:rPr>
          <w:lang w:val="en-GB"/>
        </w:rPr>
        <w:t>Currently 4 cold rooms are in place, a</w:t>
      </w:r>
      <w:r w:rsidR="00596F1E" w:rsidRPr="00EE33FA">
        <w:rPr>
          <w:lang w:val="en-GB"/>
        </w:rPr>
        <w:t>nd a new</w:t>
      </w:r>
      <w:r w:rsidR="00565A67" w:rsidRPr="00EE33FA">
        <w:rPr>
          <w:lang w:val="en-GB"/>
        </w:rPr>
        <w:t>ly</w:t>
      </w:r>
      <w:r w:rsidR="00596F1E" w:rsidRPr="00EE33FA">
        <w:rPr>
          <w:lang w:val="en-GB"/>
        </w:rPr>
        <w:t xml:space="preserve"> procured one</w:t>
      </w:r>
      <w:r w:rsidRPr="00EE33FA">
        <w:rPr>
          <w:lang w:val="en-GB"/>
        </w:rPr>
        <w:t xml:space="preserve"> is going to be installed soon; there are freezers for -20°C storage; the vaccine storage capacity is sufficient, including </w:t>
      </w:r>
      <w:r w:rsidR="00596F1E" w:rsidRPr="00EE33FA">
        <w:rPr>
          <w:lang w:val="en-GB"/>
        </w:rPr>
        <w:t xml:space="preserve">for </w:t>
      </w:r>
      <w:r w:rsidRPr="00EE33FA">
        <w:rPr>
          <w:lang w:val="en-GB"/>
        </w:rPr>
        <w:t>the introduction of all new vaccines planned</w:t>
      </w:r>
      <w:r w:rsidR="00596F1E" w:rsidRPr="00EE33FA">
        <w:rPr>
          <w:lang w:val="en-GB"/>
        </w:rPr>
        <w:t>. A</w:t>
      </w:r>
      <w:r w:rsidRPr="00EE33FA">
        <w:rPr>
          <w:lang w:val="en-GB"/>
        </w:rPr>
        <w:t xml:space="preserve"> stand-by genera</w:t>
      </w:r>
      <w:r w:rsidR="00596F1E" w:rsidRPr="00EE33FA">
        <w:rPr>
          <w:lang w:val="en-GB"/>
        </w:rPr>
        <w:t xml:space="preserve">tor serves the NCDC facilities. The temperature </w:t>
      </w:r>
      <w:r w:rsidR="00565A67" w:rsidRPr="00EE33FA">
        <w:rPr>
          <w:lang w:val="en-GB"/>
        </w:rPr>
        <w:t>monitoring</w:t>
      </w:r>
      <w:r w:rsidR="00596F1E" w:rsidRPr="00EE33FA">
        <w:rPr>
          <w:lang w:val="en-GB"/>
        </w:rPr>
        <w:t xml:space="preserve"> system is adequate </w:t>
      </w:r>
      <w:r w:rsidR="006826B9" w:rsidRPr="00EE33FA">
        <w:rPr>
          <w:lang w:val="en-GB"/>
        </w:rPr>
        <w:t xml:space="preserve">and equipped </w:t>
      </w:r>
      <w:r w:rsidR="00596F1E" w:rsidRPr="00EE33FA">
        <w:rPr>
          <w:lang w:val="en-GB"/>
        </w:rPr>
        <w:t>with an alarm; there are new</w:t>
      </w:r>
      <w:r w:rsidR="006826B9" w:rsidRPr="00EE33FA">
        <w:rPr>
          <w:lang w:val="en-GB"/>
        </w:rPr>
        <w:t>ly procured</w:t>
      </w:r>
      <w:r w:rsidR="00596F1E" w:rsidRPr="00EE33FA">
        <w:rPr>
          <w:lang w:val="en-GB"/>
        </w:rPr>
        <w:t xml:space="preserve"> continuous temperature monitoring device (Q-Tag)</w:t>
      </w:r>
      <w:r w:rsidR="00B57730" w:rsidRPr="00EE33FA">
        <w:rPr>
          <w:lang w:val="en-GB"/>
        </w:rPr>
        <w:t xml:space="preserve">, equipped with </w:t>
      </w:r>
      <w:r w:rsidR="00C06431" w:rsidRPr="00EE33FA">
        <w:rPr>
          <w:lang w:val="en-GB"/>
        </w:rPr>
        <w:t xml:space="preserve">possible </w:t>
      </w:r>
      <w:r w:rsidR="00596F1E" w:rsidRPr="00EE33FA">
        <w:rPr>
          <w:lang w:val="en-GB"/>
        </w:rPr>
        <w:t xml:space="preserve">connection </w:t>
      </w:r>
      <w:r w:rsidR="00B451F8" w:rsidRPr="00EE33FA">
        <w:rPr>
          <w:lang w:val="en-GB"/>
        </w:rPr>
        <w:t>to</w:t>
      </w:r>
      <w:r w:rsidR="00596F1E" w:rsidRPr="00EE33FA">
        <w:rPr>
          <w:lang w:val="en-GB"/>
        </w:rPr>
        <w:t xml:space="preserve"> computers. </w:t>
      </w:r>
      <w:r w:rsidRPr="00EE33FA">
        <w:rPr>
          <w:lang w:val="en-GB"/>
        </w:rPr>
        <w:t>There are also cold rooms in regional stores (Tbilisi, Kutaisi, Batumi, Rustavi).</w:t>
      </w:r>
      <w:r w:rsidR="000050F9" w:rsidRPr="00EE33FA">
        <w:rPr>
          <w:lang w:val="en-GB"/>
        </w:rPr>
        <w:t xml:space="preserve"> All recently newly </w:t>
      </w:r>
      <w:r w:rsidR="00B57730" w:rsidRPr="00EE33FA">
        <w:rPr>
          <w:lang w:val="en-GB"/>
        </w:rPr>
        <w:t>procured</w:t>
      </w:r>
      <w:r w:rsidR="000050F9" w:rsidRPr="00EE33FA">
        <w:rPr>
          <w:lang w:val="en-GB"/>
        </w:rPr>
        <w:t xml:space="preserve"> equipment (central, district levels) were from GoG budget, covering 1/3 of country need (not including primary health car</w:t>
      </w:r>
      <w:r w:rsidR="00B57730" w:rsidRPr="00EE33FA">
        <w:rPr>
          <w:lang w:val="en-GB"/>
        </w:rPr>
        <w:t>e</w:t>
      </w:r>
      <w:r w:rsidR="000050F9" w:rsidRPr="00EE33FA">
        <w:rPr>
          <w:lang w:val="en-GB"/>
        </w:rPr>
        <w:t xml:space="preserve"> facilities).</w:t>
      </w:r>
    </w:p>
    <w:p w14:paraId="2331C35F" w14:textId="7BCBD209" w:rsidR="002A2311" w:rsidRPr="00EE33FA" w:rsidRDefault="00596F1E" w:rsidP="002A2311">
      <w:pPr>
        <w:spacing w:before="120" w:line="300" w:lineRule="atLeast"/>
        <w:ind w:firstLine="360"/>
        <w:jc w:val="both"/>
        <w:rPr>
          <w:lang w:val="en-GB"/>
        </w:rPr>
      </w:pPr>
      <w:r w:rsidRPr="00EE33FA">
        <w:rPr>
          <w:lang w:val="en-GB"/>
        </w:rPr>
        <w:t xml:space="preserve">Concerning the stock management, the current software </w:t>
      </w:r>
      <w:r w:rsidR="008476A8" w:rsidRPr="00EE33FA">
        <w:rPr>
          <w:lang w:val="en-GB"/>
        </w:rPr>
        <w:t>is demonstrating</w:t>
      </w:r>
      <w:r w:rsidRPr="00EE33FA">
        <w:rPr>
          <w:lang w:val="en-GB"/>
        </w:rPr>
        <w:t xml:space="preserve"> limits (excel based). </w:t>
      </w:r>
      <w:r w:rsidR="0035068C" w:rsidRPr="00EE33FA">
        <w:rPr>
          <w:lang w:val="en-GB"/>
        </w:rPr>
        <w:t>A newly supply management software is going to be piloted until June 2016 (</w:t>
      </w:r>
      <w:r w:rsidRPr="00EE33FA">
        <w:rPr>
          <w:lang w:val="en-GB"/>
        </w:rPr>
        <w:t>linked to the immunization</w:t>
      </w:r>
      <w:r w:rsidR="0035068C" w:rsidRPr="00EE33FA">
        <w:rPr>
          <w:lang w:val="en-GB"/>
        </w:rPr>
        <w:t xml:space="preserve"> e-module package); </w:t>
      </w:r>
      <w:r w:rsidR="002A2311" w:rsidRPr="00EE33FA">
        <w:rPr>
          <w:lang w:val="en-GB"/>
        </w:rPr>
        <w:t xml:space="preserve">it will facilitate the </w:t>
      </w:r>
      <w:r w:rsidR="0035068C" w:rsidRPr="00EE33FA">
        <w:rPr>
          <w:lang w:val="en-GB"/>
        </w:rPr>
        <w:t xml:space="preserve">stock </w:t>
      </w:r>
      <w:r w:rsidRPr="00EE33FA">
        <w:rPr>
          <w:lang w:val="en-GB"/>
        </w:rPr>
        <w:t>management</w:t>
      </w:r>
      <w:r w:rsidR="0035068C" w:rsidRPr="00EE33FA">
        <w:rPr>
          <w:lang w:val="en-GB"/>
        </w:rPr>
        <w:t xml:space="preserve"> and </w:t>
      </w:r>
      <w:r w:rsidR="002A2311" w:rsidRPr="00EE33FA">
        <w:rPr>
          <w:lang w:val="en-GB"/>
        </w:rPr>
        <w:t xml:space="preserve">the </w:t>
      </w:r>
      <w:r w:rsidR="00747DD8" w:rsidRPr="00EE33FA">
        <w:rPr>
          <w:lang w:val="en-GB"/>
        </w:rPr>
        <w:t xml:space="preserve">vaccine </w:t>
      </w:r>
      <w:r w:rsidR="002A2311" w:rsidRPr="00EE33FA">
        <w:rPr>
          <w:lang w:val="en-GB"/>
        </w:rPr>
        <w:t>quality monitoring, throughout the country, as it will be</w:t>
      </w:r>
      <w:r w:rsidR="0035068C" w:rsidRPr="00EE33FA">
        <w:rPr>
          <w:lang w:val="en-GB"/>
        </w:rPr>
        <w:t xml:space="preserve"> </w:t>
      </w:r>
      <w:r w:rsidR="00747DD8" w:rsidRPr="00EE33FA">
        <w:rPr>
          <w:lang w:val="en-GB"/>
        </w:rPr>
        <w:t>connected</w:t>
      </w:r>
      <w:r w:rsidR="0035068C" w:rsidRPr="00EE33FA">
        <w:rPr>
          <w:lang w:val="en-GB"/>
        </w:rPr>
        <w:t xml:space="preserve"> </w:t>
      </w:r>
      <w:r w:rsidR="00747DD8" w:rsidRPr="00EE33FA">
        <w:rPr>
          <w:lang w:val="en-GB"/>
        </w:rPr>
        <w:t>to</w:t>
      </w:r>
      <w:r w:rsidR="0035068C" w:rsidRPr="00EE33FA">
        <w:rPr>
          <w:lang w:val="en-GB"/>
        </w:rPr>
        <w:t xml:space="preserve"> DPHC</w:t>
      </w:r>
      <w:r w:rsidR="00747DD8" w:rsidRPr="00EE33FA">
        <w:rPr>
          <w:lang w:val="en-GB"/>
        </w:rPr>
        <w:t>s</w:t>
      </w:r>
      <w:r w:rsidR="0035068C" w:rsidRPr="00EE33FA">
        <w:rPr>
          <w:lang w:val="en-GB"/>
        </w:rPr>
        <w:t xml:space="preserve"> and health facilities (internet based)</w:t>
      </w:r>
      <w:r w:rsidR="002A2311" w:rsidRPr="00EE33FA">
        <w:rPr>
          <w:lang w:val="en-GB"/>
        </w:rPr>
        <w:t xml:space="preserve">. </w:t>
      </w:r>
      <w:r w:rsidRPr="00EE33FA">
        <w:rPr>
          <w:lang w:val="en-GB"/>
        </w:rPr>
        <w:t xml:space="preserve">An analysis of </w:t>
      </w:r>
      <w:r w:rsidR="00CA64B0" w:rsidRPr="00EE33FA">
        <w:rPr>
          <w:lang w:val="en-GB"/>
        </w:rPr>
        <w:t xml:space="preserve">the </w:t>
      </w:r>
      <w:r w:rsidR="002A2311" w:rsidRPr="00EE33FA">
        <w:rPr>
          <w:lang w:val="en-GB"/>
        </w:rPr>
        <w:t xml:space="preserve">national </w:t>
      </w:r>
      <w:r w:rsidR="00CA64B0" w:rsidRPr="00EE33FA">
        <w:rPr>
          <w:lang w:val="en-GB"/>
        </w:rPr>
        <w:t>stock-in-</w:t>
      </w:r>
      <w:r w:rsidRPr="00EE33FA">
        <w:rPr>
          <w:lang w:val="en-GB"/>
        </w:rPr>
        <w:t xml:space="preserve">hand shows that shortages occurred in 2014 (see </w:t>
      </w:r>
      <w:r w:rsidR="002A2311" w:rsidRPr="00EE33FA">
        <w:rPr>
          <w:lang w:val="en-GB"/>
        </w:rPr>
        <w:t xml:space="preserve">graph in </w:t>
      </w:r>
      <w:r w:rsidRPr="00EE33FA">
        <w:rPr>
          <w:lang w:val="en-GB"/>
        </w:rPr>
        <w:t>annex), as mentioned in the procurement paragraph.</w:t>
      </w:r>
    </w:p>
    <w:p w14:paraId="1C45D38B" w14:textId="1CEE0B61" w:rsidR="0035068C" w:rsidRPr="00EE33FA" w:rsidRDefault="002A2311" w:rsidP="002A2311">
      <w:pPr>
        <w:spacing w:before="120" w:line="300" w:lineRule="atLeast"/>
        <w:ind w:firstLine="360"/>
        <w:jc w:val="both"/>
        <w:rPr>
          <w:lang w:val="en-GB"/>
        </w:rPr>
      </w:pPr>
      <w:r w:rsidRPr="00EE33FA">
        <w:rPr>
          <w:lang w:val="en-GB"/>
        </w:rPr>
        <w:t>A n</w:t>
      </w:r>
      <w:r w:rsidR="0035068C" w:rsidRPr="00EE33FA">
        <w:rPr>
          <w:lang w:val="en-GB"/>
        </w:rPr>
        <w:t>ew</w:t>
      </w:r>
      <w:r w:rsidR="004B11C7" w:rsidRPr="00EE33FA">
        <w:rPr>
          <w:lang w:val="en-GB"/>
        </w:rPr>
        <w:t>ly procured</w:t>
      </w:r>
      <w:r w:rsidR="0035068C" w:rsidRPr="00EE33FA">
        <w:rPr>
          <w:lang w:val="en-GB"/>
        </w:rPr>
        <w:t xml:space="preserve"> refrigerated truck </w:t>
      </w:r>
      <w:r w:rsidRPr="00EE33FA">
        <w:rPr>
          <w:lang w:val="en-GB"/>
        </w:rPr>
        <w:t>is available</w:t>
      </w:r>
      <w:r w:rsidR="00D31309" w:rsidRPr="00EE33FA">
        <w:rPr>
          <w:lang w:val="en-GB"/>
        </w:rPr>
        <w:t xml:space="preserve"> at central level</w:t>
      </w:r>
      <w:r w:rsidRPr="00EE33FA">
        <w:rPr>
          <w:lang w:val="en-GB"/>
        </w:rPr>
        <w:t xml:space="preserve">, and there is a </w:t>
      </w:r>
      <w:r w:rsidR="0035068C" w:rsidRPr="00EE33FA">
        <w:rPr>
          <w:lang w:val="en-GB"/>
        </w:rPr>
        <w:t xml:space="preserve">tender for </w:t>
      </w:r>
      <w:r w:rsidRPr="00EE33FA">
        <w:rPr>
          <w:lang w:val="en-GB"/>
        </w:rPr>
        <w:t>procuring another one</w:t>
      </w:r>
      <w:r w:rsidR="0035068C" w:rsidRPr="00EE33FA">
        <w:rPr>
          <w:lang w:val="en-GB"/>
        </w:rPr>
        <w:t xml:space="preserve">; </w:t>
      </w:r>
      <w:r w:rsidRPr="00EE33FA">
        <w:rPr>
          <w:lang w:val="en-GB"/>
        </w:rPr>
        <w:t xml:space="preserve">the central level staff </w:t>
      </w:r>
      <w:r w:rsidR="0035068C" w:rsidRPr="00EE33FA">
        <w:rPr>
          <w:lang w:val="en-GB"/>
        </w:rPr>
        <w:t>distribute</w:t>
      </w:r>
      <w:r w:rsidRPr="00EE33FA">
        <w:rPr>
          <w:lang w:val="en-GB"/>
        </w:rPr>
        <w:t>s</w:t>
      </w:r>
      <w:r w:rsidR="0035068C" w:rsidRPr="00EE33FA">
        <w:rPr>
          <w:lang w:val="en-GB"/>
        </w:rPr>
        <w:t xml:space="preserve"> </w:t>
      </w:r>
      <w:r w:rsidR="0024023E" w:rsidRPr="00EE33FA">
        <w:rPr>
          <w:lang w:val="en-GB"/>
        </w:rPr>
        <w:t>vaccines</w:t>
      </w:r>
      <w:r w:rsidR="007049F2" w:rsidRPr="00EE33FA">
        <w:rPr>
          <w:lang w:val="en-GB"/>
        </w:rPr>
        <w:t xml:space="preserve"> and supplies</w:t>
      </w:r>
      <w:r w:rsidR="0024023E" w:rsidRPr="00EE33FA">
        <w:rPr>
          <w:lang w:val="en-GB"/>
        </w:rPr>
        <w:t xml:space="preserve"> </w:t>
      </w:r>
      <w:r w:rsidR="0035068C" w:rsidRPr="00EE33FA">
        <w:rPr>
          <w:lang w:val="en-GB"/>
        </w:rPr>
        <w:t>to all 65 DPHC</w:t>
      </w:r>
      <w:r w:rsidR="0024023E" w:rsidRPr="00EE33FA">
        <w:rPr>
          <w:lang w:val="en-GB"/>
        </w:rPr>
        <w:t>s</w:t>
      </w:r>
      <w:r w:rsidRPr="00EE33FA">
        <w:rPr>
          <w:lang w:val="en-GB"/>
        </w:rPr>
        <w:t>. The d</w:t>
      </w:r>
      <w:r w:rsidR="0035068C" w:rsidRPr="00EE33FA">
        <w:rPr>
          <w:lang w:val="en-GB"/>
        </w:rPr>
        <w:t>ry storage</w:t>
      </w:r>
      <w:r w:rsidRPr="00EE33FA">
        <w:rPr>
          <w:lang w:val="en-GB"/>
        </w:rPr>
        <w:t xml:space="preserve"> in NCDC, for all other supplies, is much too packed, with no </w:t>
      </w:r>
      <w:r w:rsidR="0024023E" w:rsidRPr="00EE33FA">
        <w:rPr>
          <w:lang w:val="en-GB"/>
        </w:rPr>
        <w:t>extra</w:t>
      </w:r>
      <w:r w:rsidRPr="00EE33FA">
        <w:rPr>
          <w:lang w:val="en-GB"/>
        </w:rPr>
        <w:t xml:space="preserve"> space, however supplies</w:t>
      </w:r>
      <w:r w:rsidR="0024023E" w:rsidRPr="00EE33FA">
        <w:rPr>
          <w:lang w:val="en-GB"/>
        </w:rPr>
        <w:t xml:space="preserve"> are stored in another location than NCDC.</w:t>
      </w:r>
    </w:p>
    <w:p w14:paraId="49E0B520" w14:textId="6924449D" w:rsidR="00CC5206" w:rsidRPr="00EE33FA" w:rsidRDefault="00596F1E" w:rsidP="002A2311">
      <w:pPr>
        <w:spacing w:before="120" w:line="300" w:lineRule="atLeast"/>
        <w:ind w:firstLine="360"/>
        <w:jc w:val="both"/>
        <w:rPr>
          <w:color w:val="000000" w:themeColor="text1"/>
          <w:lang w:val="en-GB"/>
        </w:rPr>
      </w:pPr>
      <w:r w:rsidRPr="00EE33FA">
        <w:rPr>
          <w:color w:val="000000" w:themeColor="text1"/>
          <w:lang w:val="en-GB"/>
        </w:rPr>
        <w:t>At the country level (DPH</w:t>
      </w:r>
      <w:r w:rsidR="0042051D" w:rsidRPr="00EE33FA">
        <w:rPr>
          <w:color w:val="000000" w:themeColor="text1"/>
          <w:lang w:val="en-GB"/>
        </w:rPr>
        <w:t>C, primary health care centre</w:t>
      </w:r>
      <w:r w:rsidR="002A2311" w:rsidRPr="00EE33FA">
        <w:rPr>
          <w:color w:val="000000" w:themeColor="text1"/>
          <w:lang w:val="en-GB"/>
        </w:rPr>
        <w:t xml:space="preserve">), the vaccine </w:t>
      </w:r>
      <w:r w:rsidR="00FD2C9D" w:rsidRPr="00EE33FA">
        <w:rPr>
          <w:color w:val="000000" w:themeColor="text1"/>
          <w:lang w:val="en-GB"/>
        </w:rPr>
        <w:t>stor</w:t>
      </w:r>
      <w:r w:rsidR="002A2311" w:rsidRPr="00EE33FA">
        <w:rPr>
          <w:color w:val="000000" w:themeColor="text1"/>
          <w:lang w:val="en-GB"/>
        </w:rPr>
        <w:t xml:space="preserve">es observed during the review and the distribution system seem to be well structured and fairly well functioning. One </w:t>
      </w:r>
      <w:r w:rsidR="00F0112B" w:rsidRPr="00EE33FA">
        <w:rPr>
          <w:color w:val="000000" w:themeColor="text1"/>
          <w:lang w:val="en-GB"/>
        </w:rPr>
        <w:t xml:space="preserve">critical </w:t>
      </w:r>
      <w:r w:rsidR="002A2311" w:rsidRPr="00EE33FA">
        <w:rPr>
          <w:color w:val="000000" w:themeColor="text1"/>
          <w:lang w:val="en-GB"/>
        </w:rPr>
        <w:t xml:space="preserve">issue is </w:t>
      </w:r>
      <w:r w:rsidR="00B930A5" w:rsidRPr="00EE33FA">
        <w:rPr>
          <w:color w:val="000000" w:themeColor="text1"/>
          <w:lang w:val="en-GB"/>
        </w:rPr>
        <w:t>the</w:t>
      </w:r>
      <w:r w:rsidR="002A2311" w:rsidRPr="00EE33FA">
        <w:rPr>
          <w:color w:val="000000" w:themeColor="text1"/>
          <w:lang w:val="en-GB"/>
        </w:rPr>
        <w:t xml:space="preserve"> </w:t>
      </w:r>
      <w:r w:rsidR="00B930A5" w:rsidRPr="00EE33FA">
        <w:rPr>
          <w:color w:val="000000" w:themeColor="text1"/>
          <w:lang w:val="en-GB"/>
        </w:rPr>
        <w:t>use</w:t>
      </w:r>
      <w:r w:rsidR="002A2311" w:rsidRPr="00EE33FA">
        <w:rPr>
          <w:color w:val="000000" w:themeColor="text1"/>
          <w:lang w:val="en-GB"/>
        </w:rPr>
        <w:t xml:space="preserve"> of domestic refrigerators, in </w:t>
      </w:r>
      <w:r w:rsidR="00F44AB5" w:rsidRPr="00EE33FA">
        <w:rPr>
          <w:color w:val="000000" w:themeColor="text1"/>
          <w:lang w:val="en-GB"/>
        </w:rPr>
        <w:t>facilities</w:t>
      </w:r>
      <w:r w:rsidR="002A2311" w:rsidRPr="00EE33FA">
        <w:rPr>
          <w:color w:val="000000" w:themeColor="text1"/>
          <w:lang w:val="en-GB"/>
        </w:rPr>
        <w:t xml:space="preserve"> where no air conditioner </w:t>
      </w:r>
      <w:r w:rsidR="00A425BD" w:rsidRPr="00EE33FA">
        <w:rPr>
          <w:color w:val="000000" w:themeColor="text1"/>
          <w:lang w:val="en-GB"/>
        </w:rPr>
        <w:t xml:space="preserve">is </w:t>
      </w:r>
      <w:r w:rsidR="002A2311" w:rsidRPr="00EE33FA">
        <w:rPr>
          <w:color w:val="000000" w:themeColor="text1"/>
          <w:lang w:val="en-GB"/>
        </w:rPr>
        <w:t xml:space="preserve">available (during the review the outside temperature reached 40° C). As all primary health care facilities are private, it is difficult for NCDC to convince them to procure </w:t>
      </w:r>
      <w:r w:rsidR="00D553DF" w:rsidRPr="00EE33FA">
        <w:rPr>
          <w:color w:val="000000" w:themeColor="text1"/>
          <w:lang w:val="en-GB"/>
        </w:rPr>
        <w:t>standard</w:t>
      </w:r>
      <w:r w:rsidR="00E07999" w:rsidRPr="00EE33FA">
        <w:rPr>
          <w:color w:val="000000" w:themeColor="text1"/>
          <w:lang w:val="en-GB"/>
        </w:rPr>
        <w:t xml:space="preserve"> equipment for </w:t>
      </w:r>
      <w:r w:rsidR="002A2311" w:rsidRPr="00EE33FA">
        <w:rPr>
          <w:color w:val="000000" w:themeColor="text1"/>
          <w:lang w:val="en-GB"/>
        </w:rPr>
        <w:t xml:space="preserve">vaccine storage. </w:t>
      </w:r>
      <w:r w:rsidR="0052346C">
        <w:rPr>
          <w:color w:val="000000" w:themeColor="text1"/>
          <w:lang w:val="en-GB"/>
        </w:rPr>
        <w:t>A</w:t>
      </w:r>
      <w:r w:rsidR="0052346C" w:rsidRPr="0052346C">
        <w:rPr>
          <w:color w:val="000000" w:themeColor="text1"/>
          <w:lang w:val="en-GB"/>
        </w:rPr>
        <w:t xml:space="preserve">nother challenge is justification of allocating public resources for private facilities and legally </w:t>
      </w:r>
      <w:r w:rsidR="006E444B" w:rsidRPr="0052346C">
        <w:rPr>
          <w:color w:val="000000" w:themeColor="text1"/>
          <w:lang w:val="en-GB"/>
        </w:rPr>
        <w:t>administers</w:t>
      </w:r>
      <w:r w:rsidR="0052346C" w:rsidRPr="0052346C">
        <w:rPr>
          <w:color w:val="000000" w:themeColor="text1"/>
          <w:lang w:val="en-GB"/>
        </w:rPr>
        <w:t xml:space="preserve"> the process of equipment distribution.</w:t>
      </w:r>
      <w:r w:rsidR="0052346C">
        <w:rPr>
          <w:color w:val="000000" w:themeColor="text1"/>
          <w:lang w:val="en-GB"/>
        </w:rPr>
        <w:t xml:space="preserve"> </w:t>
      </w:r>
      <w:r w:rsidR="002A2311" w:rsidRPr="00EE33FA">
        <w:rPr>
          <w:lang w:val="en-GB"/>
        </w:rPr>
        <w:t>Advocating SSA and Municipality to procure WHO standards cold chain is advisable.</w:t>
      </w:r>
    </w:p>
    <w:p w14:paraId="042A2D34" w14:textId="777879F6" w:rsidR="00FC2131" w:rsidRPr="00EE33FA" w:rsidRDefault="00FC2131" w:rsidP="00FC2131">
      <w:pPr>
        <w:spacing w:before="120" w:line="300" w:lineRule="atLeast"/>
        <w:jc w:val="both"/>
        <w:rPr>
          <w:b/>
          <w:color w:val="000000" w:themeColor="text1"/>
          <w:lang w:val="en-GB"/>
        </w:rPr>
      </w:pPr>
      <w:r w:rsidRPr="00EE33FA">
        <w:rPr>
          <w:b/>
          <w:color w:val="000000" w:themeColor="text1"/>
          <w:lang w:val="en-GB"/>
        </w:rPr>
        <w:t>AEFI surveillance</w:t>
      </w:r>
    </w:p>
    <w:p w14:paraId="671599B0" w14:textId="7F84799E" w:rsidR="00ED5722" w:rsidRPr="00EE33FA" w:rsidRDefault="00ED5722" w:rsidP="00ED5722">
      <w:pPr>
        <w:spacing w:before="120" w:line="300" w:lineRule="atLeast"/>
        <w:ind w:firstLine="360"/>
        <w:jc w:val="both"/>
        <w:rPr>
          <w:color w:val="000000" w:themeColor="text1"/>
          <w:lang w:val="en-GB"/>
        </w:rPr>
      </w:pPr>
      <w:r w:rsidRPr="00EE33FA">
        <w:rPr>
          <w:color w:val="000000" w:themeColor="text1"/>
          <w:lang w:val="en-GB"/>
        </w:rPr>
        <w:t xml:space="preserve">The </w:t>
      </w:r>
      <w:r w:rsidR="00173C2E" w:rsidRPr="00EE33FA">
        <w:rPr>
          <w:color w:val="000000" w:themeColor="text1"/>
          <w:lang w:val="en-GB"/>
        </w:rPr>
        <w:t xml:space="preserve">immunization </w:t>
      </w:r>
      <w:r w:rsidRPr="00EE33FA">
        <w:rPr>
          <w:color w:val="000000" w:themeColor="text1"/>
          <w:lang w:val="en-GB"/>
        </w:rPr>
        <w:t xml:space="preserve">review </w:t>
      </w:r>
      <w:r w:rsidR="00173C2E" w:rsidRPr="00EE33FA">
        <w:rPr>
          <w:color w:val="000000" w:themeColor="text1"/>
          <w:lang w:val="en-GB"/>
        </w:rPr>
        <w:t>demonstrated that</w:t>
      </w:r>
      <w:r w:rsidRPr="00EE33FA">
        <w:rPr>
          <w:color w:val="000000" w:themeColor="text1"/>
          <w:lang w:val="en-GB"/>
        </w:rPr>
        <w:t xml:space="preserve"> the AEFI system is in place with existing forms, procedures for detection, reporting, investigating and classification. During </w:t>
      </w:r>
      <w:r w:rsidR="009C50AC" w:rsidRPr="00EE33FA">
        <w:rPr>
          <w:color w:val="000000" w:themeColor="text1"/>
          <w:lang w:val="en-GB"/>
        </w:rPr>
        <w:t xml:space="preserve">the interviews, family doctors and paediatrics mostly mentioned there were no cases detected in the recent years. In that regard, it is difficult to assess the sensitivity of the system to detect </w:t>
      </w:r>
      <w:r w:rsidR="009C50AC" w:rsidRPr="00EE33FA">
        <w:rPr>
          <w:color w:val="000000" w:themeColor="text1"/>
          <w:lang w:val="en-GB"/>
        </w:rPr>
        <w:lastRenderedPageBreak/>
        <w:t>and report any severe case. It might be advisable to review the AEFI surveillance system</w:t>
      </w:r>
      <w:r w:rsidR="002A09FB" w:rsidRPr="00EE33FA">
        <w:rPr>
          <w:color w:val="000000" w:themeColor="text1"/>
          <w:lang w:val="en-GB"/>
        </w:rPr>
        <w:t xml:space="preserve"> (sample review in hospitals)</w:t>
      </w:r>
      <w:r w:rsidR="009C50AC" w:rsidRPr="00EE33FA">
        <w:rPr>
          <w:color w:val="000000" w:themeColor="text1"/>
          <w:lang w:val="en-GB"/>
        </w:rPr>
        <w:t xml:space="preserve">, and to reinforce the system </w:t>
      </w:r>
      <w:r w:rsidR="002A09FB" w:rsidRPr="00EE33FA">
        <w:rPr>
          <w:color w:val="000000" w:themeColor="text1"/>
          <w:lang w:val="en-GB"/>
        </w:rPr>
        <w:t xml:space="preserve">through further training </w:t>
      </w:r>
      <w:r w:rsidR="009C50AC" w:rsidRPr="00EE33FA">
        <w:rPr>
          <w:color w:val="000000" w:themeColor="text1"/>
          <w:lang w:val="en-GB"/>
        </w:rPr>
        <w:t>on AEFI detection and case</w:t>
      </w:r>
      <w:r w:rsidR="002A09FB" w:rsidRPr="00EE33FA">
        <w:rPr>
          <w:color w:val="000000" w:themeColor="text1"/>
          <w:lang w:val="en-GB"/>
        </w:rPr>
        <w:t xml:space="preserve"> definition.</w:t>
      </w:r>
    </w:p>
    <w:p w14:paraId="2E28F391" w14:textId="1594E440" w:rsidR="00ED5722" w:rsidRPr="00EE33FA" w:rsidRDefault="002A09FB" w:rsidP="00ED5722">
      <w:pPr>
        <w:spacing w:before="120" w:line="300" w:lineRule="atLeast"/>
        <w:ind w:firstLine="360"/>
        <w:jc w:val="both"/>
        <w:rPr>
          <w:color w:val="000000" w:themeColor="text1"/>
          <w:lang w:val="en-GB"/>
        </w:rPr>
      </w:pPr>
      <w:r w:rsidRPr="00EE33FA">
        <w:rPr>
          <w:color w:val="000000" w:themeColor="text1"/>
          <w:lang w:val="en-GB"/>
        </w:rPr>
        <w:t>It is also important to mention that since 2008</w:t>
      </w:r>
      <w:r w:rsidR="00ED5722" w:rsidRPr="00EE33FA">
        <w:rPr>
          <w:color w:val="000000" w:themeColor="text1"/>
          <w:lang w:val="en-GB"/>
        </w:rPr>
        <w:t xml:space="preserve"> and the media crisis which occurred following</w:t>
      </w:r>
      <w:r w:rsidRPr="00EE33FA">
        <w:rPr>
          <w:color w:val="000000" w:themeColor="text1"/>
          <w:lang w:val="en-GB"/>
        </w:rPr>
        <w:t xml:space="preserve"> </w:t>
      </w:r>
      <w:r w:rsidR="00ED5722" w:rsidRPr="00EE33FA">
        <w:rPr>
          <w:color w:val="000000" w:themeColor="text1"/>
          <w:lang w:val="en-GB"/>
        </w:rPr>
        <w:t xml:space="preserve">adverse events in school at the time of the measles rubella campaign, there was no other AEFI case related media </w:t>
      </w:r>
      <w:r w:rsidR="009C50AC" w:rsidRPr="00EE33FA">
        <w:rPr>
          <w:color w:val="000000" w:themeColor="text1"/>
          <w:lang w:val="en-GB"/>
        </w:rPr>
        <w:t>problem.</w:t>
      </w:r>
    </w:p>
    <w:p w14:paraId="3EDA46B1" w14:textId="046785EA" w:rsidR="00FC2131" w:rsidRPr="00EE33FA" w:rsidRDefault="002A09FB" w:rsidP="002A09FB">
      <w:pPr>
        <w:spacing w:before="120" w:line="300" w:lineRule="atLeast"/>
        <w:ind w:firstLine="360"/>
        <w:jc w:val="both"/>
        <w:rPr>
          <w:color w:val="000000" w:themeColor="text1"/>
          <w:lang w:val="en-GB"/>
        </w:rPr>
      </w:pPr>
      <w:r w:rsidRPr="00EE33FA">
        <w:rPr>
          <w:color w:val="000000" w:themeColor="text1"/>
          <w:lang w:val="en-GB"/>
        </w:rPr>
        <w:t xml:space="preserve">With several other immunization documents, the </w:t>
      </w:r>
      <w:r w:rsidR="009C50AC" w:rsidRPr="00EE33FA">
        <w:rPr>
          <w:color w:val="000000" w:themeColor="text1"/>
          <w:lang w:val="en-GB"/>
        </w:rPr>
        <w:t xml:space="preserve">AEFI guidelines are </w:t>
      </w:r>
      <w:r w:rsidR="00ED5722" w:rsidRPr="00EE33FA">
        <w:rPr>
          <w:color w:val="000000" w:themeColor="text1"/>
          <w:lang w:val="en-GB"/>
        </w:rPr>
        <w:t xml:space="preserve">under </w:t>
      </w:r>
      <w:r w:rsidRPr="00EE33FA">
        <w:rPr>
          <w:color w:val="000000" w:themeColor="text1"/>
          <w:lang w:val="en-GB"/>
        </w:rPr>
        <w:t>revision</w:t>
      </w:r>
      <w:r w:rsidR="009C50AC" w:rsidRPr="00EE33FA">
        <w:rPr>
          <w:color w:val="000000" w:themeColor="text1"/>
          <w:lang w:val="en-GB"/>
        </w:rPr>
        <w:t>.</w:t>
      </w:r>
    </w:p>
    <w:p w14:paraId="0819BEFD" w14:textId="67DCAFDE" w:rsidR="00FC2131" w:rsidRPr="00EE33FA" w:rsidRDefault="00FC2131" w:rsidP="00FC2131">
      <w:pPr>
        <w:spacing w:before="120" w:line="300" w:lineRule="atLeast"/>
        <w:jc w:val="both"/>
        <w:rPr>
          <w:b/>
          <w:color w:val="000000" w:themeColor="text1"/>
          <w:lang w:val="en-GB"/>
        </w:rPr>
      </w:pPr>
      <w:r w:rsidRPr="00EE33FA">
        <w:rPr>
          <w:b/>
          <w:color w:val="000000" w:themeColor="text1"/>
          <w:lang w:val="en-GB"/>
        </w:rPr>
        <w:t>National Regulatory Authorities (NRA)</w:t>
      </w:r>
    </w:p>
    <w:p w14:paraId="296777A8" w14:textId="232280F3" w:rsidR="00581AA6" w:rsidRPr="00EE33FA" w:rsidRDefault="00581AA6" w:rsidP="00581AA6">
      <w:pPr>
        <w:spacing w:before="120" w:line="300" w:lineRule="atLeast"/>
        <w:ind w:firstLine="360"/>
        <w:jc w:val="both"/>
        <w:rPr>
          <w:color w:val="000000" w:themeColor="text1"/>
          <w:lang w:val="en-GB"/>
        </w:rPr>
      </w:pPr>
      <w:r w:rsidRPr="00EE33FA">
        <w:rPr>
          <w:color w:val="000000" w:themeColor="text1"/>
          <w:lang w:val="en-GB"/>
        </w:rPr>
        <w:t xml:space="preserve">The regulatory oversight in Georgia is ensured by the Department of Drugs and Pharmaceutical </w:t>
      </w:r>
      <w:r w:rsidR="005C71F7" w:rsidRPr="00EE33FA">
        <w:rPr>
          <w:color w:val="000000" w:themeColor="text1"/>
          <w:lang w:val="en-GB"/>
        </w:rPr>
        <w:t>A</w:t>
      </w:r>
      <w:r w:rsidRPr="00EE33FA">
        <w:rPr>
          <w:color w:val="000000" w:themeColor="text1"/>
          <w:lang w:val="en-GB"/>
        </w:rPr>
        <w:t xml:space="preserve">ctivities </w:t>
      </w:r>
      <w:r w:rsidR="009D302D">
        <w:rPr>
          <w:color w:val="000000" w:themeColor="text1"/>
          <w:lang w:val="en-GB"/>
        </w:rPr>
        <w:t>which is under</w:t>
      </w:r>
      <w:r w:rsidRPr="00EE33FA">
        <w:rPr>
          <w:color w:val="000000" w:themeColor="text1"/>
          <w:lang w:val="en-GB"/>
        </w:rPr>
        <w:t xml:space="preserve"> the State Regulatory Agency for Medical Activities. </w:t>
      </w:r>
      <w:r w:rsidR="00D66E71" w:rsidRPr="00EE33FA">
        <w:rPr>
          <w:color w:val="000000" w:themeColor="text1"/>
          <w:lang w:val="en-GB"/>
        </w:rPr>
        <w:t>Thus</w:t>
      </w:r>
      <w:r w:rsidRPr="00EE33FA">
        <w:rPr>
          <w:color w:val="000000" w:themeColor="text1"/>
          <w:lang w:val="en-GB"/>
        </w:rPr>
        <w:t xml:space="preserve"> Georgian NRA is not </w:t>
      </w:r>
      <w:r w:rsidR="0095039E" w:rsidRPr="00EE33FA">
        <w:rPr>
          <w:color w:val="000000" w:themeColor="text1"/>
          <w:lang w:val="en-GB"/>
        </w:rPr>
        <w:t xml:space="preserve">a </w:t>
      </w:r>
      <w:r w:rsidRPr="00EE33FA">
        <w:rPr>
          <w:color w:val="000000" w:themeColor="text1"/>
          <w:lang w:val="en-GB"/>
        </w:rPr>
        <w:t>freestanding agency. The law of Georg</w:t>
      </w:r>
      <w:r w:rsidR="0095039E" w:rsidRPr="00EE33FA">
        <w:rPr>
          <w:color w:val="000000" w:themeColor="text1"/>
          <w:lang w:val="en-GB"/>
        </w:rPr>
        <w:t>ia on Drugs and Pharmaceutical A</w:t>
      </w:r>
      <w:r w:rsidRPr="00EE33FA">
        <w:rPr>
          <w:color w:val="000000" w:themeColor="text1"/>
          <w:lang w:val="en-GB"/>
        </w:rPr>
        <w:t xml:space="preserve">ctivities (1997) </w:t>
      </w:r>
      <w:r w:rsidR="000213DD" w:rsidRPr="00EE33FA">
        <w:rPr>
          <w:color w:val="000000" w:themeColor="text1"/>
          <w:lang w:val="en-GB"/>
        </w:rPr>
        <w:t>was</w:t>
      </w:r>
      <w:r w:rsidRPr="00EE33FA">
        <w:rPr>
          <w:color w:val="000000" w:themeColor="text1"/>
          <w:lang w:val="en-GB"/>
        </w:rPr>
        <w:t xml:space="preserve"> </w:t>
      </w:r>
      <w:r w:rsidR="00D66E71" w:rsidRPr="00EE33FA">
        <w:rPr>
          <w:color w:val="000000" w:themeColor="text1"/>
          <w:lang w:val="en-GB"/>
        </w:rPr>
        <w:t>substantially reframed in 2009, defining requirements</w:t>
      </w:r>
      <w:r w:rsidR="000213DD" w:rsidRPr="00EE33FA">
        <w:rPr>
          <w:color w:val="000000" w:themeColor="text1"/>
          <w:lang w:val="en-GB"/>
        </w:rPr>
        <w:t>:</w:t>
      </w:r>
    </w:p>
    <w:p w14:paraId="016634B0" w14:textId="1F8F26C6" w:rsidR="00581AA6" w:rsidRPr="00EE33FA" w:rsidRDefault="00D66E71" w:rsidP="0087400E">
      <w:pPr>
        <w:pStyle w:val="ListParagraph"/>
        <w:numPr>
          <w:ilvl w:val="0"/>
          <w:numId w:val="16"/>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Market authorization/</w:t>
      </w:r>
      <w:r w:rsidR="00581AA6" w:rsidRPr="00EE33FA">
        <w:rPr>
          <w:rFonts w:ascii="Times New Roman" w:hAnsi="Times New Roman" w:cs="Times New Roman"/>
          <w:color w:val="000000" w:themeColor="text1"/>
          <w:lang w:val="en-GB"/>
        </w:rPr>
        <w:t>vaccine registration</w:t>
      </w:r>
    </w:p>
    <w:p w14:paraId="48FFF072" w14:textId="249B9F72" w:rsidR="00581AA6" w:rsidRPr="00EE33FA" w:rsidRDefault="00D66E71" w:rsidP="0087400E">
      <w:pPr>
        <w:pStyle w:val="ListParagraph"/>
        <w:numPr>
          <w:ilvl w:val="0"/>
          <w:numId w:val="16"/>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Pharmacovigilance/</w:t>
      </w:r>
      <w:r w:rsidR="00581AA6" w:rsidRPr="00EE33FA">
        <w:rPr>
          <w:rFonts w:ascii="Times New Roman" w:hAnsi="Times New Roman" w:cs="Times New Roman"/>
          <w:color w:val="000000" w:themeColor="text1"/>
          <w:lang w:val="en-GB"/>
        </w:rPr>
        <w:t>AEFI surveillance system</w:t>
      </w:r>
    </w:p>
    <w:p w14:paraId="27ECE197" w14:textId="6EBF3171" w:rsidR="00581AA6" w:rsidRPr="00EE33FA" w:rsidRDefault="00581AA6" w:rsidP="0087400E">
      <w:pPr>
        <w:pStyle w:val="ListParagraph"/>
        <w:numPr>
          <w:ilvl w:val="0"/>
          <w:numId w:val="16"/>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Access to laboratory (partially)</w:t>
      </w:r>
    </w:p>
    <w:p w14:paraId="675025FF" w14:textId="6D88BBA2" w:rsidR="00581AA6" w:rsidRPr="00EE33FA" w:rsidRDefault="00D66E71" w:rsidP="0087400E">
      <w:pPr>
        <w:pStyle w:val="ListParagraph"/>
        <w:numPr>
          <w:ilvl w:val="0"/>
          <w:numId w:val="16"/>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L</w:t>
      </w:r>
      <w:r w:rsidR="00581AA6" w:rsidRPr="00EE33FA">
        <w:rPr>
          <w:rFonts w:ascii="Times New Roman" w:hAnsi="Times New Roman" w:cs="Times New Roman"/>
          <w:color w:val="000000" w:themeColor="text1"/>
          <w:lang w:val="en-GB"/>
        </w:rPr>
        <w:t>ot r</w:t>
      </w:r>
      <w:r w:rsidR="00AC3804" w:rsidRPr="00EE33FA">
        <w:rPr>
          <w:rFonts w:ascii="Times New Roman" w:hAnsi="Times New Roman" w:cs="Times New Roman"/>
          <w:color w:val="000000" w:themeColor="text1"/>
          <w:lang w:val="en-GB"/>
        </w:rPr>
        <w:t xml:space="preserve">elease procedures </w:t>
      </w:r>
      <w:r w:rsidRPr="00EE33FA">
        <w:rPr>
          <w:rFonts w:ascii="Times New Roman" w:hAnsi="Times New Roman" w:cs="Times New Roman"/>
          <w:color w:val="000000" w:themeColor="text1"/>
          <w:lang w:val="en-GB"/>
        </w:rPr>
        <w:t xml:space="preserve">(not </w:t>
      </w:r>
      <w:r w:rsidR="00AC3804" w:rsidRPr="00EE33FA">
        <w:rPr>
          <w:rFonts w:ascii="Times New Roman" w:hAnsi="Times New Roman" w:cs="Times New Roman"/>
          <w:color w:val="000000" w:themeColor="text1"/>
          <w:lang w:val="en-GB"/>
        </w:rPr>
        <w:t>in place</w:t>
      </w:r>
      <w:r w:rsidRPr="00EE33FA">
        <w:rPr>
          <w:rFonts w:ascii="Times New Roman" w:hAnsi="Times New Roman" w:cs="Times New Roman"/>
          <w:color w:val="000000" w:themeColor="text1"/>
          <w:lang w:val="en-GB"/>
        </w:rPr>
        <w:t>)</w:t>
      </w:r>
    </w:p>
    <w:p w14:paraId="7683885D" w14:textId="2BC92BE1" w:rsidR="00581AA6" w:rsidRPr="00EE33FA" w:rsidRDefault="00581AA6" w:rsidP="00E113C3">
      <w:pPr>
        <w:spacing w:before="120" w:line="300" w:lineRule="atLeast"/>
        <w:ind w:firstLine="360"/>
        <w:jc w:val="both"/>
        <w:rPr>
          <w:color w:val="000000" w:themeColor="text1"/>
          <w:lang w:val="en-GB"/>
        </w:rPr>
      </w:pPr>
      <w:r w:rsidRPr="00EE33FA">
        <w:rPr>
          <w:color w:val="000000" w:themeColor="text1"/>
          <w:lang w:val="en-GB"/>
        </w:rPr>
        <w:t xml:space="preserve">As Georgia procures routine vaccines through UNICEF, all the vaccines are WHO-prequalified. The special committee, chaired by the deputy minister of health and </w:t>
      </w:r>
      <w:r w:rsidR="00AC3804" w:rsidRPr="00EE33FA">
        <w:rPr>
          <w:color w:val="000000" w:themeColor="text1"/>
          <w:lang w:val="en-GB"/>
        </w:rPr>
        <w:t>responsible for</w:t>
      </w:r>
      <w:r w:rsidRPr="00EE33FA">
        <w:rPr>
          <w:color w:val="000000" w:themeColor="text1"/>
          <w:lang w:val="en-GB"/>
        </w:rPr>
        <w:t xml:space="preserve"> admission of medicines and other pharmaceutical materials for urgent</w:t>
      </w:r>
      <w:r w:rsidR="00AC3804" w:rsidRPr="00EE33FA">
        <w:rPr>
          <w:color w:val="000000" w:themeColor="text1"/>
          <w:lang w:val="en-GB"/>
        </w:rPr>
        <w:t xml:space="preserve"> and strategic needs, provides </w:t>
      </w:r>
      <w:r w:rsidR="00FE1BB2" w:rsidRPr="00EE33FA">
        <w:rPr>
          <w:color w:val="000000" w:themeColor="text1"/>
          <w:lang w:val="en-GB"/>
        </w:rPr>
        <w:t xml:space="preserve">WHO-prequalified vaccine with </w:t>
      </w:r>
      <w:r w:rsidRPr="00EE33FA">
        <w:rPr>
          <w:color w:val="000000" w:themeColor="text1"/>
          <w:lang w:val="en-GB"/>
        </w:rPr>
        <w:t>a single (one-time) permission per each episode of introduction in Georgia. Permission is made based on vaccin</w:t>
      </w:r>
      <w:r w:rsidR="00A61CB6" w:rsidRPr="00EE33FA">
        <w:rPr>
          <w:color w:val="000000" w:themeColor="text1"/>
          <w:lang w:val="en-GB"/>
        </w:rPr>
        <w:t>e documentation review by NRA. The l</w:t>
      </w:r>
      <w:r w:rsidRPr="00EE33FA">
        <w:rPr>
          <w:color w:val="000000" w:themeColor="text1"/>
          <w:lang w:val="en-GB"/>
        </w:rPr>
        <w:t xml:space="preserve">ist of documents is the same as required by the simplified registration procedure but the procedure is resulted in a single </w:t>
      </w:r>
      <w:r w:rsidR="00B22E15">
        <w:rPr>
          <w:color w:val="000000" w:themeColor="text1"/>
          <w:lang w:val="en-GB"/>
        </w:rPr>
        <w:t>permission</w:t>
      </w:r>
      <w:r w:rsidR="00FE1BB2" w:rsidRPr="00EE33FA">
        <w:rPr>
          <w:color w:val="000000" w:themeColor="text1"/>
          <w:lang w:val="en-GB"/>
        </w:rPr>
        <w:t>.</w:t>
      </w:r>
    </w:p>
    <w:p w14:paraId="50AD2636" w14:textId="44B45994" w:rsidR="00AC3804" w:rsidRPr="00EE33FA" w:rsidRDefault="00AC3804" w:rsidP="00E113C3">
      <w:pPr>
        <w:spacing w:before="120" w:line="300" w:lineRule="atLeast"/>
        <w:ind w:firstLine="360"/>
        <w:jc w:val="both"/>
        <w:rPr>
          <w:color w:val="000000" w:themeColor="text1"/>
          <w:lang w:val="en-GB"/>
        </w:rPr>
      </w:pPr>
      <w:r w:rsidRPr="00EE33FA">
        <w:rPr>
          <w:color w:val="000000" w:themeColor="text1"/>
          <w:lang w:val="en-GB"/>
        </w:rPr>
        <w:t xml:space="preserve">An Institutional Development Plan </w:t>
      </w:r>
      <w:r w:rsidR="00D66780" w:rsidRPr="00EE33FA">
        <w:rPr>
          <w:color w:val="000000" w:themeColor="text1"/>
          <w:lang w:val="en-GB"/>
        </w:rPr>
        <w:t>was produced with the support of WHO in 2014. However during the review, it appears that the plan is not follow</w:t>
      </w:r>
      <w:r w:rsidR="00A61CB6" w:rsidRPr="00EE33FA">
        <w:rPr>
          <w:color w:val="000000" w:themeColor="text1"/>
          <w:lang w:val="en-GB"/>
        </w:rPr>
        <w:t>ed</w:t>
      </w:r>
      <w:r w:rsidR="00D66780" w:rsidRPr="00EE33FA">
        <w:rPr>
          <w:color w:val="000000" w:themeColor="text1"/>
          <w:lang w:val="en-GB"/>
        </w:rPr>
        <w:t>-up by the NRA.</w:t>
      </w:r>
    </w:p>
    <w:p w14:paraId="090EBD9D" w14:textId="77777777" w:rsidR="00CC5206" w:rsidRPr="00EE33FA" w:rsidRDefault="00CC5206" w:rsidP="00CC5206">
      <w:pPr>
        <w:spacing w:before="120" w:line="300" w:lineRule="atLeast"/>
        <w:jc w:val="both"/>
        <w:rPr>
          <w:color w:val="000000" w:themeColor="text1"/>
          <w:lang w:val="en-GB"/>
        </w:rPr>
      </w:pPr>
    </w:p>
    <w:p w14:paraId="158CD820" w14:textId="77777777" w:rsidR="00CC5206" w:rsidRPr="00EE33FA" w:rsidRDefault="00CC5206" w:rsidP="00CC5206">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Summary findings and recommendations</w:t>
      </w:r>
    </w:p>
    <w:p w14:paraId="10899466" w14:textId="1959065A" w:rsidR="00CC5206" w:rsidRPr="00EE33FA" w:rsidRDefault="00CC5206" w:rsidP="00CC5206">
      <w:pPr>
        <w:spacing w:before="60" w:after="60"/>
        <w:ind w:left="357" w:right="-1"/>
        <w:rPr>
          <w:lang w:val="en-GB"/>
        </w:rPr>
      </w:pPr>
      <w:r w:rsidRPr="00EE33FA">
        <w:rPr>
          <w:b/>
          <w:color w:val="4F81BD"/>
          <w:lang w:val="en-GB"/>
        </w:rPr>
        <w:t>Major achievements</w:t>
      </w:r>
    </w:p>
    <w:p w14:paraId="2E447746" w14:textId="77777777" w:rsidR="00CC5206" w:rsidRPr="00EE33FA" w:rsidRDefault="00CC5206"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Central level:  Existing good equipment for cold chain, temperature monitoring, transportation; cold storage capacity adequate; EVM (2014) recommendations and SOPs implemented for a good part; national vaccine store with high quality standard</w:t>
      </w:r>
    </w:p>
    <w:p w14:paraId="13A07666" w14:textId="77777777" w:rsidR="00CC5206" w:rsidRPr="00EE33FA" w:rsidRDefault="00CC5206"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Country level:  Vaccine storage and distribution system well structured and fairly well functioning; Cold chain inventory assessment conducted (2013)</w:t>
      </w:r>
    </w:p>
    <w:p w14:paraId="0DEAE2DA" w14:textId="77777777" w:rsidR="00CC5206" w:rsidRPr="00EE33FA" w:rsidRDefault="00CC5206" w:rsidP="0087400E">
      <w:pPr>
        <w:pStyle w:val="ListParagraph"/>
        <w:numPr>
          <w:ilvl w:val="0"/>
          <w:numId w:val="7"/>
        </w:numPr>
        <w:spacing w:before="60" w:after="60"/>
        <w:ind w:left="714" w:right="-338" w:hanging="357"/>
        <w:contextualSpacing w:val="0"/>
        <w:rPr>
          <w:rFonts w:ascii="Times New Roman" w:hAnsi="Times New Roman"/>
          <w:lang w:val="en-GB"/>
        </w:rPr>
      </w:pPr>
      <w:r w:rsidRPr="00EE33FA">
        <w:rPr>
          <w:rFonts w:ascii="Times New Roman" w:hAnsi="Times New Roman"/>
          <w:lang w:val="en-GB"/>
        </w:rPr>
        <w:t>New equipment provided (central, district) from GoG budget covering 1/3 of country need</w:t>
      </w:r>
    </w:p>
    <w:p w14:paraId="070D76BA" w14:textId="77777777" w:rsidR="00CC5206" w:rsidRPr="00EE33FA" w:rsidRDefault="00CC5206"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AEFI surveillance system in place, guidelines currently renewed</w:t>
      </w:r>
    </w:p>
    <w:p w14:paraId="2A907385" w14:textId="77777777" w:rsidR="00CC5206" w:rsidRPr="00EE33FA" w:rsidRDefault="00CC5206"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NRA: Institutional development plan exists </w:t>
      </w:r>
    </w:p>
    <w:p w14:paraId="13505E26" w14:textId="77777777" w:rsidR="00CC5206" w:rsidRPr="00EE33FA" w:rsidRDefault="00CC5206" w:rsidP="00CC5206">
      <w:pPr>
        <w:spacing w:before="60" w:after="60"/>
        <w:ind w:left="360" w:right="-1"/>
        <w:rPr>
          <w:lang w:val="en-GB"/>
        </w:rPr>
      </w:pPr>
      <w:r w:rsidRPr="00EE33FA">
        <w:rPr>
          <w:b/>
          <w:color w:val="4F81BD"/>
          <w:lang w:val="en-GB"/>
        </w:rPr>
        <w:t>Major issues identified</w:t>
      </w:r>
    </w:p>
    <w:p w14:paraId="2FBAD1B0" w14:textId="5F2285AB" w:rsidR="00CC5206" w:rsidRPr="00EE33FA" w:rsidRDefault="00CC5206"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Lack of SOPs implemented at DPHC and </w:t>
      </w:r>
      <w:r w:rsidR="005C426D" w:rsidRPr="00EE33FA">
        <w:rPr>
          <w:rFonts w:ascii="Times New Roman" w:hAnsi="Times New Roman"/>
          <w:lang w:val="en-GB"/>
        </w:rPr>
        <w:t xml:space="preserve">primary health care </w:t>
      </w:r>
      <w:r w:rsidRPr="00EE33FA">
        <w:rPr>
          <w:rFonts w:ascii="Times New Roman" w:hAnsi="Times New Roman"/>
          <w:lang w:val="en-GB"/>
        </w:rPr>
        <w:t>facility levels</w:t>
      </w:r>
    </w:p>
    <w:p w14:paraId="2D0B2788" w14:textId="0C1C21B4" w:rsidR="00CC5206" w:rsidRPr="00EE33FA" w:rsidRDefault="00CC5206"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lastRenderedPageBreak/>
        <w:t xml:space="preserve">Primary health care facilities mostly use domestic refrigerators, WHO standards cold chain equipment procured by NCDC can not be given to </w:t>
      </w:r>
      <w:r w:rsidR="00296611" w:rsidRPr="00EE33FA">
        <w:rPr>
          <w:rFonts w:ascii="Times New Roman" w:hAnsi="Times New Roman"/>
          <w:lang w:val="en-GB"/>
        </w:rPr>
        <w:t xml:space="preserve">primary </w:t>
      </w:r>
      <w:r w:rsidRPr="00EE33FA">
        <w:rPr>
          <w:rFonts w:ascii="Times New Roman" w:hAnsi="Times New Roman"/>
          <w:lang w:val="en-GB"/>
        </w:rPr>
        <w:t>health</w:t>
      </w:r>
      <w:r w:rsidR="00296611" w:rsidRPr="00EE33FA">
        <w:rPr>
          <w:rFonts w:ascii="Times New Roman" w:hAnsi="Times New Roman"/>
          <w:lang w:val="en-GB"/>
        </w:rPr>
        <w:t xml:space="preserve"> care</w:t>
      </w:r>
      <w:r w:rsidRPr="00EE33FA">
        <w:rPr>
          <w:rFonts w:ascii="Times New Roman" w:hAnsi="Times New Roman"/>
          <w:lang w:val="en-GB"/>
        </w:rPr>
        <w:t xml:space="preserve"> facilities</w:t>
      </w:r>
    </w:p>
    <w:p w14:paraId="1FF847AD" w14:textId="77777777" w:rsidR="00CC5206" w:rsidRPr="00EE33FA" w:rsidRDefault="00CC5206"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Weaknesses in cold chain knowledge and practices in some city maternity and polyclinics</w:t>
      </w:r>
    </w:p>
    <w:p w14:paraId="12E28554" w14:textId="77777777" w:rsidR="00CC5206" w:rsidRPr="00EE33FA" w:rsidRDefault="00CC5206"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Sensitivity of the AEFI system not really known</w:t>
      </w:r>
    </w:p>
    <w:p w14:paraId="25F757D7" w14:textId="4C7EEB13" w:rsidR="006309F0" w:rsidRPr="00EE33FA" w:rsidRDefault="00CC5206"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Information recorded in the logbooks not always complete; may indicate st</w:t>
      </w:r>
      <w:r w:rsidR="006309F0" w:rsidRPr="00EE33FA">
        <w:rPr>
          <w:rFonts w:ascii="Times New Roman" w:hAnsi="Times New Roman"/>
          <w:lang w:val="en-GB"/>
        </w:rPr>
        <w:t>aff overload and lack of time</w:t>
      </w:r>
    </w:p>
    <w:p w14:paraId="56734694" w14:textId="77777777" w:rsidR="006309F0" w:rsidRPr="00EE33FA" w:rsidRDefault="006309F0" w:rsidP="006309F0">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Main recommendations</w:t>
      </w:r>
    </w:p>
    <w:p w14:paraId="6A4BE294" w14:textId="77777777" w:rsidR="00CC5206" w:rsidRPr="00EE33FA" w:rsidRDefault="00CC5206" w:rsidP="0087400E">
      <w:pPr>
        <w:pStyle w:val="ListParagraph"/>
        <w:numPr>
          <w:ilvl w:val="0"/>
          <w:numId w:val="1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GoG to continue allocating budget for cold chain in 2016 and 2017 to cover remaining need</w:t>
      </w:r>
    </w:p>
    <w:p w14:paraId="7C403F93" w14:textId="56983604" w:rsidR="00CC5206" w:rsidRPr="00EE33FA" w:rsidRDefault="00CC5206" w:rsidP="0087400E">
      <w:pPr>
        <w:pStyle w:val="ListParagraph"/>
        <w:numPr>
          <w:ilvl w:val="0"/>
          <w:numId w:val="1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 xml:space="preserve">Write and implement SOPs at DPHC and </w:t>
      </w:r>
      <w:r w:rsidR="00296611" w:rsidRPr="00EE33FA">
        <w:rPr>
          <w:rFonts w:ascii="Times New Roman" w:hAnsi="Times New Roman"/>
          <w:lang w:val="en-GB"/>
        </w:rPr>
        <w:t xml:space="preserve">primary health care </w:t>
      </w:r>
      <w:r w:rsidRPr="00EE33FA">
        <w:rPr>
          <w:rFonts w:ascii="Times New Roman" w:hAnsi="Times New Roman"/>
          <w:lang w:val="en-GB"/>
        </w:rPr>
        <w:t>facility levels</w:t>
      </w:r>
    </w:p>
    <w:p w14:paraId="47D3D540" w14:textId="77777777" w:rsidR="00CC5206" w:rsidRPr="00EE33FA" w:rsidRDefault="00CC5206" w:rsidP="0087400E">
      <w:pPr>
        <w:pStyle w:val="ListParagraph"/>
        <w:numPr>
          <w:ilvl w:val="0"/>
          <w:numId w:val="1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Conduct temperature monitoring study during transportation between DPHC and health facilities, and within health facilities</w:t>
      </w:r>
    </w:p>
    <w:p w14:paraId="24A8D2FD" w14:textId="77777777" w:rsidR="00CC5206" w:rsidRPr="00EE33FA" w:rsidRDefault="00CC5206" w:rsidP="0087400E">
      <w:pPr>
        <w:pStyle w:val="ListParagraph"/>
        <w:numPr>
          <w:ilvl w:val="0"/>
          <w:numId w:val="1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Review AEFI surveillance system sensitivity; train on AEFI detection and case definition</w:t>
      </w:r>
    </w:p>
    <w:p w14:paraId="7BB30C79" w14:textId="6E1267AA" w:rsidR="00CC5206" w:rsidRPr="00EE33FA" w:rsidRDefault="00CC5206" w:rsidP="0087400E">
      <w:pPr>
        <w:pStyle w:val="ListParagraph"/>
        <w:numPr>
          <w:ilvl w:val="0"/>
          <w:numId w:val="1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EE33FA">
        <w:rPr>
          <w:rFonts w:ascii="Times New Roman" w:hAnsi="Times New Roman"/>
          <w:lang w:val="en-GB"/>
        </w:rPr>
        <w:t xml:space="preserve">The </w:t>
      </w:r>
      <w:r w:rsidR="006211F7" w:rsidRPr="00EE33FA">
        <w:rPr>
          <w:rFonts w:ascii="Times New Roman" w:hAnsi="Times New Roman"/>
          <w:lang w:val="en-GB"/>
        </w:rPr>
        <w:t>Regulatory Authorities (NRA)</w:t>
      </w:r>
      <w:r w:rsidRPr="00EE33FA">
        <w:rPr>
          <w:rFonts w:ascii="Times New Roman" w:hAnsi="Times New Roman"/>
          <w:lang w:val="en-GB"/>
        </w:rPr>
        <w:t xml:space="preserve"> to implement the Institutional Development Plan produced in 2014 </w:t>
      </w:r>
    </w:p>
    <w:p w14:paraId="4C915B86" w14:textId="77777777" w:rsidR="00CC5206" w:rsidRPr="00EE33FA" w:rsidRDefault="00CC5206" w:rsidP="00F331D7">
      <w:pPr>
        <w:spacing w:before="120" w:line="300" w:lineRule="atLeast"/>
        <w:jc w:val="both"/>
        <w:rPr>
          <w:b/>
          <w:lang w:val="en-GB"/>
        </w:rPr>
      </w:pPr>
    </w:p>
    <w:p w14:paraId="500C4BB1" w14:textId="457F5361" w:rsidR="000171D5" w:rsidRPr="007F02A6" w:rsidRDefault="002F56C0" w:rsidP="007F02A6">
      <w:pPr>
        <w:pStyle w:val="Heading2"/>
        <w:numPr>
          <w:ilvl w:val="0"/>
          <w:numId w:val="11"/>
        </w:numPr>
        <w:rPr>
          <w:lang w:val="en-GB"/>
        </w:rPr>
      </w:pPr>
      <w:bookmarkStart w:id="29" w:name="_Toc303889502"/>
      <w:r w:rsidRPr="00EE33FA">
        <w:rPr>
          <w:lang w:val="en-GB"/>
        </w:rPr>
        <w:t xml:space="preserve">Immunization coverage </w:t>
      </w:r>
      <w:r w:rsidR="00CC26FC" w:rsidRPr="00EE33FA">
        <w:rPr>
          <w:lang w:val="en-GB"/>
        </w:rPr>
        <w:t>and</w:t>
      </w:r>
      <w:r w:rsidRPr="00EE33FA">
        <w:rPr>
          <w:lang w:val="en-GB"/>
        </w:rPr>
        <w:t xml:space="preserve"> monitoring, including program performance</w:t>
      </w:r>
      <w:bookmarkEnd w:id="29"/>
    </w:p>
    <w:p w14:paraId="32A80876" w14:textId="405BA113" w:rsidR="0076211E" w:rsidRDefault="0067603C" w:rsidP="0076211E">
      <w:pPr>
        <w:spacing w:before="120" w:line="300" w:lineRule="atLeast"/>
        <w:ind w:firstLine="360"/>
        <w:jc w:val="both"/>
        <w:rPr>
          <w:lang w:val="en-GB"/>
        </w:rPr>
      </w:pPr>
      <w:r>
        <w:rPr>
          <w:lang w:val="en-GB"/>
        </w:rPr>
        <w:t>The o</w:t>
      </w:r>
      <w:r w:rsidRPr="0067603C">
        <w:rPr>
          <w:lang w:val="en-GB"/>
        </w:rPr>
        <w:t xml:space="preserve">verall immunization coverage </w:t>
      </w:r>
      <w:r>
        <w:rPr>
          <w:lang w:val="en-GB"/>
        </w:rPr>
        <w:t xml:space="preserve">recording and reporting system </w:t>
      </w:r>
      <w:r w:rsidR="00E771F4">
        <w:rPr>
          <w:lang w:val="en-GB"/>
        </w:rPr>
        <w:t>appears to be</w:t>
      </w:r>
      <w:r>
        <w:rPr>
          <w:lang w:val="en-GB"/>
        </w:rPr>
        <w:t xml:space="preserve"> </w:t>
      </w:r>
      <w:r w:rsidR="00DC16E9">
        <w:rPr>
          <w:lang w:val="en-GB"/>
        </w:rPr>
        <w:t xml:space="preserve">well </w:t>
      </w:r>
      <w:r>
        <w:rPr>
          <w:lang w:val="en-GB"/>
        </w:rPr>
        <w:t>functioning, and</w:t>
      </w:r>
      <w:r w:rsidRPr="0067603C">
        <w:rPr>
          <w:lang w:val="en-GB"/>
        </w:rPr>
        <w:t xml:space="preserve"> data </w:t>
      </w:r>
      <w:r>
        <w:rPr>
          <w:lang w:val="en-GB"/>
        </w:rPr>
        <w:t xml:space="preserve">are </w:t>
      </w:r>
      <w:r w:rsidRPr="0067603C">
        <w:rPr>
          <w:lang w:val="en-GB"/>
        </w:rPr>
        <w:t>generally processed timely and complete</w:t>
      </w:r>
      <w:r w:rsidR="0076211E">
        <w:rPr>
          <w:lang w:val="en-GB"/>
        </w:rPr>
        <w:t>.  However as previously mentioned, there are still</w:t>
      </w:r>
      <w:r w:rsidR="0076211E" w:rsidRPr="00EE33FA">
        <w:rPr>
          <w:lang w:val="en-GB"/>
        </w:rPr>
        <w:t xml:space="preserve"> too many differences not elucidated with target population figures</w:t>
      </w:r>
      <w:r w:rsidR="0076211E">
        <w:rPr>
          <w:lang w:val="en-GB"/>
        </w:rPr>
        <w:t>, questioning the immunization coverage itself, which in some area could be higher (as the target population might low</w:t>
      </w:r>
      <w:r w:rsidR="003233AD">
        <w:rPr>
          <w:lang w:val="en-GB"/>
        </w:rPr>
        <w:t>er</w:t>
      </w:r>
      <w:r w:rsidR="0076211E">
        <w:rPr>
          <w:lang w:val="en-GB"/>
        </w:rPr>
        <w:t xml:space="preserve"> than current data used).</w:t>
      </w:r>
    </w:p>
    <w:p w14:paraId="3F874B9B" w14:textId="606B723C" w:rsidR="00E10734" w:rsidRDefault="0076211E" w:rsidP="00E10734">
      <w:pPr>
        <w:spacing w:before="120" w:line="300" w:lineRule="atLeast"/>
        <w:ind w:firstLine="360"/>
        <w:jc w:val="both"/>
        <w:rPr>
          <w:lang w:val="en-GB"/>
        </w:rPr>
      </w:pPr>
      <w:r>
        <w:rPr>
          <w:lang w:val="en-GB"/>
        </w:rPr>
        <w:t>The new immunization e-module introduction deeply improved</w:t>
      </w:r>
      <w:r w:rsidR="0067603C" w:rsidRPr="0076211E">
        <w:rPr>
          <w:lang w:val="en-GB"/>
        </w:rPr>
        <w:t xml:space="preserve"> child registry, with </w:t>
      </w:r>
      <w:r>
        <w:rPr>
          <w:lang w:val="en-GB"/>
        </w:rPr>
        <w:t>the existence of an ID number.  There is also a p</w:t>
      </w:r>
      <w:r w:rsidR="0067603C" w:rsidRPr="0076211E">
        <w:rPr>
          <w:lang w:val="en-GB"/>
        </w:rPr>
        <w:t>lanned introduction of e-birth registration</w:t>
      </w:r>
      <w:r>
        <w:rPr>
          <w:lang w:val="en-GB"/>
        </w:rPr>
        <w:t xml:space="preserve">.  The </w:t>
      </w:r>
      <w:r w:rsidRPr="00A732C6">
        <w:rPr>
          <w:lang w:val="en-GB"/>
        </w:rPr>
        <w:t xml:space="preserve">contingent </w:t>
      </w:r>
      <w:r>
        <w:rPr>
          <w:lang w:val="en-GB"/>
        </w:rPr>
        <w:t xml:space="preserve">started to be </w:t>
      </w:r>
      <w:r w:rsidRPr="00A732C6">
        <w:rPr>
          <w:lang w:val="en-GB"/>
        </w:rPr>
        <w:t xml:space="preserve">settled, plan </w:t>
      </w:r>
      <w:r>
        <w:rPr>
          <w:lang w:val="en-GB"/>
        </w:rPr>
        <w:t xml:space="preserve">better clarified, </w:t>
      </w:r>
      <w:r w:rsidRPr="00A732C6">
        <w:rPr>
          <w:lang w:val="en-GB"/>
        </w:rPr>
        <w:t xml:space="preserve">but polyclinics </w:t>
      </w:r>
      <w:r>
        <w:rPr>
          <w:lang w:val="en-GB"/>
        </w:rPr>
        <w:t>face sometimes problem</w:t>
      </w:r>
      <w:r w:rsidR="00414823">
        <w:rPr>
          <w:lang w:val="en-GB"/>
        </w:rPr>
        <w:t>s</w:t>
      </w:r>
      <w:r>
        <w:rPr>
          <w:lang w:val="en-GB"/>
        </w:rPr>
        <w:t xml:space="preserve"> entering data, and </w:t>
      </w:r>
      <w:r w:rsidRPr="00A732C6">
        <w:rPr>
          <w:lang w:val="en-GB"/>
        </w:rPr>
        <w:t xml:space="preserve">training </w:t>
      </w:r>
      <w:r w:rsidR="00DC16E9">
        <w:rPr>
          <w:lang w:val="en-GB"/>
        </w:rPr>
        <w:t>is</w:t>
      </w:r>
      <w:r>
        <w:rPr>
          <w:lang w:val="en-GB"/>
        </w:rPr>
        <w:t xml:space="preserve"> a </w:t>
      </w:r>
      <w:r w:rsidRPr="00A732C6">
        <w:rPr>
          <w:lang w:val="en-GB"/>
        </w:rPr>
        <w:t>challenge too</w:t>
      </w:r>
      <w:r>
        <w:rPr>
          <w:lang w:val="en-GB"/>
        </w:rPr>
        <w:t>.  It is important to e</w:t>
      </w:r>
      <w:r w:rsidRPr="00320C95">
        <w:rPr>
          <w:lang w:val="en-GB"/>
        </w:rPr>
        <w:t xml:space="preserve">nsure </w:t>
      </w:r>
      <w:r>
        <w:rPr>
          <w:lang w:val="en-GB"/>
        </w:rPr>
        <w:t xml:space="preserve">full </w:t>
      </w:r>
      <w:r w:rsidR="00E10734" w:rsidRPr="00320C95">
        <w:rPr>
          <w:lang w:val="en-GB"/>
        </w:rPr>
        <w:t>rollout</w:t>
      </w:r>
      <w:r w:rsidRPr="00320C95">
        <w:rPr>
          <w:lang w:val="en-GB"/>
        </w:rPr>
        <w:t xml:space="preserve"> and proper use of the immunization e-module by all health f</w:t>
      </w:r>
      <w:r>
        <w:rPr>
          <w:lang w:val="en-GB"/>
        </w:rPr>
        <w:t>acilities as soon as possible, and e</w:t>
      </w:r>
      <w:r w:rsidRPr="00320C95">
        <w:rPr>
          <w:lang w:val="en-GB"/>
        </w:rPr>
        <w:t xml:space="preserve">nsure </w:t>
      </w:r>
      <w:r>
        <w:rPr>
          <w:lang w:val="en-GB"/>
        </w:rPr>
        <w:t xml:space="preserve">the </w:t>
      </w:r>
      <w:r w:rsidRPr="00320C95">
        <w:rPr>
          <w:lang w:val="en-GB"/>
        </w:rPr>
        <w:t xml:space="preserve">linkage of </w:t>
      </w:r>
      <w:r w:rsidR="0099532E">
        <w:rPr>
          <w:lang w:val="en-GB"/>
        </w:rPr>
        <w:t xml:space="preserve">the </w:t>
      </w:r>
      <w:r w:rsidRPr="00320C95">
        <w:rPr>
          <w:lang w:val="en-GB"/>
        </w:rPr>
        <w:t xml:space="preserve">birth registration system with </w:t>
      </w:r>
      <w:r w:rsidR="005F7F51">
        <w:rPr>
          <w:lang w:val="en-GB"/>
        </w:rPr>
        <w:t xml:space="preserve">the </w:t>
      </w:r>
      <w:r w:rsidRPr="00320C95">
        <w:rPr>
          <w:lang w:val="en-GB"/>
        </w:rPr>
        <w:t>immunization module</w:t>
      </w:r>
      <w:r>
        <w:rPr>
          <w:lang w:val="en-GB"/>
        </w:rPr>
        <w:t>.</w:t>
      </w:r>
    </w:p>
    <w:p w14:paraId="0220595C" w14:textId="47CAEA54" w:rsidR="003A53AB" w:rsidRPr="00A732C6" w:rsidRDefault="00414823" w:rsidP="003A53AB">
      <w:pPr>
        <w:spacing w:before="120" w:line="300" w:lineRule="atLeast"/>
        <w:ind w:firstLine="360"/>
        <w:jc w:val="both"/>
        <w:rPr>
          <w:lang w:val="en-GB"/>
        </w:rPr>
      </w:pPr>
      <w:r>
        <w:rPr>
          <w:lang w:val="en-GB"/>
        </w:rPr>
        <w:t>It was notice</w:t>
      </w:r>
      <w:r w:rsidR="00DC16E9">
        <w:rPr>
          <w:lang w:val="en-GB"/>
        </w:rPr>
        <w:t>d</w:t>
      </w:r>
      <w:r>
        <w:rPr>
          <w:lang w:val="en-GB"/>
        </w:rPr>
        <w:t xml:space="preserve"> that </w:t>
      </w:r>
      <w:r w:rsidR="003A53AB">
        <w:rPr>
          <w:lang w:val="en-GB"/>
        </w:rPr>
        <w:t xml:space="preserve">some facilities </w:t>
      </w:r>
      <w:r w:rsidR="000837B8" w:rsidRPr="00A732C6">
        <w:rPr>
          <w:lang w:val="en-GB"/>
        </w:rPr>
        <w:t>do</w:t>
      </w:r>
      <w:r w:rsidR="003A53AB" w:rsidRPr="00A732C6">
        <w:rPr>
          <w:lang w:val="en-GB"/>
        </w:rPr>
        <w:t xml:space="preserve"> n</w:t>
      </w:r>
      <w:r>
        <w:rPr>
          <w:lang w:val="en-GB"/>
        </w:rPr>
        <w:t xml:space="preserve">ot have access to computer and </w:t>
      </w:r>
      <w:r w:rsidR="000837B8">
        <w:rPr>
          <w:lang w:val="en-GB"/>
        </w:rPr>
        <w:t>Internet</w:t>
      </w:r>
      <w:r w:rsidR="003A53AB" w:rsidRPr="00A732C6">
        <w:rPr>
          <w:lang w:val="en-GB"/>
        </w:rPr>
        <w:t xml:space="preserve"> connection for </w:t>
      </w:r>
      <w:r w:rsidR="003466DD">
        <w:rPr>
          <w:lang w:val="en-GB"/>
        </w:rPr>
        <w:t>electronic</w:t>
      </w:r>
      <w:r w:rsidR="00C05EBA">
        <w:rPr>
          <w:lang w:val="en-GB"/>
        </w:rPr>
        <w:t xml:space="preserve"> </w:t>
      </w:r>
      <w:r w:rsidR="000837B8">
        <w:rPr>
          <w:lang w:val="en-GB"/>
        </w:rPr>
        <w:t>monitoring</w:t>
      </w:r>
      <w:r w:rsidR="003466DD">
        <w:rPr>
          <w:lang w:val="en-GB"/>
        </w:rPr>
        <w:t xml:space="preserve"> of the </w:t>
      </w:r>
      <w:r w:rsidR="003466DD" w:rsidRPr="00A732C6">
        <w:rPr>
          <w:lang w:val="en-GB"/>
        </w:rPr>
        <w:t>immunization coverage</w:t>
      </w:r>
      <w:r w:rsidR="003A53AB" w:rsidRPr="00A732C6">
        <w:rPr>
          <w:lang w:val="en-GB"/>
        </w:rPr>
        <w:t xml:space="preserve">. Data analysis </w:t>
      </w:r>
      <w:r w:rsidR="000837B8">
        <w:rPr>
          <w:lang w:val="en-GB"/>
        </w:rPr>
        <w:t>was</w:t>
      </w:r>
      <w:r w:rsidR="003A53AB" w:rsidRPr="00A732C6">
        <w:rPr>
          <w:lang w:val="en-GB"/>
        </w:rPr>
        <w:t xml:space="preserve"> done by hand, fragmented and incomplete.</w:t>
      </w:r>
    </w:p>
    <w:p w14:paraId="0C42B905" w14:textId="76CA6B7B" w:rsidR="00E10734" w:rsidRDefault="00E10734" w:rsidP="00C05EBA">
      <w:pPr>
        <w:spacing w:before="120" w:line="300" w:lineRule="atLeast"/>
        <w:ind w:firstLine="360"/>
        <w:jc w:val="both"/>
        <w:rPr>
          <w:lang w:val="en-GB"/>
        </w:rPr>
      </w:pPr>
      <w:r>
        <w:rPr>
          <w:lang w:val="en-GB"/>
        </w:rPr>
        <w:t xml:space="preserve">Concerning the monitoring of the </w:t>
      </w:r>
      <w:r w:rsidR="00C05EBA">
        <w:rPr>
          <w:lang w:val="en-GB"/>
        </w:rPr>
        <w:t xml:space="preserve">quality of the </w:t>
      </w:r>
      <w:r>
        <w:rPr>
          <w:lang w:val="en-GB"/>
        </w:rPr>
        <w:t>immunization activities, there are r</w:t>
      </w:r>
      <w:r w:rsidRPr="00EE33FA">
        <w:rPr>
          <w:lang w:val="en-GB"/>
        </w:rPr>
        <w:t xml:space="preserve">egular supervisory </w:t>
      </w:r>
      <w:r w:rsidR="003C1E58">
        <w:rPr>
          <w:lang w:val="en-GB"/>
        </w:rPr>
        <w:t>visits</w:t>
      </w:r>
      <w:r w:rsidRPr="00EE33FA">
        <w:rPr>
          <w:lang w:val="en-GB"/>
        </w:rPr>
        <w:t xml:space="preserve"> </w:t>
      </w:r>
      <w:r>
        <w:rPr>
          <w:lang w:val="en-GB"/>
        </w:rPr>
        <w:t xml:space="preserve">conducted </w:t>
      </w:r>
      <w:r w:rsidRPr="00EE33FA">
        <w:rPr>
          <w:lang w:val="en-GB"/>
        </w:rPr>
        <w:t xml:space="preserve">by NCDC in DPHC allowing checking the best practices and </w:t>
      </w:r>
      <w:r w:rsidR="00CF6F10">
        <w:rPr>
          <w:lang w:val="en-GB"/>
        </w:rPr>
        <w:t xml:space="preserve">recommending </w:t>
      </w:r>
      <w:r w:rsidRPr="00EE33FA">
        <w:rPr>
          <w:lang w:val="en-GB"/>
        </w:rPr>
        <w:t>corrective action</w:t>
      </w:r>
      <w:r>
        <w:rPr>
          <w:lang w:val="en-GB"/>
        </w:rPr>
        <w:t xml:space="preserve">.  </w:t>
      </w:r>
      <w:r w:rsidR="00C05EBA">
        <w:rPr>
          <w:lang w:val="en-GB"/>
        </w:rPr>
        <w:t xml:space="preserve">DPHCs are monitoring </w:t>
      </w:r>
      <w:r w:rsidR="00C05EBA" w:rsidRPr="00EE33FA">
        <w:rPr>
          <w:lang w:val="en-GB"/>
        </w:rPr>
        <w:t xml:space="preserve">primary </w:t>
      </w:r>
      <w:r w:rsidR="00C05EBA" w:rsidRPr="00A732C6">
        <w:rPr>
          <w:lang w:val="en-GB"/>
        </w:rPr>
        <w:t>health facilities</w:t>
      </w:r>
      <w:r w:rsidR="00C05EBA">
        <w:rPr>
          <w:lang w:val="en-GB"/>
        </w:rPr>
        <w:t>, but as previously mentioned</w:t>
      </w:r>
      <w:r w:rsidR="00DB2DA2">
        <w:rPr>
          <w:lang w:val="en-GB"/>
        </w:rPr>
        <w:t>,</w:t>
      </w:r>
      <w:r w:rsidR="00C05EBA">
        <w:rPr>
          <w:lang w:val="en-GB"/>
        </w:rPr>
        <w:t xml:space="preserve"> have no possibility to enforce changes, but simply provide advices and recommendations.  In general, there was n</w:t>
      </w:r>
      <w:r w:rsidRPr="00EE33FA">
        <w:rPr>
          <w:lang w:val="en-GB"/>
        </w:rPr>
        <w:t xml:space="preserve">o real financial problem to implement supervisory </w:t>
      </w:r>
      <w:r w:rsidR="005D1008">
        <w:rPr>
          <w:lang w:val="en-GB"/>
        </w:rPr>
        <w:t>visits</w:t>
      </w:r>
      <w:r w:rsidR="00C05EBA">
        <w:rPr>
          <w:lang w:val="en-GB"/>
        </w:rPr>
        <w:t xml:space="preserve">, mainly due to the fact that new vaccines introduction provided </w:t>
      </w:r>
      <w:r w:rsidR="00B84BC1">
        <w:rPr>
          <w:lang w:val="en-GB"/>
        </w:rPr>
        <w:t>opportunities</w:t>
      </w:r>
      <w:r w:rsidR="00C05EBA">
        <w:rPr>
          <w:lang w:val="en-GB"/>
        </w:rPr>
        <w:t xml:space="preserve"> to train and supervise </w:t>
      </w:r>
      <w:r w:rsidR="00FD5952">
        <w:rPr>
          <w:lang w:val="en-GB"/>
        </w:rPr>
        <w:t xml:space="preserve">immunization </w:t>
      </w:r>
      <w:r w:rsidR="00C05EBA">
        <w:rPr>
          <w:lang w:val="en-GB"/>
        </w:rPr>
        <w:t>activities.</w:t>
      </w:r>
    </w:p>
    <w:p w14:paraId="0F27A8FC" w14:textId="55ABC50F" w:rsidR="003A53AB" w:rsidRDefault="00C05EBA" w:rsidP="003A53AB">
      <w:pPr>
        <w:spacing w:before="120" w:line="300" w:lineRule="atLeast"/>
        <w:ind w:firstLine="360"/>
        <w:jc w:val="both"/>
        <w:rPr>
          <w:lang w:val="en-GB"/>
        </w:rPr>
      </w:pPr>
      <w:r>
        <w:rPr>
          <w:lang w:val="en-GB"/>
        </w:rPr>
        <w:lastRenderedPageBreak/>
        <w:t>However t</w:t>
      </w:r>
      <w:r w:rsidR="00895DC8">
        <w:rPr>
          <w:lang w:val="en-GB"/>
        </w:rPr>
        <w:t>he m</w:t>
      </w:r>
      <w:r w:rsidR="003A53AB" w:rsidRPr="00A732C6">
        <w:rPr>
          <w:lang w:val="en-GB"/>
        </w:rPr>
        <w:t xml:space="preserve">onitoring of </w:t>
      </w:r>
      <w:r w:rsidR="00895DC8">
        <w:rPr>
          <w:lang w:val="en-GB"/>
        </w:rPr>
        <w:t xml:space="preserve">the </w:t>
      </w:r>
      <w:r w:rsidR="003A53AB" w:rsidRPr="00A732C6">
        <w:rPr>
          <w:lang w:val="en-GB"/>
        </w:rPr>
        <w:t xml:space="preserve">program performances </w:t>
      </w:r>
      <w:r w:rsidR="00895DC8" w:rsidRPr="00EE33FA">
        <w:rPr>
          <w:lang w:val="en-GB"/>
        </w:rPr>
        <w:t>by DPHC</w:t>
      </w:r>
      <w:r w:rsidR="00895DC8">
        <w:rPr>
          <w:lang w:val="en-GB"/>
        </w:rPr>
        <w:t xml:space="preserve"> and </w:t>
      </w:r>
      <w:r w:rsidR="003A53AB" w:rsidRPr="00A732C6">
        <w:rPr>
          <w:lang w:val="en-GB"/>
        </w:rPr>
        <w:t xml:space="preserve">within </w:t>
      </w:r>
      <w:r w:rsidR="00895DC8" w:rsidRPr="00EE33FA">
        <w:rPr>
          <w:lang w:val="en-GB"/>
        </w:rPr>
        <w:t xml:space="preserve">primary </w:t>
      </w:r>
      <w:r w:rsidR="003A53AB" w:rsidRPr="00A732C6">
        <w:rPr>
          <w:lang w:val="en-GB"/>
        </w:rPr>
        <w:t xml:space="preserve">health facilities </w:t>
      </w:r>
      <w:r w:rsidR="00895DC8">
        <w:rPr>
          <w:lang w:val="en-GB"/>
        </w:rPr>
        <w:t xml:space="preserve">is insufficient, with </w:t>
      </w:r>
      <w:r w:rsidR="00895DC8" w:rsidRPr="00EE33FA">
        <w:rPr>
          <w:lang w:val="en-GB"/>
        </w:rPr>
        <w:t>limited data analysis</w:t>
      </w:r>
      <w:r w:rsidR="00895DC8">
        <w:rPr>
          <w:lang w:val="en-GB"/>
        </w:rPr>
        <w:t>. There is</w:t>
      </w:r>
      <w:r w:rsidR="003A53AB" w:rsidRPr="00A732C6">
        <w:rPr>
          <w:lang w:val="en-GB"/>
        </w:rPr>
        <w:t xml:space="preserve"> </w:t>
      </w:r>
      <w:r w:rsidR="00895DC8">
        <w:rPr>
          <w:lang w:val="en-GB"/>
        </w:rPr>
        <w:t xml:space="preserve">also </w:t>
      </w:r>
      <w:r w:rsidR="003A53AB" w:rsidRPr="00A732C6">
        <w:rPr>
          <w:lang w:val="en-GB"/>
        </w:rPr>
        <w:t>no calculation of immunization coverage</w:t>
      </w:r>
      <w:r w:rsidR="00895DC8">
        <w:rPr>
          <w:lang w:val="en-GB"/>
        </w:rPr>
        <w:t xml:space="preserve"> at </w:t>
      </w:r>
      <w:r w:rsidR="00895DC8" w:rsidRPr="00EE33FA">
        <w:rPr>
          <w:lang w:val="en-GB"/>
        </w:rPr>
        <w:t xml:space="preserve">primary </w:t>
      </w:r>
      <w:r w:rsidR="00895DC8" w:rsidRPr="00A732C6">
        <w:rPr>
          <w:lang w:val="en-GB"/>
        </w:rPr>
        <w:t xml:space="preserve">health </w:t>
      </w:r>
      <w:r w:rsidR="00895DC8">
        <w:rPr>
          <w:lang w:val="en-GB"/>
        </w:rPr>
        <w:t>facility level.</w:t>
      </w:r>
    </w:p>
    <w:p w14:paraId="59DED3C3" w14:textId="6F6C7C93" w:rsidR="008B341A" w:rsidRDefault="00C05EBA" w:rsidP="008B341A">
      <w:pPr>
        <w:spacing w:before="120" w:line="300" w:lineRule="atLeast"/>
        <w:ind w:firstLine="360"/>
        <w:jc w:val="both"/>
        <w:rPr>
          <w:lang w:val="en-GB"/>
        </w:rPr>
      </w:pPr>
      <w:r>
        <w:rPr>
          <w:lang w:val="en-GB"/>
        </w:rPr>
        <w:t xml:space="preserve">Concerning the immunization coverage for the different </w:t>
      </w:r>
      <w:r w:rsidR="006644D2">
        <w:rPr>
          <w:lang w:val="en-GB"/>
        </w:rPr>
        <w:t>antigens</w:t>
      </w:r>
      <w:r>
        <w:rPr>
          <w:lang w:val="en-GB"/>
        </w:rPr>
        <w:t>, they</w:t>
      </w:r>
      <w:r w:rsidR="00895DC8" w:rsidRPr="00EE33FA">
        <w:rPr>
          <w:lang w:val="en-GB"/>
        </w:rPr>
        <w:t xml:space="preserve"> are lower than the Regional target of 95%</w:t>
      </w:r>
      <w:r w:rsidR="006644D2">
        <w:rPr>
          <w:lang w:val="en-GB"/>
        </w:rPr>
        <w:t>. Then</w:t>
      </w:r>
      <w:r>
        <w:rPr>
          <w:lang w:val="en-GB"/>
        </w:rPr>
        <w:t xml:space="preserve"> h</w:t>
      </w:r>
      <w:r w:rsidR="006644D2">
        <w:rPr>
          <w:lang w:val="en-GB"/>
        </w:rPr>
        <w:t>igh drop-out rates (P</w:t>
      </w:r>
      <w:r w:rsidR="00895DC8" w:rsidRPr="00EE33FA">
        <w:rPr>
          <w:lang w:val="en-GB"/>
        </w:rPr>
        <w:t>e</w:t>
      </w:r>
      <w:r w:rsidR="006644D2">
        <w:rPr>
          <w:lang w:val="en-GB"/>
        </w:rPr>
        <w:t>nta</w:t>
      </w:r>
      <w:r w:rsidR="008E20C1">
        <w:rPr>
          <w:lang w:val="en-GB"/>
        </w:rPr>
        <w:t xml:space="preserve"> </w:t>
      </w:r>
      <w:r w:rsidR="006644D2">
        <w:rPr>
          <w:lang w:val="en-GB"/>
        </w:rPr>
        <w:t>1-3, P</w:t>
      </w:r>
      <w:r>
        <w:rPr>
          <w:lang w:val="en-GB"/>
        </w:rPr>
        <w:t xml:space="preserve">enta-MMR1) </w:t>
      </w:r>
      <w:r w:rsidR="006644D2">
        <w:rPr>
          <w:lang w:val="en-GB"/>
        </w:rPr>
        <w:t xml:space="preserve">are quite frequent within the country. </w:t>
      </w:r>
      <w:r w:rsidR="008B341A">
        <w:rPr>
          <w:lang w:val="en-GB"/>
        </w:rPr>
        <w:t xml:space="preserve"> For the national level, 2014 drop-out rate were as high as 9% for Penta1-MMR1, 10% for Penta1-Penta3, 9% for OPV 1-3</w:t>
      </w:r>
      <w:r w:rsidR="005808E2">
        <w:rPr>
          <w:lang w:val="en-GB"/>
        </w:rPr>
        <w:t>.</w:t>
      </w:r>
    </w:p>
    <w:p w14:paraId="13B6E706" w14:textId="44CBAF82" w:rsidR="00A732C6" w:rsidRPr="00A732C6" w:rsidRDefault="00D270DB" w:rsidP="00D270DB">
      <w:pPr>
        <w:spacing w:before="120" w:line="300" w:lineRule="atLeast"/>
        <w:ind w:firstLine="360"/>
        <w:jc w:val="both"/>
        <w:rPr>
          <w:lang w:val="en-GB"/>
        </w:rPr>
      </w:pPr>
      <w:r>
        <w:rPr>
          <w:lang w:val="en-GB"/>
        </w:rPr>
        <w:t>R</w:t>
      </w:r>
      <w:r w:rsidRPr="00EE33FA">
        <w:rPr>
          <w:lang w:val="en-GB"/>
        </w:rPr>
        <w:t xml:space="preserve">otavirus vaccine coverage </w:t>
      </w:r>
      <w:r>
        <w:rPr>
          <w:lang w:val="en-GB"/>
        </w:rPr>
        <w:t>is lower than Penta1 and P</w:t>
      </w:r>
      <w:r w:rsidRPr="00EE33FA">
        <w:rPr>
          <w:lang w:val="en-GB"/>
        </w:rPr>
        <w:t>enta2</w:t>
      </w:r>
      <w:r>
        <w:rPr>
          <w:lang w:val="en-GB"/>
        </w:rPr>
        <w:t>.  Then concerning MMR2 coverage, f</w:t>
      </w:r>
      <w:r w:rsidR="00A732C6" w:rsidRPr="00A732C6">
        <w:rPr>
          <w:lang w:val="en-GB"/>
        </w:rPr>
        <w:t>ollowing the dismantling of school immunization services, MMR2 vac</w:t>
      </w:r>
      <w:r w:rsidR="007F4704">
        <w:rPr>
          <w:lang w:val="en-GB"/>
        </w:rPr>
        <w:t>cine was being provided by the health c</w:t>
      </w:r>
      <w:r w:rsidR="00A732C6" w:rsidRPr="00A732C6">
        <w:rPr>
          <w:lang w:val="en-GB"/>
        </w:rPr>
        <w:t xml:space="preserve">entres at 5 years of age which were thought to be </w:t>
      </w:r>
      <w:r>
        <w:rPr>
          <w:lang w:val="en-GB"/>
        </w:rPr>
        <w:t>contributing to lower coverage.</w:t>
      </w:r>
    </w:p>
    <w:p w14:paraId="5A2DB1FC" w14:textId="77777777" w:rsidR="00292154" w:rsidRDefault="00292154" w:rsidP="00F331D7">
      <w:pPr>
        <w:spacing w:before="120" w:line="300" w:lineRule="atLeast"/>
        <w:jc w:val="both"/>
        <w:rPr>
          <w:b/>
          <w:lang w:val="en-GB"/>
        </w:rPr>
      </w:pPr>
    </w:p>
    <w:p w14:paraId="2FE01DFC" w14:textId="7B6554DE" w:rsidR="00990D67" w:rsidRPr="00EE33FA" w:rsidRDefault="00990D67" w:rsidP="00F331D7">
      <w:pPr>
        <w:spacing w:before="120" w:line="300" w:lineRule="atLeast"/>
        <w:jc w:val="both"/>
        <w:rPr>
          <w:b/>
          <w:lang w:val="en-GB"/>
        </w:rPr>
      </w:pPr>
      <w:r>
        <w:rPr>
          <w:noProof/>
          <w:lang w:val="ka-GE" w:eastAsia="ka-GE"/>
        </w:rPr>
        <w:drawing>
          <wp:inline distT="0" distB="0" distL="0" distR="0" wp14:anchorId="7975D31D" wp14:editId="59B56BB6">
            <wp:extent cx="5486400" cy="2251075"/>
            <wp:effectExtent l="0" t="0" r="25400" b="349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B2A081" w14:textId="559D96D5" w:rsidR="00352409" w:rsidRPr="00EE33FA" w:rsidRDefault="00352409" w:rsidP="00352409">
      <w:pPr>
        <w:spacing w:before="120" w:line="300" w:lineRule="atLeast"/>
        <w:jc w:val="center"/>
        <w:rPr>
          <w:bCs/>
          <w:i/>
          <w:lang w:val="en-GB"/>
        </w:rPr>
      </w:pPr>
      <w:r w:rsidRPr="00EE33FA">
        <w:rPr>
          <w:i/>
          <w:lang w:val="en-GB"/>
        </w:rPr>
        <w:t>Figure/table</w:t>
      </w:r>
      <w:r w:rsidRPr="00EE33FA">
        <w:rPr>
          <w:bCs/>
          <w:i/>
          <w:lang w:val="en-GB"/>
        </w:rPr>
        <w:t xml:space="preserve"> </w:t>
      </w:r>
      <w:r w:rsidR="00C82088">
        <w:rPr>
          <w:bCs/>
          <w:i/>
          <w:lang w:val="en-GB"/>
        </w:rPr>
        <w:t>6</w:t>
      </w:r>
      <w:r w:rsidRPr="00EE33FA">
        <w:rPr>
          <w:bCs/>
          <w:i/>
          <w:lang w:val="en-GB"/>
        </w:rPr>
        <w:t>: Immunization Cov</w:t>
      </w:r>
      <w:r w:rsidR="00BD2ED2" w:rsidRPr="00EE33FA">
        <w:rPr>
          <w:bCs/>
          <w:i/>
          <w:lang w:val="en-GB"/>
        </w:rPr>
        <w:t>erage</w:t>
      </w:r>
    </w:p>
    <w:p w14:paraId="4AAD9F6C" w14:textId="77777777" w:rsidR="00320C95" w:rsidRPr="00EE33FA" w:rsidRDefault="00320C95" w:rsidP="001F12FF">
      <w:pPr>
        <w:spacing w:before="120" w:line="300" w:lineRule="atLeast"/>
        <w:jc w:val="both"/>
        <w:rPr>
          <w:color w:val="000000" w:themeColor="text1"/>
          <w:lang w:val="en-GB"/>
        </w:rPr>
      </w:pPr>
    </w:p>
    <w:p w14:paraId="6CD707F3" w14:textId="77777777" w:rsidR="001F12FF" w:rsidRPr="00EE33FA" w:rsidRDefault="001F12FF" w:rsidP="001F12FF">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Summary findings and recommendations</w:t>
      </w:r>
    </w:p>
    <w:p w14:paraId="1058E094" w14:textId="77777777" w:rsidR="001F12FF" w:rsidRPr="00EE33FA" w:rsidRDefault="001F12FF" w:rsidP="001F12FF">
      <w:pPr>
        <w:spacing w:before="60" w:after="60"/>
        <w:ind w:left="357" w:right="-1"/>
        <w:rPr>
          <w:lang w:val="en-GB"/>
        </w:rPr>
      </w:pPr>
      <w:r w:rsidRPr="00EE33FA">
        <w:rPr>
          <w:b/>
          <w:color w:val="4F81BD"/>
          <w:lang w:val="en-GB"/>
        </w:rPr>
        <w:t>Major achievements</w:t>
      </w:r>
    </w:p>
    <w:p w14:paraId="4A22D4DA"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Overall good immunization coverage system; data generally processed timely and complete</w:t>
      </w:r>
    </w:p>
    <w:p w14:paraId="354C8D28"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New immunization e-module introduction improving child registry, with ID number. Planned introduction of e-birth registration</w:t>
      </w:r>
    </w:p>
    <w:p w14:paraId="54D008D4"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Regular supervisory activities by NCDC in DPHC allowing checking the best practices and corrective action</w:t>
      </w:r>
    </w:p>
    <w:p w14:paraId="4BEF89ED" w14:textId="77777777" w:rsidR="00320C95" w:rsidRPr="00EE33FA" w:rsidRDefault="00320C95" w:rsidP="00320C95">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No real financial problem to implement supervisory activities </w:t>
      </w:r>
    </w:p>
    <w:p w14:paraId="37F0B1F4" w14:textId="77777777" w:rsidR="001F12FF" w:rsidRPr="00EE33FA" w:rsidRDefault="001F12FF" w:rsidP="001F12FF">
      <w:pPr>
        <w:spacing w:before="60" w:after="60"/>
        <w:ind w:left="360" w:right="-1"/>
        <w:rPr>
          <w:lang w:val="en-GB"/>
        </w:rPr>
      </w:pPr>
      <w:r w:rsidRPr="00EE33FA">
        <w:rPr>
          <w:b/>
          <w:color w:val="4F81BD"/>
          <w:lang w:val="en-GB"/>
        </w:rPr>
        <w:t>Major issues identified</w:t>
      </w:r>
    </w:p>
    <w:p w14:paraId="7DE2E9F6"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Still too many differences not elucidated with target population figures</w:t>
      </w:r>
    </w:p>
    <w:p w14:paraId="0536845F"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Insufficient program performance monitoring by DPHC and primary health care facilities; limited data analysis</w:t>
      </w:r>
    </w:p>
    <w:p w14:paraId="1780E9AF"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Immunization coverages are lower than the Regional target of 95%</w:t>
      </w:r>
    </w:p>
    <w:p w14:paraId="4791A8C1" w14:textId="77777777" w:rsidR="00320C95" w:rsidRPr="00EE33FA" w:rsidRDefault="00320C95" w:rsidP="00320C95">
      <w:pPr>
        <w:pStyle w:val="ListParagraph"/>
        <w:numPr>
          <w:ilvl w:val="0"/>
          <w:numId w:val="6"/>
        </w:numPr>
        <w:spacing w:before="60" w:after="60"/>
        <w:ind w:right="-142"/>
        <w:contextualSpacing w:val="0"/>
        <w:rPr>
          <w:rFonts w:ascii="Times New Roman" w:hAnsi="Times New Roman"/>
          <w:lang w:val="en-GB"/>
        </w:rPr>
      </w:pPr>
      <w:r w:rsidRPr="00EE33FA">
        <w:rPr>
          <w:rFonts w:ascii="Times New Roman" w:hAnsi="Times New Roman"/>
          <w:lang w:val="en-GB"/>
        </w:rPr>
        <w:lastRenderedPageBreak/>
        <w:t>High drop-out rates (penta1-3, penta-MMR1), rotavirus vaccine coverage lower than penta1 and penta2</w:t>
      </w:r>
    </w:p>
    <w:p w14:paraId="3A03C736" w14:textId="77777777" w:rsidR="00320C95" w:rsidRPr="00EE33FA" w:rsidRDefault="00320C95" w:rsidP="00320C95">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Some difficulties to supervise health facilities </w:t>
      </w:r>
    </w:p>
    <w:p w14:paraId="7F4E7D2A" w14:textId="77777777" w:rsidR="001F12FF" w:rsidRPr="00EE33FA" w:rsidRDefault="001F12FF" w:rsidP="001F12FF">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Main recommendations</w:t>
      </w:r>
    </w:p>
    <w:p w14:paraId="0E855998" w14:textId="78A3C209" w:rsidR="00320C95" w:rsidRPr="00320C95" w:rsidRDefault="00320C95" w:rsidP="00320C95">
      <w:pPr>
        <w:pStyle w:val="ListParagraph"/>
        <w:numPr>
          <w:ilvl w:val="0"/>
          <w:numId w:val="2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contextualSpacing w:val="0"/>
        <w:rPr>
          <w:rFonts w:ascii="Times New Roman" w:hAnsi="Times New Roman"/>
          <w:lang w:val="en-GB"/>
        </w:rPr>
      </w:pPr>
      <w:r w:rsidRPr="00320C95">
        <w:rPr>
          <w:rFonts w:ascii="Times New Roman" w:hAnsi="Times New Roman"/>
          <w:lang w:val="en-GB"/>
        </w:rPr>
        <w:t>Ensure roll-out and proper use of the immunization e-module by all health facilities as soon as possible. Ensure linkage of birth registration system with immunization module</w:t>
      </w:r>
    </w:p>
    <w:p w14:paraId="2CCAD983" w14:textId="16CD2D80" w:rsidR="00320C95" w:rsidRPr="00320C95" w:rsidRDefault="00320C95" w:rsidP="00320C95">
      <w:pPr>
        <w:pStyle w:val="ListParagraph"/>
        <w:numPr>
          <w:ilvl w:val="0"/>
          <w:numId w:val="2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rPr>
          <w:rFonts w:ascii="Times New Roman" w:hAnsi="Times New Roman"/>
          <w:lang w:val="en-GB"/>
        </w:rPr>
      </w:pPr>
      <w:r w:rsidRPr="00320C95">
        <w:rPr>
          <w:rFonts w:ascii="Times New Roman" w:hAnsi="Times New Roman"/>
          <w:lang w:val="en-GB"/>
        </w:rPr>
        <w:t>Strengthen skills and accountabilities of DPHCs on data analysis and program performance monitoring</w:t>
      </w:r>
    </w:p>
    <w:p w14:paraId="7D074064" w14:textId="58574BC2" w:rsidR="00320C95" w:rsidRPr="00320C95" w:rsidRDefault="00320C95" w:rsidP="00320C95">
      <w:pPr>
        <w:pStyle w:val="ListParagraph"/>
        <w:numPr>
          <w:ilvl w:val="0"/>
          <w:numId w:val="2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rPr>
          <w:rFonts w:ascii="Times New Roman" w:hAnsi="Times New Roman"/>
          <w:lang w:val="en-GB"/>
        </w:rPr>
      </w:pPr>
      <w:r w:rsidRPr="00320C95">
        <w:rPr>
          <w:rFonts w:ascii="Times New Roman" w:hAnsi="Times New Roman"/>
          <w:lang w:val="en-GB"/>
        </w:rPr>
        <w:t>Explore ways to increase immunization coverage and decrease drop-out rates, engaging MLHSA and SSA</w:t>
      </w:r>
    </w:p>
    <w:p w14:paraId="1A3E3950" w14:textId="28023D86" w:rsidR="00320C95" w:rsidRPr="00320C95" w:rsidRDefault="00320C95" w:rsidP="00320C95">
      <w:pPr>
        <w:pStyle w:val="ListParagraph"/>
        <w:numPr>
          <w:ilvl w:val="0"/>
          <w:numId w:val="25"/>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60" w:after="60"/>
        <w:ind w:right="-1"/>
        <w:rPr>
          <w:rFonts w:ascii="Times New Roman" w:hAnsi="Times New Roman"/>
          <w:lang w:val="en-GB"/>
        </w:rPr>
      </w:pPr>
      <w:r w:rsidRPr="00320C95">
        <w:rPr>
          <w:rFonts w:ascii="Times New Roman" w:hAnsi="Times New Roman"/>
          <w:lang w:val="en-GB"/>
        </w:rPr>
        <w:t xml:space="preserve">Maintain the extent and the quality of supportive supervision to ensure the full quality of the immunization program </w:t>
      </w:r>
    </w:p>
    <w:p w14:paraId="6572172E" w14:textId="77777777" w:rsidR="001F12FF" w:rsidRPr="00EE33FA" w:rsidRDefault="001F12FF" w:rsidP="00F331D7">
      <w:pPr>
        <w:spacing w:before="120" w:line="300" w:lineRule="atLeast"/>
        <w:jc w:val="both"/>
        <w:rPr>
          <w:b/>
          <w:lang w:val="en-GB"/>
        </w:rPr>
      </w:pPr>
    </w:p>
    <w:p w14:paraId="2666AA22" w14:textId="7C27DF16" w:rsidR="002F56C0" w:rsidRPr="00EE33FA" w:rsidRDefault="00490708" w:rsidP="0087400E">
      <w:pPr>
        <w:pStyle w:val="Heading2"/>
        <w:numPr>
          <w:ilvl w:val="0"/>
          <w:numId w:val="11"/>
        </w:numPr>
        <w:rPr>
          <w:lang w:val="en-GB"/>
        </w:rPr>
      </w:pPr>
      <w:bookmarkStart w:id="30" w:name="_Toc303889503"/>
      <w:r w:rsidRPr="00EE33FA">
        <w:rPr>
          <w:lang w:val="en-GB"/>
        </w:rPr>
        <w:t xml:space="preserve">VDP surveillance </w:t>
      </w:r>
      <w:r w:rsidR="00CC26FC" w:rsidRPr="00EE33FA">
        <w:rPr>
          <w:lang w:val="en-GB"/>
        </w:rPr>
        <w:t>and</w:t>
      </w:r>
      <w:r w:rsidRPr="00EE33FA">
        <w:rPr>
          <w:lang w:val="en-GB"/>
        </w:rPr>
        <w:t xml:space="preserve"> diseases control (polio, measles/rubella, hepatitis B)</w:t>
      </w:r>
      <w:bookmarkEnd w:id="30"/>
    </w:p>
    <w:p w14:paraId="7672597D" w14:textId="640B0D20" w:rsidR="00F82857" w:rsidRPr="00EE33FA" w:rsidRDefault="008D3D59" w:rsidP="00586308">
      <w:pPr>
        <w:spacing w:before="120" w:line="300" w:lineRule="atLeast"/>
        <w:ind w:firstLine="360"/>
        <w:jc w:val="both"/>
        <w:rPr>
          <w:color w:val="000000" w:themeColor="text1"/>
          <w:lang w:val="en-GB"/>
        </w:rPr>
      </w:pPr>
      <w:r w:rsidRPr="00EE33FA">
        <w:rPr>
          <w:lang w:val="en-GB"/>
        </w:rPr>
        <w:t xml:space="preserve">All vaccine-preventable diseases (VPD) </w:t>
      </w:r>
      <w:r w:rsidR="00586308" w:rsidRPr="00EE33FA">
        <w:rPr>
          <w:lang w:val="en-GB"/>
        </w:rPr>
        <w:t xml:space="preserve">are </w:t>
      </w:r>
      <w:r w:rsidRPr="00EE33FA">
        <w:rPr>
          <w:lang w:val="en-GB"/>
        </w:rPr>
        <w:t>nationally reportable</w:t>
      </w:r>
      <w:r w:rsidR="00514266" w:rsidRPr="00EE33FA">
        <w:rPr>
          <w:lang w:val="en-GB"/>
        </w:rPr>
        <w:t xml:space="preserve">; </w:t>
      </w:r>
      <w:r w:rsidRPr="00EE33FA">
        <w:rPr>
          <w:lang w:val="en-GB"/>
        </w:rPr>
        <w:t xml:space="preserve">all </w:t>
      </w:r>
      <w:r w:rsidR="00586308" w:rsidRPr="00EE33FA">
        <w:rPr>
          <w:lang w:val="en-GB"/>
        </w:rPr>
        <w:t xml:space="preserve">are </w:t>
      </w:r>
      <w:r w:rsidRPr="00EE33FA">
        <w:rPr>
          <w:lang w:val="en-GB"/>
        </w:rPr>
        <w:t>subject to immediat</w:t>
      </w:r>
      <w:r w:rsidR="00D63ACE" w:rsidRPr="00EE33FA">
        <w:rPr>
          <w:lang w:val="en-GB"/>
        </w:rPr>
        <w:t xml:space="preserve">e notification and case-based; </w:t>
      </w:r>
      <w:r w:rsidRPr="00EE33FA">
        <w:rPr>
          <w:lang w:val="en-GB"/>
        </w:rPr>
        <w:t xml:space="preserve">hepatitis B is </w:t>
      </w:r>
      <w:r w:rsidR="00586308" w:rsidRPr="00EE33FA">
        <w:rPr>
          <w:lang w:val="en-GB"/>
        </w:rPr>
        <w:t xml:space="preserve">an </w:t>
      </w:r>
      <w:r w:rsidRPr="00EE33FA">
        <w:rPr>
          <w:lang w:val="en-GB"/>
        </w:rPr>
        <w:t>exception - aggregate reporting since in 2012, but there is a plan to change it back this year</w:t>
      </w:r>
      <w:r w:rsidR="00E31227" w:rsidRPr="00EE33FA">
        <w:rPr>
          <w:lang w:val="en-GB"/>
        </w:rPr>
        <w:t>.</w:t>
      </w:r>
      <w:r w:rsidR="00586308" w:rsidRPr="00EE33FA">
        <w:rPr>
          <w:color w:val="000000" w:themeColor="text1"/>
          <w:lang w:val="en-GB"/>
        </w:rPr>
        <w:t xml:space="preserve"> </w:t>
      </w:r>
      <w:r w:rsidRPr="00EE33FA">
        <w:rPr>
          <w:lang w:val="en-GB"/>
        </w:rPr>
        <w:t>National Guidelines for Communicable Disease Surveillance which include</w:t>
      </w:r>
      <w:r w:rsidR="00264504" w:rsidRPr="00EE33FA">
        <w:rPr>
          <w:lang w:val="en-GB"/>
        </w:rPr>
        <w:t>s</w:t>
      </w:r>
      <w:r w:rsidRPr="00EE33FA">
        <w:rPr>
          <w:lang w:val="en-GB"/>
        </w:rPr>
        <w:t xml:space="preserve"> VPD surveillance were adopted in 2004 and updated in 2010.  The VPDs section in the guidelines are in general adequate, but hav</w:t>
      </w:r>
      <w:r w:rsidR="00F82857" w:rsidRPr="00EE33FA">
        <w:rPr>
          <w:lang w:val="en-GB"/>
        </w:rPr>
        <w:t>e not been updated since 2004.</w:t>
      </w:r>
    </w:p>
    <w:p w14:paraId="29B7A0FC" w14:textId="2C5A8646" w:rsidR="00F82857" w:rsidRPr="00EE33FA" w:rsidRDefault="008D3D59" w:rsidP="00F82857">
      <w:pPr>
        <w:spacing w:before="120" w:line="300" w:lineRule="atLeast"/>
        <w:ind w:firstLine="360"/>
        <w:jc w:val="both"/>
        <w:rPr>
          <w:color w:val="000000" w:themeColor="text1"/>
          <w:lang w:val="en-GB"/>
        </w:rPr>
      </w:pPr>
      <w:r w:rsidRPr="00EE33FA">
        <w:rPr>
          <w:lang w:val="en-GB"/>
        </w:rPr>
        <w:t xml:space="preserve">The surveillance process includes case-reporting by </w:t>
      </w:r>
      <w:r w:rsidR="00264504" w:rsidRPr="00EE33FA">
        <w:rPr>
          <w:lang w:val="en-GB"/>
        </w:rPr>
        <w:t xml:space="preserve">primary </w:t>
      </w:r>
      <w:r w:rsidRPr="00EE33FA">
        <w:rPr>
          <w:lang w:val="en-GB"/>
        </w:rPr>
        <w:t>health care facilities (HCF) to District Public Health Centers (</w:t>
      </w:r>
      <w:r w:rsidR="00CB73CB" w:rsidRPr="00EE33FA">
        <w:rPr>
          <w:lang w:val="en-GB"/>
        </w:rPr>
        <w:t>D</w:t>
      </w:r>
      <w:r w:rsidRPr="00EE33FA">
        <w:rPr>
          <w:lang w:val="en-GB"/>
        </w:rPr>
        <w:t xml:space="preserve">PHC) to NCDC.  HCFs report cases to </w:t>
      </w:r>
      <w:r w:rsidR="00CB73CB" w:rsidRPr="00EE33FA">
        <w:rPr>
          <w:lang w:val="en-GB"/>
        </w:rPr>
        <w:t>DPHCs</w:t>
      </w:r>
      <w:r w:rsidRPr="00EE33FA">
        <w:rPr>
          <w:lang w:val="en-GB"/>
        </w:rPr>
        <w:t xml:space="preserve"> using paper forms. </w:t>
      </w:r>
      <w:r w:rsidR="004C10B5" w:rsidRPr="00EE33FA">
        <w:rPr>
          <w:lang w:val="en-GB"/>
        </w:rPr>
        <w:t>D</w:t>
      </w:r>
      <w:r w:rsidRPr="00EE33FA">
        <w:rPr>
          <w:lang w:val="en-GB"/>
        </w:rPr>
        <w:t xml:space="preserve">PHCs enter the information into the Electronic Infectious Disease Surveillance System (EIDSS) - a nationwide web-based system for human and animal communicable disease surveillance (reporting through EIDSS mandatory in 2012). The national level receives real time reports on cases through EIDSS.  Case classification </w:t>
      </w:r>
      <w:r w:rsidR="00804581" w:rsidRPr="00EE33FA">
        <w:rPr>
          <w:lang w:val="en-GB"/>
        </w:rPr>
        <w:t xml:space="preserve">is </w:t>
      </w:r>
      <w:r w:rsidRPr="00EE33FA">
        <w:rPr>
          <w:lang w:val="en-GB"/>
        </w:rPr>
        <w:t xml:space="preserve">done at district level </w:t>
      </w:r>
      <w:r w:rsidR="00804581" w:rsidRPr="00EE33FA">
        <w:rPr>
          <w:lang w:val="en-GB"/>
        </w:rPr>
        <w:t xml:space="preserve">and </w:t>
      </w:r>
      <w:r w:rsidRPr="00EE33FA">
        <w:rPr>
          <w:lang w:val="en-GB"/>
        </w:rPr>
        <w:t>updated by NCDC if needed.  Incorporating data on laboratory testing is challenging as lab and epi components cannot always be linked by using EIDSS, and having unique case identifiers used by both sides is not always possible. In addition, EIDSS currently cannot be linked to some WHO systems for laboratory surveillance (e.g. for measles and rubella).</w:t>
      </w:r>
    </w:p>
    <w:p w14:paraId="70D02CB9" w14:textId="77777777" w:rsidR="00F82857" w:rsidRPr="00EE33FA" w:rsidRDefault="008D3D59" w:rsidP="00F82857">
      <w:pPr>
        <w:spacing w:before="120" w:line="300" w:lineRule="atLeast"/>
        <w:ind w:firstLine="360"/>
        <w:jc w:val="both"/>
        <w:rPr>
          <w:color w:val="000000" w:themeColor="text1"/>
          <w:lang w:val="en-GB"/>
        </w:rPr>
      </w:pPr>
      <w:r w:rsidRPr="00EE33FA">
        <w:rPr>
          <w:lang w:val="en-GB"/>
        </w:rPr>
        <w:t xml:space="preserve">The system provides detailed disease-specific forms for VPDs with case-based surveillance.  At the NCDC level (and in some districts), EIDSS is linked to the national electronic Health Information Management System (HIMS) and receives notification when a diagnosis of reportable disease is entered into HIMS (potential duplicate reports reconciled at NCDC level). The access to the Immunization Module (IMM) of HIMS allows access to the data on vaccination status of cases thus helping with case/outbreak investigation and response.  The positive impact of links to HIMS will likely become greater once the currently ongoing roll-out of HIMS, particularly IMM, is completed.  Measles and rubella, as well as AFP case data in EIDSS is compatible with the format for reporting to the WHO/EURO thus eliminating the need for duplicate data entry into WHO system. The Laboratory Information </w:t>
      </w:r>
      <w:r w:rsidRPr="00EE33FA">
        <w:rPr>
          <w:lang w:val="en-GB"/>
        </w:rPr>
        <w:lastRenderedPageBreak/>
        <w:t>Management System (LIMS) currently under development will be linked with EIDSS and will likely allow access to laboratory data at major HCFs.</w:t>
      </w:r>
    </w:p>
    <w:p w14:paraId="61A65AF8" w14:textId="77777777" w:rsidR="00F82857" w:rsidRPr="00EE33FA" w:rsidRDefault="008D3D59" w:rsidP="00F82857">
      <w:pPr>
        <w:spacing w:before="120" w:line="300" w:lineRule="atLeast"/>
        <w:ind w:firstLine="360"/>
        <w:jc w:val="both"/>
        <w:rPr>
          <w:color w:val="000000" w:themeColor="text1"/>
          <w:lang w:val="en-GB"/>
        </w:rPr>
      </w:pPr>
      <w:r w:rsidRPr="00EE33FA">
        <w:rPr>
          <w:lang w:val="en-GB"/>
        </w:rPr>
        <w:t>EIDSS allows generation of standard reports submitted from district to NCDC levels monthly.  The national level also generates periodic reports based on the EIDSS data, but the limitations of the staff time and resources prevent routine conducting of detailed analysis.</w:t>
      </w:r>
    </w:p>
    <w:p w14:paraId="66B97335" w14:textId="0EA0723B" w:rsidR="00F82857" w:rsidRPr="00EE33FA" w:rsidRDefault="008D3D59" w:rsidP="00F82857">
      <w:pPr>
        <w:spacing w:before="120" w:line="300" w:lineRule="atLeast"/>
        <w:ind w:firstLine="360"/>
        <w:jc w:val="both"/>
        <w:rPr>
          <w:color w:val="000000" w:themeColor="text1"/>
          <w:lang w:val="en-GB"/>
        </w:rPr>
      </w:pPr>
      <w:r w:rsidRPr="00EE33FA">
        <w:rPr>
          <w:lang w:val="en-GB"/>
        </w:rPr>
        <w:t xml:space="preserve">The evaluation of the communicable disease reporting to EIDSS conducted for 9 diseases in selected HCFs in collaboration with CDC South Caucasus Office in Tbilisi in late 2014 confirmed that EIDSS is a well-established reporting system well accepted by both providers and public health workers. However, completeness of reporting of identified cases varied across regions and by disease.  The sensitivity of reporting for the two VPDs included – rubella and pertussis, were 63% for (5 of 8 cases diagnosed at HCFs were found to be entered into EIDSS) and 30% (3 of 10 cases), respectively.  Other findings of evaluation were variability of reporting procedures at HCF level and resource limitation as a challenge for reporting.  Good communication and support by NCDC were also noted by </w:t>
      </w:r>
      <w:r w:rsidR="005202C1" w:rsidRPr="00EE33FA">
        <w:rPr>
          <w:lang w:val="en-GB"/>
        </w:rPr>
        <w:t>D</w:t>
      </w:r>
      <w:r w:rsidRPr="00EE33FA">
        <w:rPr>
          <w:lang w:val="en-GB"/>
        </w:rPr>
        <w:t xml:space="preserve">PHC staff interviewed in </w:t>
      </w:r>
      <w:r w:rsidR="00540BD5" w:rsidRPr="00EE33FA">
        <w:rPr>
          <w:lang w:val="en-GB"/>
        </w:rPr>
        <w:t xml:space="preserve">the </w:t>
      </w:r>
      <w:r w:rsidRPr="00EE33FA">
        <w:rPr>
          <w:lang w:val="en-GB"/>
        </w:rPr>
        <w:t>evaluation.</w:t>
      </w:r>
    </w:p>
    <w:p w14:paraId="49DC56FA" w14:textId="06A428F4" w:rsidR="005D2751" w:rsidRPr="00EE33FA" w:rsidRDefault="008D3D59" w:rsidP="005D2751">
      <w:pPr>
        <w:spacing w:before="120" w:line="300" w:lineRule="atLeast"/>
        <w:ind w:firstLine="360"/>
        <w:jc w:val="both"/>
        <w:rPr>
          <w:lang w:val="en-GB"/>
        </w:rPr>
      </w:pPr>
      <w:r w:rsidRPr="00EE33FA">
        <w:rPr>
          <w:lang w:val="en-GB"/>
        </w:rPr>
        <w:t>Timeliness and completeness of reporting from district to national level is good, the introduction of EIDSS bein</w:t>
      </w:r>
      <w:r w:rsidR="00F82857" w:rsidRPr="00EE33FA">
        <w:rPr>
          <w:lang w:val="en-GB"/>
        </w:rPr>
        <w:t>g a major contributing factor.</w:t>
      </w:r>
    </w:p>
    <w:tbl>
      <w:tblPr>
        <w:tblW w:w="8180" w:type="dxa"/>
        <w:jc w:val="center"/>
        <w:tblLook w:val="04A0" w:firstRow="1" w:lastRow="0" w:firstColumn="1" w:lastColumn="0" w:noHBand="0" w:noVBand="1"/>
      </w:tblPr>
      <w:tblGrid>
        <w:gridCol w:w="2936"/>
        <w:gridCol w:w="1001"/>
        <w:gridCol w:w="899"/>
        <w:gridCol w:w="899"/>
        <w:gridCol w:w="815"/>
        <w:gridCol w:w="815"/>
        <w:gridCol w:w="815"/>
      </w:tblGrid>
      <w:tr w:rsidR="005D2751" w:rsidRPr="00EE33FA" w14:paraId="49548959" w14:textId="77777777" w:rsidTr="007D0D47">
        <w:trPr>
          <w:trHeight w:val="300"/>
          <w:jc w:val="center"/>
        </w:trPr>
        <w:tc>
          <w:tcPr>
            <w:tcW w:w="8180" w:type="dxa"/>
            <w:gridSpan w:val="7"/>
            <w:tcBorders>
              <w:top w:val="nil"/>
              <w:left w:val="nil"/>
              <w:bottom w:val="nil"/>
              <w:right w:val="nil"/>
            </w:tcBorders>
            <w:shd w:val="clear" w:color="auto" w:fill="auto"/>
            <w:noWrap/>
            <w:vAlign w:val="bottom"/>
            <w:hideMark/>
          </w:tcPr>
          <w:p w14:paraId="250198ED" w14:textId="77777777" w:rsidR="005D2751" w:rsidRPr="00EE33FA" w:rsidRDefault="005D2751" w:rsidP="005B57A6">
            <w:pPr>
              <w:rPr>
                <w:color w:val="000000"/>
                <w:sz w:val="22"/>
                <w:szCs w:val="22"/>
                <w:lang w:val="en-GB"/>
              </w:rPr>
            </w:pPr>
          </w:p>
        </w:tc>
      </w:tr>
      <w:tr w:rsidR="005D2751" w:rsidRPr="00EE33FA" w14:paraId="1E38C254" w14:textId="77777777" w:rsidTr="007D0D47">
        <w:trPr>
          <w:trHeight w:val="300"/>
          <w:jc w:val="center"/>
        </w:trPr>
        <w:tc>
          <w:tcPr>
            <w:tcW w:w="2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5FF96" w14:textId="77777777" w:rsidR="005D2751" w:rsidRPr="00EE33FA" w:rsidRDefault="005D2751" w:rsidP="005B57A6">
            <w:pPr>
              <w:rPr>
                <w:b/>
                <w:bCs/>
                <w:color w:val="000000"/>
                <w:sz w:val="22"/>
                <w:szCs w:val="22"/>
                <w:lang w:val="en-GB"/>
              </w:rPr>
            </w:pPr>
            <w:r w:rsidRPr="00EE33FA">
              <w:rPr>
                <w:b/>
                <w:bCs/>
                <w:color w:val="000000"/>
                <w:sz w:val="22"/>
                <w:szCs w:val="22"/>
                <w:lang w:val="en-GB"/>
              </w:rPr>
              <w:t>Diseases</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0BCAF8AF" w14:textId="77777777" w:rsidR="005D2751" w:rsidRPr="00EE33FA" w:rsidRDefault="005D2751" w:rsidP="005B57A6">
            <w:pPr>
              <w:jc w:val="center"/>
              <w:rPr>
                <w:b/>
                <w:bCs/>
                <w:color w:val="000000"/>
                <w:sz w:val="22"/>
                <w:szCs w:val="22"/>
                <w:lang w:val="en-GB"/>
              </w:rPr>
            </w:pPr>
            <w:r w:rsidRPr="00EE33FA">
              <w:rPr>
                <w:b/>
                <w:bCs/>
                <w:color w:val="000000"/>
                <w:sz w:val="22"/>
                <w:szCs w:val="22"/>
                <w:lang w:val="en-GB"/>
              </w:rPr>
              <w:t>2015*</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04B3073A" w14:textId="77777777" w:rsidR="005D2751" w:rsidRPr="00EE33FA" w:rsidRDefault="005D2751" w:rsidP="005B57A6">
            <w:pPr>
              <w:jc w:val="center"/>
              <w:rPr>
                <w:b/>
                <w:bCs/>
                <w:color w:val="000000"/>
                <w:sz w:val="22"/>
                <w:szCs w:val="22"/>
                <w:lang w:val="en-GB"/>
              </w:rPr>
            </w:pPr>
            <w:r w:rsidRPr="00EE33FA">
              <w:rPr>
                <w:b/>
                <w:bCs/>
                <w:color w:val="000000"/>
                <w:sz w:val="22"/>
                <w:szCs w:val="22"/>
                <w:lang w:val="en-GB"/>
              </w:rPr>
              <w:t>2014</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6328F1A4" w14:textId="77777777" w:rsidR="005D2751" w:rsidRPr="00EE33FA" w:rsidRDefault="005D2751" w:rsidP="005B57A6">
            <w:pPr>
              <w:jc w:val="center"/>
              <w:rPr>
                <w:b/>
                <w:bCs/>
                <w:color w:val="000000"/>
                <w:sz w:val="22"/>
                <w:szCs w:val="22"/>
                <w:lang w:val="en-GB"/>
              </w:rPr>
            </w:pPr>
            <w:r w:rsidRPr="00EE33FA">
              <w:rPr>
                <w:b/>
                <w:bCs/>
                <w:color w:val="000000"/>
                <w:sz w:val="22"/>
                <w:szCs w:val="22"/>
                <w:lang w:val="en-GB"/>
              </w:rPr>
              <w:t>2013</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34CB1BE9" w14:textId="77777777" w:rsidR="005D2751" w:rsidRPr="00EE33FA" w:rsidRDefault="005D2751" w:rsidP="005B57A6">
            <w:pPr>
              <w:jc w:val="center"/>
              <w:rPr>
                <w:b/>
                <w:bCs/>
                <w:color w:val="000000"/>
                <w:sz w:val="22"/>
                <w:szCs w:val="22"/>
                <w:lang w:val="en-GB"/>
              </w:rPr>
            </w:pPr>
            <w:r w:rsidRPr="00EE33FA">
              <w:rPr>
                <w:b/>
                <w:bCs/>
                <w:color w:val="000000"/>
                <w:sz w:val="22"/>
                <w:szCs w:val="22"/>
                <w:lang w:val="en-GB"/>
              </w:rPr>
              <w:t>2012</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6EFA92BB" w14:textId="77777777" w:rsidR="005D2751" w:rsidRPr="00EE33FA" w:rsidRDefault="005D2751" w:rsidP="005B57A6">
            <w:pPr>
              <w:jc w:val="center"/>
              <w:rPr>
                <w:b/>
                <w:bCs/>
                <w:color w:val="000000"/>
                <w:sz w:val="22"/>
                <w:szCs w:val="22"/>
                <w:lang w:val="en-GB"/>
              </w:rPr>
            </w:pPr>
            <w:r w:rsidRPr="00EE33FA">
              <w:rPr>
                <w:b/>
                <w:bCs/>
                <w:color w:val="000000"/>
                <w:sz w:val="22"/>
                <w:szCs w:val="22"/>
                <w:lang w:val="en-GB"/>
              </w:rPr>
              <w:t>2011</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1DDC0F04" w14:textId="77777777" w:rsidR="005D2751" w:rsidRPr="00EE33FA" w:rsidRDefault="005D2751" w:rsidP="005B57A6">
            <w:pPr>
              <w:jc w:val="center"/>
              <w:rPr>
                <w:b/>
                <w:bCs/>
                <w:color w:val="000000"/>
                <w:sz w:val="22"/>
                <w:szCs w:val="22"/>
                <w:lang w:val="en-GB"/>
              </w:rPr>
            </w:pPr>
            <w:r w:rsidRPr="00EE33FA">
              <w:rPr>
                <w:b/>
                <w:bCs/>
                <w:color w:val="000000"/>
                <w:sz w:val="22"/>
                <w:szCs w:val="22"/>
                <w:lang w:val="en-GB"/>
              </w:rPr>
              <w:t>2010</w:t>
            </w:r>
          </w:p>
        </w:tc>
      </w:tr>
      <w:tr w:rsidR="005D2751" w:rsidRPr="00EE33FA" w14:paraId="5BE948EA" w14:textId="77777777" w:rsidTr="00EC2BCB">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0283DB00" w14:textId="77777777" w:rsidR="005D2751" w:rsidRPr="00EE33FA" w:rsidRDefault="005D2751" w:rsidP="005B57A6">
            <w:pPr>
              <w:rPr>
                <w:color w:val="000000"/>
                <w:sz w:val="22"/>
                <w:szCs w:val="22"/>
                <w:lang w:val="en-GB"/>
              </w:rPr>
            </w:pPr>
            <w:r w:rsidRPr="00EE33FA">
              <w:rPr>
                <w:color w:val="000000"/>
                <w:sz w:val="22"/>
                <w:szCs w:val="22"/>
                <w:lang w:val="en-GB"/>
              </w:rPr>
              <w:t>Poliomyelitis</w:t>
            </w:r>
          </w:p>
        </w:tc>
        <w:tc>
          <w:tcPr>
            <w:tcW w:w="1001" w:type="dxa"/>
            <w:tcBorders>
              <w:top w:val="nil"/>
              <w:left w:val="nil"/>
              <w:bottom w:val="single" w:sz="4" w:space="0" w:color="auto"/>
              <w:right w:val="single" w:sz="4" w:space="0" w:color="auto"/>
            </w:tcBorders>
            <w:shd w:val="clear" w:color="auto" w:fill="auto"/>
            <w:noWrap/>
            <w:vAlign w:val="bottom"/>
            <w:hideMark/>
          </w:tcPr>
          <w:p w14:paraId="1775313F" w14:textId="77777777" w:rsidR="005D2751" w:rsidRPr="00EE33FA" w:rsidRDefault="005D2751" w:rsidP="005B57A6">
            <w:pPr>
              <w:jc w:val="center"/>
              <w:rPr>
                <w:color w:val="000000"/>
                <w:sz w:val="22"/>
                <w:szCs w:val="22"/>
                <w:lang w:val="en-GB"/>
              </w:rPr>
            </w:pPr>
            <w:r w:rsidRPr="00EE33FA">
              <w:rPr>
                <w:color w:val="000000"/>
                <w:sz w:val="22"/>
                <w:szCs w:val="22"/>
                <w:lang w:val="en-GB"/>
              </w:rPr>
              <w:t>0</w:t>
            </w:r>
          </w:p>
        </w:tc>
        <w:tc>
          <w:tcPr>
            <w:tcW w:w="899" w:type="dxa"/>
            <w:tcBorders>
              <w:top w:val="nil"/>
              <w:left w:val="nil"/>
              <w:bottom w:val="single" w:sz="4" w:space="0" w:color="auto"/>
              <w:right w:val="single" w:sz="4" w:space="0" w:color="auto"/>
            </w:tcBorders>
            <w:shd w:val="clear" w:color="auto" w:fill="auto"/>
            <w:noWrap/>
            <w:vAlign w:val="bottom"/>
            <w:hideMark/>
          </w:tcPr>
          <w:p w14:paraId="05EEF1BE"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99" w:type="dxa"/>
            <w:tcBorders>
              <w:top w:val="nil"/>
              <w:left w:val="nil"/>
              <w:bottom w:val="single" w:sz="4" w:space="0" w:color="auto"/>
              <w:right w:val="single" w:sz="4" w:space="0" w:color="auto"/>
            </w:tcBorders>
            <w:shd w:val="clear" w:color="auto" w:fill="auto"/>
            <w:noWrap/>
            <w:vAlign w:val="bottom"/>
            <w:hideMark/>
          </w:tcPr>
          <w:p w14:paraId="3ABCC4D0"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76D741A4"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3AFE27DD"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434C29B8"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r>
      <w:tr w:rsidR="005D2751" w:rsidRPr="00EE33FA" w14:paraId="01F3CF70"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1F9F2761" w14:textId="77777777" w:rsidR="005D2751" w:rsidRPr="00EE33FA" w:rsidRDefault="005D2751" w:rsidP="005B57A6">
            <w:pPr>
              <w:rPr>
                <w:color w:val="000000"/>
                <w:sz w:val="22"/>
                <w:szCs w:val="22"/>
                <w:lang w:val="en-GB"/>
              </w:rPr>
            </w:pPr>
            <w:r w:rsidRPr="00EE33FA">
              <w:rPr>
                <w:color w:val="000000"/>
                <w:sz w:val="22"/>
                <w:szCs w:val="22"/>
                <w:lang w:val="en-GB"/>
              </w:rPr>
              <w:t>Measles</w:t>
            </w:r>
          </w:p>
        </w:tc>
        <w:tc>
          <w:tcPr>
            <w:tcW w:w="1001" w:type="dxa"/>
            <w:tcBorders>
              <w:top w:val="single" w:sz="4" w:space="0" w:color="auto"/>
              <w:left w:val="nil"/>
              <w:bottom w:val="single" w:sz="4" w:space="0" w:color="auto"/>
              <w:right w:val="single" w:sz="4" w:space="0" w:color="auto"/>
            </w:tcBorders>
            <w:shd w:val="clear" w:color="000000" w:fill="auto"/>
            <w:noWrap/>
            <w:vAlign w:val="bottom"/>
            <w:hideMark/>
          </w:tcPr>
          <w:p w14:paraId="37B67D12"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hideMark/>
          </w:tcPr>
          <w:p w14:paraId="6EE8E44B" w14:textId="77777777" w:rsidR="005D2751" w:rsidRPr="00EE33FA" w:rsidRDefault="005D2751" w:rsidP="005B57A6">
            <w:pPr>
              <w:jc w:val="center"/>
              <w:rPr>
                <w:color w:val="000000"/>
                <w:sz w:val="22"/>
                <w:szCs w:val="22"/>
                <w:lang w:val="en-GB"/>
              </w:rPr>
            </w:pPr>
            <w:r w:rsidRPr="00EE33FA">
              <w:rPr>
                <w:color w:val="000000"/>
                <w:sz w:val="22"/>
                <w:szCs w:val="22"/>
                <w:lang w:val="en-GB"/>
              </w:rPr>
              <w:t>3188 </w:t>
            </w:r>
          </w:p>
        </w:tc>
        <w:tc>
          <w:tcPr>
            <w:tcW w:w="899" w:type="dxa"/>
            <w:tcBorders>
              <w:top w:val="nil"/>
              <w:left w:val="nil"/>
              <w:bottom w:val="single" w:sz="4" w:space="0" w:color="auto"/>
              <w:right w:val="single" w:sz="4" w:space="0" w:color="auto"/>
            </w:tcBorders>
            <w:shd w:val="clear" w:color="auto" w:fill="auto"/>
            <w:noWrap/>
            <w:vAlign w:val="bottom"/>
            <w:hideMark/>
          </w:tcPr>
          <w:p w14:paraId="778AF965" w14:textId="77777777" w:rsidR="005D2751" w:rsidRPr="00EE33FA" w:rsidRDefault="005D2751" w:rsidP="005B57A6">
            <w:pPr>
              <w:jc w:val="center"/>
              <w:rPr>
                <w:color w:val="000000"/>
                <w:sz w:val="22"/>
                <w:szCs w:val="22"/>
                <w:lang w:val="en-GB"/>
              </w:rPr>
            </w:pPr>
            <w:r w:rsidRPr="00EE33FA">
              <w:rPr>
                <w:color w:val="000000"/>
                <w:sz w:val="22"/>
                <w:szCs w:val="22"/>
                <w:lang w:val="en-GB"/>
              </w:rPr>
              <w:t>7872 </w:t>
            </w:r>
          </w:p>
        </w:tc>
        <w:tc>
          <w:tcPr>
            <w:tcW w:w="815" w:type="dxa"/>
            <w:tcBorders>
              <w:top w:val="nil"/>
              <w:left w:val="nil"/>
              <w:bottom w:val="single" w:sz="4" w:space="0" w:color="auto"/>
              <w:right w:val="single" w:sz="4" w:space="0" w:color="auto"/>
            </w:tcBorders>
            <w:shd w:val="clear" w:color="auto" w:fill="auto"/>
            <w:noWrap/>
            <w:vAlign w:val="bottom"/>
            <w:hideMark/>
          </w:tcPr>
          <w:p w14:paraId="298E841D" w14:textId="77777777" w:rsidR="005D2751" w:rsidRPr="00EE33FA" w:rsidRDefault="005D2751" w:rsidP="005B57A6">
            <w:pPr>
              <w:jc w:val="center"/>
              <w:rPr>
                <w:color w:val="000000"/>
                <w:sz w:val="22"/>
                <w:szCs w:val="22"/>
                <w:lang w:val="en-GB"/>
              </w:rPr>
            </w:pPr>
            <w:r w:rsidRPr="00EE33FA">
              <w:rPr>
                <w:color w:val="000000"/>
                <w:sz w:val="22"/>
                <w:szCs w:val="22"/>
                <w:lang w:val="en-GB"/>
              </w:rPr>
              <w:t>31 </w:t>
            </w:r>
          </w:p>
        </w:tc>
        <w:tc>
          <w:tcPr>
            <w:tcW w:w="815" w:type="dxa"/>
            <w:tcBorders>
              <w:top w:val="nil"/>
              <w:left w:val="nil"/>
              <w:bottom w:val="single" w:sz="4" w:space="0" w:color="auto"/>
              <w:right w:val="single" w:sz="4" w:space="0" w:color="auto"/>
            </w:tcBorders>
            <w:shd w:val="clear" w:color="auto" w:fill="auto"/>
            <w:noWrap/>
            <w:vAlign w:val="bottom"/>
            <w:hideMark/>
          </w:tcPr>
          <w:p w14:paraId="5B6F2014" w14:textId="77777777" w:rsidR="005D2751" w:rsidRPr="00EE33FA" w:rsidRDefault="005D2751" w:rsidP="005B57A6">
            <w:pPr>
              <w:jc w:val="center"/>
              <w:rPr>
                <w:color w:val="000000"/>
                <w:sz w:val="22"/>
                <w:szCs w:val="22"/>
                <w:lang w:val="en-GB"/>
              </w:rPr>
            </w:pPr>
            <w:r w:rsidRPr="00EE33FA">
              <w:rPr>
                <w:color w:val="000000"/>
                <w:sz w:val="22"/>
                <w:szCs w:val="22"/>
                <w:lang w:val="en-GB"/>
              </w:rPr>
              <w:t>64 </w:t>
            </w:r>
          </w:p>
        </w:tc>
        <w:tc>
          <w:tcPr>
            <w:tcW w:w="815" w:type="dxa"/>
            <w:tcBorders>
              <w:top w:val="nil"/>
              <w:left w:val="nil"/>
              <w:bottom w:val="single" w:sz="4" w:space="0" w:color="auto"/>
              <w:right w:val="single" w:sz="4" w:space="0" w:color="auto"/>
            </w:tcBorders>
            <w:shd w:val="clear" w:color="auto" w:fill="auto"/>
            <w:noWrap/>
            <w:vAlign w:val="bottom"/>
            <w:hideMark/>
          </w:tcPr>
          <w:p w14:paraId="512E8D69" w14:textId="77777777" w:rsidR="005D2751" w:rsidRPr="00EE33FA" w:rsidRDefault="005D2751" w:rsidP="005B57A6">
            <w:pPr>
              <w:jc w:val="center"/>
              <w:rPr>
                <w:color w:val="000000"/>
                <w:sz w:val="22"/>
                <w:szCs w:val="22"/>
                <w:lang w:val="en-GB"/>
              </w:rPr>
            </w:pPr>
            <w:r w:rsidRPr="00EE33FA">
              <w:rPr>
                <w:color w:val="000000"/>
                <w:sz w:val="22"/>
                <w:szCs w:val="22"/>
                <w:lang w:val="en-GB"/>
              </w:rPr>
              <w:t>22 </w:t>
            </w:r>
          </w:p>
        </w:tc>
      </w:tr>
      <w:tr w:rsidR="005D2751" w:rsidRPr="00EE33FA" w14:paraId="618AEBF4"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0169AA72" w14:textId="77777777" w:rsidR="005D2751" w:rsidRPr="00EE33FA" w:rsidRDefault="005D2751" w:rsidP="005B57A6">
            <w:pPr>
              <w:rPr>
                <w:color w:val="000000"/>
                <w:sz w:val="22"/>
                <w:szCs w:val="22"/>
                <w:lang w:val="en-GB"/>
              </w:rPr>
            </w:pPr>
            <w:r w:rsidRPr="00EE33FA">
              <w:rPr>
                <w:color w:val="000000"/>
                <w:sz w:val="22"/>
                <w:szCs w:val="22"/>
                <w:lang w:val="en-GB"/>
              </w:rPr>
              <w:t>Rubella</w:t>
            </w:r>
          </w:p>
        </w:tc>
        <w:tc>
          <w:tcPr>
            <w:tcW w:w="1001" w:type="dxa"/>
            <w:tcBorders>
              <w:top w:val="single" w:sz="4" w:space="0" w:color="auto"/>
              <w:left w:val="nil"/>
              <w:bottom w:val="single" w:sz="4" w:space="0" w:color="auto"/>
              <w:right w:val="single" w:sz="4" w:space="0" w:color="auto"/>
            </w:tcBorders>
            <w:shd w:val="clear" w:color="000000" w:fill="auto"/>
            <w:noWrap/>
            <w:vAlign w:val="bottom"/>
            <w:hideMark/>
          </w:tcPr>
          <w:p w14:paraId="4DBC9814"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hideMark/>
          </w:tcPr>
          <w:p w14:paraId="57231EBC" w14:textId="77777777" w:rsidR="005D2751" w:rsidRPr="00EE33FA" w:rsidRDefault="005D2751" w:rsidP="005B57A6">
            <w:pPr>
              <w:jc w:val="center"/>
              <w:rPr>
                <w:color w:val="000000"/>
                <w:sz w:val="22"/>
                <w:szCs w:val="22"/>
                <w:lang w:val="en-GB"/>
              </w:rPr>
            </w:pPr>
            <w:r w:rsidRPr="00EE33FA">
              <w:rPr>
                <w:color w:val="000000"/>
                <w:sz w:val="22"/>
                <w:szCs w:val="22"/>
                <w:lang w:val="en-GB"/>
              </w:rPr>
              <w:t>149 </w:t>
            </w:r>
          </w:p>
        </w:tc>
        <w:tc>
          <w:tcPr>
            <w:tcW w:w="899" w:type="dxa"/>
            <w:tcBorders>
              <w:top w:val="nil"/>
              <w:left w:val="nil"/>
              <w:bottom w:val="single" w:sz="4" w:space="0" w:color="auto"/>
              <w:right w:val="single" w:sz="4" w:space="0" w:color="auto"/>
            </w:tcBorders>
            <w:shd w:val="clear" w:color="auto" w:fill="auto"/>
            <w:noWrap/>
            <w:vAlign w:val="bottom"/>
            <w:hideMark/>
          </w:tcPr>
          <w:p w14:paraId="795EF978" w14:textId="77777777" w:rsidR="005D2751" w:rsidRPr="00EE33FA" w:rsidRDefault="005D2751" w:rsidP="005B57A6">
            <w:pPr>
              <w:jc w:val="center"/>
              <w:rPr>
                <w:color w:val="000000"/>
                <w:sz w:val="22"/>
                <w:szCs w:val="22"/>
                <w:lang w:val="en-GB"/>
              </w:rPr>
            </w:pPr>
            <w:r w:rsidRPr="00EE33FA">
              <w:rPr>
                <w:color w:val="000000"/>
                <w:sz w:val="22"/>
                <w:szCs w:val="22"/>
                <w:lang w:val="en-GB"/>
              </w:rPr>
              <w:t>224 </w:t>
            </w:r>
          </w:p>
        </w:tc>
        <w:tc>
          <w:tcPr>
            <w:tcW w:w="815" w:type="dxa"/>
            <w:tcBorders>
              <w:top w:val="nil"/>
              <w:left w:val="nil"/>
              <w:bottom w:val="single" w:sz="4" w:space="0" w:color="auto"/>
              <w:right w:val="single" w:sz="4" w:space="0" w:color="auto"/>
            </w:tcBorders>
            <w:shd w:val="clear" w:color="auto" w:fill="auto"/>
            <w:noWrap/>
            <w:vAlign w:val="bottom"/>
            <w:hideMark/>
          </w:tcPr>
          <w:p w14:paraId="4B95755E" w14:textId="77777777" w:rsidR="005D2751" w:rsidRPr="00EE33FA" w:rsidRDefault="005D2751" w:rsidP="005B57A6">
            <w:pPr>
              <w:jc w:val="center"/>
              <w:rPr>
                <w:color w:val="000000"/>
                <w:sz w:val="22"/>
                <w:szCs w:val="22"/>
                <w:lang w:val="en-GB"/>
              </w:rPr>
            </w:pPr>
            <w:r w:rsidRPr="00EE33FA">
              <w:rPr>
                <w:color w:val="000000"/>
                <w:sz w:val="22"/>
                <w:szCs w:val="22"/>
                <w:lang w:val="en-GB"/>
              </w:rPr>
              <w:t>75 </w:t>
            </w:r>
          </w:p>
        </w:tc>
        <w:tc>
          <w:tcPr>
            <w:tcW w:w="815" w:type="dxa"/>
            <w:tcBorders>
              <w:top w:val="nil"/>
              <w:left w:val="nil"/>
              <w:bottom w:val="single" w:sz="4" w:space="0" w:color="auto"/>
              <w:right w:val="single" w:sz="4" w:space="0" w:color="auto"/>
            </w:tcBorders>
            <w:shd w:val="clear" w:color="auto" w:fill="auto"/>
            <w:noWrap/>
            <w:vAlign w:val="bottom"/>
            <w:hideMark/>
          </w:tcPr>
          <w:p w14:paraId="3FC46BE5" w14:textId="77777777" w:rsidR="005D2751" w:rsidRPr="00EE33FA" w:rsidRDefault="005D2751" w:rsidP="005B57A6">
            <w:pPr>
              <w:jc w:val="center"/>
              <w:rPr>
                <w:color w:val="000000"/>
                <w:sz w:val="22"/>
                <w:szCs w:val="22"/>
                <w:lang w:val="en-GB"/>
              </w:rPr>
            </w:pPr>
            <w:r w:rsidRPr="00EE33FA">
              <w:rPr>
                <w:color w:val="000000"/>
                <w:sz w:val="22"/>
                <w:szCs w:val="22"/>
                <w:lang w:val="en-GB"/>
              </w:rPr>
              <w:t>64 </w:t>
            </w:r>
          </w:p>
        </w:tc>
        <w:tc>
          <w:tcPr>
            <w:tcW w:w="815" w:type="dxa"/>
            <w:tcBorders>
              <w:top w:val="nil"/>
              <w:left w:val="nil"/>
              <w:bottom w:val="single" w:sz="4" w:space="0" w:color="auto"/>
              <w:right w:val="single" w:sz="4" w:space="0" w:color="auto"/>
            </w:tcBorders>
            <w:shd w:val="clear" w:color="auto" w:fill="auto"/>
            <w:noWrap/>
            <w:vAlign w:val="bottom"/>
            <w:hideMark/>
          </w:tcPr>
          <w:p w14:paraId="6D6BF460" w14:textId="77777777" w:rsidR="005D2751" w:rsidRPr="00EE33FA" w:rsidRDefault="005D2751" w:rsidP="005B57A6">
            <w:pPr>
              <w:jc w:val="center"/>
              <w:rPr>
                <w:color w:val="000000"/>
                <w:sz w:val="22"/>
                <w:szCs w:val="22"/>
                <w:lang w:val="en-GB"/>
              </w:rPr>
            </w:pPr>
            <w:r w:rsidRPr="00EE33FA">
              <w:rPr>
                <w:color w:val="000000"/>
                <w:sz w:val="22"/>
                <w:szCs w:val="22"/>
                <w:lang w:val="en-GB"/>
              </w:rPr>
              <w:t>59 </w:t>
            </w:r>
          </w:p>
        </w:tc>
      </w:tr>
      <w:tr w:rsidR="005D2751" w:rsidRPr="00EE33FA" w14:paraId="4E19D21D"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298ACAD4" w14:textId="77777777" w:rsidR="005D2751" w:rsidRPr="00EE33FA" w:rsidRDefault="005D2751" w:rsidP="005B57A6">
            <w:pPr>
              <w:rPr>
                <w:color w:val="000000"/>
                <w:sz w:val="22"/>
                <w:szCs w:val="22"/>
                <w:lang w:val="en-GB"/>
              </w:rPr>
            </w:pPr>
            <w:r w:rsidRPr="00EE33FA">
              <w:rPr>
                <w:color w:val="000000"/>
                <w:sz w:val="22"/>
                <w:szCs w:val="22"/>
                <w:lang w:val="en-GB"/>
              </w:rPr>
              <w:t>CRS</w:t>
            </w:r>
          </w:p>
        </w:tc>
        <w:tc>
          <w:tcPr>
            <w:tcW w:w="1001" w:type="dxa"/>
            <w:tcBorders>
              <w:top w:val="nil"/>
              <w:left w:val="nil"/>
              <w:bottom w:val="single" w:sz="4" w:space="0" w:color="auto"/>
              <w:right w:val="single" w:sz="4" w:space="0" w:color="auto"/>
            </w:tcBorders>
            <w:shd w:val="clear" w:color="auto" w:fill="auto"/>
            <w:noWrap/>
            <w:vAlign w:val="bottom"/>
            <w:hideMark/>
          </w:tcPr>
          <w:p w14:paraId="4C940307" w14:textId="77777777" w:rsidR="005D2751" w:rsidRPr="00EE33FA" w:rsidRDefault="005D2751" w:rsidP="005B57A6">
            <w:pPr>
              <w:jc w:val="center"/>
              <w:rPr>
                <w:color w:val="000000"/>
                <w:sz w:val="22"/>
                <w:szCs w:val="22"/>
                <w:lang w:val="en-GB"/>
              </w:rPr>
            </w:pPr>
            <w:r w:rsidRPr="00EE33FA">
              <w:rPr>
                <w:color w:val="000000"/>
                <w:sz w:val="22"/>
                <w:szCs w:val="22"/>
                <w:lang w:val="en-GB"/>
              </w:rPr>
              <w:t>0</w:t>
            </w:r>
          </w:p>
        </w:tc>
        <w:tc>
          <w:tcPr>
            <w:tcW w:w="899" w:type="dxa"/>
            <w:tcBorders>
              <w:top w:val="nil"/>
              <w:left w:val="nil"/>
              <w:bottom w:val="single" w:sz="4" w:space="0" w:color="auto"/>
              <w:right w:val="single" w:sz="4" w:space="0" w:color="auto"/>
            </w:tcBorders>
            <w:shd w:val="clear" w:color="auto" w:fill="auto"/>
            <w:noWrap/>
            <w:vAlign w:val="bottom"/>
            <w:hideMark/>
          </w:tcPr>
          <w:p w14:paraId="6544FF7A"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99" w:type="dxa"/>
            <w:tcBorders>
              <w:top w:val="nil"/>
              <w:left w:val="nil"/>
              <w:bottom w:val="single" w:sz="4" w:space="0" w:color="auto"/>
              <w:right w:val="single" w:sz="4" w:space="0" w:color="auto"/>
            </w:tcBorders>
            <w:shd w:val="clear" w:color="auto" w:fill="auto"/>
            <w:noWrap/>
            <w:vAlign w:val="bottom"/>
            <w:hideMark/>
          </w:tcPr>
          <w:p w14:paraId="2309E6A8"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4DE26DC2"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02998432"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56712809"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r>
      <w:tr w:rsidR="005D2751" w:rsidRPr="00EE33FA" w14:paraId="6E09045B"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4F9E8225" w14:textId="77777777" w:rsidR="005D2751" w:rsidRPr="00EE33FA" w:rsidRDefault="005D2751" w:rsidP="005B57A6">
            <w:pPr>
              <w:rPr>
                <w:color w:val="000000"/>
                <w:sz w:val="22"/>
                <w:szCs w:val="22"/>
                <w:lang w:val="en-GB"/>
              </w:rPr>
            </w:pPr>
            <w:r w:rsidRPr="00EE33FA">
              <w:rPr>
                <w:color w:val="000000"/>
                <w:sz w:val="22"/>
                <w:szCs w:val="22"/>
                <w:lang w:val="en-GB"/>
              </w:rPr>
              <w:t>Diphtheria</w:t>
            </w:r>
          </w:p>
        </w:tc>
        <w:tc>
          <w:tcPr>
            <w:tcW w:w="1001" w:type="dxa"/>
            <w:tcBorders>
              <w:top w:val="single" w:sz="4" w:space="0" w:color="auto"/>
              <w:left w:val="nil"/>
              <w:bottom w:val="single" w:sz="4" w:space="0" w:color="auto"/>
              <w:right w:val="single" w:sz="4" w:space="0" w:color="auto"/>
            </w:tcBorders>
            <w:shd w:val="clear" w:color="000000" w:fill="auto"/>
            <w:noWrap/>
            <w:vAlign w:val="bottom"/>
            <w:hideMark/>
          </w:tcPr>
          <w:p w14:paraId="0EF39698"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hideMark/>
          </w:tcPr>
          <w:p w14:paraId="31E4EDD5" w14:textId="77777777" w:rsidR="005D2751" w:rsidRPr="00EE33FA" w:rsidRDefault="005D2751" w:rsidP="005B57A6">
            <w:pPr>
              <w:jc w:val="center"/>
              <w:rPr>
                <w:color w:val="000000"/>
                <w:sz w:val="22"/>
                <w:szCs w:val="22"/>
                <w:lang w:val="en-GB"/>
              </w:rPr>
            </w:pPr>
            <w:r w:rsidRPr="00EE33FA">
              <w:rPr>
                <w:color w:val="000000"/>
                <w:sz w:val="22"/>
                <w:szCs w:val="22"/>
                <w:lang w:val="en-GB"/>
              </w:rPr>
              <w:t>2 </w:t>
            </w:r>
          </w:p>
        </w:tc>
        <w:tc>
          <w:tcPr>
            <w:tcW w:w="899" w:type="dxa"/>
            <w:tcBorders>
              <w:top w:val="nil"/>
              <w:left w:val="nil"/>
              <w:bottom w:val="single" w:sz="4" w:space="0" w:color="auto"/>
              <w:right w:val="single" w:sz="4" w:space="0" w:color="auto"/>
            </w:tcBorders>
            <w:shd w:val="clear" w:color="auto" w:fill="auto"/>
            <w:noWrap/>
            <w:vAlign w:val="bottom"/>
            <w:hideMark/>
          </w:tcPr>
          <w:p w14:paraId="3684C917" w14:textId="77777777" w:rsidR="005D2751" w:rsidRPr="00EE33FA" w:rsidRDefault="005D2751" w:rsidP="005B57A6">
            <w:pPr>
              <w:jc w:val="center"/>
              <w:rPr>
                <w:color w:val="000000"/>
                <w:sz w:val="22"/>
                <w:szCs w:val="22"/>
                <w:lang w:val="en-GB"/>
              </w:rPr>
            </w:pPr>
            <w:r w:rsidRPr="00EE33FA">
              <w:rPr>
                <w:color w:val="000000"/>
                <w:sz w:val="22"/>
                <w:szCs w:val="22"/>
                <w:lang w:val="en-GB"/>
              </w:rPr>
              <w:t>4 </w:t>
            </w:r>
          </w:p>
        </w:tc>
        <w:tc>
          <w:tcPr>
            <w:tcW w:w="815" w:type="dxa"/>
            <w:tcBorders>
              <w:top w:val="nil"/>
              <w:left w:val="nil"/>
              <w:bottom w:val="single" w:sz="4" w:space="0" w:color="auto"/>
              <w:right w:val="single" w:sz="4" w:space="0" w:color="auto"/>
            </w:tcBorders>
            <w:shd w:val="clear" w:color="auto" w:fill="auto"/>
            <w:noWrap/>
            <w:vAlign w:val="bottom"/>
            <w:hideMark/>
          </w:tcPr>
          <w:p w14:paraId="1F23407D"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hideMark/>
          </w:tcPr>
          <w:p w14:paraId="266DB9AD" w14:textId="77777777" w:rsidR="005D2751" w:rsidRPr="00EE33FA" w:rsidRDefault="005D2751" w:rsidP="005B57A6">
            <w:pPr>
              <w:jc w:val="center"/>
              <w:rPr>
                <w:color w:val="000000"/>
                <w:sz w:val="22"/>
                <w:szCs w:val="22"/>
                <w:lang w:val="en-GB"/>
              </w:rPr>
            </w:pPr>
            <w:r w:rsidRPr="00EE33FA">
              <w:rPr>
                <w:color w:val="000000"/>
                <w:sz w:val="22"/>
                <w:szCs w:val="22"/>
                <w:lang w:val="en-GB"/>
              </w:rPr>
              <w:t>1 </w:t>
            </w:r>
          </w:p>
        </w:tc>
        <w:tc>
          <w:tcPr>
            <w:tcW w:w="815" w:type="dxa"/>
            <w:tcBorders>
              <w:top w:val="nil"/>
              <w:left w:val="nil"/>
              <w:bottom w:val="single" w:sz="4" w:space="0" w:color="auto"/>
              <w:right w:val="single" w:sz="4" w:space="0" w:color="auto"/>
            </w:tcBorders>
            <w:shd w:val="clear" w:color="auto" w:fill="auto"/>
            <w:noWrap/>
            <w:vAlign w:val="bottom"/>
            <w:hideMark/>
          </w:tcPr>
          <w:p w14:paraId="5A78F983"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r>
      <w:tr w:rsidR="005D2751" w:rsidRPr="00EE33FA" w14:paraId="3452AA1A"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6AF91B3B" w14:textId="77777777" w:rsidR="005D2751" w:rsidRPr="00EE33FA" w:rsidRDefault="005D2751" w:rsidP="005B57A6">
            <w:pPr>
              <w:rPr>
                <w:color w:val="000000"/>
                <w:sz w:val="22"/>
                <w:szCs w:val="22"/>
                <w:lang w:val="en-GB"/>
              </w:rPr>
            </w:pPr>
            <w:r w:rsidRPr="00EE33FA">
              <w:rPr>
                <w:color w:val="000000"/>
                <w:sz w:val="22"/>
                <w:szCs w:val="22"/>
                <w:lang w:val="en-GB"/>
              </w:rPr>
              <w:t>Acute hepatitis B</w:t>
            </w:r>
          </w:p>
        </w:tc>
        <w:tc>
          <w:tcPr>
            <w:tcW w:w="1001" w:type="dxa"/>
            <w:tcBorders>
              <w:top w:val="single" w:sz="4" w:space="0" w:color="auto"/>
              <w:left w:val="nil"/>
              <w:bottom w:val="single" w:sz="4" w:space="0" w:color="auto"/>
              <w:right w:val="single" w:sz="4" w:space="0" w:color="auto"/>
            </w:tcBorders>
            <w:shd w:val="clear" w:color="000000" w:fill="auto"/>
            <w:noWrap/>
            <w:vAlign w:val="bottom"/>
            <w:hideMark/>
          </w:tcPr>
          <w:p w14:paraId="71969028"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single" w:sz="4" w:space="0" w:color="auto"/>
              <w:left w:val="nil"/>
              <w:bottom w:val="single" w:sz="4" w:space="0" w:color="auto"/>
              <w:right w:val="single" w:sz="4" w:space="0" w:color="auto"/>
            </w:tcBorders>
            <w:shd w:val="clear" w:color="000000" w:fill="auto"/>
            <w:noWrap/>
            <w:vAlign w:val="bottom"/>
            <w:hideMark/>
          </w:tcPr>
          <w:p w14:paraId="382533C3"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hideMark/>
          </w:tcPr>
          <w:p w14:paraId="063F829B" w14:textId="77777777" w:rsidR="005D2751" w:rsidRPr="00EE33FA" w:rsidRDefault="005D2751" w:rsidP="005B57A6">
            <w:pPr>
              <w:jc w:val="center"/>
              <w:rPr>
                <w:color w:val="000000"/>
                <w:sz w:val="22"/>
                <w:szCs w:val="22"/>
                <w:lang w:val="en-GB"/>
              </w:rPr>
            </w:pPr>
            <w:r w:rsidRPr="00EE33FA">
              <w:rPr>
                <w:color w:val="000000"/>
                <w:sz w:val="22"/>
                <w:szCs w:val="22"/>
                <w:lang w:val="en-GB"/>
              </w:rPr>
              <w:t>217</w:t>
            </w:r>
          </w:p>
        </w:tc>
        <w:tc>
          <w:tcPr>
            <w:tcW w:w="815" w:type="dxa"/>
            <w:tcBorders>
              <w:top w:val="nil"/>
              <w:left w:val="nil"/>
              <w:bottom w:val="single" w:sz="4" w:space="0" w:color="auto"/>
              <w:right w:val="single" w:sz="4" w:space="0" w:color="auto"/>
            </w:tcBorders>
            <w:shd w:val="clear" w:color="auto" w:fill="auto"/>
            <w:noWrap/>
            <w:vAlign w:val="bottom"/>
            <w:hideMark/>
          </w:tcPr>
          <w:p w14:paraId="4D8221B7" w14:textId="77777777" w:rsidR="005D2751" w:rsidRPr="00EE33FA" w:rsidRDefault="005D2751" w:rsidP="005B57A6">
            <w:pPr>
              <w:jc w:val="center"/>
              <w:rPr>
                <w:color w:val="000000"/>
                <w:sz w:val="22"/>
                <w:szCs w:val="22"/>
                <w:lang w:val="en-GB"/>
              </w:rPr>
            </w:pPr>
            <w:r w:rsidRPr="00EE33FA">
              <w:rPr>
                <w:color w:val="000000"/>
                <w:sz w:val="22"/>
                <w:szCs w:val="22"/>
                <w:lang w:val="en-GB"/>
              </w:rPr>
              <w:t>170</w:t>
            </w:r>
          </w:p>
        </w:tc>
        <w:tc>
          <w:tcPr>
            <w:tcW w:w="815" w:type="dxa"/>
            <w:tcBorders>
              <w:top w:val="nil"/>
              <w:left w:val="nil"/>
              <w:bottom w:val="single" w:sz="4" w:space="0" w:color="auto"/>
              <w:right w:val="single" w:sz="4" w:space="0" w:color="auto"/>
            </w:tcBorders>
            <w:shd w:val="clear" w:color="auto" w:fill="auto"/>
            <w:noWrap/>
            <w:vAlign w:val="bottom"/>
            <w:hideMark/>
          </w:tcPr>
          <w:p w14:paraId="1454462B" w14:textId="77777777" w:rsidR="005D2751" w:rsidRPr="00EE33FA" w:rsidRDefault="005D2751" w:rsidP="005B57A6">
            <w:pPr>
              <w:jc w:val="center"/>
              <w:rPr>
                <w:color w:val="000000"/>
                <w:sz w:val="22"/>
                <w:szCs w:val="22"/>
                <w:lang w:val="en-GB"/>
              </w:rPr>
            </w:pPr>
            <w:r w:rsidRPr="00EE33FA">
              <w:rPr>
                <w:color w:val="000000"/>
                <w:sz w:val="22"/>
                <w:szCs w:val="22"/>
                <w:lang w:val="en-GB"/>
              </w:rPr>
              <w:t>118</w:t>
            </w:r>
          </w:p>
        </w:tc>
        <w:tc>
          <w:tcPr>
            <w:tcW w:w="815" w:type="dxa"/>
            <w:tcBorders>
              <w:top w:val="nil"/>
              <w:left w:val="nil"/>
              <w:bottom w:val="single" w:sz="4" w:space="0" w:color="auto"/>
              <w:right w:val="single" w:sz="4" w:space="0" w:color="auto"/>
            </w:tcBorders>
            <w:shd w:val="clear" w:color="auto" w:fill="auto"/>
            <w:noWrap/>
            <w:vAlign w:val="bottom"/>
            <w:hideMark/>
          </w:tcPr>
          <w:p w14:paraId="0014AD8D" w14:textId="77777777" w:rsidR="005D2751" w:rsidRPr="00EE33FA" w:rsidRDefault="005D2751" w:rsidP="005B57A6">
            <w:pPr>
              <w:jc w:val="center"/>
              <w:rPr>
                <w:color w:val="000000"/>
                <w:sz w:val="22"/>
                <w:szCs w:val="22"/>
                <w:lang w:val="en-GB"/>
              </w:rPr>
            </w:pPr>
            <w:r w:rsidRPr="00EE33FA">
              <w:rPr>
                <w:color w:val="000000"/>
                <w:sz w:val="22"/>
                <w:szCs w:val="22"/>
                <w:lang w:val="en-GB"/>
              </w:rPr>
              <w:t>104</w:t>
            </w:r>
          </w:p>
        </w:tc>
      </w:tr>
      <w:tr w:rsidR="005D2751" w:rsidRPr="00EE33FA" w14:paraId="18298FF7"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625483E8" w14:textId="77777777" w:rsidR="005D2751" w:rsidRPr="00EE33FA" w:rsidRDefault="005D2751" w:rsidP="005B57A6">
            <w:pPr>
              <w:rPr>
                <w:color w:val="000000"/>
                <w:sz w:val="22"/>
                <w:szCs w:val="22"/>
                <w:lang w:val="en-GB"/>
              </w:rPr>
            </w:pPr>
            <w:r w:rsidRPr="00EE33FA">
              <w:rPr>
                <w:color w:val="000000"/>
                <w:sz w:val="22"/>
                <w:szCs w:val="22"/>
                <w:lang w:val="en-GB"/>
              </w:rPr>
              <w:t>Pertussis</w:t>
            </w:r>
          </w:p>
        </w:tc>
        <w:tc>
          <w:tcPr>
            <w:tcW w:w="1001" w:type="dxa"/>
            <w:tcBorders>
              <w:top w:val="single" w:sz="4" w:space="0" w:color="auto"/>
              <w:left w:val="nil"/>
              <w:bottom w:val="single" w:sz="4" w:space="0" w:color="auto"/>
              <w:right w:val="single" w:sz="4" w:space="0" w:color="auto"/>
            </w:tcBorders>
            <w:shd w:val="clear" w:color="000000" w:fill="auto"/>
            <w:noWrap/>
            <w:vAlign w:val="bottom"/>
            <w:hideMark/>
          </w:tcPr>
          <w:p w14:paraId="5F55484D"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hideMark/>
          </w:tcPr>
          <w:p w14:paraId="65C396D3" w14:textId="77777777" w:rsidR="005D2751" w:rsidRPr="00EE33FA" w:rsidRDefault="005D2751" w:rsidP="005B57A6">
            <w:pPr>
              <w:jc w:val="center"/>
              <w:rPr>
                <w:color w:val="000000"/>
                <w:sz w:val="22"/>
                <w:szCs w:val="22"/>
                <w:lang w:val="en-GB"/>
              </w:rPr>
            </w:pPr>
            <w:r w:rsidRPr="00EE33FA">
              <w:rPr>
                <w:color w:val="000000"/>
                <w:sz w:val="22"/>
                <w:szCs w:val="22"/>
                <w:lang w:val="en-GB"/>
              </w:rPr>
              <w:t>94 </w:t>
            </w:r>
          </w:p>
        </w:tc>
        <w:tc>
          <w:tcPr>
            <w:tcW w:w="899" w:type="dxa"/>
            <w:tcBorders>
              <w:top w:val="nil"/>
              <w:left w:val="nil"/>
              <w:bottom w:val="single" w:sz="4" w:space="0" w:color="auto"/>
              <w:right w:val="single" w:sz="4" w:space="0" w:color="auto"/>
            </w:tcBorders>
            <w:shd w:val="clear" w:color="auto" w:fill="auto"/>
            <w:noWrap/>
            <w:vAlign w:val="bottom"/>
            <w:hideMark/>
          </w:tcPr>
          <w:p w14:paraId="1B7E093A" w14:textId="77777777" w:rsidR="005D2751" w:rsidRPr="00EE33FA" w:rsidRDefault="005D2751" w:rsidP="005B57A6">
            <w:pPr>
              <w:jc w:val="center"/>
              <w:rPr>
                <w:color w:val="000000"/>
                <w:sz w:val="22"/>
                <w:szCs w:val="22"/>
                <w:lang w:val="en-GB"/>
              </w:rPr>
            </w:pPr>
            <w:r w:rsidRPr="00EE33FA">
              <w:rPr>
                <w:color w:val="000000"/>
                <w:sz w:val="22"/>
                <w:szCs w:val="22"/>
                <w:lang w:val="en-GB"/>
              </w:rPr>
              <w:t>115 </w:t>
            </w:r>
          </w:p>
        </w:tc>
        <w:tc>
          <w:tcPr>
            <w:tcW w:w="815" w:type="dxa"/>
            <w:tcBorders>
              <w:top w:val="nil"/>
              <w:left w:val="nil"/>
              <w:bottom w:val="single" w:sz="4" w:space="0" w:color="auto"/>
              <w:right w:val="single" w:sz="4" w:space="0" w:color="auto"/>
            </w:tcBorders>
            <w:shd w:val="clear" w:color="auto" w:fill="auto"/>
            <w:noWrap/>
            <w:vAlign w:val="bottom"/>
            <w:hideMark/>
          </w:tcPr>
          <w:p w14:paraId="4D34B11D" w14:textId="77777777" w:rsidR="005D2751" w:rsidRPr="00EE33FA" w:rsidRDefault="005D2751" w:rsidP="005B57A6">
            <w:pPr>
              <w:jc w:val="center"/>
              <w:rPr>
                <w:color w:val="000000"/>
                <w:sz w:val="22"/>
                <w:szCs w:val="22"/>
                <w:lang w:val="en-GB"/>
              </w:rPr>
            </w:pPr>
            <w:r w:rsidRPr="00EE33FA">
              <w:rPr>
                <w:color w:val="000000"/>
                <w:sz w:val="22"/>
                <w:szCs w:val="22"/>
                <w:lang w:val="en-GB"/>
              </w:rPr>
              <w:t>346 </w:t>
            </w:r>
          </w:p>
        </w:tc>
        <w:tc>
          <w:tcPr>
            <w:tcW w:w="815" w:type="dxa"/>
            <w:tcBorders>
              <w:top w:val="nil"/>
              <w:left w:val="nil"/>
              <w:bottom w:val="single" w:sz="4" w:space="0" w:color="auto"/>
              <w:right w:val="single" w:sz="4" w:space="0" w:color="auto"/>
            </w:tcBorders>
            <w:shd w:val="clear" w:color="auto" w:fill="auto"/>
            <w:noWrap/>
            <w:vAlign w:val="bottom"/>
            <w:hideMark/>
          </w:tcPr>
          <w:p w14:paraId="797B8477" w14:textId="77777777" w:rsidR="005D2751" w:rsidRPr="00EE33FA" w:rsidRDefault="005D2751" w:rsidP="005B57A6">
            <w:pPr>
              <w:jc w:val="center"/>
              <w:rPr>
                <w:color w:val="000000"/>
                <w:sz w:val="22"/>
                <w:szCs w:val="22"/>
                <w:lang w:val="en-GB"/>
              </w:rPr>
            </w:pPr>
            <w:r w:rsidRPr="00EE33FA">
              <w:rPr>
                <w:color w:val="000000"/>
                <w:sz w:val="22"/>
                <w:szCs w:val="22"/>
                <w:lang w:val="en-GB"/>
              </w:rPr>
              <w:t>33 </w:t>
            </w:r>
          </w:p>
        </w:tc>
        <w:tc>
          <w:tcPr>
            <w:tcW w:w="815" w:type="dxa"/>
            <w:tcBorders>
              <w:top w:val="nil"/>
              <w:left w:val="nil"/>
              <w:bottom w:val="single" w:sz="4" w:space="0" w:color="auto"/>
              <w:right w:val="single" w:sz="4" w:space="0" w:color="auto"/>
            </w:tcBorders>
            <w:shd w:val="clear" w:color="auto" w:fill="auto"/>
            <w:noWrap/>
            <w:vAlign w:val="bottom"/>
            <w:hideMark/>
          </w:tcPr>
          <w:p w14:paraId="1295CEC1" w14:textId="77777777" w:rsidR="005D2751" w:rsidRPr="00EE33FA" w:rsidRDefault="005D2751" w:rsidP="005B57A6">
            <w:pPr>
              <w:jc w:val="center"/>
              <w:rPr>
                <w:color w:val="000000"/>
                <w:sz w:val="22"/>
                <w:szCs w:val="22"/>
                <w:lang w:val="en-GB"/>
              </w:rPr>
            </w:pPr>
            <w:r w:rsidRPr="00EE33FA">
              <w:rPr>
                <w:color w:val="000000"/>
                <w:sz w:val="22"/>
                <w:szCs w:val="22"/>
                <w:lang w:val="en-GB"/>
              </w:rPr>
              <w:t>49 </w:t>
            </w:r>
          </w:p>
        </w:tc>
      </w:tr>
      <w:tr w:rsidR="005D2751" w:rsidRPr="00EE33FA" w14:paraId="4592F918"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tcPr>
          <w:p w14:paraId="0D84C602" w14:textId="77777777" w:rsidR="005D2751" w:rsidRPr="00EE33FA" w:rsidRDefault="005D2751" w:rsidP="005B57A6">
            <w:pPr>
              <w:rPr>
                <w:color w:val="000000"/>
                <w:sz w:val="22"/>
                <w:szCs w:val="22"/>
                <w:lang w:val="en-GB"/>
              </w:rPr>
            </w:pPr>
            <w:r w:rsidRPr="00EE33FA">
              <w:rPr>
                <w:color w:val="000000"/>
                <w:sz w:val="22"/>
                <w:szCs w:val="22"/>
                <w:lang w:val="en-GB"/>
              </w:rPr>
              <w:t>Tetanus (total)</w:t>
            </w:r>
          </w:p>
        </w:tc>
        <w:tc>
          <w:tcPr>
            <w:tcW w:w="1001" w:type="dxa"/>
            <w:tcBorders>
              <w:top w:val="single" w:sz="4" w:space="0" w:color="auto"/>
              <w:left w:val="nil"/>
              <w:bottom w:val="single" w:sz="4" w:space="0" w:color="auto"/>
              <w:right w:val="single" w:sz="4" w:space="0" w:color="auto"/>
            </w:tcBorders>
            <w:shd w:val="clear" w:color="000000" w:fill="auto"/>
            <w:noWrap/>
            <w:vAlign w:val="bottom"/>
          </w:tcPr>
          <w:p w14:paraId="39ACF4F2"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tcPr>
          <w:p w14:paraId="3B3DC6EC" w14:textId="77777777" w:rsidR="005D2751" w:rsidRPr="00EE33FA" w:rsidRDefault="005D2751" w:rsidP="005B57A6">
            <w:pPr>
              <w:jc w:val="center"/>
              <w:rPr>
                <w:color w:val="000000"/>
                <w:sz w:val="22"/>
                <w:szCs w:val="22"/>
                <w:lang w:val="en-GB"/>
              </w:rPr>
            </w:pPr>
            <w:r w:rsidRPr="00EE33FA">
              <w:rPr>
                <w:color w:val="000000"/>
                <w:sz w:val="22"/>
                <w:szCs w:val="22"/>
                <w:lang w:val="en-GB"/>
              </w:rPr>
              <w:t>7 </w:t>
            </w:r>
          </w:p>
        </w:tc>
        <w:tc>
          <w:tcPr>
            <w:tcW w:w="899" w:type="dxa"/>
            <w:tcBorders>
              <w:top w:val="nil"/>
              <w:left w:val="nil"/>
              <w:bottom w:val="single" w:sz="4" w:space="0" w:color="auto"/>
              <w:right w:val="single" w:sz="4" w:space="0" w:color="auto"/>
            </w:tcBorders>
            <w:shd w:val="clear" w:color="auto" w:fill="auto"/>
            <w:noWrap/>
            <w:vAlign w:val="bottom"/>
          </w:tcPr>
          <w:p w14:paraId="4C0531DC" w14:textId="77777777" w:rsidR="005D2751" w:rsidRPr="00EE33FA" w:rsidRDefault="005D2751" w:rsidP="005B57A6">
            <w:pPr>
              <w:jc w:val="center"/>
              <w:rPr>
                <w:color w:val="000000"/>
                <w:sz w:val="22"/>
                <w:szCs w:val="22"/>
                <w:lang w:val="en-GB"/>
              </w:rPr>
            </w:pPr>
            <w:r w:rsidRPr="00EE33FA">
              <w:rPr>
                <w:color w:val="000000"/>
                <w:sz w:val="22"/>
                <w:szCs w:val="22"/>
                <w:lang w:val="en-GB"/>
              </w:rPr>
              <w:t>2 </w:t>
            </w:r>
          </w:p>
        </w:tc>
        <w:tc>
          <w:tcPr>
            <w:tcW w:w="815" w:type="dxa"/>
            <w:tcBorders>
              <w:top w:val="nil"/>
              <w:left w:val="nil"/>
              <w:bottom w:val="single" w:sz="4" w:space="0" w:color="auto"/>
              <w:right w:val="single" w:sz="4" w:space="0" w:color="auto"/>
            </w:tcBorders>
            <w:shd w:val="clear" w:color="auto" w:fill="auto"/>
            <w:noWrap/>
            <w:vAlign w:val="bottom"/>
          </w:tcPr>
          <w:p w14:paraId="7E56B4DC" w14:textId="77777777" w:rsidR="005D2751" w:rsidRPr="00EE33FA" w:rsidRDefault="005D2751" w:rsidP="005B57A6">
            <w:pPr>
              <w:jc w:val="center"/>
              <w:rPr>
                <w:color w:val="000000"/>
                <w:sz w:val="22"/>
                <w:szCs w:val="22"/>
                <w:lang w:val="en-GB"/>
              </w:rPr>
            </w:pPr>
            <w:r w:rsidRPr="00EE33FA">
              <w:rPr>
                <w:color w:val="000000"/>
                <w:sz w:val="22"/>
                <w:szCs w:val="22"/>
                <w:lang w:val="en-GB"/>
              </w:rPr>
              <w:t>6 </w:t>
            </w:r>
          </w:p>
        </w:tc>
        <w:tc>
          <w:tcPr>
            <w:tcW w:w="815" w:type="dxa"/>
            <w:tcBorders>
              <w:top w:val="nil"/>
              <w:left w:val="nil"/>
              <w:bottom w:val="single" w:sz="4" w:space="0" w:color="auto"/>
              <w:right w:val="single" w:sz="4" w:space="0" w:color="auto"/>
            </w:tcBorders>
            <w:shd w:val="clear" w:color="auto" w:fill="auto"/>
            <w:noWrap/>
            <w:vAlign w:val="bottom"/>
          </w:tcPr>
          <w:p w14:paraId="5F656A5C" w14:textId="77777777" w:rsidR="005D2751" w:rsidRPr="00EE33FA" w:rsidRDefault="005D2751" w:rsidP="005B57A6">
            <w:pPr>
              <w:jc w:val="center"/>
              <w:rPr>
                <w:color w:val="000000"/>
                <w:sz w:val="22"/>
                <w:szCs w:val="22"/>
                <w:lang w:val="en-GB"/>
              </w:rPr>
            </w:pPr>
            <w:r w:rsidRPr="00EE33FA">
              <w:rPr>
                <w:color w:val="000000"/>
                <w:sz w:val="22"/>
                <w:szCs w:val="22"/>
                <w:lang w:val="en-GB"/>
              </w:rPr>
              <w:t>5 </w:t>
            </w:r>
          </w:p>
        </w:tc>
        <w:tc>
          <w:tcPr>
            <w:tcW w:w="815" w:type="dxa"/>
            <w:tcBorders>
              <w:top w:val="nil"/>
              <w:left w:val="nil"/>
              <w:bottom w:val="single" w:sz="4" w:space="0" w:color="auto"/>
              <w:right w:val="single" w:sz="4" w:space="0" w:color="auto"/>
            </w:tcBorders>
            <w:shd w:val="clear" w:color="auto" w:fill="auto"/>
            <w:noWrap/>
            <w:vAlign w:val="bottom"/>
          </w:tcPr>
          <w:p w14:paraId="50AE30CD" w14:textId="77777777" w:rsidR="005D2751" w:rsidRPr="00EE33FA" w:rsidRDefault="005D2751" w:rsidP="005B57A6">
            <w:pPr>
              <w:jc w:val="center"/>
              <w:rPr>
                <w:color w:val="000000"/>
                <w:sz w:val="22"/>
                <w:szCs w:val="22"/>
                <w:lang w:val="en-GB"/>
              </w:rPr>
            </w:pPr>
            <w:r w:rsidRPr="00EE33FA">
              <w:rPr>
                <w:color w:val="000000"/>
                <w:sz w:val="22"/>
                <w:szCs w:val="22"/>
                <w:lang w:val="en-GB"/>
              </w:rPr>
              <w:t>7 </w:t>
            </w:r>
          </w:p>
        </w:tc>
      </w:tr>
      <w:tr w:rsidR="005D2751" w:rsidRPr="00EE33FA" w14:paraId="02A04F9C" w14:textId="77777777" w:rsidTr="000164D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tcPr>
          <w:p w14:paraId="326AF8A4" w14:textId="77777777" w:rsidR="005D2751" w:rsidRPr="00EE33FA" w:rsidRDefault="005D2751" w:rsidP="005B57A6">
            <w:pPr>
              <w:rPr>
                <w:color w:val="000000"/>
                <w:sz w:val="22"/>
                <w:szCs w:val="22"/>
                <w:lang w:val="en-GB"/>
              </w:rPr>
            </w:pPr>
            <w:r w:rsidRPr="00EE33FA">
              <w:rPr>
                <w:color w:val="000000"/>
                <w:sz w:val="22"/>
                <w:szCs w:val="22"/>
                <w:lang w:val="en-GB"/>
              </w:rPr>
              <w:t>Mumps</w:t>
            </w:r>
          </w:p>
        </w:tc>
        <w:tc>
          <w:tcPr>
            <w:tcW w:w="1001" w:type="dxa"/>
            <w:tcBorders>
              <w:top w:val="single" w:sz="4" w:space="0" w:color="auto"/>
              <w:left w:val="nil"/>
              <w:bottom w:val="single" w:sz="4" w:space="0" w:color="auto"/>
              <w:right w:val="single" w:sz="4" w:space="0" w:color="auto"/>
            </w:tcBorders>
            <w:shd w:val="clear" w:color="000000" w:fill="auto"/>
            <w:noWrap/>
            <w:vAlign w:val="bottom"/>
          </w:tcPr>
          <w:p w14:paraId="4CD18D22" w14:textId="77777777" w:rsidR="005D2751" w:rsidRPr="00EE33FA" w:rsidRDefault="005D2751" w:rsidP="005B57A6">
            <w:pPr>
              <w:jc w:val="center"/>
              <w:rPr>
                <w:color w:val="000000"/>
                <w:sz w:val="22"/>
                <w:szCs w:val="22"/>
                <w:lang w:val="en-GB"/>
              </w:rPr>
            </w:pPr>
            <w:r w:rsidRPr="00EE33FA">
              <w:rPr>
                <w:color w:val="000000"/>
                <w:sz w:val="22"/>
                <w:szCs w:val="22"/>
                <w:lang w:val="en-GB"/>
              </w:rPr>
              <w:t> </w:t>
            </w:r>
          </w:p>
        </w:tc>
        <w:tc>
          <w:tcPr>
            <w:tcW w:w="899" w:type="dxa"/>
            <w:tcBorders>
              <w:top w:val="nil"/>
              <w:left w:val="nil"/>
              <w:bottom w:val="single" w:sz="4" w:space="0" w:color="auto"/>
              <w:right w:val="single" w:sz="4" w:space="0" w:color="auto"/>
            </w:tcBorders>
            <w:shd w:val="clear" w:color="auto" w:fill="auto"/>
            <w:noWrap/>
            <w:vAlign w:val="bottom"/>
          </w:tcPr>
          <w:p w14:paraId="1E203E3A" w14:textId="77777777" w:rsidR="005D2751" w:rsidRPr="00EE33FA" w:rsidRDefault="005D2751" w:rsidP="005B57A6">
            <w:pPr>
              <w:jc w:val="center"/>
              <w:rPr>
                <w:color w:val="000000"/>
                <w:sz w:val="22"/>
                <w:szCs w:val="22"/>
                <w:lang w:val="en-GB"/>
              </w:rPr>
            </w:pPr>
            <w:r w:rsidRPr="00EE33FA">
              <w:rPr>
                <w:color w:val="000000"/>
                <w:sz w:val="22"/>
                <w:szCs w:val="22"/>
                <w:lang w:val="en-GB"/>
              </w:rPr>
              <w:t>55 </w:t>
            </w:r>
          </w:p>
        </w:tc>
        <w:tc>
          <w:tcPr>
            <w:tcW w:w="899" w:type="dxa"/>
            <w:tcBorders>
              <w:top w:val="nil"/>
              <w:left w:val="nil"/>
              <w:bottom w:val="single" w:sz="4" w:space="0" w:color="auto"/>
              <w:right w:val="single" w:sz="4" w:space="0" w:color="auto"/>
            </w:tcBorders>
            <w:shd w:val="clear" w:color="auto" w:fill="auto"/>
            <w:noWrap/>
            <w:vAlign w:val="bottom"/>
          </w:tcPr>
          <w:p w14:paraId="55FFE79F" w14:textId="77777777" w:rsidR="005D2751" w:rsidRPr="00EE33FA" w:rsidRDefault="005D2751" w:rsidP="005B57A6">
            <w:pPr>
              <w:jc w:val="center"/>
              <w:rPr>
                <w:color w:val="000000"/>
                <w:sz w:val="22"/>
                <w:szCs w:val="22"/>
                <w:lang w:val="en-GB"/>
              </w:rPr>
            </w:pPr>
            <w:r w:rsidRPr="00EE33FA">
              <w:rPr>
                <w:color w:val="000000"/>
                <w:sz w:val="22"/>
                <w:szCs w:val="22"/>
                <w:lang w:val="en-GB"/>
              </w:rPr>
              <w:t>52 </w:t>
            </w:r>
          </w:p>
        </w:tc>
        <w:tc>
          <w:tcPr>
            <w:tcW w:w="815" w:type="dxa"/>
            <w:tcBorders>
              <w:top w:val="nil"/>
              <w:left w:val="nil"/>
              <w:bottom w:val="single" w:sz="4" w:space="0" w:color="auto"/>
              <w:right w:val="single" w:sz="4" w:space="0" w:color="auto"/>
            </w:tcBorders>
            <w:shd w:val="clear" w:color="auto" w:fill="auto"/>
            <w:noWrap/>
            <w:vAlign w:val="bottom"/>
          </w:tcPr>
          <w:p w14:paraId="5565B393" w14:textId="77777777" w:rsidR="005D2751" w:rsidRPr="00EE33FA" w:rsidRDefault="005D2751" w:rsidP="005B57A6">
            <w:pPr>
              <w:jc w:val="center"/>
              <w:rPr>
                <w:color w:val="000000"/>
                <w:sz w:val="22"/>
                <w:szCs w:val="22"/>
                <w:lang w:val="en-GB"/>
              </w:rPr>
            </w:pPr>
            <w:r w:rsidRPr="00EE33FA">
              <w:rPr>
                <w:color w:val="000000"/>
                <w:sz w:val="22"/>
                <w:szCs w:val="22"/>
                <w:lang w:val="en-GB"/>
              </w:rPr>
              <w:t>50 </w:t>
            </w:r>
          </w:p>
        </w:tc>
        <w:tc>
          <w:tcPr>
            <w:tcW w:w="815" w:type="dxa"/>
            <w:tcBorders>
              <w:top w:val="nil"/>
              <w:left w:val="nil"/>
              <w:bottom w:val="single" w:sz="4" w:space="0" w:color="auto"/>
              <w:right w:val="single" w:sz="4" w:space="0" w:color="auto"/>
            </w:tcBorders>
            <w:shd w:val="clear" w:color="auto" w:fill="auto"/>
            <w:noWrap/>
            <w:vAlign w:val="bottom"/>
          </w:tcPr>
          <w:p w14:paraId="39A6EF10" w14:textId="77777777" w:rsidR="005D2751" w:rsidRPr="00EE33FA" w:rsidRDefault="005D2751" w:rsidP="005B57A6">
            <w:pPr>
              <w:jc w:val="center"/>
              <w:rPr>
                <w:color w:val="000000"/>
                <w:sz w:val="22"/>
                <w:szCs w:val="22"/>
                <w:lang w:val="en-GB"/>
              </w:rPr>
            </w:pPr>
            <w:r w:rsidRPr="00EE33FA">
              <w:rPr>
                <w:color w:val="000000"/>
                <w:sz w:val="22"/>
                <w:szCs w:val="22"/>
                <w:lang w:val="en-GB"/>
              </w:rPr>
              <w:t>44 </w:t>
            </w:r>
          </w:p>
        </w:tc>
        <w:tc>
          <w:tcPr>
            <w:tcW w:w="815" w:type="dxa"/>
            <w:tcBorders>
              <w:top w:val="nil"/>
              <w:left w:val="nil"/>
              <w:bottom w:val="single" w:sz="4" w:space="0" w:color="auto"/>
              <w:right w:val="single" w:sz="4" w:space="0" w:color="auto"/>
            </w:tcBorders>
            <w:shd w:val="clear" w:color="auto" w:fill="auto"/>
            <w:noWrap/>
            <w:vAlign w:val="bottom"/>
          </w:tcPr>
          <w:p w14:paraId="542DF86D" w14:textId="77777777" w:rsidR="005D2751" w:rsidRPr="00EE33FA" w:rsidRDefault="005D2751" w:rsidP="005B57A6">
            <w:pPr>
              <w:jc w:val="center"/>
              <w:rPr>
                <w:color w:val="000000"/>
                <w:sz w:val="22"/>
                <w:szCs w:val="22"/>
                <w:lang w:val="en-GB"/>
              </w:rPr>
            </w:pPr>
            <w:r w:rsidRPr="00EE33FA">
              <w:rPr>
                <w:color w:val="000000"/>
                <w:sz w:val="22"/>
                <w:szCs w:val="22"/>
                <w:lang w:val="en-GB"/>
              </w:rPr>
              <w:t>101 </w:t>
            </w:r>
          </w:p>
        </w:tc>
      </w:tr>
      <w:tr w:rsidR="005D2751" w:rsidRPr="00EE33FA" w14:paraId="693E461A" w14:textId="77777777" w:rsidTr="007D0D47">
        <w:trPr>
          <w:trHeight w:val="300"/>
          <w:jc w:val="center"/>
        </w:trPr>
        <w:tc>
          <w:tcPr>
            <w:tcW w:w="2936" w:type="dxa"/>
            <w:tcBorders>
              <w:top w:val="nil"/>
              <w:left w:val="single" w:sz="4" w:space="0" w:color="auto"/>
              <w:bottom w:val="single" w:sz="4" w:space="0" w:color="auto"/>
              <w:right w:val="single" w:sz="4" w:space="0" w:color="auto"/>
            </w:tcBorders>
            <w:shd w:val="clear" w:color="auto" w:fill="auto"/>
            <w:noWrap/>
            <w:vAlign w:val="bottom"/>
          </w:tcPr>
          <w:p w14:paraId="5B1AB743" w14:textId="77777777" w:rsidR="005D2751" w:rsidRPr="00EE33FA" w:rsidRDefault="005D2751" w:rsidP="005B57A6">
            <w:pPr>
              <w:rPr>
                <w:color w:val="000000"/>
                <w:sz w:val="22"/>
                <w:szCs w:val="22"/>
                <w:lang w:val="en-GB"/>
              </w:rPr>
            </w:pPr>
            <w:r w:rsidRPr="00EE33FA">
              <w:rPr>
                <w:color w:val="000000"/>
                <w:sz w:val="22"/>
                <w:szCs w:val="22"/>
                <w:lang w:val="en-GB"/>
              </w:rPr>
              <w:t>Tetanus (neonatal)</w:t>
            </w:r>
          </w:p>
        </w:tc>
        <w:tc>
          <w:tcPr>
            <w:tcW w:w="1001" w:type="dxa"/>
            <w:tcBorders>
              <w:top w:val="nil"/>
              <w:left w:val="nil"/>
              <w:bottom w:val="single" w:sz="4" w:space="0" w:color="auto"/>
              <w:right w:val="single" w:sz="4" w:space="0" w:color="auto"/>
            </w:tcBorders>
            <w:shd w:val="clear" w:color="auto" w:fill="auto"/>
            <w:noWrap/>
            <w:vAlign w:val="bottom"/>
          </w:tcPr>
          <w:p w14:paraId="2AF569E6" w14:textId="77777777" w:rsidR="005D2751" w:rsidRPr="00EE33FA" w:rsidRDefault="005D2751" w:rsidP="005B57A6">
            <w:pPr>
              <w:jc w:val="center"/>
              <w:rPr>
                <w:color w:val="000000"/>
                <w:sz w:val="22"/>
                <w:szCs w:val="22"/>
                <w:lang w:val="en-GB"/>
              </w:rPr>
            </w:pPr>
            <w:r w:rsidRPr="00EE33FA">
              <w:rPr>
                <w:color w:val="000000"/>
                <w:sz w:val="22"/>
                <w:szCs w:val="22"/>
                <w:lang w:val="en-GB"/>
              </w:rPr>
              <w:t>0</w:t>
            </w:r>
          </w:p>
        </w:tc>
        <w:tc>
          <w:tcPr>
            <w:tcW w:w="899" w:type="dxa"/>
            <w:tcBorders>
              <w:top w:val="nil"/>
              <w:left w:val="nil"/>
              <w:bottom w:val="single" w:sz="4" w:space="0" w:color="auto"/>
              <w:right w:val="single" w:sz="4" w:space="0" w:color="auto"/>
            </w:tcBorders>
            <w:shd w:val="clear" w:color="auto" w:fill="auto"/>
            <w:noWrap/>
            <w:vAlign w:val="bottom"/>
          </w:tcPr>
          <w:p w14:paraId="23EC5DE5"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99" w:type="dxa"/>
            <w:tcBorders>
              <w:top w:val="nil"/>
              <w:left w:val="nil"/>
              <w:bottom w:val="single" w:sz="4" w:space="0" w:color="auto"/>
              <w:right w:val="single" w:sz="4" w:space="0" w:color="auto"/>
            </w:tcBorders>
            <w:shd w:val="clear" w:color="auto" w:fill="auto"/>
            <w:noWrap/>
            <w:vAlign w:val="bottom"/>
          </w:tcPr>
          <w:p w14:paraId="3DDADCA7"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tcPr>
          <w:p w14:paraId="104FD0EE"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tcPr>
          <w:p w14:paraId="610F0144"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c>
          <w:tcPr>
            <w:tcW w:w="815" w:type="dxa"/>
            <w:tcBorders>
              <w:top w:val="nil"/>
              <w:left w:val="nil"/>
              <w:bottom w:val="single" w:sz="4" w:space="0" w:color="auto"/>
              <w:right w:val="single" w:sz="4" w:space="0" w:color="auto"/>
            </w:tcBorders>
            <w:shd w:val="clear" w:color="auto" w:fill="auto"/>
            <w:noWrap/>
            <w:vAlign w:val="bottom"/>
          </w:tcPr>
          <w:p w14:paraId="17B0807F" w14:textId="77777777" w:rsidR="005D2751" w:rsidRPr="00EE33FA" w:rsidRDefault="005D2751" w:rsidP="005B57A6">
            <w:pPr>
              <w:jc w:val="center"/>
              <w:rPr>
                <w:color w:val="000000"/>
                <w:sz w:val="22"/>
                <w:szCs w:val="22"/>
                <w:lang w:val="en-GB"/>
              </w:rPr>
            </w:pPr>
            <w:r w:rsidRPr="00EE33FA">
              <w:rPr>
                <w:color w:val="000000"/>
                <w:sz w:val="22"/>
                <w:szCs w:val="22"/>
                <w:lang w:val="en-GB"/>
              </w:rPr>
              <w:t>0 </w:t>
            </w:r>
          </w:p>
        </w:tc>
      </w:tr>
      <w:tr w:rsidR="005D2751" w:rsidRPr="00EE33FA" w14:paraId="2FE045BB" w14:textId="77777777" w:rsidTr="007D0D47">
        <w:trPr>
          <w:trHeight w:val="300"/>
          <w:jc w:val="center"/>
        </w:trPr>
        <w:tc>
          <w:tcPr>
            <w:tcW w:w="2936" w:type="dxa"/>
            <w:tcBorders>
              <w:top w:val="single" w:sz="4" w:space="0" w:color="auto"/>
            </w:tcBorders>
            <w:shd w:val="clear" w:color="auto" w:fill="auto"/>
            <w:noWrap/>
            <w:vAlign w:val="bottom"/>
            <w:hideMark/>
          </w:tcPr>
          <w:p w14:paraId="1514359B" w14:textId="77777777" w:rsidR="005D2751" w:rsidRPr="00EE33FA" w:rsidRDefault="005D2751" w:rsidP="005B57A6">
            <w:pPr>
              <w:rPr>
                <w:color w:val="000000"/>
                <w:sz w:val="22"/>
                <w:szCs w:val="22"/>
                <w:lang w:val="en-GB"/>
              </w:rPr>
            </w:pPr>
            <w:r w:rsidRPr="00EE33FA">
              <w:rPr>
                <w:color w:val="000000"/>
                <w:sz w:val="22"/>
                <w:szCs w:val="22"/>
                <w:vertAlign w:val="superscript"/>
                <w:lang w:val="en-GB"/>
              </w:rPr>
              <w:t>a</w:t>
            </w:r>
            <w:r w:rsidRPr="00EE33FA">
              <w:rPr>
                <w:color w:val="000000"/>
                <w:sz w:val="22"/>
                <w:szCs w:val="22"/>
                <w:lang w:val="en-GB"/>
              </w:rPr>
              <w:t xml:space="preserve"> Reported as of July 2015</w:t>
            </w:r>
          </w:p>
        </w:tc>
        <w:tc>
          <w:tcPr>
            <w:tcW w:w="1001" w:type="dxa"/>
            <w:tcBorders>
              <w:top w:val="nil"/>
              <w:left w:val="nil"/>
              <w:bottom w:val="nil"/>
              <w:right w:val="nil"/>
            </w:tcBorders>
            <w:shd w:val="clear" w:color="auto" w:fill="auto"/>
            <w:noWrap/>
            <w:vAlign w:val="bottom"/>
            <w:hideMark/>
          </w:tcPr>
          <w:p w14:paraId="43592CD6" w14:textId="77777777" w:rsidR="005D2751" w:rsidRPr="00EE33FA" w:rsidRDefault="005D2751" w:rsidP="005B57A6">
            <w:pPr>
              <w:jc w:val="center"/>
              <w:rPr>
                <w:color w:val="000000"/>
                <w:sz w:val="22"/>
                <w:szCs w:val="22"/>
                <w:lang w:val="en-GB"/>
              </w:rPr>
            </w:pPr>
          </w:p>
        </w:tc>
        <w:tc>
          <w:tcPr>
            <w:tcW w:w="899" w:type="dxa"/>
            <w:tcBorders>
              <w:top w:val="nil"/>
              <w:left w:val="nil"/>
              <w:bottom w:val="nil"/>
              <w:right w:val="nil"/>
            </w:tcBorders>
            <w:shd w:val="clear" w:color="auto" w:fill="auto"/>
            <w:noWrap/>
            <w:vAlign w:val="bottom"/>
            <w:hideMark/>
          </w:tcPr>
          <w:p w14:paraId="4F19EA0E" w14:textId="77777777" w:rsidR="005D2751" w:rsidRPr="00EE33FA" w:rsidRDefault="005D2751" w:rsidP="005B57A6">
            <w:pPr>
              <w:jc w:val="center"/>
              <w:rPr>
                <w:color w:val="000000"/>
                <w:sz w:val="22"/>
                <w:szCs w:val="22"/>
                <w:lang w:val="en-GB"/>
              </w:rPr>
            </w:pPr>
          </w:p>
        </w:tc>
        <w:tc>
          <w:tcPr>
            <w:tcW w:w="899" w:type="dxa"/>
            <w:tcBorders>
              <w:top w:val="nil"/>
              <w:left w:val="nil"/>
              <w:bottom w:val="nil"/>
              <w:right w:val="nil"/>
            </w:tcBorders>
            <w:shd w:val="clear" w:color="auto" w:fill="auto"/>
            <w:noWrap/>
            <w:vAlign w:val="bottom"/>
            <w:hideMark/>
          </w:tcPr>
          <w:p w14:paraId="3034EC89" w14:textId="77777777" w:rsidR="005D2751" w:rsidRPr="00EE33FA" w:rsidRDefault="005D2751" w:rsidP="005B57A6">
            <w:pPr>
              <w:jc w:val="center"/>
              <w:rPr>
                <w:color w:val="000000"/>
                <w:sz w:val="22"/>
                <w:szCs w:val="22"/>
                <w:lang w:val="en-GB"/>
              </w:rPr>
            </w:pPr>
          </w:p>
        </w:tc>
        <w:tc>
          <w:tcPr>
            <w:tcW w:w="815" w:type="dxa"/>
            <w:tcBorders>
              <w:top w:val="nil"/>
              <w:left w:val="nil"/>
              <w:bottom w:val="nil"/>
              <w:right w:val="nil"/>
            </w:tcBorders>
            <w:shd w:val="clear" w:color="auto" w:fill="auto"/>
            <w:noWrap/>
            <w:vAlign w:val="bottom"/>
            <w:hideMark/>
          </w:tcPr>
          <w:p w14:paraId="79630840" w14:textId="77777777" w:rsidR="005D2751" w:rsidRPr="00EE33FA" w:rsidRDefault="005D2751" w:rsidP="005B57A6">
            <w:pPr>
              <w:jc w:val="center"/>
              <w:rPr>
                <w:color w:val="000000"/>
                <w:sz w:val="22"/>
                <w:szCs w:val="22"/>
                <w:lang w:val="en-GB"/>
              </w:rPr>
            </w:pPr>
          </w:p>
        </w:tc>
        <w:tc>
          <w:tcPr>
            <w:tcW w:w="815" w:type="dxa"/>
            <w:tcBorders>
              <w:top w:val="nil"/>
              <w:left w:val="nil"/>
              <w:bottom w:val="nil"/>
              <w:right w:val="nil"/>
            </w:tcBorders>
            <w:shd w:val="clear" w:color="auto" w:fill="auto"/>
            <w:noWrap/>
            <w:vAlign w:val="bottom"/>
            <w:hideMark/>
          </w:tcPr>
          <w:p w14:paraId="67408033" w14:textId="77777777" w:rsidR="005D2751" w:rsidRPr="00EE33FA" w:rsidRDefault="005D2751" w:rsidP="005B57A6">
            <w:pPr>
              <w:jc w:val="center"/>
              <w:rPr>
                <w:color w:val="000000"/>
                <w:sz w:val="22"/>
                <w:szCs w:val="22"/>
                <w:lang w:val="en-GB"/>
              </w:rPr>
            </w:pPr>
          </w:p>
        </w:tc>
        <w:tc>
          <w:tcPr>
            <w:tcW w:w="815" w:type="dxa"/>
            <w:tcBorders>
              <w:top w:val="nil"/>
              <w:left w:val="nil"/>
              <w:bottom w:val="nil"/>
              <w:right w:val="nil"/>
            </w:tcBorders>
            <w:shd w:val="clear" w:color="auto" w:fill="auto"/>
            <w:noWrap/>
            <w:vAlign w:val="bottom"/>
            <w:hideMark/>
          </w:tcPr>
          <w:p w14:paraId="30831598" w14:textId="77777777" w:rsidR="005D2751" w:rsidRPr="00EE33FA" w:rsidRDefault="005D2751" w:rsidP="005B57A6">
            <w:pPr>
              <w:jc w:val="center"/>
              <w:rPr>
                <w:color w:val="000000"/>
                <w:sz w:val="22"/>
                <w:szCs w:val="22"/>
                <w:lang w:val="en-GB"/>
              </w:rPr>
            </w:pPr>
          </w:p>
        </w:tc>
      </w:tr>
    </w:tbl>
    <w:p w14:paraId="1B1030C6" w14:textId="1C70F19A" w:rsidR="005D2751" w:rsidRPr="00EE33FA" w:rsidRDefault="00C82088" w:rsidP="007D0D47">
      <w:pPr>
        <w:spacing w:before="120" w:line="300" w:lineRule="atLeast"/>
        <w:ind w:firstLine="360"/>
        <w:jc w:val="center"/>
        <w:rPr>
          <w:lang w:val="en-GB"/>
        </w:rPr>
      </w:pPr>
      <w:r>
        <w:rPr>
          <w:i/>
          <w:lang w:val="en-GB"/>
        </w:rPr>
        <w:t>Figure/table 7</w:t>
      </w:r>
      <w:r w:rsidR="005D2751" w:rsidRPr="00EE33FA">
        <w:rPr>
          <w:i/>
          <w:lang w:val="en-GB"/>
        </w:rPr>
        <w:t xml:space="preserve">: Reported Cases of Vaccine Preventable Diseases, </w:t>
      </w:r>
      <w:r w:rsidR="005D2751" w:rsidRPr="00EE33FA">
        <w:rPr>
          <w:i/>
          <w:color w:val="000000"/>
          <w:lang w:val="en-GB"/>
        </w:rPr>
        <w:t>2010-2015</w:t>
      </w:r>
      <w:r w:rsidR="005D2751" w:rsidRPr="00EE33FA">
        <w:rPr>
          <w:i/>
          <w:color w:val="000000"/>
          <w:vertAlign w:val="superscript"/>
          <w:lang w:val="en-GB"/>
        </w:rPr>
        <w:t>a</w:t>
      </w:r>
    </w:p>
    <w:p w14:paraId="020F8696" w14:textId="5F6CE889" w:rsidR="00F82857" w:rsidRPr="00EE33FA" w:rsidRDefault="008D3D59" w:rsidP="00F82857">
      <w:pPr>
        <w:spacing w:before="120" w:line="300" w:lineRule="atLeast"/>
        <w:ind w:firstLine="360"/>
        <w:jc w:val="both"/>
        <w:rPr>
          <w:color w:val="000000" w:themeColor="text1"/>
          <w:lang w:val="en-GB"/>
        </w:rPr>
      </w:pPr>
      <w:r w:rsidRPr="00EE33FA">
        <w:rPr>
          <w:lang w:val="en-GB"/>
        </w:rPr>
        <w:t>Laboratory confirmation is a challenge due to limited sample collection because of logistical challenges, especially for non-hospitalized cases, underestimation of the need and lack of awareness of the availability of testing by providers, parental refusal for blood collection. This is particularly affects surveil</w:t>
      </w:r>
      <w:r w:rsidR="00D63ACE" w:rsidRPr="00EE33FA">
        <w:rPr>
          <w:lang w:val="en-GB"/>
        </w:rPr>
        <w:t xml:space="preserve">lance for measles and rubella. </w:t>
      </w:r>
      <w:r w:rsidRPr="00EE33FA">
        <w:rPr>
          <w:lang w:val="en-GB"/>
        </w:rPr>
        <w:t>Reporting of positive results for VPDs by private laboratories occasionally occurs, but most likely is incomplete.</w:t>
      </w:r>
    </w:p>
    <w:p w14:paraId="28C57A07" w14:textId="1A5A87E6" w:rsidR="00F82857" w:rsidRPr="00EE33FA" w:rsidRDefault="008D3D59" w:rsidP="00F82857">
      <w:pPr>
        <w:spacing w:before="120" w:line="300" w:lineRule="atLeast"/>
        <w:ind w:firstLine="360"/>
        <w:jc w:val="both"/>
        <w:rPr>
          <w:lang w:val="en-GB"/>
        </w:rPr>
      </w:pPr>
      <w:r w:rsidRPr="00EE33FA">
        <w:rPr>
          <w:lang w:val="en-GB"/>
        </w:rPr>
        <w:t xml:space="preserve">Construction of the Lugar </w:t>
      </w:r>
      <w:r w:rsidR="00CD263C" w:rsidRPr="00EE33FA">
        <w:rPr>
          <w:lang w:val="en-GB"/>
        </w:rPr>
        <w:t>Centre</w:t>
      </w:r>
      <w:r w:rsidRPr="00EE33FA">
        <w:rPr>
          <w:lang w:val="en-GB"/>
        </w:rPr>
        <w:t xml:space="preserve"> laboratory with DTRA support, built in accordance to modern Western standards has substantially strengthened laboratory capacity at NCDC and in Georgia in general.  However, availability of te</w:t>
      </w:r>
      <w:r w:rsidR="00F82857" w:rsidRPr="00EE33FA">
        <w:rPr>
          <w:lang w:val="en-GB"/>
        </w:rPr>
        <w:t>sting for various VPDs varies.</w:t>
      </w:r>
    </w:p>
    <w:p w14:paraId="67145954" w14:textId="3D376CB9" w:rsidR="00F82857" w:rsidRPr="00EE33FA" w:rsidRDefault="008D3D59" w:rsidP="00F82857">
      <w:pPr>
        <w:spacing w:before="120" w:line="300" w:lineRule="atLeast"/>
        <w:ind w:firstLine="360"/>
        <w:jc w:val="both"/>
        <w:rPr>
          <w:lang w:val="en-GB"/>
        </w:rPr>
      </w:pPr>
      <w:r w:rsidRPr="00EE33FA">
        <w:rPr>
          <w:lang w:val="en-GB"/>
        </w:rPr>
        <w:lastRenderedPageBreak/>
        <w:t xml:space="preserve">WHO-accredited national laboratories exist for polio, measles and rubella, testing for rotavirus and agents of bacterial invasive disease is available through WHO-supported sentinel surveillance, but testing for other VPDs is limited (diphtheria, rotavirus,) or not available (pertussis, mumps).  Laboratory testing for hepatitis B is available at Lugar </w:t>
      </w:r>
      <w:r w:rsidR="00CD263C" w:rsidRPr="00EE33FA">
        <w:rPr>
          <w:lang w:val="en-GB"/>
        </w:rPr>
        <w:t>Centre</w:t>
      </w:r>
      <w:r w:rsidRPr="00EE33FA">
        <w:rPr>
          <w:lang w:val="en-GB"/>
        </w:rPr>
        <w:t>, but mostly conducted by laboratories at HCF</w:t>
      </w:r>
      <w:r w:rsidR="00F82857" w:rsidRPr="00EE33FA">
        <w:rPr>
          <w:lang w:val="en-GB"/>
        </w:rPr>
        <w:t>s or private laboratories.</w:t>
      </w:r>
    </w:p>
    <w:p w14:paraId="58DCD458" w14:textId="77777777" w:rsidR="00F82857" w:rsidRPr="00EE33FA" w:rsidRDefault="008D3D59" w:rsidP="00F82857">
      <w:pPr>
        <w:spacing w:before="120" w:line="300" w:lineRule="atLeast"/>
        <w:ind w:firstLine="360"/>
        <w:jc w:val="both"/>
        <w:rPr>
          <w:color w:val="000000" w:themeColor="text1"/>
          <w:lang w:val="en-GB"/>
        </w:rPr>
      </w:pPr>
      <w:r w:rsidRPr="00EE33FA">
        <w:rPr>
          <w:lang w:val="en-GB"/>
        </w:rPr>
        <w:t>Plans for the upcoming year include strengthening surveillance for measles, rubella, polio and other enteroviruses, rotavirus and pertussis by implementing molecular methods of testing.  A major adult serosurvey for measles and rubella using samples from the currently ongoing population-based serosurvey for hepatitis B and C is also planned.</w:t>
      </w:r>
    </w:p>
    <w:p w14:paraId="23BDC0AF" w14:textId="3B55A935" w:rsidR="00F82857" w:rsidRPr="00EE33FA" w:rsidRDefault="008D3D59" w:rsidP="00F82857">
      <w:pPr>
        <w:spacing w:before="120" w:line="300" w:lineRule="atLeast"/>
        <w:ind w:firstLine="360"/>
        <w:jc w:val="both"/>
        <w:rPr>
          <w:lang w:val="en-GB"/>
        </w:rPr>
      </w:pPr>
      <w:r w:rsidRPr="00EE33FA">
        <w:rPr>
          <w:b/>
          <w:lang w:val="en-GB"/>
        </w:rPr>
        <w:t>Measles and rubella surveillance</w:t>
      </w:r>
      <w:r w:rsidRPr="00EE33FA">
        <w:rPr>
          <w:lang w:val="en-GB"/>
        </w:rPr>
        <w:t xml:space="preserve"> is in general well-functioning and despite the huge case load, both epidemiology and laboratory components managed well during the large-scale measles outbreak of 2013-2014. After an upgrade in 2013, measles and rubella case reports in EIDSS can be downloaded in a format compatible with WHO Centralized Integrated System for Infectious Disease Surveillance (CISID) thus eliminating the need for duplicate ent</w:t>
      </w:r>
      <w:r w:rsidR="005B01CD" w:rsidRPr="00EE33FA">
        <w:rPr>
          <w:lang w:val="en-GB"/>
        </w:rPr>
        <w:t xml:space="preserve">ry existing in previous years. </w:t>
      </w:r>
      <w:r w:rsidRPr="00EE33FA">
        <w:rPr>
          <w:lang w:val="en-GB"/>
        </w:rPr>
        <w:t>As a limitation, EIDSS cannot be directly linked to the Laboratory Data Management System (LDMS) used by the WHO/EURO LabNet for measles and rubella, which includes results of virology testing and genotyping.  Surveillance guidelines for measles and rubella/CRS have not been updated since 2004, while WHO/EURO Regional guidelines have been updated several times since then, most recently in 2012, and separate Regional guidelines for responding to measles and rubella outbreaks reflecting the realities of current stage of measles and rubella elimination program have been developed.  In addition, the low rates of sample collection are a problem, particularly when number of cases is relatively low. This makes it difficult to achieve target for one of the key surveillance quality indicators – the rate of discarded cases &gt;</w:t>
      </w:r>
      <w:r w:rsidR="005037DA" w:rsidRPr="00EE33FA">
        <w:rPr>
          <w:lang w:val="en-GB"/>
        </w:rPr>
        <w:t xml:space="preserve"> </w:t>
      </w:r>
      <w:r w:rsidRPr="00EE33FA">
        <w:rPr>
          <w:lang w:val="en-GB"/>
        </w:rPr>
        <w:t>2.0/100,000, as well as differentiation of the origin of cases.  Lab confirmation is particularly rarely sought for rubella and no specimens for virus characterization have ever been collected fro</w:t>
      </w:r>
      <w:r w:rsidR="006D2FC9" w:rsidRPr="00EE33FA">
        <w:rPr>
          <w:lang w:val="en-GB"/>
        </w:rPr>
        <w:t xml:space="preserve">m rubella patients in Georgia. </w:t>
      </w:r>
      <w:r w:rsidRPr="00EE33FA">
        <w:rPr>
          <w:lang w:val="en-GB"/>
        </w:rPr>
        <w:t>CRS surveilla</w:t>
      </w:r>
      <w:r w:rsidR="00F82857" w:rsidRPr="00EE33FA">
        <w:rPr>
          <w:lang w:val="en-GB"/>
        </w:rPr>
        <w:t xml:space="preserve">nce is practically </w:t>
      </w:r>
      <w:r w:rsidR="00CD263C" w:rsidRPr="00EE33FA">
        <w:rPr>
          <w:lang w:val="en-GB"/>
        </w:rPr>
        <w:t>non</w:t>
      </w:r>
      <w:r w:rsidR="00CD263C">
        <w:rPr>
          <w:lang w:val="en-GB"/>
        </w:rPr>
        <w:t>-existent</w:t>
      </w:r>
      <w:r w:rsidR="00F82857" w:rsidRPr="00EE33FA">
        <w:rPr>
          <w:lang w:val="en-GB"/>
        </w:rPr>
        <w:t>.</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005"/>
        <w:gridCol w:w="1170"/>
        <w:gridCol w:w="1440"/>
        <w:gridCol w:w="1440"/>
      </w:tblGrid>
      <w:tr w:rsidR="00DE22B8" w:rsidRPr="00EE33FA" w14:paraId="2E603D56" w14:textId="77777777" w:rsidTr="00F9602D">
        <w:trPr>
          <w:trHeight w:val="300"/>
          <w:jc w:val="center"/>
        </w:trPr>
        <w:tc>
          <w:tcPr>
            <w:tcW w:w="7035" w:type="dxa"/>
            <w:gridSpan w:val="4"/>
            <w:tcBorders>
              <w:top w:val="nil"/>
              <w:left w:val="nil"/>
              <w:right w:val="nil"/>
            </w:tcBorders>
            <w:shd w:val="clear" w:color="auto" w:fill="auto"/>
            <w:noWrap/>
            <w:vAlign w:val="bottom"/>
            <w:hideMark/>
          </w:tcPr>
          <w:p w14:paraId="5EE82289" w14:textId="77777777" w:rsidR="00DE22B8" w:rsidRPr="00EE33FA" w:rsidRDefault="00DE22B8" w:rsidP="008D6794">
            <w:pPr>
              <w:rPr>
                <w:color w:val="000000"/>
                <w:sz w:val="22"/>
                <w:szCs w:val="22"/>
                <w:lang w:val="en-GB"/>
              </w:rPr>
            </w:pPr>
          </w:p>
        </w:tc>
        <w:tc>
          <w:tcPr>
            <w:tcW w:w="1440" w:type="dxa"/>
            <w:tcBorders>
              <w:top w:val="nil"/>
              <w:left w:val="nil"/>
              <w:right w:val="nil"/>
            </w:tcBorders>
          </w:tcPr>
          <w:p w14:paraId="0A81BDEF" w14:textId="77777777" w:rsidR="00DE22B8" w:rsidRPr="00EE33FA" w:rsidRDefault="00DE22B8" w:rsidP="008D6794">
            <w:pPr>
              <w:rPr>
                <w:color w:val="000000"/>
                <w:sz w:val="22"/>
                <w:szCs w:val="22"/>
                <w:lang w:val="en-GB"/>
              </w:rPr>
            </w:pPr>
          </w:p>
        </w:tc>
      </w:tr>
      <w:tr w:rsidR="00BE798C" w:rsidRPr="00EE33FA" w14:paraId="205FA5D2" w14:textId="77777777" w:rsidTr="000164D7">
        <w:trPr>
          <w:trHeight w:val="300"/>
          <w:jc w:val="center"/>
        </w:trPr>
        <w:tc>
          <w:tcPr>
            <w:tcW w:w="3420" w:type="dxa"/>
            <w:shd w:val="clear" w:color="auto" w:fill="auto"/>
            <w:noWrap/>
            <w:vAlign w:val="bottom"/>
            <w:hideMark/>
          </w:tcPr>
          <w:p w14:paraId="3D1DD8F8" w14:textId="77777777" w:rsidR="00BE798C" w:rsidRPr="00EE33FA" w:rsidRDefault="00BE798C" w:rsidP="00BE798C">
            <w:pPr>
              <w:jc w:val="center"/>
              <w:rPr>
                <w:b/>
                <w:color w:val="000000"/>
                <w:sz w:val="22"/>
                <w:szCs w:val="22"/>
                <w:lang w:val="en-GB"/>
              </w:rPr>
            </w:pPr>
            <w:r w:rsidRPr="00EE33FA">
              <w:rPr>
                <w:b/>
                <w:color w:val="000000"/>
                <w:sz w:val="22"/>
                <w:szCs w:val="22"/>
                <w:lang w:val="en-GB"/>
              </w:rPr>
              <w:t>Variables</w:t>
            </w:r>
          </w:p>
        </w:tc>
        <w:tc>
          <w:tcPr>
            <w:tcW w:w="1005" w:type="dxa"/>
            <w:shd w:val="clear" w:color="auto" w:fill="auto"/>
            <w:noWrap/>
            <w:vAlign w:val="bottom"/>
            <w:hideMark/>
          </w:tcPr>
          <w:p w14:paraId="3D197BEF" w14:textId="77777777" w:rsidR="00BE798C" w:rsidRPr="00EE33FA" w:rsidRDefault="00BE798C" w:rsidP="00BE798C">
            <w:pPr>
              <w:jc w:val="center"/>
              <w:rPr>
                <w:b/>
                <w:color w:val="000000"/>
                <w:sz w:val="22"/>
                <w:szCs w:val="22"/>
                <w:lang w:val="en-GB"/>
              </w:rPr>
            </w:pPr>
            <w:r w:rsidRPr="00EE33FA">
              <w:rPr>
                <w:b/>
                <w:color w:val="000000"/>
                <w:sz w:val="22"/>
                <w:szCs w:val="22"/>
                <w:lang w:val="en-GB"/>
              </w:rPr>
              <w:t>2013</w:t>
            </w:r>
          </w:p>
        </w:tc>
        <w:tc>
          <w:tcPr>
            <w:tcW w:w="1170" w:type="dxa"/>
            <w:shd w:val="clear" w:color="auto" w:fill="auto"/>
            <w:noWrap/>
            <w:vAlign w:val="bottom"/>
            <w:hideMark/>
          </w:tcPr>
          <w:p w14:paraId="15B45180" w14:textId="77777777" w:rsidR="00BE798C" w:rsidRPr="00EE33FA" w:rsidRDefault="00BE798C" w:rsidP="00BE798C">
            <w:pPr>
              <w:jc w:val="center"/>
              <w:rPr>
                <w:b/>
                <w:color w:val="000000"/>
                <w:sz w:val="22"/>
                <w:szCs w:val="22"/>
                <w:lang w:val="en-GB"/>
              </w:rPr>
            </w:pPr>
            <w:r w:rsidRPr="00EE33FA">
              <w:rPr>
                <w:b/>
                <w:color w:val="000000"/>
                <w:sz w:val="22"/>
                <w:szCs w:val="22"/>
                <w:lang w:val="en-GB"/>
              </w:rPr>
              <w:t>2014</w:t>
            </w:r>
          </w:p>
        </w:tc>
        <w:tc>
          <w:tcPr>
            <w:tcW w:w="1440" w:type="dxa"/>
            <w:shd w:val="clear" w:color="auto" w:fill="auto"/>
            <w:noWrap/>
            <w:vAlign w:val="bottom"/>
            <w:hideMark/>
          </w:tcPr>
          <w:p w14:paraId="41A74E87" w14:textId="77777777" w:rsidR="00BE798C" w:rsidRPr="00EE33FA" w:rsidRDefault="00BE798C" w:rsidP="00BE798C">
            <w:pPr>
              <w:jc w:val="center"/>
              <w:rPr>
                <w:b/>
                <w:color w:val="000000"/>
                <w:sz w:val="22"/>
                <w:szCs w:val="22"/>
                <w:lang w:val="en-GB"/>
              </w:rPr>
            </w:pPr>
            <w:r w:rsidRPr="00EE33FA">
              <w:rPr>
                <w:b/>
                <w:color w:val="000000"/>
                <w:sz w:val="22"/>
                <w:szCs w:val="22"/>
                <w:lang w:val="en-GB"/>
              </w:rPr>
              <w:t>2013-2014</w:t>
            </w:r>
          </w:p>
        </w:tc>
        <w:tc>
          <w:tcPr>
            <w:tcW w:w="1440" w:type="dxa"/>
            <w:tcBorders>
              <w:bottom w:val="single" w:sz="4" w:space="0" w:color="auto"/>
            </w:tcBorders>
            <w:shd w:val="clear" w:color="auto" w:fill="auto"/>
            <w:vAlign w:val="bottom"/>
          </w:tcPr>
          <w:p w14:paraId="4A7C5F45" w14:textId="5197E561" w:rsidR="00BE798C" w:rsidRPr="00EE33FA" w:rsidRDefault="00BE798C" w:rsidP="00BE798C">
            <w:pPr>
              <w:jc w:val="center"/>
              <w:rPr>
                <w:b/>
                <w:color w:val="000000"/>
                <w:sz w:val="22"/>
                <w:szCs w:val="22"/>
                <w:lang w:val="en-GB"/>
              </w:rPr>
            </w:pPr>
            <w:r w:rsidRPr="00EE33FA">
              <w:rPr>
                <w:b/>
                <w:color w:val="000000"/>
                <w:sz w:val="22"/>
                <w:szCs w:val="22"/>
                <w:lang w:val="en-GB"/>
              </w:rPr>
              <w:t>2015*</w:t>
            </w:r>
          </w:p>
        </w:tc>
      </w:tr>
      <w:tr w:rsidR="00BE798C" w:rsidRPr="00EE33FA" w14:paraId="0BA5DCBD" w14:textId="77777777" w:rsidTr="000164D7">
        <w:trPr>
          <w:trHeight w:val="300"/>
          <w:jc w:val="center"/>
        </w:trPr>
        <w:tc>
          <w:tcPr>
            <w:tcW w:w="3420" w:type="dxa"/>
            <w:shd w:val="clear" w:color="auto" w:fill="auto"/>
            <w:noWrap/>
            <w:vAlign w:val="bottom"/>
            <w:hideMark/>
          </w:tcPr>
          <w:p w14:paraId="10693545" w14:textId="77777777" w:rsidR="00BE798C" w:rsidRPr="00EE33FA" w:rsidRDefault="00BE798C" w:rsidP="008D6794">
            <w:pPr>
              <w:rPr>
                <w:color w:val="000000"/>
                <w:sz w:val="22"/>
                <w:szCs w:val="22"/>
                <w:lang w:val="en-GB"/>
              </w:rPr>
            </w:pPr>
            <w:r w:rsidRPr="00EE33FA">
              <w:rPr>
                <w:color w:val="000000"/>
                <w:sz w:val="22"/>
                <w:szCs w:val="22"/>
                <w:lang w:val="en-GB"/>
              </w:rPr>
              <w:t>Cases, No.</w:t>
            </w:r>
          </w:p>
        </w:tc>
        <w:tc>
          <w:tcPr>
            <w:tcW w:w="1005" w:type="dxa"/>
            <w:shd w:val="clear" w:color="auto" w:fill="auto"/>
            <w:noWrap/>
            <w:vAlign w:val="bottom"/>
            <w:hideMark/>
          </w:tcPr>
          <w:p w14:paraId="2F2D5296" w14:textId="77777777" w:rsidR="00BE798C" w:rsidRPr="00EE33FA" w:rsidRDefault="00BE798C" w:rsidP="008D6794">
            <w:pPr>
              <w:jc w:val="center"/>
              <w:rPr>
                <w:color w:val="000000"/>
                <w:sz w:val="22"/>
                <w:szCs w:val="22"/>
                <w:lang w:val="en-GB"/>
              </w:rPr>
            </w:pPr>
            <w:r w:rsidRPr="00EE33FA">
              <w:rPr>
                <w:color w:val="000000"/>
                <w:sz w:val="22"/>
                <w:szCs w:val="22"/>
                <w:lang w:val="en-GB"/>
              </w:rPr>
              <w:t>7,872</w:t>
            </w:r>
          </w:p>
        </w:tc>
        <w:tc>
          <w:tcPr>
            <w:tcW w:w="1170" w:type="dxa"/>
            <w:shd w:val="clear" w:color="auto" w:fill="auto"/>
            <w:noWrap/>
            <w:vAlign w:val="bottom"/>
            <w:hideMark/>
          </w:tcPr>
          <w:p w14:paraId="78C61902" w14:textId="77777777" w:rsidR="00BE798C" w:rsidRPr="00EE33FA" w:rsidRDefault="00BE798C" w:rsidP="008D6794">
            <w:pPr>
              <w:jc w:val="center"/>
              <w:rPr>
                <w:color w:val="000000"/>
                <w:sz w:val="22"/>
                <w:szCs w:val="22"/>
                <w:lang w:val="en-GB"/>
              </w:rPr>
            </w:pPr>
            <w:r w:rsidRPr="00EE33FA">
              <w:rPr>
                <w:color w:val="000000"/>
                <w:sz w:val="22"/>
                <w:szCs w:val="22"/>
                <w:lang w:val="en-GB"/>
              </w:rPr>
              <w:t>3188</w:t>
            </w:r>
          </w:p>
        </w:tc>
        <w:tc>
          <w:tcPr>
            <w:tcW w:w="1440" w:type="dxa"/>
            <w:shd w:val="clear" w:color="auto" w:fill="auto"/>
            <w:noWrap/>
            <w:vAlign w:val="bottom"/>
            <w:hideMark/>
          </w:tcPr>
          <w:p w14:paraId="62BA5DBB" w14:textId="77777777" w:rsidR="00BE798C" w:rsidRPr="00EE33FA" w:rsidRDefault="00BE798C" w:rsidP="008D6794">
            <w:pPr>
              <w:jc w:val="center"/>
              <w:rPr>
                <w:color w:val="000000"/>
                <w:sz w:val="22"/>
                <w:szCs w:val="22"/>
                <w:lang w:val="en-GB"/>
              </w:rPr>
            </w:pPr>
            <w:r w:rsidRPr="00EE33FA">
              <w:rPr>
                <w:color w:val="000000"/>
                <w:sz w:val="22"/>
                <w:szCs w:val="22"/>
                <w:lang w:val="en-GB"/>
              </w:rPr>
              <w:t>11,160</w:t>
            </w:r>
          </w:p>
        </w:tc>
        <w:tc>
          <w:tcPr>
            <w:tcW w:w="1440" w:type="dxa"/>
            <w:tcBorders>
              <w:bottom w:val="single" w:sz="4" w:space="0" w:color="auto"/>
            </w:tcBorders>
            <w:shd w:val="clear" w:color="auto" w:fill="auto"/>
          </w:tcPr>
          <w:p w14:paraId="22AAC074" w14:textId="77777777" w:rsidR="00BE798C" w:rsidRPr="00EE33FA" w:rsidRDefault="00BE798C" w:rsidP="008D6794">
            <w:pPr>
              <w:jc w:val="center"/>
              <w:rPr>
                <w:color w:val="000000"/>
                <w:sz w:val="22"/>
                <w:szCs w:val="22"/>
                <w:lang w:val="en-GB"/>
              </w:rPr>
            </w:pPr>
          </w:p>
        </w:tc>
      </w:tr>
      <w:tr w:rsidR="00BE798C" w:rsidRPr="00EE33FA" w14:paraId="1C5E935A" w14:textId="77777777" w:rsidTr="000164D7">
        <w:trPr>
          <w:trHeight w:val="300"/>
          <w:jc w:val="center"/>
        </w:trPr>
        <w:tc>
          <w:tcPr>
            <w:tcW w:w="3420" w:type="dxa"/>
            <w:shd w:val="clear" w:color="auto" w:fill="auto"/>
            <w:noWrap/>
            <w:vAlign w:val="bottom"/>
            <w:hideMark/>
          </w:tcPr>
          <w:p w14:paraId="7511F3C8" w14:textId="77777777" w:rsidR="00BE798C" w:rsidRPr="00EE33FA" w:rsidRDefault="00BE798C" w:rsidP="008D6794">
            <w:pPr>
              <w:rPr>
                <w:color w:val="000000"/>
                <w:sz w:val="22"/>
                <w:szCs w:val="22"/>
                <w:lang w:val="en-GB"/>
              </w:rPr>
            </w:pPr>
            <w:r w:rsidRPr="00EE33FA">
              <w:rPr>
                <w:color w:val="000000"/>
                <w:sz w:val="22"/>
                <w:szCs w:val="22"/>
                <w:lang w:val="en-GB"/>
              </w:rPr>
              <w:t>Incidence, per 1 million population</w:t>
            </w:r>
          </w:p>
        </w:tc>
        <w:tc>
          <w:tcPr>
            <w:tcW w:w="1005" w:type="dxa"/>
            <w:shd w:val="clear" w:color="auto" w:fill="auto"/>
            <w:noWrap/>
            <w:vAlign w:val="bottom"/>
            <w:hideMark/>
          </w:tcPr>
          <w:p w14:paraId="4CC2378B" w14:textId="77777777" w:rsidR="00BE798C" w:rsidRPr="00EE33FA" w:rsidRDefault="00BE798C" w:rsidP="008D6794">
            <w:pPr>
              <w:jc w:val="center"/>
              <w:rPr>
                <w:color w:val="000000"/>
                <w:sz w:val="22"/>
                <w:szCs w:val="22"/>
                <w:lang w:val="en-GB"/>
              </w:rPr>
            </w:pPr>
            <w:r w:rsidRPr="00EE33FA">
              <w:rPr>
                <w:color w:val="000000"/>
                <w:sz w:val="22"/>
                <w:szCs w:val="22"/>
                <w:lang w:val="en-GB"/>
              </w:rPr>
              <w:t>1,756</w:t>
            </w:r>
          </w:p>
        </w:tc>
        <w:tc>
          <w:tcPr>
            <w:tcW w:w="1170" w:type="dxa"/>
            <w:shd w:val="clear" w:color="auto" w:fill="auto"/>
            <w:noWrap/>
            <w:vAlign w:val="bottom"/>
            <w:hideMark/>
          </w:tcPr>
          <w:p w14:paraId="51D99AF3" w14:textId="77777777" w:rsidR="00BE798C" w:rsidRPr="00EE33FA" w:rsidRDefault="00BE798C" w:rsidP="008D6794">
            <w:pPr>
              <w:jc w:val="center"/>
              <w:rPr>
                <w:color w:val="000000"/>
                <w:sz w:val="22"/>
                <w:szCs w:val="22"/>
                <w:lang w:val="en-GB"/>
              </w:rPr>
            </w:pPr>
            <w:r w:rsidRPr="00EE33FA">
              <w:rPr>
                <w:color w:val="000000"/>
                <w:sz w:val="22"/>
                <w:szCs w:val="22"/>
                <w:lang w:val="en-GB"/>
              </w:rPr>
              <w:t>855</w:t>
            </w:r>
          </w:p>
        </w:tc>
        <w:tc>
          <w:tcPr>
            <w:tcW w:w="1440" w:type="dxa"/>
            <w:shd w:val="clear" w:color="auto" w:fill="auto"/>
            <w:noWrap/>
            <w:vAlign w:val="bottom"/>
            <w:hideMark/>
          </w:tcPr>
          <w:p w14:paraId="241A32BF" w14:textId="77777777" w:rsidR="00BE798C" w:rsidRPr="00EE33FA" w:rsidRDefault="00BE798C" w:rsidP="008D6794">
            <w:pPr>
              <w:jc w:val="center"/>
              <w:rPr>
                <w:color w:val="000000"/>
                <w:sz w:val="22"/>
                <w:szCs w:val="22"/>
                <w:lang w:val="en-GB"/>
              </w:rPr>
            </w:pPr>
            <w:r w:rsidRPr="00EE33FA">
              <w:rPr>
                <w:color w:val="000000"/>
                <w:sz w:val="22"/>
                <w:szCs w:val="22"/>
                <w:lang w:val="en-GB"/>
              </w:rPr>
              <w:t>1,305</w:t>
            </w:r>
          </w:p>
        </w:tc>
        <w:tc>
          <w:tcPr>
            <w:tcW w:w="1440" w:type="dxa"/>
            <w:tcBorders>
              <w:bottom w:val="single" w:sz="4" w:space="0" w:color="auto"/>
            </w:tcBorders>
            <w:shd w:val="clear" w:color="auto" w:fill="auto"/>
          </w:tcPr>
          <w:p w14:paraId="1C199464" w14:textId="77777777" w:rsidR="00BE798C" w:rsidRPr="00EE33FA" w:rsidRDefault="00BE798C" w:rsidP="008D6794">
            <w:pPr>
              <w:jc w:val="center"/>
              <w:rPr>
                <w:color w:val="000000"/>
                <w:sz w:val="22"/>
                <w:szCs w:val="22"/>
                <w:lang w:val="en-GB"/>
              </w:rPr>
            </w:pPr>
          </w:p>
        </w:tc>
      </w:tr>
      <w:tr w:rsidR="00BE798C" w:rsidRPr="00EE33FA" w14:paraId="54C88EE9" w14:textId="77777777" w:rsidTr="000164D7">
        <w:trPr>
          <w:trHeight w:val="300"/>
          <w:jc w:val="center"/>
        </w:trPr>
        <w:tc>
          <w:tcPr>
            <w:tcW w:w="3420" w:type="dxa"/>
            <w:shd w:val="clear" w:color="auto" w:fill="auto"/>
            <w:noWrap/>
            <w:vAlign w:val="bottom"/>
          </w:tcPr>
          <w:p w14:paraId="36754EAB" w14:textId="77777777" w:rsidR="00BE798C" w:rsidRPr="00EE33FA" w:rsidRDefault="00BE798C" w:rsidP="008D6794">
            <w:pPr>
              <w:rPr>
                <w:color w:val="000000"/>
                <w:sz w:val="22"/>
                <w:szCs w:val="22"/>
                <w:lang w:val="en-GB"/>
              </w:rPr>
            </w:pPr>
            <w:r w:rsidRPr="00EE33FA">
              <w:rPr>
                <w:color w:val="000000"/>
                <w:sz w:val="22"/>
                <w:szCs w:val="22"/>
                <w:lang w:val="en-GB"/>
              </w:rPr>
              <w:t>Geographic distribution:</w:t>
            </w:r>
          </w:p>
        </w:tc>
        <w:tc>
          <w:tcPr>
            <w:tcW w:w="1005" w:type="dxa"/>
            <w:shd w:val="clear" w:color="auto" w:fill="auto"/>
            <w:noWrap/>
            <w:vAlign w:val="bottom"/>
          </w:tcPr>
          <w:p w14:paraId="4D57D7C1" w14:textId="77777777" w:rsidR="00BE798C" w:rsidRPr="00EE33FA" w:rsidRDefault="00BE798C" w:rsidP="008D6794">
            <w:pPr>
              <w:jc w:val="center"/>
              <w:rPr>
                <w:color w:val="000000"/>
                <w:sz w:val="22"/>
                <w:szCs w:val="22"/>
                <w:lang w:val="en-GB"/>
              </w:rPr>
            </w:pPr>
          </w:p>
        </w:tc>
        <w:tc>
          <w:tcPr>
            <w:tcW w:w="1170" w:type="dxa"/>
            <w:shd w:val="clear" w:color="auto" w:fill="auto"/>
            <w:noWrap/>
            <w:vAlign w:val="bottom"/>
          </w:tcPr>
          <w:p w14:paraId="3DFCD497" w14:textId="77777777" w:rsidR="00BE798C" w:rsidRPr="00EE33FA" w:rsidRDefault="00BE798C" w:rsidP="008D6794">
            <w:pPr>
              <w:jc w:val="center"/>
              <w:rPr>
                <w:color w:val="000000"/>
                <w:sz w:val="22"/>
                <w:szCs w:val="22"/>
                <w:lang w:val="en-GB"/>
              </w:rPr>
            </w:pPr>
          </w:p>
        </w:tc>
        <w:tc>
          <w:tcPr>
            <w:tcW w:w="1440" w:type="dxa"/>
            <w:shd w:val="clear" w:color="auto" w:fill="auto"/>
            <w:noWrap/>
            <w:vAlign w:val="bottom"/>
          </w:tcPr>
          <w:p w14:paraId="277477A7" w14:textId="77777777" w:rsidR="00BE798C" w:rsidRPr="00EE33FA" w:rsidRDefault="00BE798C" w:rsidP="008D6794">
            <w:pPr>
              <w:jc w:val="center"/>
              <w:rPr>
                <w:color w:val="000000"/>
                <w:sz w:val="22"/>
                <w:szCs w:val="22"/>
                <w:lang w:val="en-GB"/>
              </w:rPr>
            </w:pPr>
          </w:p>
        </w:tc>
        <w:tc>
          <w:tcPr>
            <w:tcW w:w="1440" w:type="dxa"/>
            <w:tcBorders>
              <w:bottom w:val="single" w:sz="4" w:space="0" w:color="auto"/>
            </w:tcBorders>
            <w:shd w:val="clear" w:color="auto" w:fill="auto"/>
          </w:tcPr>
          <w:p w14:paraId="3A1F107E" w14:textId="77777777" w:rsidR="00BE798C" w:rsidRPr="00EE33FA" w:rsidRDefault="00BE798C" w:rsidP="008D6794">
            <w:pPr>
              <w:jc w:val="center"/>
              <w:rPr>
                <w:color w:val="000000"/>
                <w:sz w:val="22"/>
                <w:szCs w:val="22"/>
                <w:lang w:val="en-GB"/>
              </w:rPr>
            </w:pPr>
          </w:p>
        </w:tc>
      </w:tr>
      <w:tr w:rsidR="00BE798C" w:rsidRPr="00EE33FA" w14:paraId="30FA4160" w14:textId="77777777" w:rsidTr="000164D7">
        <w:trPr>
          <w:trHeight w:val="300"/>
          <w:jc w:val="center"/>
        </w:trPr>
        <w:tc>
          <w:tcPr>
            <w:tcW w:w="3420" w:type="dxa"/>
            <w:shd w:val="clear" w:color="auto" w:fill="auto"/>
            <w:noWrap/>
            <w:vAlign w:val="bottom"/>
            <w:hideMark/>
          </w:tcPr>
          <w:p w14:paraId="2D1F5205" w14:textId="77777777" w:rsidR="00BE798C" w:rsidRPr="00EE33FA" w:rsidRDefault="00BE798C" w:rsidP="008D6794">
            <w:pPr>
              <w:ind w:left="177"/>
              <w:rPr>
                <w:color w:val="000000"/>
                <w:sz w:val="22"/>
                <w:szCs w:val="22"/>
                <w:lang w:val="en-GB"/>
              </w:rPr>
            </w:pPr>
            <w:r w:rsidRPr="00EE33FA">
              <w:rPr>
                <w:color w:val="000000"/>
                <w:sz w:val="22"/>
                <w:szCs w:val="22"/>
                <w:lang w:val="en-GB"/>
              </w:rPr>
              <w:t>Tbilisi, cases, No.</w:t>
            </w:r>
          </w:p>
        </w:tc>
        <w:tc>
          <w:tcPr>
            <w:tcW w:w="1005" w:type="dxa"/>
            <w:shd w:val="clear" w:color="auto" w:fill="auto"/>
            <w:noWrap/>
            <w:vAlign w:val="bottom"/>
            <w:hideMark/>
          </w:tcPr>
          <w:p w14:paraId="259A4756" w14:textId="77777777" w:rsidR="00BE798C" w:rsidRPr="00EE33FA" w:rsidRDefault="00BE798C" w:rsidP="008D6794">
            <w:pPr>
              <w:jc w:val="center"/>
              <w:rPr>
                <w:color w:val="000000"/>
                <w:sz w:val="22"/>
                <w:szCs w:val="22"/>
                <w:lang w:val="en-GB"/>
              </w:rPr>
            </w:pPr>
            <w:r w:rsidRPr="00EE33FA">
              <w:rPr>
                <w:color w:val="000000"/>
                <w:sz w:val="22"/>
                <w:szCs w:val="22"/>
                <w:lang w:val="en-GB"/>
              </w:rPr>
              <w:t>3744</w:t>
            </w:r>
          </w:p>
        </w:tc>
        <w:tc>
          <w:tcPr>
            <w:tcW w:w="1170" w:type="dxa"/>
            <w:shd w:val="clear" w:color="auto" w:fill="auto"/>
            <w:noWrap/>
            <w:vAlign w:val="bottom"/>
            <w:hideMark/>
          </w:tcPr>
          <w:p w14:paraId="2AAF6697" w14:textId="77777777" w:rsidR="00BE798C" w:rsidRPr="00EE33FA" w:rsidRDefault="00BE798C" w:rsidP="008D6794">
            <w:pPr>
              <w:jc w:val="center"/>
              <w:rPr>
                <w:color w:val="000000"/>
                <w:sz w:val="22"/>
                <w:szCs w:val="22"/>
                <w:lang w:val="en-GB"/>
              </w:rPr>
            </w:pPr>
            <w:r w:rsidRPr="00EE33FA">
              <w:rPr>
                <w:color w:val="000000"/>
                <w:sz w:val="22"/>
                <w:szCs w:val="22"/>
                <w:lang w:val="en-GB"/>
              </w:rPr>
              <w:t>1365</w:t>
            </w:r>
          </w:p>
        </w:tc>
        <w:tc>
          <w:tcPr>
            <w:tcW w:w="1440" w:type="dxa"/>
            <w:shd w:val="clear" w:color="auto" w:fill="auto"/>
            <w:noWrap/>
            <w:vAlign w:val="bottom"/>
            <w:hideMark/>
          </w:tcPr>
          <w:p w14:paraId="25FF791C" w14:textId="77777777" w:rsidR="00BE798C" w:rsidRPr="00EE33FA" w:rsidRDefault="00BE798C" w:rsidP="008D6794">
            <w:pPr>
              <w:jc w:val="center"/>
              <w:rPr>
                <w:color w:val="000000"/>
                <w:sz w:val="22"/>
                <w:szCs w:val="22"/>
                <w:lang w:val="en-GB"/>
              </w:rPr>
            </w:pPr>
            <w:r w:rsidRPr="00EE33FA">
              <w:rPr>
                <w:color w:val="000000"/>
                <w:sz w:val="22"/>
                <w:szCs w:val="22"/>
                <w:lang w:val="en-GB"/>
              </w:rPr>
              <w:t>5109</w:t>
            </w:r>
          </w:p>
        </w:tc>
        <w:tc>
          <w:tcPr>
            <w:tcW w:w="1440" w:type="dxa"/>
            <w:tcBorders>
              <w:bottom w:val="single" w:sz="4" w:space="0" w:color="auto"/>
            </w:tcBorders>
            <w:shd w:val="clear" w:color="auto" w:fill="auto"/>
          </w:tcPr>
          <w:p w14:paraId="54D6013C" w14:textId="77777777" w:rsidR="00BE798C" w:rsidRPr="00EE33FA" w:rsidRDefault="00BE798C" w:rsidP="008D6794">
            <w:pPr>
              <w:jc w:val="center"/>
              <w:rPr>
                <w:color w:val="000000"/>
                <w:sz w:val="22"/>
                <w:szCs w:val="22"/>
                <w:lang w:val="en-GB"/>
              </w:rPr>
            </w:pPr>
          </w:p>
        </w:tc>
      </w:tr>
      <w:tr w:rsidR="00BE798C" w:rsidRPr="00EE33FA" w14:paraId="3780164B" w14:textId="77777777" w:rsidTr="000164D7">
        <w:trPr>
          <w:trHeight w:val="300"/>
          <w:jc w:val="center"/>
        </w:trPr>
        <w:tc>
          <w:tcPr>
            <w:tcW w:w="3420" w:type="dxa"/>
            <w:shd w:val="clear" w:color="auto" w:fill="auto"/>
            <w:noWrap/>
            <w:vAlign w:val="bottom"/>
            <w:hideMark/>
          </w:tcPr>
          <w:p w14:paraId="0BAACCE8" w14:textId="77777777" w:rsidR="00BE798C" w:rsidRPr="00EE33FA" w:rsidRDefault="00BE798C" w:rsidP="008D6794">
            <w:pPr>
              <w:ind w:left="177"/>
              <w:rPr>
                <w:color w:val="000000"/>
                <w:sz w:val="22"/>
                <w:szCs w:val="22"/>
                <w:lang w:val="en-GB"/>
              </w:rPr>
            </w:pPr>
            <w:r w:rsidRPr="00EE33FA">
              <w:rPr>
                <w:color w:val="000000"/>
                <w:sz w:val="22"/>
                <w:szCs w:val="22"/>
                <w:lang w:val="en-GB"/>
              </w:rPr>
              <w:t>Other regions, cases, No.</w:t>
            </w:r>
          </w:p>
        </w:tc>
        <w:tc>
          <w:tcPr>
            <w:tcW w:w="1005" w:type="dxa"/>
            <w:shd w:val="clear" w:color="auto" w:fill="auto"/>
            <w:noWrap/>
            <w:vAlign w:val="bottom"/>
            <w:hideMark/>
          </w:tcPr>
          <w:p w14:paraId="32838945" w14:textId="77777777" w:rsidR="00BE798C" w:rsidRPr="00EE33FA" w:rsidRDefault="00BE798C" w:rsidP="008D6794">
            <w:pPr>
              <w:jc w:val="center"/>
              <w:rPr>
                <w:color w:val="000000"/>
                <w:sz w:val="22"/>
                <w:szCs w:val="22"/>
                <w:lang w:val="en-GB"/>
              </w:rPr>
            </w:pPr>
            <w:r w:rsidRPr="00EE33FA">
              <w:rPr>
                <w:color w:val="000000"/>
                <w:sz w:val="22"/>
                <w:szCs w:val="22"/>
                <w:lang w:val="en-GB"/>
              </w:rPr>
              <w:t>4128</w:t>
            </w:r>
          </w:p>
        </w:tc>
        <w:tc>
          <w:tcPr>
            <w:tcW w:w="1170" w:type="dxa"/>
            <w:shd w:val="clear" w:color="auto" w:fill="auto"/>
            <w:noWrap/>
            <w:vAlign w:val="bottom"/>
            <w:hideMark/>
          </w:tcPr>
          <w:p w14:paraId="7B35DD40" w14:textId="77777777" w:rsidR="00BE798C" w:rsidRPr="00EE33FA" w:rsidRDefault="00BE798C" w:rsidP="008D6794">
            <w:pPr>
              <w:jc w:val="center"/>
              <w:rPr>
                <w:color w:val="000000"/>
                <w:sz w:val="22"/>
                <w:szCs w:val="22"/>
                <w:lang w:val="en-GB"/>
              </w:rPr>
            </w:pPr>
            <w:r w:rsidRPr="00EE33FA">
              <w:rPr>
                <w:color w:val="000000"/>
                <w:sz w:val="22"/>
                <w:szCs w:val="22"/>
                <w:lang w:val="en-GB"/>
              </w:rPr>
              <w:t>1823</w:t>
            </w:r>
          </w:p>
        </w:tc>
        <w:tc>
          <w:tcPr>
            <w:tcW w:w="1440" w:type="dxa"/>
            <w:shd w:val="clear" w:color="auto" w:fill="auto"/>
            <w:noWrap/>
            <w:vAlign w:val="bottom"/>
            <w:hideMark/>
          </w:tcPr>
          <w:p w14:paraId="5C75E180" w14:textId="77777777" w:rsidR="00BE798C" w:rsidRPr="00EE33FA" w:rsidRDefault="00BE798C" w:rsidP="008D6794">
            <w:pPr>
              <w:jc w:val="center"/>
              <w:rPr>
                <w:color w:val="000000"/>
                <w:sz w:val="22"/>
                <w:szCs w:val="22"/>
                <w:lang w:val="en-GB"/>
              </w:rPr>
            </w:pPr>
            <w:r w:rsidRPr="00EE33FA">
              <w:rPr>
                <w:color w:val="000000"/>
                <w:sz w:val="22"/>
                <w:szCs w:val="22"/>
                <w:lang w:val="en-GB"/>
              </w:rPr>
              <w:t>5951</w:t>
            </w:r>
          </w:p>
        </w:tc>
        <w:tc>
          <w:tcPr>
            <w:tcW w:w="1440" w:type="dxa"/>
            <w:tcBorders>
              <w:bottom w:val="single" w:sz="4" w:space="0" w:color="auto"/>
            </w:tcBorders>
            <w:shd w:val="clear" w:color="auto" w:fill="auto"/>
          </w:tcPr>
          <w:p w14:paraId="3158D214" w14:textId="77777777" w:rsidR="00BE798C" w:rsidRPr="00EE33FA" w:rsidRDefault="00BE798C" w:rsidP="008D6794">
            <w:pPr>
              <w:jc w:val="center"/>
              <w:rPr>
                <w:color w:val="000000"/>
                <w:sz w:val="22"/>
                <w:szCs w:val="22"/>
                <w:lang w:val="en-GB"/>
              </w:rPr>
            </w:pPr>
          </w:p>
        </w:tc>
      </w:tr>
      <w:tr w:rsidR="00BE798C" w:rsidRPr="00EE33FA" w14:paraId="33D1A91D" w14:textId="77777777" w:rsidTr="000164D7">
        <w:trPr>
          <w:trHeight w:val="300"/>
          <w:jc w:val="center"/>
        </w:trPr>
        <w:tc>
          <w:tcPr>
            <w:tcW w:w="3420" w:type="dxa"/>
            <w:shd w:val="clear" w:color="auto" w:fill="auto"/>
            <w:noWrap/>
            <w:vAlign w:val="bottom"/>
            <w:hideMark/>
          </w:tcPr>
          <w:p w14:paraId="2F4FE1C5" w14:textId="77777777" w:rsidR="00BE798C" w:rsidRPr="00EE33FA" w:rsidRDefault="00BE798C" w:rsidP="008D6794">
            <w:pPr>
              <w:rPr>
                <w:color w:val="000000"/>
                <w:sz w:val="22"/>
                <w:szCs w:val="22"/>
                <w:lang w:val="en-GB"/>
              </w:rPr>
            </w:pPr>
            <w:r w:rsidRPr="00EE33FA">
              <w:rPr>
                <w:color w:val="000000"/>
                <w:sz w:val="22"/>
                <w:szCs w:val="22"/>
                <w:lang w:val="en-GB"/>
              </w:rPr>
              <w:t>Age groups affected:</w:t>
            </w:r>
            <w:r w:rsidRPr="00EE33FA">
              <w:rPr>
                <w:color w:val="000000"/>
                <w:sz w:val="22"/>
                <w:szCs w:val="22"/>
                <w:lang w:val="en-GB"/>
              </w:rPr>
              <w:tab/>
            </w:r>
          </w:p>
        </w:tc>
        <w:tc>
          <w:tcPr>
            <w:tcW w:w="1005" w:type="dxa"/>
            <w:shd w:val="clear" w:color="auto" w:fill="auto"/>
            <w:noWrap/>
            <w:vAlign w:val="bottom"/>
            <w:hideMark/>
          </w:tcPr>
          <w:p w14:paraId="269520FA" w14:textId="77777777" w:rsidR="00BE798C" w:rsidRPr="00EE33FA" w:rsidRDefault="00BE798C" w:rsidP="008D6794">
            <w:pPr>
              <w:jc w:val="center"/>
              <w:rPr>
                <w:color w:val="000000"/>
                <w:sz w:val="22"/>
                <w:szCs w:val="22"/>
                <w:lang w:val="en-GB"/>
              </w:rPr>
            </w:pPr>
          </w:p>
        </w:tc>
        <w:tc>
          <w:tcPr>
            <w:tcW w:w="1170" w:type="dxa"/>
            <w:shd w:val="clear" w:color="auto" w:fill="auto"/>
            <w:noWrap/>
            <w:vAlign w:val="bottom"/>
            <w:hideMark/>
          </w:tcPr>
          <w:p w14:paraId="421EEB90" w14:textId="77777777" w:rsidR="00BE798C" w:rsidRPr="00EE33FA" w:rsidRDefault="00BE798C" w:rsidP="008D6794">
            <w:pPr>
              <w:jc w:val="center"/>
              <w:rPr>
                <w:color w:val="000000"/>
                <w:sz w:val="22"/>
                <w:szCs w:val="22"/>
                <w:lang w:val="en-GB"/>
              </w:rPr>
            </w:pPr>
          </w:p>
        </w:tc>
        <w:tc>
          <w:tcPr>
            <w:tcW w:w="1440" w:type="dxa"/>
            <w:shd w:val="clear" w:color="auto" w:fill="auto"/>
            <w:noWrap/>
            <w:vAlign w:val="bottom"/>
            <w:hideMark/>
          </w:tcPr>
          <w:p w14:paraId="373FDDDD" w14:textId="77777777" w:rsidR="00BE798C" w:rsidRPr="00EE33FA" w:rsidRDefault="00BE798C" w:rsidP="008D6794">
            <w:pPr>
              <w:jc w:val="center"/>
              <w:rPr>
                <w:color w:val="000000"/>
                <w:sz w:val="22"/>
                <w:szCs w:val="22"/>
                <w:lang w:val="en-GB"/>
              </w:rPr>
            </w:pPr>
          </w:p>
        </w:tc>
        <w:tc>
          <w:tcPr>
            <w:tcW w:w="1440" w:type="dxa"/>
            <w:tcBorders>
              <w:bottom w:val="single" w:sz="4" w:space="0" w:color="auto"/>
            </w:tcBorders>
            <w:shd w:val="clear" w:color="auto" w:fill="auto"/>
          </w:tcPr>
          <w:p w14:paraId="282F2600" w14:textId="77777777" w:rsidR="00BE798C" w:rsidRPr="00EE33FA" w:rsidRDefault="00BE798C" w:rsidP="008D6794">
            <w:pPr>
              <w:jc w:val="center"/>
              <w:rPr>
                <w:color w:val="000000"/>
                <w:sz w:val="22"/>
                <w:szCs w:val="22"/>
                <w:lang w:val="en-GB"/>
              </w:rPr>
            </w:pPr>
          </w:p>
        </w:tc>
      </w:tr>
      <w:tr w:rsidR="00BE798C" w:rsidRPr="00EE33FA" w14:paraId="46BEDEDE" w14:textId="77777777" w:rsidTr="000164D7">
        <w:trPr>
          <w:trHeight w:val="300"/>
          <w:jc w:val="center"/>
        </w:trPr>
        <w:tc>
          <w:tcPr>
            <w:tcW w:w="3420" w:type="dxa"/>
            <w:shd w:val="clear" w:color="auto" w:fill="auto"/>
            <w:noWrap/>
            <w:vAlign w:val="bottom"/>
            <w:hideMark/>
          </w:tcPr>
          <w:p w14:paraId="0D519295" w14:textId="77777777" w:rsidR="00BE798C" w:rsidRPr="00EE33FA" w:rsidRDefault="00BE798C" w:rsidP="008D6794">
            <w:pPr>
              <w:ind w:left="267"/>
              <w:rPr>
                <w:color w:val="000000"/>
                <w:sz w:val="22"/>
                <w:szCs w:val="22"/>
                <w:lang w:val="en-GB"/>
              </w:rPr>
            </w:pPr>
            <w:r w:rsidRPr="00EE33FA">
              <w:rPr>
                <w:color w:val="000000"/>
                <w:sz w:val="22"/>
                <w:szCs w:val="22"/>
                <w:lang w:val="en-GB"/>
              </w:rPr>
              <w:t>&lt;1 years</w:t>
            </w:r>
          </w:p>
        </w:tc>
        <w:tc>
          <w:tcPr>
            <w:tcW w:w="1005" w:type="dxa"/>
            <w:shd w:val="clear" w:color="auto" w:fill="auto"/>
            <w:noWrap/>
            <w:vAlign w:val="bottom"/>
            <w:hideMark/>
          </w:tcPr>
          <w:p w14:paraId="0D7117D4" w14:textId="77777777" w:rsidR="00BE798C" w:rsidRPr="00EE33FA" w:rsidRDefault="00BE798C" w:rsidP="008D6794">
            <w:pPr>
              <w:jc w:val="center"/>
              <w:rPr>
                <w:color w:val="000000"/>
                <w:sz w:val="22"/>
                <w:szCs w:val="22"/>
                <w:lang w:val="en-GB"/>
              </w:rPr>
            </w:pPr>
            <w:r w:rsidRPr="00EE33FA">
              <w:rPr>
                <w:color w:val="000000"/>
                <w:sz w:val="22"/>
                <w:szCs w:val="22"/>
                <w:lang w:val="en-GB"/>
              </w:rPr>
              <w:t>739</w:t>
            </w:r>
          </w:p>
        </w:tc>
        <w:tc>
          <w:tcPr>
            <w:tcW w:w="1170" w:type="dxa"/>
            <w:shd w:val="clear" w:color="auto" w:fill="auto"/>
            <w:noWrap/>
            <w:vAlign w:val="bottom"/>
            <w:hideMark/>
          </w:tcPr>
          <w:p w14:paraId="46ABCE3F" w14:textId="77777777" w:rsidR="00BE798C" w:rsidRPr="00EE33FA" w:rsidRDefault="00BE798C" w:rsidP="008D6794">
            <w:pPr>
              <w:jc w:val="center"/>
              <w:rPr>
                <w:color w:val="000000"/>
                <w:sz w:val="22"/>
                <w:szCs w:val="22"/>
                <w:lang w:val="en-GB"/>
              </w:rPr>
            </w:pPr>
            <w:r w:rsidRPr="00EE33FA">
              <w:rPr>
                <w:color w:val="000000"/>
                <w:sz w:val="22"/>
                <w:szCs w:val="22"/>
                <w:lang w:val="en-GB"/>
              </w:rPr>
              <w:t>326</w:t>
            </w:r>
          </w:p>
        </w:tc>
        <w:tc>
          <w:tcPr>
            <w:tcW w:w="1440" w:type="dxa"/>
            <w:shd w:val="clear" w:color="auto" w:fill="auto"/>
            <w:noWrap/>
            <w:vAlign w:val="bottom"/>
            <w:hideMark/>
          </w:tcPr>
          <w:p w14:paraId="4814237F" w14:textId="77777777" w:rsidR="00BE798C" w:rsidRPr="00EE33FA" w:rsidRDefault="00BE798C" w:rsidP="008D6794">
            <w:pPr>
              <w:jc w:val="center"/>
              <w:rPr>
                <w:color w:val="000000"/>
                <w:sz w:val="22"/>
                <w:szCs w:val="22"/>
                <w:lang w:val="en-GB"/>
              </w:rPr>
            </w:pPr>
            <w:r w:rsidRPr="00EE33FA">
              <w:rPr>
                <w:color w:val="000000"/>
                <w:sz w:val="22"/>
                <w:szCs w:val="22"/>
                <w:lang w:val="en-GB"/>
              </w:rPr>
              <w:t>1065</w:t>
            </w:r>
          </w:p>
        </w:tc>
        <w:tc>
          <w:tcPr>
            <w:tcW w:w="1440" w:type="dxa"/>
            <w:tcBorders>
              <w:bottom w:val="single" w:sz="4" w:space="0" w:color="auto"/>
            </w:tcBorders>
            <w:shd w:val="clear" w:color="auto" w:fill="auto"/>
          </w:tcPr>
          <w:p w14:paraId="47A2AC75" w14:textId="77777777" w:rsidR="00BE798C" w:rsidRPr="00EE33FA" w:rsidRDefault="00BE798C" w:rsidP="008D6794">
            <w:pPr>
              <w:jc w:val="center"/>
              <w:rPr>
                <w:color w:val="000000"/>
                <w:sz w:val="22"/>
                <w:szCs w:val="22"/>
                <w:lang w:val="en-GB"/>
              </w:rPr>
            </w:pPr>
          </w:p>
        </w:tc>
      </w:tr>
      <w:tr w:rsidR="00BE798C" w:rsidRPr="00EE33FA" w14:paraId="18ADE9D0" w14:textId="77777777" w:rsidTr="000164D7">
        <w:trPr>
          <w:trHeight w:val="300"/>
          <w:jc w:val="center"/>
        </w:trPr>
        <w:tc>
          <w:tcPr>
            <w:tcW w:w="3420" w:type="dxa"/>
            <w:shd w:val="clear" w:color="auto" w:fill="auto"/>
            <w:noWrap/>
            <w:vAlign w:val="bottom"/>
            <w:hideMark/>
          </w:tcPr>
          <w:p w14:paraId="2378C6BD" w14:textId="77777777" w:rsidR="00BE798C" w:rsidRPr="00EE33FA" w:rsidRDefault="00BE798C" w:rsidP="008D6794">
            <w:pPr>
              <w:ind w:left="267"/>
              <w:rPr>
                <w:color w:val="000000"/>
                <w:sz w:val="22"/>
                <w:szCs w:val="22"/>
                <w:lang w:val="en-GB"/>
              </w:rPr>
            </w:pPr>
            <w:r w:rsidRPr="00EE33FA">
              <w:rPr>
                <w:color w:val="000000"/>
                <w:sz w:val="22"/>
                <w:szCs w:val="22"/>
                <w:lang w:val="en-GB"/>
              </w:rPr>
              <w:t>1-4 years</w:t>
            </w:r>
          </w:p>
        </w:tc>
        <w:tc>
          <w:tcPr>
            <w:tcW w:w="1005" w:type="dxa"/>
            <w:shd w:val="clear" w:color="auto" w:fill="auto"/>
            <w:noWrap/>
            <w:vAlign w:val="bottom"/>
            <w:hideMark/>
          </w:tcPr>
          <w:p w14:paraId="6B6CFD33" w14:textId="77777777" w:rsidR="00BE798C" w:rsidRPr="00EE33FA" w:rsidRDefault="00BE798C" w:rsidP="008D6794">
            <w:pPr>
              <w:jc w:val="center"/>
              <w:rPr>
                <w:color w:val="000000"/>
                <w:sz w:val="22"/>
                <w:szCs w:val="22"/>
                <w:lang w:val="en-GB"/>
              </w:rPr>
            </w:pPr>
            <w:r w:rsidRPr="00EE33FA">
              <w:rPr>
                <w:color w:val="000000"/>
                <w:sz w:val="22"/>
                <w:szCs w:val="22"/>
                <w:lang w:val="en-GB"/>
              </w:rPr>
              <w:t>1097</w:t>
            </w:r>
          </w:p>
        </w:tc>
        <w:tc>
          <w:tcPr>
            <w:tcW w:w="1170" w:type="dxa"/>
            <w:shd w:val="clear" w:color="auto" w:fill="auto"/>
            <w:noWrap/>
            <w:vAlign w:val="bottom"/>
            <w:hideMark/>
          </w:tcPr>
          <w:p w14:paraId="4F3A84BD" w14:textId="77777777" w:rsidR="00BE798C" w:rsidRPr="00EE33FA" w:rsidRDefault="00BE798C" w:rsidP="008D6794">
            <w:pPr>
              <w:jc w:val="center"/>
              <w:rPr>
                <w:color w:val="000000"/>
                <w:sz w:val="22"/>
                <w:szCs w:val="22"/>
                <w:lang w:val="en-GB"/>
              </w:rPr>
            </w:pPr>
            <w:r w:rsidRPr="00EE33FA">
              <w:rPr>
                <w:color w:val="000000"/>
                <w:sz w:val="22"/>
                <w:szCs w:val="22"/>
                <w:lang w:val="en-GB"/>
              </w:rPr>
              <w:t>514</w:t>
            </w:r>
          </w:p>
        </w:tc>
        <w:tc>
          <w:tcPr>
            <w:tcW w:w="1440" w:type="dxa"/>
            <w:shd w:val="clear" w:color="auto" w:fill="auto"/>
            <w:noWrap/>
            <w:vAlign w:val="bottom"/>
            <w:hideMark/>
          </w:tcPr>
          <w:p w14:paraId="13032034" w14:textId="77777777" w:rsidR="00BE798C" w:rsidRPr="00EE33FA" w:rsidRDefault="00BE798C" w:rsidP="008D6794">
            <w:pPr>
              <w:jc w:val="center"/>
              <w:rPr>
                <w:color w:val="000000"/>
                <w:sz w:val="22"/>
                <w:szCs w:val="22"/>
                <w:lang w:val="en-GB"/>
              </w:rPr>
            </w:pPr>
            <w:r w:rsidRPr="00EE33FA">
              <w:rPr>
                <w:color w:val="000000"/>
                <w:sz w:val="22"/>
                <w:szCs w:val="22"/>
                <w:lang w:val="en-GB"/>
              </w:rPr>
              <w:t>1611</w:t>
            </w:r>
          </w:p>
        </w:tc>
        <w:tc>
          <w:tcPr>
            <w:tcW w:w="1440" w:type="dxa"/>
            <w:tcBorders>
              <w:bottom w:val="single" w:sz="4" w:space="0" w:color="auto"/>
            </w:tcBorders>
            <w:shd w:val="clear" w:color="auto" w:fill="auto"/>
          </w:tcPr>
          <w:p w14:paraId="79F720B0" w14:textId="77777777" w:rsidR="00BE798C" w:rsidRPr="00EE33FA" w:rsidRDefault="00BE798C" w:rsidP="008D6794">
            <w:pPr>
              <w:jc w:val="center"/>
              <w:rPr>
                <w:color w:val="000000"/>
                <w:sz w:val="22"/>
                <w:szCs w:val="22"/>
                <w:lang w:val="en-GB"/>
              </w:rPr>
            </w:pPr>
          </w:p>
        </w:tc>
      </w:tr>
      <w:tr w:rsidR="00BE798C" w:rsidRPr="00EE33FA" w14:paraId="39E0E0A4" w14:textId="77777777" w:rsidTr="000164D7">
        <w:trPr>
          <w:trHeight w:val="300"/>
          <w:jc w:val="center"/>
        </w:trPr>
        <w:tc>
          <w:tcPr>
            <w:tcW w:w="3420" w:type="dxa"/>
            <w:shd w:val="clear" w:color="auto" w:fill="auto"/>
            <w:noWrap/>
            <w:vAlign w:val="bottom"/>
            <w:hideMark/>
          </w:tcPr>
          <w:p w14:paraId="62EF9D5D" w14:textId="77777777" w:rsidR="00BE798C" w:rsidRPr="00EE33FA" w:rsidRDefault="00BE798C" w:rsidP="008D6794">
            <w:pPr>
              <w:ind w:left="267"/>
              <w:rPr>
                <w:color w:val="000000"/>
                <w:sz w:val="22"/>
                <w:szCs w:val="22"/>
                <w:lang w:val="en-GB"/>
              </w:rPr>
            </w:pPr>
            <w:r w:rsidRPr="00EE33FA">
              <w:rPr>
                <w:color w:val="000000"/>
                <w:sz w:val="22"/>
                <w:szCs w:val="22"/>
                <w:lang w:val="en-GB"/>
              </w:rPr>
              <w:t>5-14 years</w:t>
            </w:r>
          </w:p>
        </w:tc>
        <w:tc>
          <w:tcPr>
            <w:tcW w:w="1005" w:type="dxa"/>
            <w:shd w:val="clear" w:color="auto" w:fill="auto"/>
            <w:noWrap/>
            <w:vAlign w:val="bottom"/>
            <w:hideMark/>
          </w:tcPr>
          <w:p w14:paraId="1D74D998" w14:textId="77777777" w:rsidR="00BE798C" w:rsidRPr="00EE33FA" w:rsidRDefault="00BE798C" w:rsidP="008D6794">
            <w:pPr>
              <w:jc w:val="center"/>
              <w:rPr>
                <w:color w:val="000000"/>
                <w:sz w:val="22"/>
                <w:szCs w:val="22"/>
                <w:lang w:val="en-GB"/>
              </w:rPr>
            </w:pPr>
            <w:r w:rsidRPr="00EE33FA">
              <w:rPr>
                <w:color w:val="000000"/>
                <w:sz w:val="22"/>
                <w:szCs w:val="22"/>
                <w:lang w:val="en-GB"/>
              </w:rPr>
              <w:t>1135</w:t>
            </w:r>
          </w:p>
        </w:tc>
        <w:tc>
          <w:tcPr>
            <w:tcW w:w="1170" w:type="dxa"/>
            <w:shd w:val="clear" w:color="auto" w:fill="auto"/>
            <w:noWrap/>
            <w:vAlign w:val="bottom"/>
            <w:hideMark/>
          </w:tcPr>
          <w:p w14:paraId="26CC69C5" w14:textId="77777777" w:rsidR="00BE798C" w:rsidRPr="00EE33FA" w:rsidRDefault="00BE798C" w:rsidP="008D6794">
            <w:pPr>
              <w:jc w:val="center"/>
              <w:rPr>
                <w:color w:val="000000"/>
                <w:sz w:val="22"/>
                <w:szCs w:val="22"/>
                <w:lang w:val="en-GB"/>
              </w:rPr>
            </w:pPr>
            <w:r w:rsidRPr="00EE33FA">
              <w:rPr>
                <w:color w:val="000000"/>
                <w:sz w:val="22"/>
                <w:szCs w:val="22"/>
                <w:lang w:val="en-GB"/>
              </w:rPr>
              <w:t>500</w:t>
            </w:r>
          </w:p>
        </w:tc>
        <w:tc>
          <w:tcPr>
            <w:tcW w:w="1440" w:type="dxa"/>
            <w:shd w:val="clear" w:color="auto" w:fill="auto"/>
            <w:noWrap/>
            <w:vAlign w:val="bottom"/>
            <w:hideMark/>
          </w:tcPr>
          <w:p w14:paraId="0B028456" w14:textId="77777777" w:rsidR="00BE798C" w:rsidRPr="00EE33FA" w:rsidRDefault="00BE798C" w:rsidP="008D6794">
            <w:pPr>
              <w:jc w:val="center"/>
              <w:rPr>
                <w:color w:val="000000"/>
                <w:sz w:val="22"/>
                <w:szCs w:val="22"/>
                <w:lang w:val="en-GB"/>
              </w:rPr>
            </w:pPr>
            <w:r w:rsidRPr="00EE33FA">
              <w:rPr>
                <w:color w:val="000000"/>
                <w:sz w:val="22"/>
                <w:szCs w:val="22"/>
                <w:lang w:val="en-GB"/>
              </w:rPr>
              <w:t>1635</w:t>
            </w:r>
          </w:p>
        </w:tc>
        <w:tc>
          <w:tcPr>
            <w:tcW w:w="1440" w:type="dxa"/>
            <w:tcBorders>
              <w:bottom w:val="single" w:sz="4" w:space="0" w:color="auto"/>
            </w:tcBorders>
            <w:shd w:val="clear" w:color="auto" w:fill="auto"/>
          </w:tcPr>
          <w:p w14:paraId="7A9B7B94" w14:textId="77777777" w:rsidR="00BE798C" w:rsidRPr="00EE33FA" w:rsidRDefault="00BE798C" w:rsidP="008D6794">
            <w:pPr>
              <w:jc w:val="center"/>
              <w:rPr>
                <w:color w:val="000000"/>
                <w:sz w:val="22"/>
                <w:szCs w:val="22"/>
                <w:lang w:val="en-GB"/>
              </w:rPr>
            </w:pPr>
          </w:p>
        </w:tc>
      </w:tr>
      <w:tr w:rsidR="00BE798C" w:rsidRPr="00EE33FA" w14:paraId="4093E09E" w14:textId="77777777" w:rsidTr="000164D7">
        <w:trPr>
          <w:trHeight w:val="300"/>
          <w:jc w:val="center"/>
        </w:trPr>
        <w:tc>
          <w:tcPr>
            <w:tcW w:w="3420" w:type="dxa"/>
            <w:shd w:val="clear" w:color="auto" w:fill="auto"/>
            <w:noWrap/>
            <w:vAlign w:val="bottom"/>
            <w:hideMark/>
          </w:tcPr>
          <w:p w14:paraId="0316C16F" w14:textId="77777777" w:rsidR="00BE798C" w:rsidRPr="00EE33FA" w:rsidRDefault="00BE798C" w:rsidP="008D6794">
            <w:pPr>
              <w:ind w:left="267"/>
              <w:rPr>
                <w:color w:val="000000"/>
                <w:sz w:val="22"/>
                <w:szCs w:val="22"/>
                <w:lang w:val="en-GB"/>
              </w:rPr>
            </w:pPr>
            <w:r w:rsidRPr="00EE33FA">
              <w:rPr>
                <w:color w:val="000000"/>
                <w:sz w:val="22"/>
                <w:szCs w:val="22"/>
                <w:lang w:val="en-GB"/>
              </w:rPr>
              <w:t>14+ years</w:t>
            </w:r>
          </w:p>
        </w:tc>
        <w:tc>
          <w:tcPr>
            <w:tcW w:w="1005" w:type="dxa"/>
            <w:shd w:val="clear" w:color="auto" w:fill="auto"/>
            <w:noWrap/>
            <w:vAlign w:val="bottom"/>
            <w:hideMark/>
          </w:tcPr>
          <w:p w14:paraId="1B07683D" w14:textId="77777777" w:rsidR="00BE798C" w:rsidRPr="00EE33FA" w:rsidRDefault="00BE798C" w:rsidP="008D6794">
            <w:pPr>
              <w:jc w:val="center"/>
              <w:rPr>
                <w:color w:val="000000"/>
                <w:sz w:val="22"/>
                <w:szCs w:val="22"/>
                <w:lang w:val="en-GB"/>
              </w:rPr>
            </w:pPr>
            <w:r w:rsidRPr="00EE33FA">
              <w:rPr>
                <w:color w:val="000000"/>
                <w:sz w:val="22"/>
                <w:szCs w:val="22"/>
                <w:lang w:val="en-GB"/>
              </w:rPr>
              <w:t>4901</w:t>
            </w:r>
          </w:p>
        </w:tc>
        <w:tc>
          <w:tcPr>
            <w:tcW w:w="1170" w:type="dxa"/>
            <w:shd w:val="clear" w:color="auto" w:fill="auto"/>
            <w:noWrap/>
            <w:vAlign w:val="bottom"/>
            <w:hideMark/>
          </w:tcPr>
          <w:p w14:paraId="0636A663" w14:textId="77777777" w:rsidR="00BE798C" w:rsidRPr="00EE33FA" w:rsidRDefault="00BE798C" w:rsidP="008D6794">
            <w:pPr>
              <w:jc w:val="center"/>
              <w:rPr>
                <w:color w:val="000000"/>
                <w:sz w:val="22"/>
                <w:szCs w:val="22"/>
                <w:lang w:val="en-GB"/>
              </w:rPr>
            </w:pPr>
            <w:r w:rsidRPr="00EE33FA">
              <w:rPr>
                <w:color w:val="000000"/>
                <w:sz w:val="22"/>
                <w:szCs w:val="22"/>
                <w:lang w:val="en-GB"/>
              </w:rPr>
              <w:t>1848</w:t>
            </w:r>
          </w:p>
        </w:tc>
        <w:tc>
          <w:tcPr>
            <w:tcW w:w="1440" w:type="dxa"/>
            <w:shd w:val="clear" w:color="auto" w:fill="auto"/>
            <w:noWrap/>
            <w:vAlign w:val="bottom"/>
            <w:hideMark/>
          </w:tcPr>
          <w:p w14:paraId="7999CD3F" w14:textId="77777777" w:rsidR="00BE798C" w:rsidRPr="00EE33FA" w:rsidRDefault="00BE798C" w:rsidP="008D6794">
            <w:pPr>
              <w:jc w:val="center"/>
              <w:rPr>
                <w:color w:val="000000"/>
                <w:sz w:val="22"/>
                <w:szCs w:val="22"/>
                <w:lang w:val="en-GB"/>
              </w:rPr>
            </w:pPr>
            <w:r w:rsidRPr="00EE33FA">
              <w:rPr>
                <w:color w:val="000000"/>
                <w:sz w:val="22"/>
                <w:szCs w:val="22"/>
                <w:lang w:val="en-GB"/>
              </w:rPr>
              <w:t>6749</w:t>
            </w:r>
          </w:p>
        </w:tc>
        <w:tc>
          <w:tcPr>
            <w:tcW w:w="1440" w:type="dxa"/>
            <w:shd w:val="clear" w:color="auto" w:fill="auto"/>
          </w:tcPr>
          <w:p w14:paraId="1C63ED50" w14:textId="77777777" w:rsidR="00BE798C" w:rsidRPr="00EE33FA" w:rsidRDefault="00BE798C" w:rsidP="008D6794">
            <w:pPr>
              <w:jc w:val="center"/>
              <w:rPr>
                <w:color w:val="000000"/>
                <w:sz w:val="22"/>
                <w:szCs w:val="22"/>
                <w:lang w:val="en-GB"/>
              </w:rPr>
            </w:pPr>
          </w:p>
        </w:tc>
      </w:tr>
    </w:tbl>
    <w:p w14:paraId="041CDCFA" w14:textId="77777777" w:rsidR="00DE22B8" w:rsidRPr="00EE33FA" w:rsidRDefault="00DE22B8" w:rsidP="00DE22B8">
      <w:pPr>
        <w:rPr>
          <w:color w:val="000000"/>
          <w:sz w:val="22"/>
          <w:szCs w:val="22"/>
          <w:lang w:val="en-GB"/>
        </w:rPr>
      </w:pPr>
      <w:r w:rsidRPr="00EE33FA">
        <w:rPr>
          <w:color w:val="000000"/>
          <w:sz w:val="22"/>
          <w:szCs w:val="22"/>
          <w:vertAlign w:val="superscript"/>
          <w:lang w:val="en-GB"/>
        </w:rPr>
        <w:t>a</w:t>
      </w:r>
      <w:r w:rsidRPr="00EE33FA">
        <w:rPr>
          <w:color w:val="000000"/>
          <w:sz w:val="22"/>
          <w:szCs w:val="22"/>
          <w:lang w:val="en-GB"/>
        </w:rPr>
        <w:t xml:space="preserve"> Reported as of July 2015</w:t>
      </w:r>
    </w:p>
    <w:p w14:paraId="6A33B10C" w14:textId="1DEAA952" w:rsidR="007E07C2" w:rsidRPr="00B21739" w:rsidRDefault="00C82088" w:rsidP="00B21739">
      <w:pPr>
        <w:pStyle w:val="Caption"/>
        <w:keepNext/>
        <w:spacing w:after="0" w:line="300" w:lineRule="atLeast"/>
        <w:jc w:val="center"/>
        <w:rPr>
          <w:b w:val="0"/>
          <w:i/>
          <w:sz w:val="24"/>
          <w:szCs w:val="24"/>
          <w:lang w:val="en-GB"/>
        </w:rPr>
      </w:pPr>
      <w:r>
        <w:rPr>
          <w:b w:val="0"/>
          <w:i/>
          <w:sz w:val="24"/>
          <w:szCs w:val="24"/>
          <w:lang w:val="en-GB"/>
        </w:rPr>
        <w:t>Figure/table 8</w:t>
      </w:r>
      <w:r w:rsidR="00DE22B8" w:rsidRPr="00EE33FA">
        <w:rPr>
          <w:b w:val="0"/>
          <w:i/>
          <w:sz w:val="24"/>
          <w:szCs w:val="24"/>
          <w:lang w:val="en-GB"/>
        </w:rPr>
        <w:t>: Basic characteristics of the measles outbreak, 2013-2015</w:t>
      </w:r>
      <w:r w:rsidR="00DE22B8" w:rsidRPr="00EE33FA">
        <w:rPr>
          <w:i/>
          <w:color w:val="000000"/>
          <w:sz w:val="24"/>
          <w:szCs w:val="24"/>
          <w:vertAlign w:val="superscript"/>
          <w:lang w:val="en-GB"/>
        </w:rPr>
        <w:t xml:space="preserve"> a</w:t>
      </w:r>
    </w:p>
    <w:p w14:paraId="0B119C4F" w14:textId="6BEAAB29" w:rsidR="00F82857" w:rsidRPr="00EE33FA" w:rsidRDefault="008D3D59" w:rsidP="00F82857">
      <w:pPr>
        <w:spacing w:before="120" w:line="300" w:lineRule="atLeast"/>
        <w:ind w:firstLine="360"/>
        <w:jc w:val="both"/>
        <w:rPr>
          <w:lang w:val="en-GB"/>
        </w:rPr>
      </w:pPr>
      <w:r w:rsidRPr="00EE33FA">
        <w:rPr>
          <w:b/>
          <w:lang w:val="en-GB"/>
        </w:rPr>
        <w:t>Polio surveillance</w:t>
      </w:r>
      <w:r w:rsidRPr="00EE33FA">
        <w:rPr>
          <w:lang w:val="en-GB"/>
        </w:rPr>
        <w:t xml:space="preserve"> is well functioning with AFP and environmental surveillance in place and plans for establishing enterovirus surveillance from human cases in 2016.  Case reports </w:t>
      </w:r>
      <w:r w:rsidRPr="00EE33FA">
        <w:rPr>
          <w:lang w:val="en-GB"/>
        </w:rPr>
        <w:lastRenderedPageBreak/>
        <w:t>are submitted to EIDSS and then downloaded and transferred to WHO via CISID.  AFP surveillance generally meets targets for all basic indicators.  The key parameter – non-polio AFP rate has been at or over 1.0/100,000 target adopted in WHO/EURO for many years (except 2009 -1.6/100,000), but has not reached 2.0/100,000 target introduced in the European Region for countries at high risk of poliovirus spread in case of importation beginning in 2011, after the 2010 outbreak in</w:t>
      </w:r>
      <w:r w:rsidR="00E510B8" w:rsidRPr="00EE33FA">
        <w:rPr>
          <w:lang w:val="en-GB"/>
        </w:rPr>
        <w:t xml:space="preserve"> Tajikistan</w:t>
      </w:r>
      <w:r w:rsidRPr="00EE33FA">
        <w:rPr>
          <w:lang w:val="en-GB"/>
        </w:rPr>
        <w:t>; this target applie</w:t>
      </w:r>
      <w:r w:rsidR="00C34110" w:rsidRPr="00EE33FA">
        <w:rPr>
          <w:lang w:val="en-GB"/>
        </w:rPr>
        <w:t xml:space="preserve">d to Georgia during 2011-2013.  </w:t>
      </w:r>
      <w:r w:rsidRPr="00EE33FA">
        <w:rPr>
          <w:lang w:val="en-GB"/>
        </w:rPr>
        <w:t>As of Jul</w:t>
      </w:r>
      <w:r w:rsidR="00E510B8" w:rsidRPr="00EE33FA">
        <w:rPr>
          <w:lang w:val="en-GB"/>
        </w:rPr>
        <w:t>y</w:t>
      </w:r>
      <w:r w:rsidRPr="00EE33FA">
        <w:rPr>
          <w:lang w:val="en-GB"/>
        </w:rPr>
        <w:t xml:space="preserve"> 2015, 5 cases of AFP have been reported, for an annualized rate of approximately 1.3/100,000</w:t>
      </w:r>
      <w:r w:rsidRPr="00EE33FA">
        <w:rPr>
          <w:rStyle w:val="FootnoteReference"/>
          <w:lang w:val="en-GB"/>
        </w:rPr>
        <w:footnoteReference w:id="1"/>
      </w:r>
      <w:r w:rsidRPr="00EE33FA">
        <w:rPr>
          <w:lang w:val="en-GB"/>
        </w:rPr>
        <w:t xml:space="preserve"> (meeting the 1.0/100,000 target which applies to Georgia considered currently at interme</w:t>
      </w:r>
      <w:r w:rsidR="00C34110" w:rsidRPr="00EE33FA">
        <w:rPr>
          <w:lang w:val="en-GB"/>
        </w:rPr>
        <w:t xml:space="preserve">diate risk). </w:t>
      </w:r>
      <w:r w:rsidRPr="00EE33FA">
        <w:rPr>
          <w:lang w:val="en-GB"/>
        </w:rPr>
        <w:t xml:space="preserve">The Georgian National Polio Laboratory also provides testing of AFP cases from Armenia which does not have an accredited laboratory, and has been designated as the </w:t>
      </w:r>
      <w:r w:rsidR="00451962" w:rsidRPr="00EE33FA">
        <w:rPr>
          <w:lang w:val="en-GB"/>
        </w:rPr>
        <w:t>sub regional</w:t>
      </w:r>
      <w:r w:rsidRPr="00EE33FA">
        <w:rPr>
          <w:lang w:val="en-GB"/>
        </w:rPr>
        <w:t xml:space="preserve"> hub for intratypic differentiation of identified polioviruses. In 2014, the laboratory supported investigation and identified echovirus 30 as the causative agent of the major outbreak of aseptic meningitis (approximately 1200 cases) in Georgia.</w:t>
      </w:r>
    </w:p>
    <w:p w14:paraId="7140EF4E" w14:textId="77777777" w:rsidR="005D2751" w:rsidRPr="00EE33FA" w:rsidRDefault="005D2751" w:rsidP="00F82857">
      <w:pPr>
        <w:spacing w:before="120" w:line="300" w:lineRule="atLeast"/>
        <w:ind w:firstLine="360"/>
        <w:jc w:val="both"/>
        <w:rPr>
          <w:lang w:val="en-GB"/>
        </w:rPr>
      </w:pPr>
    </w:p>
    <w:tbl>
      <w:tblPr>
        <w:tblW w:w="9645" w:type="dxa"/>
        <w:jc w:val="center"/>
        <w:tblLayout w:type="fixed"/>
        <w:tblLook w:val="04A0" w:firstRow="1" w:lastRow="0" w:firstColumn="1" w:lastColumn="0" w:noHBand="0" w:noVBand="1"/>
      </w:tblPr>
      <w:tblGrid>
        <w:gridCol w:w="4245"/>
        <w:gridCol w:w="720"/>
        <w:gridCol w:w="720"/>
        <w:gridCol w:w="720"/>
        <w:gridCol w:w="720"/>
        <w:gridCol w:w="720"/>
        <w:gridCol w:w="810"/>
        <w:gridCol w:w="990"/>
      </w:tblGrid>
      <w:tr w:rsidR="00C35437" w:rsidRPr="00EE33FA" w14:paraId="6B4C6D88" w14:textId="77777777" w:rsidTr="005B065D">
        <w:trPr>
          <w:trHeight w:val="300"/>
          <w:jc w:val="center"/>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B1204" w14:textId="77777777" w:rsidR="00C35437" w:rsidRPr="00EE33FA" w:rsidRDefault="00C35437" w:rsidP="005B57A6">
            <w:pPr>
              <w:rPr>
                <w:b/>
                <w:bCs/>
                <w:color w:val="000000"/>
                <w:sz w:val="22"/>
                <w:szCs w:val="22"/>
                <w:lang w:val="en-GB"/>
              </w:rPr>
            </w:pPr>
            <w:r w:rsidRPr="00EE33FA">
              <w:rPr>
                <w:b/>
                <w:bCs/>
                <w:color w:val="000000"/>
                <w:sz w:val="22"/>
                <w:szCs w:val="22"/>
                <w:lang w:val="en-GB"/>
              </w:rPr>
              <w:t>Variables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E1EEB15"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2010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32D7759"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2011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2484869"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2012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A0E84AB"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2013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A045828"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2014</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3B69FAA"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2015</w:t>
            </w:r>
            <w:r w:rsidRPr="00EE33FA">
              <w:rPr>
                <w:color w:val="000000"/>
                <w:sz w:val="22"/>
                <w:szCs w:val="22"/>
                <w:vertAlign w:val="superscript"/>
                <w:lang w:val="en-GB"/>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018323E" w14:textId="77777777" w:rsidR="00C35437" w:rsidRPr="00EE33FA" w:rsidRDefault="00C35437" w:rsidP="005B57A6">
            <w:pPr>
              <w:jc w:val="center"/>
              <w:rPr>
                <w:b/>
                <w:bCs/>
                <w:color w:val="000000"/>
                <w:sz w:val="22"/>
                <w:szCs w:val="22"/>
                <w:lang w:val="en-GB"/>
              </w:rPr>
            </w:pPr>
            <w:r w:rsidRPr="00EE33FA">
              <w:rPr>
                <w:b/>
                <w:bCs/>
                <w:color w:val="000000"/>
                <w:sz w:val="22"/>
                <w:szCs w:val="22"/>
                <w:lang w:val="en-GB"/>
              </w:rPr>
              <w:t>Target</w:t>
            </w:r>
          </w:p>
        </w:tc>
      </w:tr>
      <w:tr w:rsidR="00C35437" w:rsidRPr="00EE33FA" w14:paraId="5D5468BB" w14:textId="77777777" w:rsidTr="005B065D">
        <w:trPr>
          <w:trHeight w:val="300"/>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6E12E1BB" w14:textId="77777777" w:rsidR="00C35437" w:rsidRPr="00EE33FA" w:rsidRDefault="00C35437" w:rsidP="005B57A6">
            <w:pPr>
              <w:rPr>
                <w:color w:val="000000"/>
                <w:sz w:val="22"/>
                <w:szCs w:val="22"/>
                <w:lang w:val="en-GB"/>
              </w:rPr>
            </w:pPr>
            <w:r w:rsidRPr="00EE33FA">
              <w:rPr>
                <w:color w:val="000000"/>
                <w:sz w:val="22"/>
                <w:szCs w:val="22"/>
                <w:lang w:val="en-GB"/>
              </w:rPr>
              <w:t>Reported AFP cases, all ages, No.</w:t>
            </w:r>
          </w:p>
        </w:tc>
        <w:tc>
          <w:tcPr>
            <w:tcW w:w="720" w:type="dxa"/>
            <w:tcBorders>
              <w:top w:val="nil"/>
              <w:left w:val="nil"/>
              <w:bottom w:val="single" w:sz="4" w:space="0" w:color="auto"/>
              <w:right w:val="single" w:sz="4" w:space="0" w:color="auto"/>
            </w:tcBorders>
            <w:shd w:val="clear" w:color="auto" w:fill="auto"/>
            <w:vAlign w:val="center"/>
            <w:hideMark/>
          </w:tcPr>
          <w:p w14:paraId="656AAF5A" w14:textId="77777777" w:rsidR="00C35437" w:rsidRPr="00EE33FA" w:rsidRDefault="00C35437" w:rsidP="005B57A6">
            <w:pPr>
              <w:jc w:val="center"/>
              <w:rPr>
                <w:color w:val="000000"/>
                <w:sz w:val="22"/>
                <w:szCs w:val="22"/>
                <w:lang w:val="en-GB"/>
              </w:rPr>
            </w:pPr>
            <w:r w:rsidRPr="00EE33FA">
              <w:rPr>
                <w:color w:val="000000"/>
                <w:sz w:val="22"/>
                <w:szCs w:val="22"/>
                <w:lang w:val="en-GB"/>
              </w:rPr>
              <w:t>7</w:t>
            </w:r>
          </w:p>
        </w:tc>
        <w:tc>
          <w:tcPr>
            <w:tcW w:w="720" w:type="dxa"/>
            <w:tcBorders>
              <w:top w:val="nil"/>
              <w:left w:val="nil"/>
              <w:bottom w:val="single" w:sz="4" w:space="0" w:color="auto"/>
              <w:right w:val="single" w:sz="4" w:space="0" w:color="auto"/>
            </w:tcBorders>
            <w:shd w:val="clear" w:color="auto" w:fill="auto"/>
            <w:vAlign w:val="center"/>
            <w:hideMark/>
          </w:tcPr>
          <w:p w14:paraId="48D6099A" w14:textId="77777777" w:rsidR="00C35437" w:rsidRPr="00EE33FA" w:rsidRDefault="00C35437" w:rsidP="005B57A6">
            <w:pPr>
              <w:jc w:val="center"/>
              <w:rPr>
                <w:color w:val="000000"/>
                <w:sz w:val="22"/>
                <w:szCs w:val="22"/>
                <w:lang w:val="en-GB"/>
              </w:rPr>
            </w:pPr>
            <w:r w:rsidRPr="00EE33FA">
              <w:rPr>
                <w:color w:val="000000"/>
                <w:sz w:val="22"/>
                <w:szCs w:val="22"/>
                <w:lang w:val="en-GB"/>
              </w:rPr>
              <w:t>10</w:t>
            </w:r>
          </w:p>
        </w:tc>
        <w:tc>
          <w:tcPr>
            <w:tcW w:w="720" w:type="dxa"/>
            <w:tcBorders>
              <w:top w:val="nil"/>
              <w:left w:val="nil"/>
              <w:bottom w:val="single" w:sz="4" w:space="0" w:color="auto"/>
              <w:right w:val="single" w:sz="4" w:space="0" w:color="auto"/>
            </w:tcBorders>
            <w:shd w:val="clear" w:color="auto" w:fill="auto"/>
            <w:vAlign w:val="center"/>
            <w:hideMark/>
          </w:tcPr>
          <w:p w14:paraId="563B4717" w14:textId="77777777" w:rsidR="00C35437" w:rsidRPr="00EE33FA" w:rsidRDefault="00C35437" w:rsidP="005B57A6">
            <w:pPr>
              <w:jc w:val="center"/>
              <w:rPr>
                <w:color w:val="000000"/>
                <w:sz w:val="22"/>
                <w:szCs w:val="22"/>
                <w:lang w:val="en-GB"/>
              </w:rPr>
            </w:pPr>
            <w:r w:rsidRPr="00EE33FA">
              <w:rPr>
                <w:color w:val="000000"/>
                <w:sz w:val="22"/>
                <w:szCs w:val="22"/>
                <w:lang w:val="en-GB"/>
              </w:rPr>
              <w:t>14</w:t>
            </w:r>
          </w:p>
        </w:tc>
        <w:tc>
          <w:tcPr>
            <w:tcW w:w="720" w:type="dxa"/>
            <w:tcBorders>
              <w:top w:val="nil"/>
              <w:left w:val="nil"/>
              <w:bottom w:val="single" w:sz="4" w:space="0" w:color="auto"/>
              <w:right w:val="single" w:sz="4" w:space="0" w:color="auto"/>
            </w:tcBorders>
            <w:shd w:val="clear" w:color="auto" w:fill="auto"/>
            <w:vAlign w:val="center"/>
            <w:hideMark/>
          </w:tcPr>
          <w:p w14:paraId="3B2317A5" w14:textId="77777777" w:rsidR="00C35437" w:rsidRPr="00EE33FA" w:rsidRDefault="00C35437" w:rsidP="005B57A6">
            <w:pPr>
              <w:jc w:val="center"/>
              <w:rPr>
                <w:color w:val="000000"/>
                <w:sz w:val="22"/>
                <w:szCs w:val="22"/>
                <w:lang w:val="en-GB"/>
              </w:rPr>
            </w:pPr>
            <w:r w:rsidRPr="00EE33FA">
              <w:rPr>
                <w:color w:val="000000"/>
                <w:sz w:val="22"/>
                <w:szCs w:val="22"/>
                <w:lang w:val="en-GB"/>
              </w:rPr>
              <w:t>10</w:t>
            </w:r>
          </w:p>
        </w:tc>
        <w:tc>
          <w:tcPr>
            <w:tcW w:w="720" w:type="dxa"/>
            <w:tcBorders>
              <w:top w:val="nil"/>
              <w:left w:val="nil"/>
              <w:bottom w:val="single" w:sz="4" w:space="0" w:color="auto"/>
              <w:right w:val="single" w:sz="4" w:space="0" w:color="auto"/>
            </w:tcBorders>
            <w:shd w:val="clear" w:color="auto" w:fill="auto"/>
            <w:vAlign w:val="center"/>
            <w:hideMark/>
          </w:tcPr>
          <w:p w14:paraId="4C4EEA0F" w14:textId="77777777" w:rsidR="00C35437" w:rsidRPr="00EE33FA" w:rsidRDefault="00C35437" w:rsidP="005B57A6">
            <w:pPr>
              <w:jc w:val="center"/>
              <w:rPr>
                <w:color w:val="000000"/>
                <w:sz w:val="22"/>
                <w:szCs w:val="22"/>
                <w:lang w:val="en-GB"/>
              </w:rPr>
            </w:pPr>
            <w:r w:rsidRPr="00EE33FA">
              <w:rPr>
                <w:color w:val="000000"/>
                <w:sz w:val="22"/>
                <w:szCs w:val="22"/>
                <w:lang w:val="en-GB"/>
              </w:rPr>
              <w:t>13</w:t>
            </w:r>
          </w:p>
        </w:tc>
        <w:tc>
          <w:tcPr>
            <w:tcW w:w="810" w:type="dxa"/>
            <w:tcBorders>
              <w:top w:val="nil"/>
              <w:left w:val="nil"/>
              <w:bottom w:val="single" w:sz="4" w:space="0" w:color="auto"/>
              <w:right w:val="single" w:sz="4" w:space="0" w:color="auto"/>
            </w:tcBorders>
            <w:shd w:val="clear" w:color="auto" w:fill="auto"/>
            <w:vAlign w:val="center"/>
            <w:hideMark/>
          </w:tcPr>
          <w:p w14:paraId="0A76287B" w14:textId="77777777" w:rsidR="00C35437" w:rsidRPr="00EE33FA" w:rsidRDefault="00C35437" w:rsidP="005B57A6">
            <w:pPr>
              <w:jc w:val="center"/>
              <w:rPr>
                <w:color w:val="000000"/>
                <w:sz w:val="22"/>
                <w:szCs w:val="22"/>
                <w:lang w:val="en-GB"/>
              </w:rPr>
            </w:pPr>
            <w:r w:rsidRPr="00EE33FA">
              <w:rPr>
                <w:color w:val="000000"/>
                <w:sz w:val="22"/>
                <w:szCs w:val="22"/>
                <w:lang w:val="en-GB"/>
              </w:rPr>
              <w:t>5</w:t>
            </w:r>
          </w:p>
        </w:tc>
        <w:tc>
          <w:tcPr>
            <w:tcW w:w="990" w:type="dxa"/>
            <w:tcBorders>
              <w:top w:val="nil"/>
              <w:left w:val="nil"/>
              <w:bottom w:val="single" w:sz="4" w:space="0" w:color="auto"/>
              <w:right w:val="single" w:sz="4" w:space="0" w:color="auto"/>
            </w:tcBorders>
            <w:shd w:val="clear" w:color="auto" w:fill="auto"/>
            <w:vAlign w:val="center"/>
            <w:hideMark/>
          </w:tcPr>
          <w:p w14:paraId="71FBA0CA" w14:textId="77777777" w:rsidR="00C35437" w:rsidRPr="00EE33FA" w:rsidRDefault="00C35437" w:rsidP="005B57A6">
            <w:pPr>
              <w:jc w:val="center"/>
              <w:rPr>
                <w:color w:val="000000"/>
                <w:sz w:val="22"/>
                <w:szCs w:val="22"/>
                <w:lang w:val="en-GB"/>
              </w:rPr>
            </w:pPr>
            <w:r w:rsidRPr="00EE33FA">
              <w:rPr>
                <w:color w:val="000000"/>
                <w:sz w:val="22"/>
                <w:szCs w:val="22"/>
                <w:lang w:val="en-GB"/>
              </w:rPr>
              <w:t>N/A</w:t>
            </w:r>
          </w:p>
        </w:tc>
      </w:tr>
      <w:tr w:rsidR="00C35437" w:rsidRPr="00EE33FA" w14:paraId="4E4FC0E3" w14:textId="77777777" w:rsidTr="005B065D">
        <w:trPr>
          <w:trHeight w:val="300"/>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0A42B7D0" w14:textId="77777777" w:rsidR="00C35437" w:rsidRPr="00EE33FA" w:rsidRDefault="00C35437" w:rsidP="005B57A6">
            <w:pPr>
              <w:rPr>
                <w:color w:val="000000"/>
                <w:sz w:val="22"/>
                <w:szCs w:val="22"/>
                <w:lang w:val="en-GB"/>
              </w:rPr>
            </w:pPr>
            <w:r w:rsidRPr="00EE33FA">
              <w:rPr>
                <w:color w:val="000000"/>
                <w:sz w:val="22"/>
                <w:szCs w:val="22"/>
                <w:lang w:val="en-GB"/>
              </w:rPr>
              <w:t>Reported AFP cases aged &lt;15 years No.</w:t>
            </w:r>
          </w:p>
        </w:tc>
        <w:tc>
          <w:tcPr>
            <w:tcW w:w="720" w:type="dxa"/>
            <w:tcBorders>
              <w:top w:val="nil"/>
              <w:left w:val="nil"/>
              <w:bottom w:val="single" w:sz="4" w:space="0" w:color="auto"/>
              <w:right w:val="single" w:sz="4" w:space="0" w:color="auto"/>
            </w:tcBorders>
            <w:shd w:val="clear" w:color="auto" w:fill="auto"/>
            <w:vAlign w:val="center"/>
            <w:hideMark/>
          </w:tcPr>
          <w:p w14:paraId="3C924CED" w14:textId="77777777" w:rsidR="00C35437" w:rsidRPr="00EE33FA" w:rsidRDefault="00C35437" w:rsidP="005B57A6">
            <w:pPr>
              <w:jc w:val="center"/>
              <w:rPr>
                <w:color w:val="000000"/>
                <w:sz w:val="22"/>
                <w:szCs w:val="22"/>
                <w:lang w:val="en-GB"/>
              </w:rPr>
            </w:pPr>
            <w:r w:rsidRPr="00EE33FA">
              <w:rPr>
                <w:color w:val="000000"/>
                <w:sz w:val="22"/>
                <w:szCs w:val="22"/>
                <w:lang w:val="en-GB"/>
              </w:rPr>
              <w:t>7</w:t>
            </w:r>
          </w:p>
        </w:tc>
        <w:tc>
          <w:tcPr>
            <w:tcW w:w="720" w:type="dxa"/>
            <w:tcBorders>
              <w:top w:val="nil"/>
              <w:left w:val="nil"/>
              <w:bottom w:val="single" w:sz="4" w:space="0" w:color="auto"/>
              <w:right w:val="single" w:sz="4" w:space="0" w:color="auto"/>
            </w:tcBorders>
            <w:shd w:val="clear" w:color="auto" w:fill="auto"/>
            <w:vAlign w:val="center"/>
            <w:hideMark/>
          </w:tcPr>
          <w:p w14:paraId="539DF9F0" w14:textId="77777777" w:rsidR="00C35437" w:rsidRPr="00EE33FA" w:rsidRDefault="00C35437" w:rsidP="005B57A6">
            <w:pPr>
              <w:jc w:val="center"/>
              <w:rPr>
                <w:color w:val="000000"/>
                <w:sz w:val="22"/>
                <w:szCs w:val="22"/>
                <w:lang w:val="en-GB"/>
              </w:rPr>
            </w:pPr>
            <w:r w:rsidRPr="00EE33FA">
              <w:rPr>
                <w:color w:val="000000"/>
                <w:sz w:val="22"/>
                <w:szCs w:val="22"/>
                <w:lang w:val="en-GB"/>
              </w:rPr>
              <w:t>10</w:t>
            </w:r>
          </w:p>
        </w:tc>
        <w:tc>
          <w:tcPr>
            <w:tcW w:w="720" w:type="dxa"/>
            <w:tcBorders>
              <w:top w:val="nil"/>
              <w:left w:val="nil"/>
              <w:bottom w:val="single" w:sz="4" w:space="0" w:color="auto"/>
              <w:right w:val="single" w:sz="4" w:space="0" w:color="auto"/>
            </w:tcBorders>
            <w:shd w:val="clear" w:color="auto" w:fill="auto"/>
            <w:vAlign w:val="center"/>
            <w:hideMark/>
          </w:tcPr>
          <w:p w14:paraId="6E8A3DDB" w14:textId="77777777" w:rsidR="00C35437" w:rsidRPr="00EE33FA" w:rsidRDefault="00C35437" w:rsidP="005B57A6">
            <w:pPr>
              <w:jc w:val="center"/>
              <w:rPr>
                <w:color w:val="000000"/>
                <w:sz w:val="22"/>
                <w:szCs w:val="22"/>
                <w:lang w:val="en-GB"/>
              </w:rPr>
            </w:pPr>
            <w:r w:rsidRPr="00EE33FA">
              <w:rPr>
                <w:color w:val="000000"/>
                <w:sz w:val="22"/>
                <w:szCs w:val="22"/>
                <w:lang w:val="en-GB"/>
              </w:rPr>
              <w:t>14</w:t>
            </w:r>
          </w:p>
        </w:tc>
        <w:tc>
          <w:tcPr>
            <w:tcW w:w="720" w:type="dxa"/>
            <w:tcBorders>
              <w:top w:val="nil"/>
              <w:left w:val="nil"/>
              <w:bottom w:val="single" w:sz="4" w:space="0" w:color="auto"/>
              <w:right w:val="single" w:sz="4" w:space="0" w:color="auto"/>
            </w:tcBorders>
            <w:shd w:val="clear" w:color="auto" w:fill="auto"/>
            <w:vAlign w:val="center"/>
            <w:hideMark/>
          </w:tcPr>
          <w:p w14:paraId="4873FA50" w14:textId="77777777" w:rsidR="00C35437" w:rsidRPr="00EE33FA" w:rsidRDefault="00C35437" w:rsidP="005B57A6">
            <w:pPr>
              <w:jc w:val="center"/>
              <w:rPr>
                <w:color w:val="000000"/>
                <w:sz w:val="22"/>
                <w:szCs w:val="22"/>
                <w:lang w:val="en-GB"/>
              </w:rPr>
            </w:pPr>
            <w:r w:rsidRPr="00EE33FA">
              <w:rPr>
                <w:color w:val="000000"/>
                <w:sz w:val="22"/>
                <w:szCs w:val="22"/>
                <w:lang w:val="en-GB"/>
              </w:rPr>
              <w:t>10</w:t>
            </w:r>
          </w:p>
        </w:tc>
        <w:tc>
          <w:tcPr>
            <w:tcW w:w="720" w:type="dxa"/>
            <w:tcBorders>
              <w:top w:val="nil"/>
              <w:left w:val="nil"/>
              <w:bottom w:val="single" w:sz="4" w:space="0" w:color="auto"/>
              <w:right w:val="single" w:sz="4" w:space="0" w:color="auto"/>
            </w:tcBorders>
            <w:shd w:val="clear" w:color="auto" w:fill="auto"/>
            <w:vAlign w:val="center"/>
            <w:hideMark/>
          </w:tcPr>
          <w:p w14:paraId="24569D5D" w14:textId="77777777" w:rsidR="00C35437" w:rsidRPr="00EE33FA" w:rsidRDefault="00C35437" w:rsidP="005B57A6">
            <w:pPr>
              <w:jc w:val="center"/>
              <w:rPr>
                <w:color w:val="000000"/>
                <w:sz w:val="22"/>
                <w:szCs w:val="22"/>
                <w:lang w:val="en-GB"/>
              </w:rPr>
            </w:pPr>
            <w:r w:rsidRPr="00EE33FA">
              <w:rPr>
                <w:color w:val="000000"/>
                <w:sz w:val="22"/>
                <w:szCs w:val="22"/>
                <w:lang w:val="en-GB"/>
              </w:rPr>
              <w:t>13</w:t>
            </w:r>
          </w:p>
        </w:tc>
        <w:tc>
          <w:tcPr>
            <w:tcW w:w="810" w:type="dxa"/>
            <w:tcBorders>
              <w:top w:val="nil"/>
              <w:left w:val="nil"/>
              <w:bottom w:val="single" w:sz="4" w:space="0" w:color="auto"/>
              <w:right w:val="single" w:sz="4" w:space="0" w:color="auto"/>
            </w:tcBorders>
            <w:shd w:val="clear" w:color="auto" w:fill="auto"/>
            <w:vAlign w:val="center"/>
            <w:hideMark/>
          </w:tcPr>
          <w:p w14:paraId="29DFCB82" w14:textId="77777777" w:rsidR="00C35437" w:rsidRPr="00EE33FA" w:rsidRDefault="00C35437" w:rsidP="005B57A6">
            <w:pPr>
              <w:jc w:val="center"/>
              <w:rPr>
                <w:color w:val="000000"/>
                <w:sz w:val="22"/>
                <w:szCs w:val="22"/>
                <w:lang w:val="en-GB"/>
              </w:rPr>
            </w:pPr>
            <w:r w:rsidRPr="00EE33FA">
              <w:rPr>
                <w:color w:val="000000"/>
                <w:sz w:val="22"/>
                <w:szCs w:val="22"/>
                <w:lang w:val="en-GB"/>
              </w:rPr>
              <w:t>5</w:t>
            </w:r>
          </w:p>
        </w:tc>
        <w:tc>
          <w:tcPr>
            <w:tcW w:w="990" w:type="dxa"/>
            <w:tcBorders>
              <w:top w:val="nil"/>
              <w:left w:val="nil"/>
              <w:bottom w:val="single" w:sz="4" w:space="0" w:color="auto"/>
              <w:right w:val="single" w:sz="4" w:space="0" w:color="auto"/>
            </w:tcBorders>
            <w:shd w:val="clear" w:color="auto" w:fill="auto"/>
            <w:vAlign w:val="center"/>
            <w:hideMark/>
          </w:tcPr>
          <w:p w14:paraId="098F0216" w14:textId="77777777" w:rsidR="00C35437" w:rsidRPr="00EE33FA" w:rsidRDefault="00C35437" w:rsidP="005B57A6">
            <w:pPr>
              <w:jc w:val="center"/>
              <w:rPr>
                <w:color w:val="000000"/>
                <w:sz w:val="22"/>
                <w:szCs w:val="22"/>
                <w:lang w:val="en-GB"/>
              </w:rPr>
            </w:pPr>
            <w:r w:rsidRPr="00EE33FA">
              <w:rPr>
                <w:color w:val="000000"/>
                <w:sz w:val="22"/>
                <w:szCs w:val="22"/>
                <w:lang w:val="en-GB"/>
              </w:rPr>
              <w:t>N/A</w:t>
            </w:r>
          </w:p>
        </w:tc>
      </w:tr>
      <w:tr w:rsidR="00C35437" w:rsidRPr="00EE33FA" w14:paraId="5321B9DB" w14:textId="77777777" w:rsidTr="005B065D">
        <w:trPr>
          <w:trHeight w:val="300"/>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64A79576" w14:textId="77777777" w:rsidR="00C35437" w:rsidRPr="00EE33FA" w:rsidRDefault="00C35437" w:rsidP="005B57A6">
            <w:pPr>
              <w:rPr>
                <w:color w:val="000000"/>
                <w:sz w:val="22"/>
                <w:szCs w:val="22"/>
                <w:lang w:val="en-GB"/>
              </w:rPr>
            </w:pPr>
            <w:r w:rsidRPr="00EE33FA">
              <w:rPr>
                <w:color w:val="000000"/>
                <w:sz w:val="22"/>
                <w:szCs w:val="22"/>
                <w:lang w:val="en-GB"/>
              </w:rPr>
              <w:t>Confirmed polio cases, No.</w:t>
            </w:r>
          </w:p>
        </w:tc>
        <w:tc>
          <w:tcPr>
            <w:tcW w:w="720" w:type="dxa"/>
            <w:tcBorders>
              <w:top w:val="nil"/>
              <w:left w:val="nil"/>
              <w:bottom w:val="single" w:sz="4" w:space="0" w:color="auto"/>
              <w:right w:val="single" w:sz="4" w:space="0" w:color="auto"/>
            </w:tcBorders>
            <w:shd w:val="clear" w:color="auto" w:fill="auto"/>
            <w:vAlign w:val="center"/>
            <w:hideMark/>
          </w:tcPr>
          <w:p w14:paraId="0C1DB746"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6B0C9F04"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5E3D4B32"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707AA8FC"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2CB1B400"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810" w:type="dxa"/>
            <w:tcBorders>
              <w:top w:val="nil"/>
              <w:left w:val="nil"/>
              <w:bottom w:val="single" w:sz="4" w:space="0" w:color="auto"/>
              <w:right w:val="single" w:sz="4" w:space="0" w:color="auto"/>
            </w:tcBorders>
            <w:shd w:val="clear" w:color="auto" w:fill="auto"/>
            <w:vAlign w:val="center"/>
            <w:hideMark/>
          </w:tcPr>
          <w:p w14:paraId="38531F92"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990" w:type="dxa"/>
            <w:tcBorders>
              <w:top w:val="nil"/>
              <w:left w:val="nil"/>
              <w:bottom w:val="single" w:sz="4" w:space="0" w:color="auto"/>
              <w:right w:val="single" w:sz="4" w:space="0" w:color="auto"/>
            </w:tcBorders>
            <w:shd w:val="clear" w:color="auto" w:fill="auto"/>
            <w:vAlign w:val="center"/>
            <w:hideMark/>
          </w:tcPr>
          <w:p w14:paraId="67EEE706"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r>
      <w:tr w:rsidR="00C35437" w:rsidRPr="00EE33FA" w14:paraId="22CF32E3" w14:textId="77777777" w:rsidTr="005B065D">
        <w:trPr>
          <w:trHeight w:val="300"/>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4FE3D6E2" w14:textId="77777777" w:rsidR="00C35437" w:rsidRPr="00EE33FA" w:rsidRDefault="00C35437" w:rsidP="005B57A6">
            <w:pPr>
              <w:rPr>
                <w:color w:val="000000"/>
                <w:sz w:val="22"/>
                <w:szCs w:val="22"/>
                <w:lang w:val="en-GB"/>
              </w:rPr>
            </w:pPr>
            <w:r w:rsidRPr="00EE33FA">
              <w:rPr>
                <w:color w:val="000000"/>
                <w:sz w:val="22"/>
                <w:szCs w:val="22"/>
                <w:lang w:val="en-GB"/>
              </w:rPr>
              <w:t>Polio-compatible cases, No.</w:t>
            </w:r>
          </w:p>
        </w:tc>
        <w:tc>
          <w:tcPr>
            <w:tcW w:w="720" w:type="dxa"/>
            <w:tcBorders>
              <w:top w:val="nil"/>
              <w:left w:val="nil"/>
              <w:bottom w:val="single" w:sz="4" w:space="0" w:color="auto"/>
              <w:right w:val="single" w:sz="4" w:space="0" w:color="auto"/>
            </w:tcBorders>
            <w:shd w:val="clear" w:color="auto" w:fill="auto"/>
            <w:vAlign w:val="center"/>
            <w:hideMark/>
          </w:tcPr>
          <w:p w14:paraId="72B76B26"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019682DA"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062683FF"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0EA273DB"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720" w:type="dxa"/>
            <w:tcBorders>
              <w:top w:val="nil"/>
              <w:left w:val="nil"/>
              <w:bottom w:val="single" w:sz="4" w:space="0" w:color="auto"/>
              <w:right w:val="single" w:sz="4" w:space="0" w:color="auto"/>
            </w:tcBorders>
            <w:shd w:val="clear" w:color="auto" w:fill="auto"/>
            <w:vAlign w:val="center"/>
            <w:hideMark/>
          </w:tcPr>
          <w:p w14:paraId="09434999"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810" w:type="dxa"/>
            <w:tcBorders>
              <w:top w:val="nil"/>
              <w:left w:val="nil"/>
              <w:bottom w:val="single" w:sz="4" w:space="0" w:color="auto"/>
              <w:right w:val="single" w:sz="4" w:space="0" w:color="auto"/>
            </w:tcBorders>
            <w:shd w:val="clear" w:color="auto" w:fill="auto"/>
            <w:vAlign w:val="center"/>
            <w:hideMark/>
          </w:tcPr>
          <w:p w14:paraId="756B2D27"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c>
          <w:tcPr>
            <w:tcW w:w="990" w:type="dxa"/>
            <w:tcBorders>
              <w:top w:val="nil"/>
              <w:left w:val="nil"/>
              <w:bottom w:val="single" w:sz="4" w:space="0" w:color="auto"/>
              <w:right w:val="single" w:sz="4" w:space="0" w:color="auto"/>
            </w:tcBorders>
            <w:shd w:val="clear" w:color="auto" w:fill="auto"/>
            <w:vAlign w:val="center"/>
            <w:hideMark/>
          </w:tcPr>
          <w:p w14:paraId="2BB03ADE" w14:textId="77777777" w:rsidR="00C35437" w:rsidRPr="00EE33FA" w:rsidRDefault="00C35437" w:rsidP="005B57A6">
            <w:pPr>
              <w:jc w:val="center"/>
              <w:rPr>
                <w:color w:val="000000"/>
                <w:sz w:val="22"/>
                <w:szCs w:val="22"/>
                <w:lang w:val="en-GB"/>
              </w:rPr>
            </w:pPr>
            <w:r w:rsidRPr="00EE33FA">
              <w:rPr>
                <w:color w:val="000000"/>
                <w:sz w:val="22"/>
                <w:szCs w:val="22"/>
                <w:lang w:val="en-GB"/>
              </w:rPr>
              <w:t>0</w:t>
            </w:r>
          </w:p>
        </w:tc>
      </w:tr>
      <w:tr w:rsidR="00C35437" w:rsidRPr="00EE33FA" w14:paraId="4026FBF2" w14:textId="77777777" w:rsidTr="005B065D">
        <w:trPr>
          <w:trHeight w:val="300"/>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01DFF8F3" w14:textId="77777777" w:rsidR="00C35437" w:rsidRPr="00EE33FA" w:rsidRDefault="00C35437" w:rsidP="005B57A6">
            <w:pPr>
              <w:rPr>
                <w:color w:val="000000"/>
                <w:sz w:val="22"/>
                <w:szCs w:val="22"/>
                <w:lang w:val="en-GB"/>
              </w:rPr>
            </w:pPr>
            <w:r w:rsidRPr="00EE33FA">
              <w:rPr>
                <w:color w:val="000000"/>
                <w:sz w:val="22"/>
                <w:szCs w:val="22"/>
                <w:lang w:val="en-GB"/>
              </w:rPr>
              <w:t>Non-polio AFP rate</w:t>
            </w:r>
          </w:p>
        </w:tc>
        <w:tc>
          <w:tcPr>
            <w:tcW w:w="720" w:type="dxa"/>
            <w:tcBorders>
              <w:top w:val="nil"/>
              <w:left w:val="nil"/>
              <w:bottom w:val="single" w:sz="4" w:space="0" w:color="auto"/>
              <w:right w:val="single" w:sz="4" w:space="0" w:color="auto"/>
            </w:tcBorders>
            <w:shd w:val="clear" w:color="auto" w:fill="auto"/>
            <w:vAlign w:val="center"/>
            <w:hideMark/>
          </w:tcPr>
          <w:p w14:paraId="085E2486" w14:textId="77777777" w:rsidR="00C35437" w:rsidRPr="00EE33FA" w:rsidRDefault="00C35437" w:rsidP="005B57A6">
            <w:pPr>
              <w:jc w:val="center"/>
              <w:rPr>
                <w:color w:val="000000"/>
                <w:sz w:val="22"/>
                <w:szCs w:val="22"/>
                <w:lang w:val="en-GB"/>
              </w:rPr>
            </w:pPr>
            <w:r w:rsidRPr="00EE33FA">
              <w:rPr>
                <w:color w:val="000000"/>
                <w:sz w:val="22"/>
                <w:szCs w:val="22"/>
                <w:lang w:val="en-GB"/>
              </w:rPr>
              <w:t>0.97</w:t>
            </w:r>
          </w:p>
        </w:tc>
        <w:tc>
          <w:tcPr>
            <w:tcW w:w="720" w:type="dxa"/>
            <w:tcBorders>
              <w:top w:val="nil"/>
              <w:left w:val="nil"/>
              <w:bottom w:val="single" w:sz="4" w:space="0" w:color="auto"/>
              <w:right w:val="single" w:sz="4" w:space="0" w:color="auto"/>
            </w:tcBorders>
            <w:shd w:val="clear" w:color="auto" w:fill="auto"/>
            <w:vAlign w:val="center"/>
            <w:hideMark/>
          </w:tcPr>
          <w:p w14:paraId="1EABDC89" w14:textId="77777777" w:rsidR="00C35437" w:rsidRPr="00EE33FA" w:rsidRDefault="00C35437" w:rsidP="005B57A6">
            <w:pPr>
              <w:jc w:val="center"/>
              <w:rPr>
                <w:color w:val="000000"/>
                <w:sz w:val="22"/>
                <w:szCs w:val="22"/>
                <w:lang w:val="en-GB"/>
              </w:rPr>
            </w:pPr>
            <w:r w:rsidRPr="00EE33FA">
              <w:rPr>
                <w:color w:val="000000"/>
                <w:sz w:val="22"/>
                <w:szCs w:val="22"/>
                <w:lang w:val="en-GB"/>
              </w:rPr>
              <w:t>1.26</w:t>
            </w:r>
          </w:p>
        </w:tc>
        <w:tc>
          <w:tcPr>
            <w:tcW w:w="720" w:type="dxa"/>
            <w:tcBorders>
              <w:top w:val="nil"/>
              <w:left w:val="nil"/>
              <w:bottom w:val="single" w:sz="4" w:space="0" w:color="auto"/>
              <w:right w:val="single" w:sz="4" w:space="0" w:color="auto"/>
            </w:tcBorders>
            <w:shd w:val="clear" w:color="auto" w:fill="auto"/>
            <w:vAlign w:val="center"/>
            <w:hideMark/>
          </w:tcPr>
          <w:p w14:paraId="4238328D" w14:textId="77777777" w:rsidR="00C35437" w:rsidRPr="00EE33FA" w:rsidRDefault="00C35437" w:rsidP="005B57A6">
            <w:pPr>
              <w:jc w:val="center"/>
              <w:rPr>
                <w:color w:val="000000"/>
                <w:sz w:val="22"/>
                <w:szCs w:val="22"/>
                <w:lang w:val="en-GB"/>
              </w:rPr>
            </w:pPr>
            <w:r w:rsidRPr="00EE33FA">
              <w:rPr>
                <w:color w:val="000000"/>
                <w:sz w:val="22"/>
                <w:szCs w:val="22"/>
                <w:lang w:val="en-GB"/>
              </w:rPr>
              <w:t>1.83</w:t>
            </w:r>
          </w:p>
        </w:tc>
        <w:tc>
          <w:tcPr>
            <w:tcW w:w="720" w:type="dxa"/>
            <w:tcBorders>
              <w:top w:val="nil"/>
              <w:left w:val="nil"/>
              <w:bottom w:val="single" w:sz="4" w:space="0" w:color="auto"/>
              <w:right w:val="single" w:sz="4" w:space="0" w:color="auto"/>
            </w:tcBorders>
            <w:shd w:val="clear" w:color="auto" w:fill="auto"/>
            <w:vAlign w:val="center"/>
            <w:hideMark/>
          </w:tcPr>
          <w:p w14:paraId="00F81E0F" w14:textId="77777777" w:rsidR="00C35437" w:rsidRPr="00EE33FA" w:rsidRDefault="00C35437" w:rsidP="005B57A6">
            <w:pPr>
              <w:jc w:val="center"/>
              <w:rPr>
                <w:color w:val="000000"/>
                <w:sz w:val="22"/>
                <w:szCs w:val="22"/>
                <w:lang w:val="en-GB"/>
              </w:rPr>
            </w:pPr>
            <w:r w:rsidRPr="00EE33FA">
              <w:rPr>
                <w:color w:val="000000"/>
                <w:sz w:val="22"/>
                <w:szCs w:val="22"/>
                <w:lang w:val="en-GB"/>
              </w:rPr>
              <w:t>1.41</w:t>
            </w:r>
          </w:p>
        </w:tc>
        <w:tc>
          <w:tcPr>
            <w:tcW w:w="720" w:type="dxa"/>
            <w:tcBorders>
              <w:top w:val="nil"/>
              <w:left w:val="nil"/>
              <w:bottom w:val="single" w:sz="4" w:space="0" w:color="auto"/>
              <w:right w:val="single" w:sz="4" w:space="0" w:color="auto"/>
            </w:tcBorders>
            <w:shd w:val="clear" w:color="auto" w:fill="auto"/>
            <w:vAlign w:val="center"/>
            <w:hideMark/>
          </w:tcPr>
          <w:p w14:paraId="49A5E48A" w14:textId="77777777" w:rsidR="00C35437" w:rsidRPr="00EE33FA" w:rsidRDefault="00C35437" w:rsidP="005B57A6">
            <w:pPr>
              <w:jc w:val="center"/>
              <w:rPr>
                <w:color w:val="000000"/>
                <w:sz w:val="22"/>
                <w:szCs w:val="22"/>
                <w:lang w:val="en-GB"/>
              </w:rPr>
            </w:pPr>
            <w:r w:rsidRPr="00EE33FA">
              <w:rPr>
                <w:color w:val="000000"/>
                <w:sz w:val="22"/>
                <w:szCs w:val="22"/>
                <w:lang w:val="en-GB"/>
              </w:rPr>
              <w:t>1.83</w:t>
            </w:r>
          </w:p>
        </w:tc>
        <w:tc>
          <w:tcPr>
            <w:tcW w:w="810" w:type="dxa"/>
            <w:tcBorders>
              <w:top w:val="nil"/>
              <w:left w:val="nil"/>
              <w:bottom w:val="single" w:sz="4" w:space="0" w:color="auto"/>
              <w:right w:val="single" w:sz="4" w:space="0" w:color="auto"/>
            </w:tcBorders>
            <w:shd w:val="clear" w:color="auto" w:fill="auto"/>
            <w:vAlign w:val="center"/>
            <w:hideMark/>
          </w:tcPr>
          <w:p w14:paraId="7C3D59B9" w14:textId="77777777" w:rsidR="00C35437" w:rsidRPr="00EE33FA" w:rsidRDefault="00C35437" w:rsidP="005B57A6">
            <w:pPr>
              <w:jc w:val="center"/>
              <w:rPr>
                <w:color w:val="000000"/>
                <w:sz w:val="22"/>
                <w:szCs w:val="22"/>
                <w:lang w:val="en-GB"/>
              </w:rPr>
            </w:pPr>
            <w:r w:rsidRPr="00EE33FA">
              <w:rPr>
                <w:color w:val="000000"/>
                <w:sz w:val="22"/>
                <w:szCs w:val="22"/>
                <w:lang w:val="en-GB"/>
              </w:rPr>
              <w:t>1.3</w:t>
            </w:r>
          </w:p>
        </w:tc>
        <w:tc>
          <w:tcPr>
            <w:tcW w:w="990" w:type="dxa"/>
            <w:tcBorders>
              <w:top w:val="nil"/>
              <w:left w:val="nil"/>
              <w:bottom w:val="single" w:sz="4" w:space="0" w:color="auto"/>
              <w:right w:val="single" w:sz="4" w:space="0" w:color="auto"/>
            </w:tcBorders>
            <w:shd w:val="clear" w:color="auto" w:fill="auto"/>
            <w:vAlign w:val="center"/>
            <w:hideMark/>
          </w:tcPr>
          <w:p w14:paraId="58A80079"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1.0</w:t>
            </w:r>
          </w:p>
        </w:tc>
      </w:tr>
      <w:tr w:rsidR="00C35437" w:rsidRPr="00EE33FA" w14:paraId="0529BFFB" w14:textId="77777777" w:rsidTr="005B065D">
        <w:trPr>
          <w:trHeight w:val="345"/>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329C5286" w14:textId="77777777" w:rsidR="00C35437" w:rsidRPr="00EE33FA" w:rsidRDefault="00C35437" w:rsidP="005B57A6">
            <w:pPr>
              <w:rPr>
                <w:color w:val="000000"/>
                <w:sz w:val="22"/>
                <w:szCs w:val="22"/>
                <w:lang w:val="en-GB"/>
              </w:rPr>
            </w:pPr>
            <w:r w:rsidRPr="00EE33FA">
              <w:rPr>
                <w:color w:val="000000"/>
                <w:sz w:val="22"/>
                <w:szCs w:val="22"/>
                <w:lang w:val="en-GB"/>
              </w:rPr>
              <w:t>AFP surveillance index</w:t>
            </w:r>
            <w:r w:rsidRPr="00EE33FA">
              <w:rPr>
                <w:color w:val="000000"/>
                <w:sz w:val="22"/>
                <w:szCs w:val="22"/>
                <w:vertAlign w:val="superscript"/>
                <w:lang w:val="en-GB"/>
              </w:rPr>
              <w:t>b</w:t>
            </w:r>
          </w:p>
        </w:tc>
        <w:tc>
          <w:tcPr>
            <w:tcW w:w="720" w:type="dxa"/>
            <w:tcBorders>
              <w:top w:val="nil"/>
              <w:left w:val="nil"/>
              <w:bottom w:val="single" w:sz="4" w:space="0" w:color="auto"/>
              <w:right w:val="single" w:sz="4" w:space="0" w:color="auto"/>
            </w:tcBorders>
            <w:shd w:val="clear" w:color="auto" w:fill="auto"/>
            <w:vAlign w:val="center"/>
            <w:hideMark/>
          </w:tcPr>
          <w:p w14:paraId="3216AFD4" w14:textId="77777777" w:rsidR="00C35437" w:rsidRPr="00EE33FA" w:rsidRDefault="00C35437" w:rsidP="005B57A6">
            <w:pPr>
              <w:jc w:val="center"/>
              <w:rPr>
                <w:color w:val="000000"/>
                <w:sz w:val="22"/>
                <w:szCs w:val="22"/>
                <w:lang w:val="en-GB"/>
              </w:rPr>
            </w:pPr>
            <w:r w:rsidRPr="00EE33FA">
              <w:rPr>
                <w:color w:val="000000"/>
                <w:sz w:val="22"/>
                <w:szCs w:val="22"/>
                <w:lang w:val="en-GB"/>
              </w:rPr>
              <w:t>0.97</w:t>
            </w:r>
          </w:p>
        </w:tc>
        <w:tc>
          <w:tcPr>
            <w:tcW w:w="720" w:type="dxa"/>
            <w:tcBorders>
              <w:top w:val="nil"/>
              <w:left w:val="nil"/>
              <w:bottom w:val="single" w:sz="4" w:space="0" w:color="auto"/>
              <w:right w:val="single" w:sz="4" w:space="0" w:color="auto"/>
            </w:tcBorders>
            <w:shd w:val="clear" w:color="auto" w:fill="auto"/>
            <w:vAlign w:val="center"/>
            <w:hideMark/>
          </w:tcPr>
          <w:p w14:paraId="2B6426FE" w14:textId="77777777" w:rsidR="00C35437" w:rsidRPr="00EE33FA" w:rsidRDefault="00C35437" w:rsidP="005B57A6">
            <w:pPr>
              <w:jc w:val="center"/>
              <w:rPr>
                <w:color w:val="000000"/>
                <w:sz w:val="22"/>
                <w:szCs w:val="22"/>
                <w:lang w:val="en-GB"/>
              </w:rPr>
            </w:pPr>
            <w:r w:rsidRPr="00EE33FA">
              <w:rPr>
                <w:color w:val="000000"/>
                <w:sz w:val="22"/>
                <w:szCs w:val="22"/>
                <w:lang w:val="en-GB"/>
              </w:rPr>
              <w:t>1</w:t>
            </w:r>
          </w:p>
        </w:tc>
        <w:tc>
          <w:tcPr>
            <w:tcW w:w="720" w:type="dxa"/>
            <w:tcBorders>
              <w:top w:val="nil"/>
              <w:left w:val="nil"/>
              <w:bottom w:val="single" w:sz="4" w:space="0" w:color="auto"/>
              <w:right w:val="single" w:sz="4" w:space="0" w:color="auto"/>
            </w:tcBorders>
            <w:shd w:val="clear" w:color="auto" w:fill="auto"/>
            <w:vAlign w:val="center"/>
            <w:hideMark/>
          </w:tcPr>
          <w:p w14:paraId="3C38A2FC" w14:textId="77777777" w:rsidR="00C35437" w:rsidRPr="00EE33FA" w:rsidRDefault="00C35437" w:rsidP="005B57A6">
            <w:pPr>
              <w:jc w:val="center"/>
              <w:rPr>
                <w:color w:val="000000"/>
                <w:sz w:val="22"/>
                <w:szCs w:val="22"/>
                <w:lang w:val="en-GB"/>
              </w:rPr>
            </w:pPr>
            <w:r w:rsidRPr="00EE33FA">
              <w:rPr>
                <w:color w:val="000000"/>
                <w:sz w:val="22"/>
                <w:szCs w:val="22"/>
                <w:lang w:val="en-GB"/>
              </w:rPr>
              <w:t>1</w:t>
            </w:r>
          </w:p>
        </w:tc>
        <w:tc>
          <w:tcPr>
            <w:tcW w:w="720" w:type="dxa"/>
            <w:tcBorders>
              <w:top w:val="nil"/>
              <w:left w:val="nil"/>
              <w:bottom w:val="single" w:sz="4" w:space="0" w:color="auto"/>
              <w:right w:val="single" w:sz="4" w:space="0" w:color="auto"/>
            </w:tcBorders>
            <w:shd w:val="clear" w:color="auto" w:fill="auto"/>
            <w:vAlign w:val="center"/>
            <w:hideMark/>
          </w:tcPr>
          <w:p w14:paraId="63D166AD" w14:textId="77777777" w:rsidR="00C35437" w:rsidRPr="00EE33FA" w:rsidRDefault="00C35437" w:rsidP="005B57A6">
            <w:pPr>
              <w:jc w:val="center"/>
              <w:rPr>
                <w:color w:val="000000"/>
                <w:sz w:val="22"/>
                <w:szCs w:val="22"/>
                <w:lang w:val="en-GB"/>
              </w:rPr>
            </w:pPr>
            <w:r w:rsidRPr="00EE33FA">
              <w:rPr>
                <w:color w:val="000000"/>
                <w:sz w:val="22"/>
                <w:szCs w:val="22"/>
                <w:lang w:val="en-GB"/>
              </w:rPr>
              <w:t>1</w:t>
            </w:r>
          </w:p>
        </w:tc>
        <w:tc>
          <w:tcPr>
            <w:tcW w:w="720" w:type="dxa"/>
            <w:tcBorders>
              <w:top w:val="nil"/>
              <w:left w:val="nil"/>
              <w:bottom w:val="single" w:sz="4" w:space="0" w:color="auto"/>
              <w:right w:val="single" w:sz="4" w:space="0" w:color="auto"/>
            </w:tcBorders>
            <w:shd w:val="clear" w:color="auto" w:fill="auto"/>
            <w:vAlign w:val="center"/>
            <w:hideMark/>
          </w:tcPr>
          <w:p w14:paraId="735CDF79" w14:textId="77777777" w:rsidR="00C35437" w:rsidRPr="00EE33FA" w:rsidRDefault="00C35437" w:rsidP="005B57A6">
            <w:pPr>
              <w:jc w:val="center"/>
              <w:rPr>
                <w:color w:val="000000"/>
                <w:sz w:val="22"/>
                <w:szCs w:val="22"/>
                <w:lang w:val="en-GB"/>
              </w:rPr>
            </w:pPr>
            <w:r w:rsidRPr="00EE33FA">
              <w:rPr>
                <w:color w:val="000000"/>
                <w:sz w:val="22"/>
                <w:szCs w:val="22"/>
                <w:lang w:val="en-GB"/>
              </w:rPr>
              <w:t>1</w:t>
            </w:r>
          </w:p>
        </w:tc>
        <w:tc>
          <w:tcPr>
            <w:tcW w:w="810" w:type="dxa"/>
            <w:tcBorders>
              <w:top w:val="nil"/>
              <w:left w:val="nil"/>
              <w:bottom w:val="single" w:sz="4" w:space="0" w:color="auto"/>
              <w:right w:val="single" w:sz="4" w:space="0" w:color="auto"/>
            </w:tcBorders>
            <w:shd w:val="clear" w:color="auto" w:fill="auto"/>
            <w:vAlign w:val="center"/>
            <w:hideMark/>
          </w:tcPr>
          <w:p w14:paraId="4CF622FC" w14:textId="77777777" w:rsidR="00C35437" w:rsidRPr="00EE33FA" w:rsidRDefault="00C35437" w:rsidP="005B57A6">
            <w:pPr>
              <w:jc w:val="center"/>
              <w:rPr>
                <w:color w:val="000000"/>
                <w:sz w:val="22"/>
                <w:szCs w:val="22"/>
                <w:lang w:val="en-GB"/>
              </w:rPr>
            </w:pPr>
            <w:r w:rsidRPr="00EE33FA">
              <w:rPr>
                <w:color w:val="000000"/>
                <w:sz w:val="22"/>
                <w:szCs w:val="22"/>
                <w:lang w:val="en-GB"/>
              </w:rPr>
              <w:t> </w:t>
            </w:r>
          </w:p>
        </w:tc>
        <w:tc>
          <w:tcPr>
            <w:tcW w:w="990" w:type="dxa"/>
            <w:tcBorders>
              <w:top w:val="nil"/>
              <w:left w:val="nil"/>
              <w:bottom w:val="single" w:sz="4" w:space="0" w:color="auto"/>
              <w:right w:val="single" w:sz="4" w:space="0" w:color="auto"/>
            </w:tcBorders>
            <w:shd w:val="clear" w:color="auto" w:fill="auto"/>
            <w:vAlign w:val="center"/>
            <w:hideMark/>
          </w:tcPr>
          <w:p w14:paraId="19A90B78"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0.8</w:t>
            </w:r>
          </w:p>
        </w:tc>
      </w:tr>
      <w:tr w:rsidR="00C35437" w:rsidRPr="00EE33FA" w14:paraId="774CE916" w14:textId="77777777" w:rsidTr="005B065D">
        <w:trPr>
          <w:trHeight w:val="359"/>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2DB6BB4E" w14:textId="77777777" w:rsidR="00C35437" w:rsidRPr="00EE33FA" w:rsidRDefault="00C35437" w:rsidP="005B57A6">
            <w:pPr>
              <w:rPr>
                <w:color w:val="000000"/>
                <w:sz w:val="22"/>
                <w:szCs w:val="22"/>
                <w:lang w:val="en-GB"/>
              </w:rPr>
            </w:pPr>
            <w:r w:rsidRPr="00EE33FA">
              <w:rPr>
                <w:color w:val="000000"/>
                <w:sz w:val="22"/>
                <w:szCs w:val="22"/>
                <w:lang w:val="en-GB"/>
              </w:rPr>
              <w:t>AFP cases with adequate stool specimens, %</w:t>
            </w:r>
            <w:r w:rsidRPr="00EE33FA">
              <w:rPr>
                <w:color w:val="000000"/>
                <w:sz w:val="22"/>
                <w:szCs w:val="22"/>
                <w:vertAlign w:val="superscript"/>
                <w:lang w:val="en-GB"/>
              </w:rPr>
              <w:t>c</w:t>
            </w:r>
          </w:p>
        </w:tc>
        <w:tc>
          <w:tcPr>
            <w:tcW w:w="720" w:type="dxa"/>
            <w:tcBorders>
              <w:top w:val="nil"/>
              <w:left w:val="nil"/>
              <w:bottom w:val="single" w:sz="4" w:space="0" w:color="auto"/>
              <w:right w:val="single" w:sz="4" w:space="0" w:color="auto"/>
            </w:tcBorders>
            <w:shd w:val="clear" w:color="auto" w:fill="auto"/>
            <w:vAlign w:val="center"/>
            <w:hideMark/>
          </w:tcPr>
          <w:p w14:paraId="563C5EE0"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65109269"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47CDBA95"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3A7BCA4F"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3A0D0CEB"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810" w:type="dxa"/>
            <w:tcBorders>
              <w:top w:val="nil"/>
              <w:left w:val="nil"/>
              <w:bottom w:val="single" w:sz="4" w:space="0" w:color="auto"/>
              <w:right w:val="single" w:sz="4" w:space="0" w:color="auto"/>
            </w:tcBorders>
            <w:shd w:val="clear" w:color="auto" w:fill="auto"/>
            <w:vAlign w:val="center"/>
            <w:hideMark/>
          </w:tcPr>
          <w:p w14:paraId="21B57382"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990" w:type="dxa"/>
            <w:tcBorders>
              <w:top w:val="nil"/>
              <w:left w:val="nil"/>
              <w:bottom w:val="single" w:sz="4" w:space="0" w:color="auto"/>
              <w:right w:val="single" w:sz="4" w:space="0" w:color="auto"/>
            </w:tcBorders>
            <w:shd w:val="clear" w:color="auto" w:fill="auto"/>
            <w:vAlign w:val="center"/>
            <w:hideMark/>
          </w:tcPr>
          <w:p w14:paraId="491CF76D"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80%</w:t>
            </w:r>
          </w:p>
        </w:tc>
      </w:tr>
      <w:tr w:rsidR="00C35437" w:rsidRPr="00EE33FA" w14:paraId="4AE6A2C4" w14:textId="77777777" w:rsidTr="005B065D">
        <w:trPr>
          <w:trHeight w:val="269"/>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5C96DEB0" w14:textId="77777777" w:rsidR="00C35437" w:rsidRPr="00EE33FA" w:rsidRDefault="00C35437" w:rsidP="005B57A6">
            <w:pPr>
              <w:rPr>
                <w:color w:val="000000"/>
                <w:sz w:val="22"/>
                <w:szCs w:val="22"/>
                <w:lang w:val="en-GB"/>
              </w:rPr>
            </w:pPr>
            <w:r w:rsidRPr="00EE33FA">
              <w:rPr>
                <w:color w:val="000000"/>
                <w:sz w:val="22"/>
                <w:szCs w:val="22"/>
                <w:lang w:val="en-GB"/>
              </w:rPr>
              <w:t>AFP cases notified within 7 days of onset, %</w:t>
            </w:r>
          </w:p>
        </w:tc>
        <w:tc>
          <w:tcPr>
            <w:tcW w:w="720" w:type="dxa"/>
            <w:tcBorders>
              <w:top w:val="nil"/>
              <w:left w:val="nil"/>
              <w:bottom w:val="single" w:sz="4" w:space="0" w:color="auto"/>
              <w:right w:val="single" w:sz="4" w:space="0" w:color="auto"/>
            </w:tcBorders>
            <w:shd w:val="clear" w:color="auto" w:fill="auto"/>
            <w:vAlign w:val="center"/>
            <w:hideMark/>
          </w:tcPr>
          <w:p w14:paraId="22E9DCC8" w14:textId="77777777" w:rsidR="00C35437" w:rsidRPr="00EE33FA" w:rsidRDefault="00C35437" w:rsidP="005B57A6">
            <w:pPr>
              <w:jc w:val="center"/>
              <w:rPr>
                <w:color w:val="000000"/>
                <w:sz w:val="22"/>
                <w:szCs w:val="22"/>
                <w:lang w:val="en-GB"/>
              </w:rPr>
            </w:pPr>
            <w:r w:rsidRPr="00EE33FA">
              <w:rPr>
                <w:color w:val="000000"/>
                <w:sz w:val="22"/>
                <w:szCs w:val="22"/>
                <w:lang w:val="en-GB"/>
              </w:rPr>
              <w:t>86</w:t>
            </w:r>
          </w:p>
        </w:tc>
        <w:tc>
          <w:tcPr>
            <w:tcW w:w="720" w:type="dxa"/>
            <w:tcBorders>
              <w:top w:val="nil"/>
              <w:left w:val="nil"/>
              <w:bottom w:val="single" w:sz="4" w:space="0" w:color="auto"/>
              <w:right w:val="single" w:sz="4" w:space="0" w:color="auto"/>
            </w:tcBorders>
            <w:shd w:val="clear" w:color="auto" w:fill="auto"/>
            <w:vAlign w:val="center"/>
            <w:hideMark/>
          </w:tcPr>
          <w:p w14:paraId="00C7AC24" w14:textId="77777777" w:rsidR="00C35437" w:rsidRPr="00EE33FA" w:rsidRDefault="00C35437" w:rsidP="005B57A6">
            <w:pPr>
              <w:jc w:val="center"/>
              <w:rPr>
                <w:color w:val="000000"/>
                <w:sz w:val="22"/>
                <w:szCs w:val="22"/>
                <w:lang w:val="en-GB"/>
              </w:rPr>
            </w:pPr>
            <w:r w:rsidRPr="00EE33FA">
              <w:rPr>
                <w:color w:val="000000"/>
                <w:sz w:val="22"/>
                <w:szCs w:val="22"/>
                <w:lang w:val="en-GB"/>
              </w:rPr>
              <w:t>90</w:t>
            </w:r>
          </w:p>
        </w:tc>
        <w:tc>
          <w:tcPr>
            <w:tcW w:w="720" w:type="dxa"/>
            <w:tcBorders>
              <w:top w:val="nil"/>
              <w:left w:val="nil"/>
              <w:bottom w:val="single" w:sz="4" w:space="0" w:color="auto"/>
              <w:right w:val="single" w:sz="4" w:space="0" w:color="auto"/>
            </w:tcBorders>
            <w:shd w:val="clear" w:color="auto" w:fill="auto"/>
            <w:vAlign w:val="center"/>
            <w:hideMark/>
          </w:tcPr>
          <w:p w14:paraId="07239F7F" w14:textId="77777777" w:rsidR="00C35437" w:rsidRPr="00EE33FA" w:rsidRDefault="00C35437" w:rsidP="005B57A6">
            <w:pPr>
              <w:jc w:val="center"/>
              <w:rPr>
                <w:color w:val="000000"/>
                <w:sz w:val="22"/>
                <w:szCs w:val="22"/>
                <w:lang w:val="en-GB"/>
              </w:rPr>
            </w:pPr>
            <w:r w:rsidRPr="00EE33FA">
              <w:rPr>
                <w:color w:val="000000"/>
                <w:sz w:val="22"/>
                <w:szCs w:val="22"/>
                <w:lang w:val="en-GB"/>
              </w:rPr>
              <w:t>79</w:t>
            </w:r>
          </w:p>
        </w:tc>
        <w:tc>
          <w:tcPr>
            <w:tcW w:w="720" w:type="dxa"/>
            <w:tcBorders>
              <w:top w:val="nil"/>
              <w:left w:val="nil"/>
              <w:bottom w:val="single" w:sz="4" w:space="0" w:color="auto"/>
              <w:right w:val="single" w:sz="4" w:space="0" w:color="auto"/>
            </w:tcBorders>
            <w:shd w:val="clear" w:color="auto" w:fill="auto"/>
            <w:vAlign w:val="center"/>
            <w:hideMark/>
          </w:tcPr>
          <w:p w14:paraId="7CAA8A60" w14:textId="77777777" w:rsidR="00C35437" w:rsidRPr="00EE33FA" w:rsidRDefault="00C35437" w:rsidP="005B57A6">
            <w:pPr>
              <w:jc w:val="center"/>
              <w:rPr>
                <w:color w:val="000000"/>
                <w:sz w:val="22"/>
                <w:szCs w:val="22"/>
                <w:lang w:val="en-GB"/>
              </w:rPr>
            </w:pPr>
            <w:r w:rsidRPr="00EE33FA">
              <w:rPr>
                <w:color w:val="000000"/>
                <w:sz w:val="22"/>
                <w:szCs w:val="22"/>
                <w:lang w:val="en-GB"/>
              </w:rPr>
              <w:t>60</w:t>
            </w:r>
          </w:p>
        </w:tc>
        <w:tc>
          <w:tcPr>
            <w:tcW w:w="720" w:type="dxa"/>
            <w:tcBorders>
              <w:top w:val="nil"/>
              <w:left w:val="nil"/>
              <w:bottom w:val="single" w:sz="4" w:space="0" w:color="auto"/>
              <w:right w:val="single" w:sz="4" w:space="0" w:color="auto"/>
            </w:tcBorders>
            <w:shd w:val="clear" w:color="auto" w:fill="auto"/>
            <w:vAlign w:val="center"/>
            <w:hideMark/>
          </w:tcPr>
          <w:p w14:paraId="358B75E8" w14:textId="77777777" w:rsidR="00C35437" w:rsidRPr="00EE33FA" w:rsidRDefault="00C35437" w:rsidP="005B57A6">
            <w:pPr>
              <w:jc w:val="center"/>
              <w:rPr>
                <w:color w:val="000000"/>
                <w:sz w:val="22"/>
                <w:szCs w:val="22"/>
                <w:lang w:val="en-GB"/>
              </w:rPr>
            </w:pPr>
            <w:r w:rsidRPr="00EE33FA">
              <w:rPr>
                <w:color w:val="000000"/>
                <w:sz w:val="22"/>
                <w:szCs w:val="22"/>
                <w:lang w:val="en-GB"/>
              </w:rPr>
              <w:t>92</w:t>
            </w:r>
          </w:p>
        </w:tc>
        <w:tc>
          <w:tcPr>
            <w:tcW w:w="810" w:type="dxa"/>
            <w:tcBorders>
              <w:top w:val="nil"/>
              <w:left w:val="nil"/>
              <w:bottom w:val="single" w:sz="4" w:space="0" w:color="auto"/>
              <w:right w:val="single" w:sz="4" w:space="0" w:color="auto"/>
            </w:tcBorders>
            <w:shd w:val="clear" w:color="auto" w:fill="auto"/>
            <w:vAlign w:val="center"/>
            <w:hideMark/>
          </w:tcPr>
          <w:p w14:paraId="42370C3D"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990" w:type="dxa"/>
            <w:tcBorders>
              <w:top w:val="nil"/>
              <w:left w:val="nil"/>
              <w:bottom w:val="single" w:sz="4" w:space="0" w:color="auto"/>
              <w:right w:val="single" w:sz="4" w:space="0" w:color="auto"/>
            </w:tcBorders>
            <w:shd w:val="clear" w:color="auto" w:fill="auto"/>
            <w:vAlign w:val="center"/>
            <w:hideMark/>
          </w:tcPr>
          <w:p w14:paraId="54DD5A86"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80%</w:t>
            </w:r>
          </w:p>
        </w:tc>
      </w:tr>
      <w:tr w:rsidR="00C35437" w:rsidRPr="00EE33FA" w14:paraId="38890DC5" w14:textId="77777777" w:rsidTr="005B065D">
        <w:trPr>
          <w:trHeight w:val="600"/>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0CFF1C1D" w14:textId="77777777" w:rsidR="00C35437" w:rsidRPr="00EE33FA" w:rsidRDefault="00C35437" w:rsidP="005B57A6">
            <w:pPr>
              <w:rPr>
                <w:color w:val="000000"/>
                <w:sz w:val="22"/>
                <w:szCs w:val="22"/>
                <w:lang w:val="en-GB"/>
              </w:rPr>
            </w:pPr>
            <w:r w:rsidRPr="00EE33FA">
              <w:rPr>
                <w:color w:val="000000"/>
                <w:sz w:val="22"/>
                <w:szCs w:val="22"/>
                <w:lang w:val="en-GB"/>
              </w:rPr>
              <w:t>AFP cases with &lt;48 hours between notification and case investigation, %</w:t>
            </w:r>
          </w:p>
        </w:tc>
        <w:tc>
          <w:tcPr>
            <w:tcW w:w="720" w:type="dxa"/>
            <w:tcBorders>
              <w:top w:val="nil"/>
              <w:left w:val="nil"/>
              <w:bottom w:val="single" w:sz="4" w:space="0" w:color="auto"/>
              <w:right w:val="single" w:sz="4" w:space="0" w:color="auto"/>
            </w:tcBorders>
            <w:shd w:val="clear" w:color="auto" w:fill="auto"/>
            <w:vAlign w:val="center"/>
            <w:hideMark/>
          </w:tcPr>
          <w:p w14:paraId="31E62F05"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66A6AC47" w14:textId="77777777" w:rsidR="00C35437" w:rsidRPr="00EE33FA" w:rsidRDefault="00C35437" w:rsidP="005B57A6">
            <w:pPr>
              <w:jc w:val="center"/>
              <w:rPr>
                <w:color w:val="000000"/>
                <w:sz w:val="22"/>
                <w:szCs w:val="22"/>
                <w:lang w:val="en-GB"/>
              </w:rPr>
            </w:pPr>
            <w:r w:rsidRPr="00EE33FA">
              <w:rPr>
                <w:color w:val="000000"/>
                <w:sz w:val="22"/>
                <w:szCs w:val="22"/>
                <w:lang w:val="en-GB"/>
              </w:rPr>
              <w:t>90</w:t>
            </w:r>
          </w:p>
        </w:tc>
        <w:tc>
          <w:tcPr>
            <w:tcW w:w="720" w:type="dxa"/>
            <w:tcBorders>
              <w:top w:val="nil"/>
              <w:left w:val="nil"/>
              <w:bottom w:val="single" w:sz="4" w:space="0" w:color="auto"/>
              <w:right w:val="single" w:sz="4" w:space="0" w:color="auto"/>
            </w:tcBorders>
            <w:shd w:val="clear" w:color="auto" w:fill="auto"/>
            <w:vAlign w:val="center"/>
            <w:hideMark/>
          </w:tcPr>
          <w:p w14:paraId="232C1B5A"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6E221353"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720" w:type="dxa"/>
            <w:tcBorders>
              <w:top w:val="nil"/>
              <w:left w:val="nil"/>
              <w:bottom w:val="single" w:sz="4" w:space="0" w:color="auto"/>
              <w:right w:val="single" w:sz="4" w:space="0" w:color="auto"/>
            </w:tcBorders>
            <w:shd w:val="clear" w:color="auto" w:fill="auto"/>
            <w:vAlign w:val="center"/>
            <w:hideMark/>
          </w:tcPr>
          <w:p w14:paraId="2C4C49DE"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810" w:type="dxa"/>
            <w:tcBorders>
              <w:top w:val="nil"/>
              <w:left w:val="nil"/>
              <w:bottom w:val="single" w:sz="4" w:space="0" w:color="auto"/>
              <w:right w:val="single" w:sz="4" w:space="0" w:color="auto"/>
            </w:tcBorders>
            <w:shd w:val="clear" w:color="auto" w:fill="auto"/>
            <w:vAlign w:val="center"/>
            <w:hideMark/>
          </w:tcPr>
          <w:p w14:paraId="05BAA717"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990" w:type="dxa"/>
            <w:tcBorders>
              <w:top w:val="nil"/>
              <w:left w:val="nil"/>
              <w:bottom w:val="single" w:sz="4" w:space="0" w:color="auto"/>
              <w:right w:val="single" w:sz="4" w:space="0" w:color="auto"/>
            </w:tcBorders>
            <w:shd w:val="clear" w:color="auto" w:fill="auto"/>
            <w:vAlign w:val="center"/>
            <w:hideMark/>
          </w:tcPr>
          <w:p w14:paraId="64A8BDDF"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80%</w:t>
            </w:r>
          </w:p>
        </w:tc>
      </w:tr>
      <w:tr w:rsidR="00C35437" w:rsidRPr="00EE33FA" w14:paraId="66353B00" w14:textId="77777777" w:rsidTr="005B065D">
        <w:trPr>
          <w:trHeight w:val="345"/>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7CE21EC5" w14:textId="77777777" w:rsidR="00C35437" w:rsidRPr="00EE33FA" w:rsidRDefault="00C35437" w:rsidP="005B57A6">
            <w:pPr>
              <w:rPr>
                <w:color w:val="000000"/>
                <w:sz w:val="22"/>
                <w:szCs w:val="22"/>
                <w:lang w:val="en-GB"/>
              </w:rPr>
            </w:pPr>
            <w:r w:rsidRPr="00EE33FA">
              <w:rPr>
                <w:color w:val="000000"/>
                <w:sz w:val="22"/>
                <w:szCs w:val="22"/>
                <w:lang w:val="en-GB"/>
              </w:rPr>
              <w:t>Completeness of zero reporting, %</w:t>
            </w:r>
            <w:r w:rsidRPr="00EE33FA">
              <w:rPr>
                <w:color w:val="000000"/>
                <w:sz w:val="22"/>
                <w:szCs w:val="22"/>
                <w:vertAlign w:val="superscript"/>
                <w:lang w:val="en-GB"/>
              </w:rPr>
              <w:t>d</w:t>
            </w:r>
          </w:p>
        </w:tc>
        <w:tc>
          <w:tcPr>
            <w:tcW w:w="720" w:type="dxa"/>
            <w:tcBorders>
              <w:top w:val="nil"/>
              <w:left w:val="nil"/>
              <w:bottom w:val="single" w:sz="4" w:space="0" w:color="auto"/>
              <w:right w:val="single" w:sz="4" w:space="0" w:color="auto"/>
            </w:tcBorders>
            <w:shd w:val="clear" w:color="auto" w:fill="auto"/>
            <w:vAlign w:val="center"/>
            <w:hideMark/>
          </w:tcPr>
          <w:p w14:paraId="09C37477" w14:textId="77777777" w:rsidR="00C35437" w:rsidRPr="00EE33FA" w:rsidRDefault="00C35437" w:rsidP="005B57A6">
            <w:pPr>
              <w:jc w:val="center"/>
              <w:rPr>
                <w:color w:val="000000"/>
                <w:sz w:val="22"/>
                <w:szCs w:val="22"/>
                <w:lang w:val="en-GB"/>
              </w:rPr>
            </w:pPr>
            <w:r w:rsidRPr="00EE33FA">
              <w:rPr>
                <w:color w:val="000000"/>
                <w:sz w:val="22"/>
                <w:szCs w:val="22"/>
                <w:lang w:val="en-GB"/>
              </w:rPr>
              <w:t>92</w:t>
            </w:r>
          </w:p>
        </w:tc>
        <w:tc>
          <w:tcPr>
            <w:tcW w:w="720" w:type="dxa"/>
            <w:tcBorders>
              <w:top w:val="nil"/>
              <w:left w:val="nil"/>
              <w:bottom w:val="single" w:sz="4" w:space="0" w:color="auto"/>
              <w:right w:val="single" w:sz="4" w:space="0" w:color="auto"/>
            </w:tcBorders>
            <w:shd w:val="clear" w:color="auto" w:fill="auto"/>
            <w:vAlign w:val="center"/>
            <w:hideMark/>
          </w:tcPr>
          <w:p w14:paraId="2A57A750" w14:textId="77777777" w:rsidR="00C35437" w:rsidRPr="00EE33FA" w:rsidRDefault="00C35437" w:rsidP="005B57A6">
            <w:pPr>
              <w:jc w:val="center"/>
              <w:rPr>
                <w:color w:val="000000"/>
                <w:sz w:val="22"/>
                <w:szCs w:val="22"/>
                <w:lang w:val="en-GB"/>
              </w:rPr>
            </w:pPr>
            <w:r w:rsidRPr="00EE33FA">
              <w:rPr>
                <w:color w:val="000000"/>
                <w:sz w:val="22"/>
                <w:szCs w:val="22"/>
                <w:lang w:val="en-GB"/>
              </w:rPr>
              <w:t>94</w:t>
            </w:r>
          </w:p>
        </w:tc>
        <w:tc>
          <w:tcPr>
            <w:tcW w:w="720" w:type="dxa"/>
            <w:tcBorders>
              <w:top w:val="nil"/>
              <w:left w:val="nil"/>
              <w:bottom w:val="single" w:sz="4" w:space="0" w:color="auto"/>
              <w:right w:val="single" w:sz="4" w:space="0" w:color="auto"/>
            </w:tcBorders>
            <w:shd w:val="clear" w:color="auto" w:fill="auto"/>
            <w:vAlign w:val="center"/>
            <w:hideMark/>
          </w:tcPr>
          <w:p w14:paraId="7FBA76BC" w14:textId="77777777" w:rsidR="00C35437" w:rsidRPr="00EE33FA" w:rsidRDefault="00C35437" w:rsidP="005B57A6">
            <w:pPr>
              <w:jc w:val="center"/>
              <w:rPr>
                <w:color w:val="000000"/>
                <w:sz w:val="22"/>
                <w:szCs w:val="22"/>
                <w:lang w:val="en-GB"/>
              </w:rPr>
            </w:pPr>
            <w:r w:rsidRPr="00EE33FA">
              <w:rPr>
                <w:color w:val="000000"/>
                <w:sz w:val="22"/>
                <w:szCs w:val="22"/>
                <w:lang w:val="en-GB"/>
              </w:rPr>
              <w:t>96</w:t>
            </w:r>
          </w:p>
        </w:tc>
        <w:tc>
          <w:tcPr>
            <w:tcW w:w="720" w:type="dxa"/>
            <w:tcBorders>
              <w:top w:val="nil"/>
              <w:left w:val="nil"/>
              <w:bottom w:val="single" w:sz="4" w:space="0" w:color="auto"/>
              <w:right w:val="single" w:sz="4" w:space="0" w:color="auto"/>
            </w:tcBorders>
            <w:shd w:val="clear" w:color="auto" w:fill="auto"/>
            <w:vAlign w:val="center"/>
            <w:hideMark/>
          </w:tcPr>
          <w:p w14:paraId="2F69FFDC" w14:textId="77777777" w:rsidR="00C35437" w:rsidRPr="00EE33FA" w:rsidRDefault="00C35437" w:rsidP="005B57A6">
            <w:pPr>
              <w:jc w:val="center"/>
              <w:rPr>
                <w:color w:val="000000"/>
                <w:sz w:val="22"/>
                <w:szCs w:val="22"/>
                <w:lang w:val="en-GB"/>
              </w:rPr>
            </w:pPr>
            <w:r w:rsidRPr="00EE33FA">
              <w:rPr>
                <w:color w:val="000000"/>
                <w:sz w:val="22"/>
                <w:szCs w:val="22"/>
                <w:lang w:val="en-GB"/>
              </w:rPr>
              <w:t>94</w:t>
            </w:r>
          </w:p>
        </w:tc>
        <w:tc>
          <w:tcPr>
            <w:tcW w:w="720" w:type="dxa"/>
            <w:tcBorders>
              <w:top w:val="nil"/>
              <w:left w:val="nil"/>
              <w:bottom w:val="single" w:sz="4" w:space="0" w:color="auto"/>
              <w:right w:val="single" w:sz="4" w:space="0" w:color="auto"/>
            </w:tcBorders>
            <w:shd w:val="clear" w:color="auto" w:fill="auto"/>
            <w:vAlign w:val="center"/>
            <w:hideMark/>
          </w:tcPr>
          <w:p w14:paraId="1089749D" w14:textId="77777777" w:rsidR="00C35437" w:rsidRPr="00EE33FA" w:rsidRDefault="00C35437" w:rsidP="005B57A6">
            <w:pPr>
              <w:jc w:val="center"/>
              <w:rPr>
                <w:color w:val="000000"/>
                <w:sz w:val="22"/>
                <w:szCs w:val="22"/>
                <w:lang w:val="en-GB"/>
              </w:rPr>
            </w:pPr>
            <w:r w:rsidRPr="00EE33FA">
              <w:rPr>
                <w:color w:val="000000"/>
                <w:sz w:val="22"/>
                <w:szCs w:val="22"/>
                <w:lang w:val="en-GB"/>
              </w:rPr>
              <w:t>96</w:t>
            </w:r>
          </w:p>
        </w:tc>
        <w:tc>
          <w:tcPr>
            <w:tcW w:w="810" w:type="dxa"/>
            <w:tcBorders>
              <w:top w:val="nil"/>
              <w:left w:val="nil"/>
              <w:bottom w:val="single" w:sz="4" w:space="0" w:color="auto"/>
              <w:right w:val="single" w:sz="4" w:space="0" w:color="auto"/>
            </w:tcBorders>
            <w:shd w:val="clear" w:color="auto" w:fill="auto"/>
            <w:vAlign w:val="center"/>
            <w:hideMark/>
          </w:tcPr>
          <w:p w14:paraId="044B6EC6" w14:textId="77777777" w:rsidR="00C35437" w:rsidRPr="00EE33FA" w:rsidRDefault="00C35437" w:rsidP="005B57A6">
            <w:pPr>
              <w:jc w:val="center"/>
              <w:rPr>
                <w:color w:val="000000"/>
                <w:sz w:val="22"/>
                <w:szCs w:val="22"/>
                <w:lang w:val="en-GB"/>
              </w:rPr>
            </w:pPr>
            <w:r w:rsidRPr="00EE33FA">
              <w:rPr>
                <w:color w:val="000000"/>
                <w:sz w:val="22"/>
                <w:szCs w:val="22"/>
                <w:lang w:val="en-GB"/>
              </w:rPr>
              <w:t>100</w:t>
            </w:r>
          </w:p>
        </w:tc>
        <w:tc>
          <w:tcPr>
            <w:tcW w:w="990" w:type="dxa"/>
            <w:tcBorders>
              <w:top w:val="nil"/>
              <w:left w:val="nil"/>
              <w:bottom w:val="single" w:sz="4" w:space="0" w:color="auto"/>
              <w:right w:val="single" w:sz="4" w:space="0" w:color="auto"/>
            </w:tcBorders>
            <w:shd w:val="clear" w:color="auto" w:fill="auto"/>
            <w:vAlign w:val="center"/>
            <w:hideMark/>
          </w:tcPr>
          <w:p w14:paraId="5CE55D32"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80%</w:t>
            </w:r>
          </w:p>
        </w:tc>
      </w:tr>
      <w:tr w:rsidR="00C35437" w:rsidRPr="00EE33FA" w14:paraId="69C77609" w14:textId="77777777" w:rsidTr="005B065D">
        <w:trPr>
          <w:trHeight w:val="345"/>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14:paraId="23256829" w14:textId="77777777" w:rsidR="00C35437" w:rsidRPr="00EE33FA" w:rsidRDefault="00C35437" w:rsidP="005B57A6">
            <w:pPr>
              <w:rPr>
                <w:color w:val="000000"/>
                <w:sz w:val="22"/>
                <w:szCs w:val="22"/>
                <w:lang w:val="en-GB"/>
              </w:rPr>
            </w:pPr>
            <w:r w:rsidRPr="00EE33FA">
              <w:rPr>
                <w:color w:val="000000"/>
                <w:sz w:val="22"/>
                <w:szCs w:val="22"/>
                <w:lang w:val="en-GB"/>
              </w:rPr>
              <w:t>Timeliness of zero reporting, %</w:t>
            </w:r>
            <w:r w:rsidRPr="00EE33FA">
              <w:rPr>
                <w:color w:val="000000"/>
                <w:sz w:val="22"/>
                <w:szCs w:val="22"/>
                <w:vertAlign w:val="superscript"/>
                <w:lang w:val="en-GB"/>
              </w:rPr>
              <w:t>e</w:t>
            </w:r>
          </w:p>
        </w:tc>
        <w:tc>
          <w:tcPr>
            <w:tcW w:w="720" w:type="dxa"/>
            <w:tcBorders>
              <w:top w:val="nil"/>
              <w:left w:val="nil"/>
              <w:bottom w:val="single" w:sz="4" w:space="0" w:color="auto"/>
              <w:right w:val="single" w:sz="4" w:space="0" w:color="auto"/>
            </w:tcBorders>
            <w:shd w:val="clear" w:color="auto" w:fill="auto"/>
            <w:vAlign w:val="center"/>
            <w:hideMark/>
          </w:tcPr>
          <w:p w14:paraId="6D19BBB7" w14:textId="77777777" w:rsidR="00C35437" w:rsidRPr="00EE33FA" w:rsidRDefault="00C35437" w:rsidP="005B57A6">
            <w:pPr>
              <w:jc w:val="center"/>
              <w:rPr>
                <w:color w:val="000000"/>
                <w:sz w:val="22"/>
                <w:szCs w:val="22"/>
                <w:lang w:val="en-GB"/>
              </w:rPr>
            </w:pPr>
            <w:r w:rsidRPr="00EE33FA">
              <w:rPr>
                <w:color w:val="000000"/>
                <w:sz w:val="22"/>
                <w:szCs w:val="22"/>
                <w:lang w:val="en-GB"/>
              </w:rPr>
              <w:t>83</w:t>
            </w:r>
          </w:p>
        </w:tc>
        <w:tc>
          <w:tcPr>
            <w:tcW w:w="720" w:type="dxa"/>
            <w:tcBorders>
              <w:top w:val="nil"/>
              <w:left w:val="nil"/>
              <w:bottom w:val="single" w:sz="4" w:space="0" w:color="auto"/>
              <w:right w:val="single" w:sz="4" w:space="0" w:color="auto"/>
            </w:tcBorders>
            <w:shd w:val="clear" w:color="auto" w:fill="auto"/>
            <w:vAlign w:val="center"/>
            <w:hideMark/>
          </w:tcPr>
          <w:p w14:paraId="0F435EFC" w14:textId="77777777" w:rsidR="00C35437" w:rsidRPr="00EE33FA" w:rsidRDefault="00C35437" w:rsidP="005B57A6">
            <w:pPr>
              <w:jc w:val="center"/>
              <w:rPr>
                <w:color w:val="000000"/>
                <w:sz w:val="22"/>
                <w:szCs w:val="22"/>
                <w:lang w:val="en-GB"/>
              </w:rPr>
            </w:pPr>
            <w:r w:rsidRPr="00EE33FA">
              <w:rPr>
                <w:color w:val="000000"/>
                <w:sz w:val="22"/>
                <w:szCs w:val="22"/>
                <w:lang w:val="en-GB"/>
              </w:rPr>
              <w:t>94</w:t>
            </w:r>
          </w:p>
        </w:tc>
        <w:tc>
          <w:tcPr>
            <w:tcW w:w="720" w:type="dxa"/>
            <w:tcBorders>
              <w:top w:val="nil"/>
              <w:left w:val="nil"/>
              <w:bottom w:val="single" w:sz="4" w:space="0" w:color="auto"/>
              <w:right w:val="single" w:sz="4" w:space="0" w:color="auto"/>
            </w:tcBorders>
            <w:shd w:val="clear" w:color="auto" w:fill="auto"/>
            <w:vAlign w:val="center"/>
            <w:hideMark/>
          </w:tcPr>
          <w:p w14:paraId="269F94A2" w14:textId="77777777" w:rsidR="00C35437" w:rsidRPr="00EE33FA" w:rsidRDefault="00C35437" w:rsidP="005B57A6">
            <w:pPr>
              <w:jc w:val="center"/>
              <w:rPr>
                <w:color w:val="000000"/>
                <w:sz w:val="22"/>
                <w:szCs w:val="22"/>
                <w:lang w:val="en-GB"/>
              </w:rPr>
            </w:pPr>
            <w:r w:rsidRPr="00EE33FA">
              <w:rPr>
                <w:color w:val="000000"/>
                <w:sz w:val="22"/>
                <w:szCs w:val="22"/>
                <w:lang w:val="en-GB"/>
              </w:rPr>
              <w:t>96</w:t>
            </w:r>
          </w:p>
        </w:tc>
        <w:tc>
          <w:tcPr>
            <w:tcW w:w="720" w:type="dxa"/>
            <w:tcBorders>
              <w:top w:val="nil"/>
              <w:left w:val="nil"/>
              <w:bottom w:val="single" w:sz="4" w:space="0" w:color="auto"/>
              <w:right w:val="single" w:sz="4" w:space="0" w:color="auto"/>
            </w:tcBorders>
            <w:shd w:val="clear" w:color="auto" w:fill="auto"/>
            <w:vAlign w:val="center"/>
            <w:hideMark/>
          </w:tcPr>
          <w:p w14:paraId="5315CF56" w14:textId="77777777" w:rsidR="00C35437" w:rsidRPr="00EE33FA" w:rsidRDefault="00C35437" w:rsidP="005B57A6">
            <w:pPr>
              <w:jc w:val="center"/>
              <w:rPr>
                <w:color w:val="000000"/>
                <w:sz w:val="22"/>
                <w:szCs w:val="22"/>
                <w:lang w:val="en-GB"/>
              </w:rPr>
            </w:pPr>
            <w:r w:rsidRPr="00EE33FA">
              <w:rPr>
                <w:color w:val="000000"/>
                <w:sz w:val="22"/>
                <w:szCs w:val="22"/>
                <w:lang w:val="en-GB"/>
              </w:rPr>
              <w:t>94</w:t>
            </w:r>
          </w:p>
        </w:tc>
        <w:tc>
          <w:tcPr>
            <w:tcW w:w="720" w:type="dxa"/>
            <w:tcBorders>
              <w:top w:val="nil"/>
              <w:left w:val="nil"/>
              <w:bottom w:val="single" w:sz="4" w:space="0" w:color="auto"/>
              <w:right w:val="single" w:sz="4" w:space="0" w:color="auto"/>
            </w:tcBorders>
            <w:shd w:val="clear" w:color="auto" w:fill="auto"/>
            <w:vAlign w:val="center"/>
            <w:hideMark/>
          </w:tcPr>
          <w:p w14:paraId="06BFF0D6" w14:textId="77777777" w:rsidR="00C35437" w:rsidRPr="00EE33FA" w:rsidRDefault="00C35437" w:rsidP="005B57A6">
            <w:pPr>
              <w:jc w:val="center"/>
              <w:rPr>
                <w:color w:val="000000"/>
                <w:sz w:val="22"/>
                <w:szCs w:val="22"/>
                <w:lang w:val="en-GB"/>
              </w:rPr>
            </w:pPr>
            <w:r w:rsidRPr="00EE33FA">
              <w:rPr>
                <w:color w:val="000000"/>
                <w:sz w:val="22"/>
                <w:szCs w:val="22"/>
                <w:lang w:val="en-GB"/>
              </w:rPr>
              <w:t>91</w:t>
            </w:r>
          </w:p>
        </w:tc>
        <w:tc>
          <w:tcPr>
            <w:tcW w:w="810" w:type="dxa"/>
            <w:tcBorders>
              <w:top w:val="nil"/>
              <w:left w:val="nil"/>
              <w:bottom w:val="single" w:sz="4" w:space="0" w:color="auto"/>
              <w:right w:val="single" w:sz="4" w:space="0" w:color="auto"/>
            </w:tcBorders>
            <w:shd w:val="clear" w:color="auto" w:fill="auto"/>
            <w:vAlign w:val="center"/>
            <w:hideMark/>
          </w:tcPr>
          <w:p w14:paraId="0C86E603" w14:textId="77777777" w:rsidR="00C35437" w:rsidRPr="00EE33FA" w:rsidRDefault="00C35437" w:rsidP="005B57A6">
            <w:pPr>
              <w:jc w:val="center"/>
              <w:rPr>
                <w:color w:val="000000"/>
                <w:sz w:val="22"/>
                <w:szCs w:val="22"/>
                <w:lang w:val="en-GB"/>
              </w:rPr>
            </w:pPr>
            <w:r w:rsidRPr="00EE33FA">
              <w:rPr>
                <w:color w:val="000000"/>
                <w:sz w:val="22"/>
                <w:szCs w:val="22"/>
                <w:lang w:val="en-GB"/>
              </w:rPr>
              <w:t>97</w:t>
            </w:r>
          </w:p>
        </w:tc>
        <w:tc>
          <w:tcPr>
            <w:tcW w:w="990" w:type="dxa"/>
            <w:tcBorders>
              <w:top w:val="nil"/>
              <w:left w:val="nil"/>
              <w:bottom w:val="single" w:sz="4" w:space="0" w:color="auto"/>
              <w:right w:val="single" w:sz="4" w:space="0" w:color="auto"/>
            </w:tcBorders>
            <w:shd w:val="clear" w:color="auto" w:fill="auto"/>
            <w:vAlign w:val="center"/>
            <w:hideMark/>
          </w:tcPr>
          <w:p w14:paraId="2E32B145" w14:textId="77777777" w:rsidR="00C35437" w:rsidRPr="00EE33FA" w:rsidRDefault="00C35437" w:rsidP="005B57A6">
            <w:pPr>
              <w:jc w:val="center"/>
              <w:rPr>
                <w:color w:val="000000"/>
                <w:sz w:val="22"/>
                <w:szCs w:val="22"/>
                <w:u w:val="single"/>
                <w:lang w:val="en-GB"/>
              </w:rPr>
            </w:pPr>
            <w:r w:rsidRPr="00EE33FA">
              <w:rPr>
                <w:color w:val="000000"/>
                <w:sz w:val="22"/>
                <w:szCs w:val="22"/>
                <w:u w:val="single"/>
                <w:lang w:val="en-GB"/>
              </w:rPr>
              <w:t>&gt;</w:t>
            </w:r>
            <w:r w:rsidRPr="00EE33FA">
              <w:rPr>
                <w:color w:val="000000"/>
                <w:sz w:val="22"/>
                <w:szCs w:val="22"/>
                <w:lang w:val="en-GB"/>
              </w:rPr>
              <w:t>80%</w:t>
            </w:r>
          </w:p>
        </w:tc>
      </w:tr>
      <w:tr w:rsidR="00C35437" w:rsidRPr="00EE33FA" w14:paraId="68A14182" w14:textId="77777777" w:rsidTr="005B065D">
        <w:trPr>
          <w:trHeight w:val="227"/>
          <w:jc w:val="center"/>
        </w:trPr>
        <w:tc>
          <w:tcPr>
            <w:tcW w:w="9645" w:type="dxa"/>
            <w:gridSpan w:val="8"/>
            <w:tcBorders>
              <w:top w:val="nil"/>
              <w:left w:val="nil"/>
              <w:bottom w:val="nil"/>
              <w:right w:val="nil"/>
            </w:tcBorders>
            <w:shd w:val="clear" w:color="auto" w:fill="auto"/>
            <w:vAlign w:val="center"/>
            <w:hideMark/>
          </w:tcPr>
          <w:p w14:paraId="24082C89" w14:textId="77777777" w:rsidR="00C35437" w:rsidRPr="00EE33FA" w:rsidRDefault="00C35437" w:rsidP="005B57A6">
            <w:pPr>
              <w:ind w:right="-259"/>
              <w:rPr>
                <w:i/>
                <w:iCs/>
                <w:color w:val="000000"/>
                <w:sz w:val="22"/>
                <w:szCs w:val="22"/>
                <w:lang w:val="en-GB"/>
              </w:rPr>
            </w:pPr>
            <w:r w:rsidRPr="00EE33FA">
              <w:rPr>
                <w:color w:val="000000"/>
                <w:sz w:val="22"/>
                <w:szCs w:val="22"/>
                <w:vertAlign w:val="superscript"/>
                <w:lang w:val="en-GB"/>
              </w:rPr>
              <w:t>a</w:t>
            </w:r>
            <w:r w:rsidRPr="00EE33FA">
              <w:rPr>
                <w:i/>
                <w:iCs/>
                <w:color w:val="000000"/>
                <w:sz w:val="22"/>
                <w:szCs w:val="22"/>
                <w:lang w:val="en-GB"/>
              </w:rPr>
              <w:t xml:space="preserve">2015 preliminary data, as reported by July; non-polio AFP rates &amp; surveillance index for 2015 annualized </w:t>
            </w:r>
          </w:p>
        </w:tc>
      </w:tr>
      <w:tr w:rsidR="00C35437" w:rsidRPr="00EE33FA" w14:paraId="78E21B5B" w14:textId="77777777" w:rsidTr="005B065D">
        <w:trPr>
          <w:trHeight w:val="227"/>
          <w:jc w:val="center"/>
        </w:trPr>
        <w:tc>
          <w:tcPr>
            <w:tcW w:w="9645" w:type="dxa"/>
            <w:gridSpan w:val="8"/>
            <w:tcBorders>
              <w:top w:val="nil"/>
              <w:left w:val="nil"/>
              <w:bottom w:val="nil"/>
              <w:right w:val="nil"/>
            </w:tcBorders>
            <w:shd w:val="clear" w:color="auto" w:fill="auto"/>
            <w:vAlign w:val="center"/>
            <w:hideMark/>
          </w:tcPr>
          <w:p w14:paraId="0D5B0BD8" w14:textId="77777777" w:rsidR="00C35437" w:rsidRPr="00EE33FA" w:rsidRDefault="00C35437" w:rsidP="005B57A6">
            <w:pPr>
              <w:rPr>
                <w:i/>
                <w:iCs/>
                <w:color w:val="000000"/>
                <w:sz w:val="22"/>
                <w:szCs w:val="22"/>
                <w:lang w:val="en-GB"/>
              </w:rPr>
            </w:pPr>
            <w:r w:rsidRPr="00EE33FA">
              <w:rPr>
                <w:i/>
                <w:iCs/>
                <w:color w:val="000000"/>
                <w:sz w:val="22"/>
                <w:szCs w:val="22"/>
                <w:vertAlign w:val="superscript"/>
                <w:lang w:val="en-GB"/>
              </w:rPr>
              <w:t xml:space="preserve">b </w:t>
            </w:r>
            <w:r w:rsidRPr="00EE33FA">
              <w:rPr>
                <w:i/>
                <w:iCs/>
                <w:color w:val="000000"/>
                <w:sz w:val="22"/>
                <w:szCs w:val="22"/>
                <w:lang w:val="en-GB"/>
              </w:rPr>
              <w:t>Non-polio AFP rate multiplied by the proportion of cases with stool specimen</w:t>
            </w:r>
          </w:p>
        </w:tc>
      </w:tr>
      <w:tr w:rsidR="00C35437" w:rsidRPr="00EE33FA" w14:paraId="64A003C2" w14:textId="77777777" w:rsidTr="005B065D">
        <w:trPr>
          <w:trHeight w:val="227"/>
          <w:jc w:val="center"/>
        </w:trPr>
        <w:tc>
          <w:tcPr>
            <w:tcW w:w="9645" w:type="dxa"/>
            <w:gridSpan w:val="8"/>
            <w:tcBorders>
              <w:top w:val="nil"/>
              <w:left w:val="nil"/>
              <w:bottom w:val="nil"/>
              <w:right w:val="nil"/>
            </w:tcBorders>
            <w:shd w:val="clear" w:color="auto" w:fill="auto"/>
            <w:vAlign w:val="center"/>
            <w:hideMark/>
          </w:tcPr>
          <w:p w14:paraId="1540739D" w14:textId="77777777" w:rsidR="00C35437" w:rsidRPr="00EE33FA" w:rsidRDefault="00C35437" w:rsidP="005B57A6">
            <w:pPr>
              <w:rPr>
                <w:i/>
                <w:iCs/>
                <w:color w:val="000000"/>
                <w:sz w:val="22"/>
                <w:szCs w:val="22"/>
                <w:lang w:val="en-GB"/>
              </w:rPr>
            </w:pPr>
            <w:r w:rsidRPr="00EE33FA">
              <w:rPr>
                <w:i/>
                <w:iCs/>
                <w:color w:val="000000"/>
                <w:sz w:val="22"/>
                <w:szCs w:val="22"/>
                <w:vertAlign w:val="superscript"/>
                <w:lang w:val="en-GB"/>
              </w:rPr>
              <w:t xml:space="preserve">c </w:t>
            </w:r>
            <w:r w:rsidRPr="00EE33FA">
              <w:rPr>
                <w:i/>
                <w:iCs/>
                <w:color w:val="000000"/>
                <w:sz w:val="22"/>
                <w:szCs w:val="22"/>
                <w:lang w:val="en-GB"/>
              </w:rPr>
              <w:t>Per cent of AFP cases with 2 stool specimens collected 24-48 hours apart within 14 days of onset</w:t>
            </w:r>
          </w:p>
        </w:tc>
      </w:tr>
      <w:tr w:rsidR="00C35437" w:rsidRPr="00EE33FA" w14:paraId="1490DC74" w14:textId="77777777" w:rsidTr="005B065D">
        <w:trPr>
          <w:trHeight w:val="227"/>
          <w:jc w:val="center"/>
        </w:trPr>
        <w:tc>
          <w:tcPr>
            <w:tcW w:w="9645" w:type="dxa"/>
            <w:gridSpan w:val="8"/>
            <w:tcBorders>
              <w:top w:val="nil"/>
              <w:left w:val="nil"/>
              <w:bottom w:val="nil"/>
              <w:right w:val="nil"/>
            </w:tcBorders>
            <w:shd w:val="clear" w:color="auto" w:fill="auto"/>
            <w:vAlign w:val="center"/>
            <w:hideMark/>
          </w:tcPr>
          <w:p w14:paraId="69BD0C61" w14:textId="77777777" w:rsidR="00C35437" w:rsidRPr="00EE33FA" w:rsidRDefault="00C35437" w:rsidP="005B57A6">
            <w:pPr>
              <w:rPr>
                <w:i/>
                <w:iCs/>
                <w:color w:val="000000"/>
                <w:sz w:val="22"/>
                <w:szCs w:val="22"/>
                <w:lang w:val="en-GB"/>
              </w:rPr>
            </w:pPr>
            <w:r w:rsidRPr="00EE33FA">
              <w:rPr>
                <w:i/>
                <w:iCs/>
                <w:color w:val="000000"/>
                <w:sz w:val="22"/>
                <w:szCs w:val="22"/>
                <w:vertAlign w:val="superscript"/>
                <w:lang w:val="en-GB"/>
              </w:rPr>
              <w:t xml:space="preserve">d </w:t>
            </w:r>
            <w:r w:rsidRPr="00EE33FA">
              <w:rPr>
                <w:i/>
                <w:iCs/>
                <w:color w:val="000000"/>
                <w:sz w:val="22"/>
                <w:szCs w:val="22"/>
                <w:lang w:val="en-GB"/>
              </w:rPr>
              <w:t>Per cent of reports to WHO received from the number of expected reports</w:t>
            </w:r>
          </w:p>
        </w:tc>
      </w:tr>
      <w:tr w:rsidR="00C35437" w:rsidRPr="00EE33FA" w14:paraId="284A7CB8" w14:textId="77777777" w:rsidTr="005B065D">
        <w:trPr>
          <w:trHeight w:val="227"/>
          <w:jc w:val="center"/>
        </w:trPr>
        <w:tc>
          <w:tcPr>
            <w:tcW w:w="9645" w:type="dxa"/>
            <w:gridSpan w:val="8"/>
            <w:tcBorders>
              <w:top w:val="nil"/>
              <w:left w:val="nil"/>
              <w:bottom w:val="nil"/>
              <w:right w:val="nil"/>
            </w:tcBorders>
            <w:shd w:val="clear" w:color="auto" w:fill="auto"/>
            <w:vAlign w:val="center"/>
            <w:hideMark/>
          </w:tcPr>
          <w:p w14:paraId="1466013F" w14:textId="77777777" w:rsidR="00C35437" w:rsidRPr="00EE33FA" w:rsidRDefault="00C35437" w:rsidP="005B57A6">
            <w:pPr>
              <w:rPr>
                <w:i/>
                <w:iCs/>
                <w:color w:val="000000"/>
                <w:sz w:val="22"/>
                <w:szCs w:val="22"/>
                <w:lang w:val="en-GB"/>
              </w:rPr>
            </w:pPr>
            <w:r w:rsidRPr="00EE33FA">
              <w:rPr>
                <w:i/>
                <w:iCs/>
                <w:color w:val="000000"/>
                <w:sz w:val="22"/>
                <w:szCs w:val="22"/>
                <w:vertAlign w:val="superscript"/>
                <w:lang w:val="en-GB"/>
              </w:rPr>
              <w:t xml:space="preserve">e  </w:t>
            </w:r>
            <w:r w:rsidRPr="00EE33FA">
              <w:rPr>
                <w:i/>
                <w:iCs/>
                <w:color w:val="000000"/>
                <w:sz w:val="22"/>
                <w:szCs w:val="22"/>
                <w:lang w:val="en-GB"/>
              </w:rPr>
              <w:t>Per cent of reports to WHO received on time</w:t>
            </w:r>
          </w:p>
        </w:tc>
      </w:tr>
    </w:tbl>
    <w:p w14:paraId="006BF94E" w14:textId="73A6B803" w:rsidR="00C35437" w:rsidRPr="00EE33FA" w:rsidRDefault="00C82088" w:rsidP="005D2751">
      <w:pPr>
        <w:pStyle w:val="Caption"/>
        <w:keepNext/>
        <w:spacing w:after="0" w:line="300" w:lineRule="atLeast"/>
        <w:jc w:val="center"/>
        <w:rPr>
          <w:b w:val="0"/>
          <w:i/>
          <w:sz w:val="24"/>
          <w:szCs w:val="24"/>
          <w:lang w:val="en-GB"/>
        </w:rPr>
      </w:pPr>
      <w:r>
        <w:rPr>
          <w:b w:val="0"/>
          <w:i/>
          <w:sz w:val="24"/>
          <w:szCs w:val="24"/>
          <w:lang w:val="en-GB"/>
        </w:rPr>
        <w:t>Figure/table 9</w:t>
      </w:r>
      <w:r w:rsidR="00C35437" w:rsidRPr="00EE33FA">
        <w:rPr>
          <w:b w:val="0"/>
          <w:i/>
          <w:sz w:val="24"/>
          <w:szCs w:val="24"/>
          <w:lang w:val="en-GB"/>
        </w:rPr>
        <w:t>: AFP Surveillance Performance, 2010-2015</w:t>
      </w:r>
      <w:r w:rsidR="00C35437" w:rsidRPr="00EE33FA">
        <w:rPr>
          <w:i/>
          <w:color w:val="000000"/>
          <w:sz w:val="24"/>
          <w:szCs w:val="24"/>
          <w:vertAlign w:val="superscript"/>
          <w:lang w:val="en-GB"/>
        </w:rPr>
        <w:t xml:space="preserve"> a</w:t>
      </w:r>
    </w:p>
    <w:p w14:paraId="27BE5E44" w14:textId="6FC1B42E" w:rsidR="00F82857" w:rsidRPr="00EE33FA" w:rsidRDefault="009679F7" w:rsidP="00F82857">
      <w:pPr>
        <w:spacing w:before="120" w:line="300" w:lineRule="atLeast"/>
        <w:ind w:firstLine="360"/>
        <w:jc w:val="both"/>
        <w:rPr>
          <w:color w:val="000000" w:themeColor="text1"/>
          <w:lang w:val="en-GB"/>
        </w:rPr>
      </w:pPr>
      <w:r w:rsidRPr="00EE33FA">
        <w:rPr>
          <w:b/>
          <w:lang w:val="en-GB"/>
        </w:rPr>
        <w:t>Hepatitis B</w:t>
      </w:r>
      <w:r w:rsidR="007B050B" w:rsidRPr="00EE33FA">
        <w:rPr>
          <w:b/>
          <w:lang w:val="en-GB"/>
        </w:rPr>
        <w:t xml:space="preserve"> </w:t>
      </w:r>
      <w:r w:rsidRPr="00EE33FA">
        <w:rPr>
          <w:lang w:val="en-GB"/>
        </w:rPr>
        <w:t>is</w:t>
      </w:r>
      <w:r w:rsidR="008D3D59" w:rsidRPr="00EE33FA">
        <w:rPr>
          <w:lang w:val="en-GB"/>
        </w:rPr>
        <w:t xml:space="preserve"> the only VPD without immediate notification and case-based reporting, but plans are to change it back to case-based.  This will require updating regulatory documents.  Laboratory confirmation is available at Lugar </w:t>
      </w:r>
      <w:r w:rsidR="00CD263C" w:rsidRPr="00EE33FA">
        <w:rPr>
          <w:lang w:val="en-GB"/>
        </w:rPr>
        <w:t>Centre</w:t>
      </w:r>
      <w:r w:rsidR="008D3D59" w:rsidRPr="00EE33FA">
        <w:rPr>
          <w:lang w:val="en-GB"/>
        </w:rPr>
        <w:t xml:space="preserve"> but mostly done in other facilities.  Number of cases of acute hepatitis B in vaccinated birth cohorts is very low, but no surveys to assess the impact of vaccine introduction have been undertaken.  This will likely </w:t>
      </w:r>
      <w:r w:rsidR="008D3D59" w:rsidRPr="00EE33FA">
        <w:rPr>
          <w:lang w:val="en-GB"/>
        </w:rPr>
        <w:lastRenderedPageBreak/>
        <w:t>have to be conducted once WHO/EURO officially adopts the target for hepatitis B control in the European Region.</w:t>
      </w:r>
    </w:p>
    <w:p w14:paraId="48A71F30" w14:textId="56765D82" w:rsidR="00F82857" w:rsidRPr="00EE33FA" w:rsidRDefault="008D3D59" w:rsidP="00F82857">
      <w:pPr>
        <w:spacing w:before="120" w:line="300" w:lineRule="atLeast"/>
        <w:ind w:firstLine="360"/>
        <w:jc w:val="both"/>
        <w:rPr>
          <w:color w:val="000000" w:themeColor="text1"/>
          <w:lang w:val="en-GB"/>
        </w:rPr>
      </w:pPr>
      <w:r w:rsidRPr="00EE33FA">
        <w:rPr>
          <w:b/>
          <w:lang w:val="en-GB"/>
        </w:rPr>
        <w:t>Diphtheria</w:t>
      </w:r>
      <w:r w:rsidR="002A08BE" w:rsidRPr="00EE33FA">
        <w:rPr>
          <w:lang w:val="en-GB"/>
        </w:rPr>
        <w:t xml:space="preserve"> </w:t>
      </w:r>
      <w:r w:rsidR="00447636" w:rsidRPr="00EE33FA">
        <w:rPr>
          <w:lang w:val="en-GB"/>
        </w:rPr>
        <w:t>–</w:t>
      </w:r>
      <w:r w:rsidR="002A08BE" w:rsidRPr="00EE33FA">
        <w:rPr>
          <w:lang w:val="en-GB"/>
        </w:rPr>
        <w:t xml:space="preserve"> </w:t>
      </w:r>
      <w:r w:rsidRPr="00EE33FA">
        <w:rPr>
          <w:lang w:val="en-GB"/>
        </w:rPr>
        <w:t xml:space="preserve">clinical cases of diphtheria continue to be reported in Georgia (up to 4 cases annually in the last 5 years), but none are laboratory-confirmed.  The potential reasons include not collecting samples, late collection of samples, low sensitivity of laboratory testing, or involvement of other pathogens.  Laboratory testing for diphtheria at this point is available at ZDLs and Lugar </w:t>
      </w:r>
      <w:r w:rsidR="00CD263C" w:rsidRPr="00EE33FA">
        <w:rPr>
          <w:lang w:val="en-GB"/>
        </w:rPr>
        <w:t>Centre</w:t>
      </w:r>
      <w:r w:rsidRPr="00EE33FA">
        <w:rPr>
          <w:lang w:val="en-GB"/>
        </w:rPr>
        <w:t>, but although supplies and reagents are available, the capacity is limited a</w:t>
      </w:r>
      <w:r w:rsidR="00FD40B2" w:rsidRPr="00EE33FA">
        <w:rPr>
          <w:lang w:val="en-GB"/>
        </w:rPr>
        <w:t>s the responsible person at Luga</w:t>
      </w:r>
      <w:r w:rsidRPr="00EE33FA">
        <w:rPr>
          <w:lang w:val="en-GB"/>
        </w:rPr>
        <w:t xml:space="preserve">r </w:t>
      </w:r>
      <w:r w:rsidR="00CD263C" w:rsidRPr="00EE33FA">
        <w:rPr>
          <w:lang w:val="en-GB"/>
        </w:rPr>
        <w:t>Centre</w:t>
      </w:r>
      <w:r w:rsidRPr="00EE33FA">
        <w:rPr>
          <w:lang w:val="en-GB"/>
        </w:rPr>
        <w:t xml:space="preserve"> has not received any specialized training on diphtheria. Obtaining external technical support for diphtheria laboratory is also a problem due to the lack of dedicated funds at partner institutions (WHO).</w:t>
      </w:r>
    </w:p>
    <w:p w14:paraId="171B8B58" w14:textId="24D448D3" w:rsidR="00F82857" w:rsidRPr="00EE33FA" w:rsidRDefault="008D3D59" w:rsidP="00F82857">
      <w:pPr>
        <w:spacing w:before="120" w:line="300" w:lineRule="atLeast"/>
        <w:ind w:firstLine="360"/>
        <w:jc w:val="both"/>
        <w:rPr>
          <w:lang w:val="en-GB"/>
        </w:rPr>
      </w:pPr>
      <w:r w:rsidRPr="00EE33FA">
        <w:rPr>
          <w:b/>
          <w:lang w:val="en-GB"/>
        </w:rPr>
        <w:t>Rotavirus</w:t>
      </w:r>
      <w:r w:rsidRPr="00EE33FA">
        <w:rPr>
          <w:lang w:val="en-GB"/>
        </w:rPr>
        <w:t xml:space="preserve"> a</w:t>
      </w:r>
      <w:r w:rsidR="009201C8" w:rsidRPr="00EE33FA">
        <w:rPr>
          <w:lang w:val="en-GB"/>
        </w:rPr>
        <w:t xml:space="preserve">nd invasive bacterial diseases </w:t>
      </w:r>
      <w:r w:rsidR="00447636" w:rsidRPr="00EE33FA">
        <w:rPr>
          <w:lang w:val="en-GB"/>
        </w:rPr>
        <w:t>–</w:t>
      </w:r>
      <w:r w:rsidRPr="00EE33FA">
        <w:rPr>
          <w:lang w:val="en-GB"/>
        </w:rPr>
        <w:t xml:space="preserve"> </w:t>
      </w:r>
      <w:r w:rsidR="00447636" w:rsidRPr="00EE33FA">
        <w:rPr>
          <w:lang w:val="en-GB"/>
        </w:rPr>
        <w:t xml:space="preserve">there is </w:t>
      </w:r>
      <w:r w:rsidRPr="00EE33FA">
        <w:rPr>
          <w:lang w:val="en-GB"/>
        </w:rPr>
        <w:t>limited sentinel surveillance</w:t>
      </w:r>
      <w:r w:rsidR="00447636" w:rsidRPr="00EE33FA">
        <w:rPr>
          <w:lang w:val="en-GB"/>
        </w:rPr>
        <w:t>,</w:t>
      </w:r>
      <w:r w:rsidRPr="00EE33FA">
        <w:rPr>
          <w:lang w:val="en-GB"/>
        </w:rPr>
        <w:t xml:space="preserve"> supported by WHO; cases </w:t>
      </w:r>
      <w:r w:rsidR="00447636" w:rsidRPr="00EE33FA">
        <w:rPr>
          <w:lang w:val="en-GB"/>
        </w:rPr>
        <w:t xml:space="preserve">are </w:t>
      </w:r>
      <w:r w:rsidRPr="00EE33FA">
        <w:rPr>
          <w:lang w:val="en-GB"/>
        </w:rPr>
        <w:t>reported to EIDSS too.  In addition, in April 2014, a cluster of four fatal cases of pneumococcal infection among adults was identified using both bact</w:t>
      </w:r>
      <w:r w:rsidR="00F82857" w:rsidRPr="00EE33FA">
        <w:rPr>
          <w:lang w:val="en-GB"/>
        </w:rPr>
        <w:t>eriology and molecular methods.</w:t>
      </w:r>
    </w:p>
    <w:p w14:paraId="13C8BDBE" w14:textId="6C68B3CF" w:rsidR="00F82857" w:rsidRPr="00EE33FA" w:rsidRDefault="008D3D59" w:rsidP="00F82857">
      <w:pPr>
        <w:spacing w:before="120" w:line="300" w:lineRule="atLeast"/>
        <w:ind w:firstLine="360"/>
        <w:jc w:val="both"/>
        <w:rPr>
          <w:color w:val="000000" w:themeColor="text1"/>
          <w:lang w:val="en-GB"/>
        </w:rPr>
      </w:pPr>
      <w:r w:rsidRPr="00EE33FA">
        <w:rPr>
          <w:b/>
          <w:lang w:val="en-GB"/>
        </w:rPr>
        <w:t>Pertussis</w:t>
      </w:r>
      <w:r w:rsidR="00A125D0" w:rsidRPr="00EE33FA">
        <w:rPr>
          <w:lang w:val="en-GB"/>
        </w:rPr>
        <w:t xml:space="preserve"> s</w:t>
      </w:r>
      <w:r w:rsidRPr="00EE33FA">
        <w:rPr>
          <w:lang w:val="en-GB"/>
        </w:rPr>
        <w:t xml:space="preserve">urveillance is case-based, for clinical cases only.  Laboratory confirmation </w:t>
      </w:r>
      <w:r w:rsidR="005F182B" w:rsidRPr="00EE33FA">
        <w:rPr>
          <w:lang w:val="en-GB"/>
        </w:rPr>
        <w:t xml:space="preserve">is </w:t>
      </w:r>
      <w:r w:rsidRPr="00EE33FA">
        <w:rPr>
          <w:lang w:val="en-GB"/>
        </w:rPr>
        <w:t xml:space="preserve">not available in Georgia, but needs to be established in light of upcoming transition to acellular pertussis vaccine at the end of 2015. For 2016, there are plans for introducing PCR and serologic testing for pertussis at Lugar </w:t>
      </w:r>
      <w:r w:rsidR="00CD263C" w:rsidRPr="00EE33FA">
        <w:rPr>
          <w:lang w:val="en-GB"/>
        </w:rPr>
        <w:t>Centre</w:t>
      </w:r>
      <w:r w:rsidRPr="00EE33FA">
        <w:rPr>
          <w:lang w:val="en-GB"/>
        </w:rPr>
        <w:t>.  The value of serologic diagnosis for pertussis is questionable, and introduction of PCR will likely benefit from partners technical support.</w:t>
      </w:r>
    </w:p>
    <w:p w14:paraId="328F7DD0" w14:textId="59FC78A7" w:rsidR="00F82857" w:rsidRPr="00EE33FA" w:rsidRDefault="008D3D59" w:rsidP="00F82857">
      <w:pPr>
        <w:spacing w:before="120" w:line="300" w:lineRule="atLeast"/>
        <w:ind w:firstLine="360"/>
        <w:jc w:val="both"/>
        <w:rPr>
          <w:lang w:val="en-GB"/>
        </w:rPr>
      </w:pPr>
      <w:r w:rsidRPr="00EE33FA">
        <w:rPr>
          <w:b/>
          <w:lang w:val="en-GB"/>
        </w:rPr>
        <w:t>Tetanus</w:t>
      </w:r>
      <w:r w:rsidRPr="00EE33FA">
        <w:rPr>
          <w:lang w:val="en-GB"/>
        </w:rPr>
        <w:t xml:space="preserve"> – 2 to 7 cases reported annually in the last </w:t>
      </w:r>
      <w:r w:rsidR="005F182B" w:rsidRPr="00EE33FA">
        <w:rPr>
          <w:lang w:val="en-GB"/>
        </w:rPr>
        <w:t xml:space="preserve">5 </w:t>
      </w:r>
      <w:r w:rsidRPr="00EE33FA">
        <w:rPr>
          <w:lang w:val="en-GB"/>
        </w:rPr>
        <w:t xml:space="preserve">years </w:t>
      </w:r>
      <w:r w:rsidR="00F82857" w:rsidRPr="00EE33FA">
        <w:rPr>
          <w:lang w:val="en-GB"/>
        </w:rPr>
        <w:t>(no cases of neonatal tetanus).</w:t>
      </w:r>
    </w:p>
    <w:p w14:paraId="220BAAE1" w14:textId="784AF326" w:rsidR="008D3D59" w:rsidRPr="00EE33FA" w:rsidRDefault="008D3D59" w:rsidP="005B57A6">
      <w:pPr>
        <w:spacing w:before="120" w:line="300" w:lineRule="atLeast"/>
        <w:ind w:firstLine="360"/>
        <w:jc w:val="both"/>
        <w:rPr>
          <w:color w:val="000000" w:themeColor="text1"/>
          <w:lang w:val="en-GB"/>
        </w:rPr>
      </w:pPr>
      <w:r w:rsidRPr="00EE33FA">
        <w:rPr>
          <w:b/>
          <w:lang w:val="en-GB"/>
        </w:rPr>
        <w:t>Mumps</w:t>
      </w:r>
      <w:r w:rsidRPr="00EE33FA">
        <w:rPr>
          <w:lang w:val="en-GB"/>
        </w:rPr>
        <w:t xml:space="preserve"> – no testing available at Lugar </w:t>
      </w:r>
      <w:r w:rsidR="00CD263C" w:rsidRPr="00EE33FA">
        <w:rPr>
          <w:lang w:val="en-GB"/>
        </w:rPr>
        <w:t>Centre</w:t>
      </w:r>
      <w:r w:rsidRPr="00EE33FA">
        <w:rPr>
          <w:lang w:val="en-GB"/>
        </w:rPr>
        <w:t>; some private laboratories test for IgM but rarely report results to NCDC.</w:t>
      </w:r>
    </w:p>
    <w:p w14:paraId="20A8A505" w14:textId="77777777" w:rsidR="005B57A6" w:rsidRPr="00EE33FA" w:rsidRDefault="005B57A6" w:rsidP="00656079">
      <w:pPr>
        <w:spacing w:before="120" w:line="300" w:lineRule="atLeast"/>
        <w:jc w:val="both"/>
        <w:rPr>
          <w:color w:val="000000" w:themeColor="text1"/>
          <w:lang w:val="en-GB"/>
        </w:rPr>
      </w:pPr>
    </w:p>
    <w:p w14:paraId="34A74797" w14:textId="77777777" w:rsidR="008D3D59" w:rsidRPr="00EE33FA" w:rsidRDefault="008D3D59" w:rsidP="00BD6643">
      <w:pPr>
        <w:spacing w:before="120" w:line="300" w:lineRule="atLeast"/>
        <w:jc w:val="both"/>
        <w:rPr>
          <w:b/>
          <w:lang w:val="en-GB"/>
        </w:rPr>
      </w:pPr>
      <w:r w:rsidRPr="00EE33FA">
        <w:rPr>
          <w:b/>
          <w:lang w:val="en-GB"/>
        </w:rPr>
        <w:t>Status of disease elimination/control goals</w:t>
      </w:r>
    </w:p>
    <w:p w14:paraId="10723B22" w14:textId="77777777" w:rsidR="008D3D59" w:rsidRPr="00EE33FA" w:rsidRDefault="008D3D59" w:rsidP="00514266">
      <w:pPr>
        <w:spacing w:before="120" w:line="300" w:lineRule="atLeast"/>
        <w:ind w:firstLine="360"/>
        <w:jc w:val="both"/>
        <w:rPr>
          <w:b/>
          <w:lang w:val="en-GB"/>
        </w:rPr>
      </w:pPr>
      <w:r w:rsidRPr="00EE33FA">
        <w:rPr>
          <w:b/>
          <w:lang w:val="en-GB"/>
        </w:rPr>
        <w:t>Maintaining polio-free status and implementing polio “end game” strategy</w:t>
      </w:r>
    </w:p>
    <w:p w14:paraId="6BE61652" w14:textId="5B9F92E4" w:rsidR="00F82857" w:rsidRPr="00EE33FA" w:rsidRDefault="00D63ACE" w:rsidP="00F82857">
      <w:pPr>
        <w:spacing w:before="120" w:line="300" w:lineRule="atLeast"/>
        <w:ind w:firstLine="360"/>
        <w:jc w:val="both"/>
        <w:rPr>
          <w:color w:val="000000" w:themeColor="text1"/>
          <w:lang w:val="en-GB"/>
        </w:rPr>
      </w:pPr>
      <w:r w:rsidRPr="00EE33FA">
        <w:rPr>
          <w:lang w:val="en-GB"/>
        </w:rPr>
        <w:t>The c</w:t>
      </w:r>
      <w:r w:rsidR="008D3D59" w:rsidRPr="00EE33FA">
        <w:rPr>
          <w:lang w:val="en-GB"/>
        </w:rPr>
        <w:t>urrent National Polio</w:t>
      </w:r>
      <w:r w:rsidR="00F82857" w:rsidRPr="00EE33FA">
        <w:rPr>
          <w:lang w:val="en-GB"/>
        </w:rPr>
        <w:t xml:space="preserve"> Preparedness Plan </w:t>
      </w:r>
      <w:r w:rsidRPr="00EE33FA">
        <w:rPr>
          <w:lang w:val="en-GB"/>
        </w:rPr>
        <w:t xml:space="preserve">is </w:t>
      </w:r>
      <w:r w:rsidR="00F82857" w:rsidRPr="00EE33FA">
        <w:rPr>
          <w:lang w:val="en-GB"/>
        </w:rPr>
        <w:t>up-to-date.</w:t>
      </w:r>
    </w:p>
    <w:p w14:paraId="05A347B9" w14:textId="77777777" w:rsidR="00F82857" w:rsidRPr="00EE33FA" w:rsidRDefault="008D3D59" w:rsidP="00F82857">
      <w:pPr>
        <w:spacing w:before="120" w:line="300" w:lineRule="atLeast"/>
        <w:ind w:firstLine="360"/>
        <w:jc w:val="both"/>
        <w:rPr>
          <w:color w:val="000000" w:themeColor="text1"/>
          <w:lang w:val="en-GB"/>
        </w:rPr>
      </w:pPr>
      <w:r w:rsidRPr="00EE33FA">
        <w:rPr>
          <w:lang w:val="en-GB"/>
        </w:rPr>
        <w:t>Surveillance for polio/AFP is of high quality, both on epi and laboratory standpoint, but continued and past problems with coverage suggest potential for population susceptibility placing the country in the intermediate risk group for poliovirus spread following introduction</w:t>
      </w:r>
      <w:r w:rsidR="00F82857" w:rsidRPr="00EE33FA">
        <w:rPr>
          <w:color w:val="000000" w:themeColor="text1"/>
          <w:lang w:val="en-GB"/>
        </w:rPr>
        <w:t>.</w:t>
      </w:r>
    </w:p>
    <w:p w14:paraId="32FE58FD" w14:textId="1EBF1EA8" w:rsidR="008D3D59" w:rsidRPr="00EE33FA" w:rsidRDefault="008D3D59" w:rsidP="00D63ACE">
      <w:pPr>
        <w:spacing w:before="120" w:line="300" w:lineRule="atLeast"/>
        <w:ind w:firstLine="360"/>
        <w:jc w:val="both"/>
        <w:rPr>
          <w:lang w:val="en-GB"/>
        </w:rPr>
      </w:pPr>
      <w:r w:rsidRPr="00EE33FA">
        <w:rPr>
          <w:lang w:val="en-GB"/>
        </w:rPr>
        <w:t>IPV introduction by switching to</w:t>
      </w:r>
      <w:r w:rsidR="00145612" w:rsidRPr="00EE33FA">
        <w:rPr>
          <w:lang w:val="en-GB"/>
        </w:rPr>
        <w:t xml:space="preserve"> hexavelant vaccine (DTaP-Hib</w:t>
      </w:r>
      <w:r w:rsidRPr="00EE33FA">
        <w:rPr>
          <w:lang w:val="en-GB"/>
        </w:rPr>
        <w:t>-HepB-IPV)</w:t>
      </w:r>
      <w:r w:rsidR="00FE523B" w:rsidRPr="00EE33FA">
        <w:rPr>
          <w:lang w:val="en-GB"/>
        </w:rPr>
        <w:t xml:space="preserve"> is planned for December 2015. </w:t>
      </w:r>
      <w:r w:rsidRPr="00EE33FA">
        <w:rPr>
          <w:lang w:val="en-GB"/>
        </w:rPr>
        <w:t>Transition to bOPV is planned for April 20</w:t>
      </w:r>
      <w:r w:rsidR="00F82857" w:rsidRPr="00EE33FA">
        <w:rPr>
          <w:lang w:val="en-GB"/>
        </w:rPr>
        <w:t>16.</w:t>
      </w:r>
      <w:r w:rsidR="00D63ACE" w:rsidRPr="00EE33FA">
        <w:rPr>
          <w:lang w:val="en-GB"/>
        </w:rPr>
        <w:t xml:space="preserve"> </w:t>
      </w:r>
      <w:r w:rsidRPr="00EE33FA">
        <w:rPr>
          <w:lang w:val="en-GB"/>
        </w:rPr>
        <w:t>Preparations are underway and so far on track.</w:t>
      </w:r>
    </w:p>
    <w:p w14:paraId="62A8A0D9" w14:textId="77777777" w:rsidR="008D3D59" w:rsidRPr="00EE33FA" w:rsidRDefault="008D3D59" w:rsidP="00514266">
      <w:pPr>
        <w:spacing w:before="120" w:line="300" w:lineRule="atLeast"/>
        <w:ind w:firstLine="360"/>
        <w:jc w:val="both"/>
        <w:rPr>
          <w:b/>
          <w:lang w:val="en-GB"/>
        </w:rPr>
      </w:pPr>
      <w:r w:rsidRPr="00EE33FA">
        <w:rPr>
          <w:b/>
          <w:lang w:val="en-GB"/>
        </w:rPr>
        <w:t>Measles and rubella elimination</w:t>
      </w:r>
    </w:p>
    <w:p w14:paraId="164751B1" w14:textId="6D3C211E" w:rsidR="00F82857" w:rsidRPr="00EE33FA" w:rsidRDefault="008D3D59" w:rsidP="00F82857">
      <w:pPr>
        <w:spacing w:before="120" w:line="300" w:lineRule="atLeast"/>
        <w:ind w:firstLine="360"/>
        <w:jc w:val="both"/>
        <w:rPr>
          <w:color w:val="000000" w:themeColor="text1"/>
          <w:lang w:val="en-GB"/>
        </w:rPr>
      </w:pPr>
      <w:r w:rsidRPr="00EE33FA">
        <w:rPr>
          <w:lang w:val="en-GB"/>
        </w:rPr>
        <w:t xml:space="preserve">Achieving </w:t>
      </w:r>
      <w:r w:rsidR="001C68CF" w:rsidRPr="00EE33FA">
        <w:rPr>
          <w:lang w:val="en-GB"/>
        </w:rPr>
        <w:t>the measles and rubella elimination</w:t>
      </w:r>
      <w:r w:rsidRPr="00EE33FA">
        <w:rPr>
          <w:lang w:val="en-GB"/>
        </w:rPr>
        <w:t xml:space="preserve"> goal is unlikely due to continued widespread transmission of measles and rubella viruses.  A major outbreak of measles which began in early 2013 and resulted in over 11,000 cases and four deaths as of July 2015, is subsiding but cases continue to be reported.  Laboratory testing implicated genotype D8 of </w:t>
      </w:r>
      <w:r w:rsidRPr="00EE33FA">
        <w:rPr>
          <w:lang w:val="en-GB"/>
        </w:rPr>
        <w:lastRenderedPageBreak/>
        <w:t>measles virus. The outbreak was associated with D8 genotype o</w:t>
      </w:r>
      <w:r w:rsidR="00812882" w:rsidRPr="00EE33FA">
        <w:rPr>
          <w:lang w:val="en-GB"/>
        </w:rPr>
        <w:t xml:space="preserve">f measles virus.  The 2013-2014 </w:t>
      </w:r>
      <w:r w:rsidRPr="00EE33FA">
        <w:rPr>
          <w:lang w:val="en-GB"/>
        </w:rPr>
        <w:t xml:space="preserve">outbreak affected all regions, but more than half of cases occurred in Tbilisi.  Cases occurred predominantly among adults (60.5% aged </w:t>
      </w:r>
      <w:r w:rsidRPr="00EE33FA">
        <w:rPr>
          <w:u w:val="single"/>
          <w:lang w:val="en-GB"/>
        </w:rPr>
        <w:t>&gt;</w:t>
      </w:r>
      <w:r w:rsidRPr="00EE33FA">
        <w:rPr>
          <w:lang w:val="en-GB"/>
        </w:rPr>
        <w:t>15 years); 20-29 year-old age group was most affected (33.2% of all cases) reflecting past problems in immunization coverage (the same birth cohorts were predominantly affected in the previous measles outbreak in 2004-2005 and the serosurvey in 2010 showed substantial seronegativity (</w:t>
      </w:r>
      <w:r w:rsidRPr="00EE33FA">
        <w:rPr>
          <w:u w:val="single"/>
          <w:lang w:val="en-GB"/>
        </w:rPr>
        <w:t>&gt;</w:t>
      </w:r>
      <w:r w:rsidRPr="00EE33FA">
        <w:rPr>
          <w:lang w:val="en-GB"/>
        </w:rPr>
        <w:t>10%) up to 35 years of age.  Incidence was highest among children &lt;1 year of age, followed by 20-29 and 1-4 years.  The vast majority of cases occurred among persons who were unvaccinated or ha</w:t>
      </w:r>
      <w:r w:rsidR="001175EF" w:rsidRPr="00EE33FA">
        <w:rPr>
          <w:lang w:val="en-GB"/>
        </w:rPr>
        <w:t xml:space="preserve">d unknown immunization status. </w:t>
      </w:r>
      <w:r w:rsidRPr="00EE33FA">
        <w:rPr>
          <w:lang w:val="en-GB"/>
        </w:rPr>
        <w:t>Response activities included enhanced surveillance and case investigation, contact vaccination, offering vaccine doses to unvaccinated or incompletely vaccinated persons initially up to 14 years, then up to 30 years of age, health care workers, military, media campaign to increase awareness and generated demand for vaccination but these activities had limited impact.  Implementation of large scale SIAs amon</w:t>
      </w:r>
      <w:r w:rsidR="003F022B" w:rsidRPr="00EE33FA">
        <w:rPr>
          <w:lang w:val="en-GB"/>
        </w:rPr>
        <w:t xml:space="preserve">g the most affected age group, </w:t>
      </w:r>
      <w:r w:rsidRPr="00EE33FA">
        <w:rPr>
          <w:lang w:val="en-GB"/>
        </w:rPr>
        <w:t>young adults</w:t>
      </w:r>
      <w:r w:rsidR="001D0477" w:rsidRPr="00EE33FA">
        <w:rPr>
          <w:lang w:val="en-GB"/>
        </w:rPr>
        <w:t>,</w:t>
      </w:r>
      <w:r w:rsidRPr="00EE33FA">
        <w:rPr>
          <w:lang w:val="en-GB"/>
        </w:rPr>
        <w:t xml:space="preserve"> is not feasible due to the lack of institutional structure to deliver campaign doses as there are no geographically defined catchment areas for HCF, proportion of unemployment, high mobility of population in this group all of which make it extremely difficult to determine and reach out to target</w:t>
      </w:r>
      <w:r w:rsidR="0051053C" w:rsidRPr="00EE33FA">
        <w:rPr>
          <w:lang w:val="en-GB"/>
        </w:rPr>
        <w:t xml:space="preserve"> population. </w:t>
      </w:r>
      <w:r w:rsidRPr="00EE33FA">
        <w:rPr>
          <w:lang w:val="en-GB"/>
        </w:rPr>
        <w:t>In addition, the risk perception for measles and demand for preventive services in general are c</w:t>
      </w:r>
      <w:r w:rsidR="00AF2281" w:rsidRPr="00EE33FA">
        <w:rPr>
          <w:lang w:val="en-GB"/>
        </w:rPr>
        <w:t xml:space="preserve">onsidered very low in Georgia. </w:t>
      </w:r>
      <w:r w:rsidRPr="00EE33FA">
        <w:rPr>
          <w:lang w:val="en-GB"/>
        </w:rPr>
        <w:t>Both incomplete coverage among children and immunity gap among adults contribute to continued problem of measles i</w:t>
      </w:r>
      <w:r w:rsidR="00526EDB" w:rsidRPr="00EE33FA">
        <w:rPr>
          <w:lang w:val="en-GB"/>
        </w:rPr>
        <w:t xml:space="preserve">n Georgia. </w:t>
      </w:r>
      <w:r w:rsidRPr="00EE33FA">
        <w:rPr>
          <w:lang w:val="en-GB"/>
        </w:rPr>
        <w:t>Without addressing both, the elimination is unlikely.</w:t>
      </w:r>
    </w:p>
    <w:p w14:paraId="0EF0DE71" w14:textId="4B059322" w:rsidR="00F82857" w:rsidRPr="00EE33FA" w:rsidRDefault="008D3D59" w:rsidP="00F82857">
      <w:pPr>
        <w:spacing w:before="120" w:line="300" w:lineRule="atLeast"/>
        <w:ind w:firstLine="360"/>
        <w:jc w:val="both"/>
        <w:rPr>
          <w:color w:val="000000" w:themeColor="text1"/>
          <w:lang w:val="en-GB"/>
        </w:rPr>
      </w:pPr>
      <w:r w:rsidRPr="00EE33FA">
        <w:rPr>
          <w:lang w:val="en-GB"/>
        </w:rPr>
        <w:t>Rubella cases are reported consistently b</w:t>
      </w:r>
      <w:r w:rsidR="00DB1556" w:rsidRPr="00EE33FA">
        <w:rPr>
          <w:lang w:val="en-GB"/>
        </w:rPr>
        <w:t xml:space="preserve">ut at a lower level each year. </w:t>
      </w:r>
      <w:r w:rsidRPr="00EE33FA">
        <w:rPr>
          <w:lang w:val="en-GB"/>
        </w:rPr>
        <w:t xml:space="preserve">Very few of </w:t>
      </w:r>
      <w:r w:rsidR="00DB1556" w:rsidRPr="00EE33FA">
        <w:rPr>
          <w:lang w:val="en-GB"/>
        </w:rPr>
        <w:t xml:space="preserve">them are laboratory confirmed. </w:t>
      </w:r>
      <w:r w:rsidRPr="00EE33FA">
        <w:rPr>
          <w:lang w:val="en-GB"/>
        </w:rPr>
        <w:t>The last major outbreak was in 2004-2005 and was focused predominantly among children under 10</w:t>
      </w:r>
      <w:r w:rsidR="00CF4448" w:rsidRPr="00EE33FA">
        <w:rPr>
          <w:lang w:val="en-GB"/>
        </w:rPr>
        <w:t xml:space="preserve"> years</w:t>
      </w:r>
      <w:r w:rsidRPr="00EE33FA">
        <w:rPr>
          <w:lang w:val="en-GB"/>
        </w:rPr>
        <w:t>.  Introduction of MMR beginning in 2004 has likely prolonged inter-epidemic period but continued transmiss</w:t>
      </w:r>
      <w:r w:rsidR="00540696" w:rsidRPr="00EE33FA">
        <w:rPr>
          <w:lang w:val="en-GB"/>
        </w:rPr>
        <w:t>ion and 2010 serosurvey suggest</w:t>
      </w:r>
      <w:r w:rsidRPr="00EE33FA">
        <w:rPr>
          <w:lang w:val="en-GB"/>
        </w:rPr>
        <w:t xml:space="preserve"> remain</w:t>
      </w:r>
      <w:r w:rsidR="00DB1556" w:rsidRPr="00EE33FA">
        <w:rPr>
          <w:lang w:val="en-GB"/>
        </w:rPr>
        <w:t xml:space="preserve">ing population susceptibility. </w:t>
      </w:r>
      <w:r w:rsidRPr="00EE33FA">
        <w:rPr>
          <w:lang w:val="en-GB"/>
        </w:rPr>
        <w:t>This needs to be clarified and addressed to prevent future outbreaks of rubella among older age gr</w:t>
      </w:r>
      <w:r w:rsidR="00DB1556" w:rsidRPr="00EE33FA">
        <w:rPr>
          <w:lang w:val="en-GB"/>
        </w:rPr>
        <w:t xml:space="preserve">oups with higher risk of CRS. </w:t>
      </w:r>
      <w:r w:rsidRPr="00EE33FA">
        <w:rPr>
          <w:lang w:val="en-GB"/>
        </w:rPr>
        <w:t>CRS surveillance is in place on paper but hardly implemented.</w:t>
      </w:r>
    </w:p>
    <w:p w14:paraId="370A8A65" w14:textId="582DDF92" w:rsidR="00F82857" w:rsidRPr="00EE33FA" w:rsidRDefault="008D3D59" w:rsidP="00F82857">
      <w:pPr>
        <w:spacing w:before="120" w:line="300" w:lineRule="atLeast"/>
        <w:ind w:firstLine="360"/>
        <w:jc w:val="both"/>
        <w:rPr>
          <w:color w:val="000000" w:themeColor="text1"/>
          <w:lang w:val="en-GB"/>
        </w:rPr>
      </w:pPr>
      <w:r w:rsidRPr="00EE33FA">
        <w:rPr>
          <w:lang w:val="en-GB"/>
        </w:rPr>
        <w:t>The issue of immunity gap among adults remains crucial for the elimination program.  There is a plan to assess current levels of measles and rubella immunit</w:t>
      </w:r>
      <w:r w:rsidR="00E02EE9" w:rsidRPr="00EE33FA">
        <w:rPr>
          <w:lang w:val="en-GB"/>
        </w:rPr>
        <w:t>y among adult population using a</w:t>
      </w:r>
      <w:r w:rsidRPr="00EE33FA">
        <w:rPr>
          <w:lang w:val="en-GB"/>
        </w:rPr>
        <w:t>dult population attitude toward these diseases and immunization need to be assessed to identify potential factors affecting health seeking behavior and demand for vaccination so that more targeted interventions ca</w:t>
      </w:r>
      <w:r w:rsidR="00D44922" w:rsidRPr="00EE33FA">
        <w:rPr>
          <w:lang w:val="en-GB"/>
        </w:rPr>
        <w:t xml:space="preserve">n be designed and implemented. </w:t>
      </w:r>
      <w:r w:rsidRPr="00EE33FA">
        <w:rPr>
          <w:lang w:val="en-GB"/>
        </w:rPr>
        <w:t>One approach to the analysis could be use of the Tailoring Immunization Programs (TIP) tool developed WHO/EURO.</w:t>
      </w:r>
    </w:p>
    <w:p w14:paraId="5EE1232F" w14:textId="77777777" w:rsidR="00F82857" w:rsidRPr="00EE33FA" w:rsidRDefault="008D3D59" w:rsidP="00F82857">
      <w:pPr>
        <w:spacing w:before="120" w:line="300" w:lineRule="atLeast"/>
        <w:ind w:firstLine="360"/>
        <w:jc w:val="both"/>
        <w:rPr>
          <w:color w:val="000000" w:themeColor="text1"/>
          <w:lang w:val="en-GB"/>
        </w:rPr>
      </w:pPr>
      <w:r w:rsidRPr="00EE33FA">
        <w:rPr>
          <w:lang w:val="en-GB"/>
        </w:rPr>
        <w:t>There is no National Plan for Measles and Rubella Elimination in Georgia</w:t>
      </w:r>
      <w:r w:rsidR="00F82857" w:rsidRPr="00EE33FA">
        <w:rPr>
          <w:color w:val="000000" w:themeColor="text1"/>
          <w:lang w:val="en-GB"/>
        </w:rPr>
        <w:t>.</w:t>
      </w:r>
    </w:p>
    <w:p w14:paraId="5E1886F3" w14:textId="6577E1A7" w:rsidR="008D3D59" w:rsidRPr="00EE33FA" w:rsidRDefault="008D3D59" w:rsidP="00F82857">
      <w:pPr>
        <w:spacing w:before="120" w:line="300" w:lineRule="atLeast"/>
        <w:ind w:firstLine="360"/>
        <w:jc w:val="both"/>
        <w:rPr>
          <w:color w:val="000000" w:themeColor="text1"/>
          <w:lang w:val="en-GB"/>
        </w:rPr>
      </w:pPr>
      <w:r w:rsidRPr="00EE33FA">
        <w:rPr>
          <w:lang w:val="en-GB"/>
        </w:rPr>
        <w:t>Competing prio</w:t>
      </w:r>
      <w:r w:rsidR="009F134F" w:rsidRPr="00EE33FA">
        <w:rPr>
          <w:lang w:val="en-GB"/>
        </w:rPr>
        <w:t xml:space="preserve">rities (e.g. hepatitis </w:t>
      </w:r>
      <w:r w:rsidRPr="00EE33FA">
        <w:rPr>
          <w:lang w:val="en-GB"/>
        </w:rPr>
        <w:t>C elimination program) also create substantial challenges to achieving measles and rubella elimination goals.</w:t>
      </w:r>
    </w:p>
    <w:p w14:paraId="6DFE037F" w14:textId="77777777" w:rsidR="008D3D59" w:rsidRPr="00EE33FA" w:rsidRDefault="008D3D59" w:rsidP="00514266">
      <w:pPr>
        <w:spacing w:before="120" w:line="300" w:lineRule="atLeast"/>
        <w:ind w:firstLine="360"/>
        <w:jc w:val="both"/>
        <w:rPr>
          <w:b/>
          <w:lang w:val="en-GB"/>
        </w:rPr>
      </w:pPr>
      <w:r w:rsidRPr="00EE33FA">
        <w:rPr>
          <w:b/>
          <w:lang w:val="en-GB"/>
        </w:rPr>
        <w:t>Hepatitis B control</w:t>
      </w:r>
    </w:p>
    <w:p w14:paraId="194C76FE" w14:textId="77777777" w:rsidR="00F82857" w:rsidRPr="00EE33FA" w:rsidRDefault="008D3D59" w:rsidP="00F82857">
      <w:pPr>
        <w:spacing w:before="120" w:line="300" w:lineRule="atLeast"/>
        <w:ind w:firstLine="360"/>
        <w:jc w:val="both"/>
        <w:rPr>
          <w:color w:val="000000" w:themeColor="text1"/>
          <w:lang w:val="en-GB"/>
        </w:rPr>
      </w:pPr>
      <w:r w:rsidRPr="00EE33FA">
        <w:rPr>
          <w:lang w:val="en-GB"/>
        </w:rPr>
        <w:t xml:space="preserve">The information to assess the impact of hepatitis B vaccination in Georgia is very limited as acute hepatitis B is no longer subject to case-based reporting and no surveys to assess chronic hepatitis B virus infection (HBsAg carriage) have been conducted. Although there is </w:t>
      </w:r>
      <w:r w:rsidRPr="00EE33FA">
        <w:rPr>
          <w:lang w:val="en-GB"/>
        </w:rPr>
        <w:lastRenderedPageBreak/>
        <w:t>a large-scale nationwide serosurvey for hepatitis B and C currently underway, so far there are no plans with regard to hepatitis B.  Anecdotally, there have been very few cases of hepatitis B reported in vaccinated birth cohorts.</w:t>
      </w:r>
    </w:p>
    <w:p w14:paraId="5829C336" w14:textId="33E5BA7E" w:rsidR="008D3D59" w:rsidRPr="00EE33FA" w:rsidRDefault="008D3D59" w:rsidP="00F82857">
      <w:pPr>
        <w:spacing w:before="120" w:line="300" w:lineRule="atLeast"/>
        <w:ind w:firstLine="360"/>
        <w:jc w:val="both"/>
        <w:rPr>
          <w:color w:val="000000" w:themeColor="text1"/>
          <w:lang w:val="en-GB"/>
        </w:rPr>
      </w:pPr>
      <w:r w:rsidRPr="00EE33FA">
        <w:rPr>
          <w:lang w:val="en-GB"/>
        </w:rPr>
        <w:t>With WHO/EURO hepatitis B control</w:t>
      </w:r>
      <w:r w:rsidR="00F85BDB" w:rsidRPr="00EE33FA">
        <w:rPr>
          <w:lang w:val="en-GB"/>
        </w:rPr>
        <w:t xml:space="preserve"> goal being established, it is i</w:t>
      </w:r>
      <w:r w:rsidRPr="00EE33FA">
        <w:rPr>
          <w:lang w:val="en-GB"/>
        </w:rPr>
        <w:t xml:space="preserve">mportant to restore case-based surveillance for acute hepatitis B and assess prevalence of chronic hepatitis B virus infections among children. </w:t>
      </w:r>
    </w:p>
    <w:p w14:paraId="22CE4696" w14:textId="77777777" w:rsidR="00635A8E" w:rsidRPr="00EE33FA" w:rsidRDefault="00635A8E" w:rsidP="00635A8E">
      <w:pPr>
        <w:spacing w:before="120" w:line="300" w:lineRule="atLeast"/>
        <w:jc w:val="both"/>
        <w:rPr>
          <w:color w:val="000000" w:themeColor="text1"/>
          <w:lang w:val="en-GB"/>
        </w:rPr>
      </w:pPr>
    </w:p>
    <w:p w14:paraId="5E769B84" w14:textId="77777777" w:rsidR="00635A8E" w:rsidRPr="00EE33FA" w:rsidRDefault="00635A8E" w:rsidP="00635A8E">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Summary findings and recommendations</w:t>
      </w:r>
    </w:p>
    <w:p w14:paraId="07390B8C" w14:textId="77777777" w:rsidR="00635A8E" w:rsidRPr="00EE33FA" w:rsidRDefault="00635A8E" w:rsidP="00635A8E">
      <w:pPr>
        <w:spacing w:before="60" w:after="60"/>
        <w:ind w:left="357" w:right="-1"/>
        <w:rPr>
          <w:lang w:val="en-GB"/>
        </w:rPr>
      </w:pPr>
      <w:r w:rsidRPr="00EE33FA">
        <w:rPr>
          <w:b/>
          <w:color w:val="4F81BD"/>
          <w:lang w:val="en-GB"/>
        </w:rPr>
        <w:t>Major achievements</w:t>
      </w:r>
    </w:p>
    <w:p w14:paraId="21DDD93F" w14:textId="77777777" w:rsidR="00635A8E" w:rsidRPr="00EE33FA" w:rsidRDefault="00635A8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VPD surveillance well established and functional</w:t>
      </w:r>
    </w:p>
    <w:p w14:paraId="56E4110A" w14:textId="4CA9ED53" w:rsidR="00635A8E" w:rsidRPr="00EE33FA" w:rsidRDefault="00635A8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Availability of EIDSS - online system of case based detection</w:t>
      </w:r>
      <w:r w:rsidR="001977B4" w:rsidRPr="00EE33FA">
        <w:rPr>
          <w:rFonts w:ascii="Times New Roman" w:hAnsi="Times New Roman"/>
          <w:lang w:val="en-GB"/>
        </w:rPr>
        <w:t xml:space="preserve"> </w:t>
      </w:r>
      <w:r w:rsidRPr="00EE33FA">
        <w:rPr>
          <w:rFonts w:ascii="Times New Roman" w:hAnsi="Times New Roman"/>
          <w:lang w:val="en-GB"/>
        </w:rPr>
        <w:t>/</w:t>
      </w:r>
      <w:r w:rsidR="001977B4" w:rsidRPr="00EE33FA">
        <w:rPr>
          <w:rFonts w:ascii="Times New Roman" w:hAnsi="Times New Roman"/>
          <w:lang w:val="en-GB"/>
        </w:rPr>
        <w:t xml:space="preserve"> </w:t>
      </w:r>
      <w:r w:rsidRPr="00EE33FA">
        <w:rPr>
          <w:rFonts w:ascii="Times New Roman" w:hAnsi="Times New Roman"/>
          <w:lang w:val="en-GB"/>
        </w:rPr>
        <w:t>notification</w:t>
      </w:r>
      <w:r w:rsidR="001977B4" w:rsidRPr="00EE33FA">
        <w:rPr>
          <w:rFonts w:ascii="Times New Roman" w:hAnsi="Times New Roman"/>
          <w:lang w:val="en-GB"/>
        </w:rPr>
        <w:t xml:space="preserve"> </w:t>
      </w:r>
      <w:r w:rsidRPr="00EE33FA">
        <w:rPr>
          <w:rFonts w:ascii="Times New Roman" w:hAnsi="Times New Roman"/>
          <w:lang w:val="en-GB"/>
        </w:rPr>
        <w:t>/</w:t>
      </w:r>
      <w:r w:rsidR="001977B4" w:rsidRPr="00EE33FA">
        <w:rPr>
          <w:rFonts w:ascii="Times New Roman" w:hAnsi="Times New Roman"/>
          <w:lang w:val="en-GB"/>
        </w:rPr>
        <w:t xml:space="preserve"> </w:t>
      </w:r>
      <w:r w:rsidRPr="00EE33FA">
        <w:rPr>
          <w:rFonts w:ascii="Times New Roman" w:hAnsi="Times New Roman"/>
          <w:lang w:val="en-GB"/>
        </w:rPr>
        <w:t>reporting</w:t>
      </w:r>
      <w:r w:rsidR="001977B4" w:rsidRPr="00EE33FA">
        <w:rPr>
          <w:rFonts w:ascii="Times New Roman" w:hAnsi="Times New Roman"/>
          <w:lang w:val="en-GB"/>
        </w:rPr>
        <w:t xml:space="preserve"> </w:t>
      </w:r>
      <w:r w:rsidRPr="00EE33FA">
        <w:rPr>
          <w:rFonts w:ascii="Times New Roman" w:hAnsi="Times New Roman"/>
          <w:lang w:val="en-GB"/>
        </w:rPr>
        <w:t>/</w:t>
      </w:r>
      <w:r w:rsidR="001977B4" w:rsidRPr="00EE33FA">
        <w:rPr>
          <w:rFonts w:ascii="Times New Roman" w:hAnsi="Times New Roman"/>
          <w:lang w:val="en-GB"/>
        </w:rPr>
        <w:t xml:space="preserve"> </w:t>
      </w:r>
      <w:r w:rsidRPr="00EE33FA">
        <w:rPr>
          <w:rFonts w:ascii="Times New Roman" w:hAnsi="Times New Roman"/>
          <w:lang w:val="en-GB"/>
        </w:rPr>
        <w:t>investigation</w:t>
      </w:r>
      <w:r w:rsidR="001977B4" w:rsidRPr="00EE33FA">
        <w:rPr>
          <w:rFonts w:ascii="Times New Roman" w:hAnsi="Times New Roman"/>
          <w:lang w:val="en-GB"/>
        </w:rPr>
        <w:t xml:space="preserve"> </w:t>
      </w:r>
      <w:r w:rsidRPr="00EE33FA">
        <w:rPr>
          <w:rFonts w:ascii="Times New Roman" w:hAnsi="Times New Roman"/>
          <w:lang w:val="en-GB"/>
        </w:rPr>
        <w:t>/</w:t>
      </w:r>
      <w:r w:rsidR="001977B4" w:rsidRPr="00EE33FA">
        <w:rPr>
          <w:rFonts w:ascii="Times New Roman" w:hAnsi="Times New Roman"/>
          <w:lang w:val="en-GB"/>
        </w:rPr>
        <w:t xml:space="preserve"> </w:t>
      </w:r>
      <w:r w:rsidRPr="00EE33FA">
        <w:rPr>
          <w:rFonts w:ascii="Times New Roman" w:hAnsi="Times New Roman"/>
          <w:lang w:val="en-GB"/>
        </w:rPr>
        <w:t>analysis</w:t>
      </w:r>
    </w:p>
    <w:p w14:paraId="066E8D98" w14:textId="77777777" w:rsidR="00635A8E" w:rsidRPr="00EE33FA" w:rsidRDefault="00635A8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Data detection and reporting in general satisfactory; timeliness/completeness satisfactory; data analysis well done at national and district levels (including outbreak analysis)</w:t>
      </w:r>
    </w:p>
    <w:p w14:paraId="5A3AB557" w14:textId="664ED1F7" w:rsidR="00635A8E" w:rsidRPr="00EE33FA" w:rsidRDefault="00635A8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Availability of modern up-to-date laboratories at Lugar </w:t>
      </w:r>
      <w:r w:rsidR="00EE33FA" w:rsidRPr="00EE33FA">
        <w:rPr>
          <w:rFonts w:ascii="Times New Roman" w:hAnsi="Times New Roman"/>
          <w:lang w:val="en-GB"/>
        </w:rPr>
        <w:t>Centre</w:t>
      </w:r>
      <w:r w:rsidRPr="00EE33FA">
        <w:rPr>
          <w:rFonts w:ascii="Times New Roman" w:hAnsi="Times New Roman"/>
          <w:lang w:val="en-GB"/>
        </w:rPr>
        <w:t xml:space="preserve">; WHO-accredited national laboratories for polio, measles, and rubella </w:t>
      </w:r>
    </w:p>
    <w:p w14:paraId="194BC27E" w14:textId="77777777" w:rsidR="00635A8E" w:rsidRPr="00EE33FA" w:rsidRDefault="00635A8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Plans to further strengthen laboratory component, particularly using molecular-based methods</w:t>
      </w:r>
    </w:p>
    <w:p w14:paraId="0A71273B" w14:textId="77777777" w:rsidR="00635A8E" w:rsidRPr="00EE33FA" w:rsidRDefault="00635A8E" w:rsidP="0087400E">
      <w:pPr>
        <w:pStyle w:val="ListParagraph"/>
        <w:numPr>
          <w:ilvl w:val="0"/>
          <w:numId w:val="7"/>
        </w:numPr>
        <w:spacing w:before="60" w:after="60"/>
        <w:ind w:left="714" w:right="-1" w:hanging="357"/>
        <w:contextualSpacing w:val="0"/>
        <w:rPr>
          <w:rFonts w:ascii="Times New Roman" w:hAnsi="Times New Roman"/>
          <w:lang w:val="en-GB"/>
        </w:rPr>
      </w:pPr>
      <w:r w:rsidRPr="00EE33FA">
        <w:rPr>
          <w:rFonts w:ascii="Times New Roman" w:hAnsi="Times New Roman"/>
          <w:lang w:val="en-GB"/>
        </w:rPr>
        <w:t xml:space="preserve">Continued collaboration and support from partners (CDC, DTRA, WHO, etc.) </w:t>
      </w:r>
    </w:p>
    <w:p w14:paraId="71F62639" w14:textId="77777777" w:rsidR="00635A8E" w:rsidRPr="00EE33FA" w:rsidRDefault="00635A8E" w:rsidP="00635A8E">
      <w:pPr>
        <w:spacing w:before="60" w:after="60"/>
        <w:ind w:left="360" w:right="-1"/>
        <w:rPr>
          <w:lang w:val="en-GB"/>
        </w:rPr>
      </w:pPr>
      <w:r w:rsidRPr="00EE33FA">
        <w:rPr>
          <w:b/>
          <w:color w:val="4F81BD"/>
          <w:lang w:val="en-GB"/>
        </w:rPr>
        <w:t>Major issues identified</w:t>
      </w:r>
    </w:p>
    <w:p w14:paraId="5371B712" w14:textId="77777777" w:rsidR="00635A8E" w:rsidRPr="00EE33FA" w:rsidRDefault="00635A8E"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Limited laboratory confirmation of VPD cases</w:t>
      </w:r>
    </w:p>
    <w:p w14:paraId="4C8914CA" w14:textId="77777777" w:rsidR="00635A8E" w:rsidRPr="00EE33FA" w:rsidRDefault="00635A8E"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Challenge with specimen collecting (e.g. blood sample)</w:t>
      </w:r>
    </w:p>
    <w:p w14:paraId="41EF6EC3" w14:textId="77777777" w:rsidR="00635A8E" w:rsidRPr="00EE33FA" w:rsidRDefault="00635A8E"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Outdated surveillance guidelines for measles, rubella, and CRS</w:t>
      </w:r>
    </w:p>
    <w:p w14:paraId="1978FF77" w14:textId="77777777" w:rsidR="00635A8E" w:rsidRPr="00EE33FA" w:rsidRDefault="00635A8E"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Very weak CRS surveillance</w:t>
      </w:r>
    </w:p>
    <w:p w14:paraId="51ED3CCA" w14:textId="77777777" w:rsidR="00635A8E" w:rsidRPr="00EE33FA" w:rsidRDefault="00635A8E" w:rsidP="0087400E">
      <w:pPr>
        <w:pStyle w:val="ListParagraph"/>
        <w:numPr>
          <w:ilvl w:val="0"/>
          <w:numId w:val="6"/>
        </w:numPr>
        <w:spacing w:before="60" w:after="60"/>
        <w:ind w:right="-1"/>
        <w:contextualSpacing w:val="0"/>
        <w:rPr>
          <w:rFonts w:ascii="Times New Roman" w:hAnsi="Times New Roman"/>
          <w:lang w:val="en-GB"/>
        </w:rPr>
      </w:pPr>
      <w:r w:rsidRPr="00EE33FA">
        <w:rPr>
          <w:rFonts w:ascii="Times New Roman" w:hAnsi="Times New Roman"/>
          <w:lang w:val="en-GB"/>
        </w:rPr>
        <w:t xml:space="preserve">Threat to achieving measles and rubella elimination goal </w:t>
      </w:r>
    </w:p>
    <w:p w14:paraId="33DEE83C" w14:textId="13DBF474" w:rsidR="00635A8E" w:rsidRPr="00EE33FA" w:rsidRDefault="00635A8E" w:rsidP="00540F27">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tabs>
          <w:tab w:val="left" w:pos="3584"/>
        </w:tabs>
        <w:spacing w:before="120" w:line="300" w:lineRule="atLeast"/>
        <w:jc w:val="both"/>
        <w:rPr>
          <w:b/>
          <w:color w:val="4F81BD"/>
          <w:lang w:val="en-GB"/>
        </w:rPr>
      </w:pPr>
      <w:r w:rsidRPr="00EE33FA">
        <w:rPr>
          <w:b/>
          <w:color w:val="4F81BD"/>
          <w:lang w:val="en-GB"/>
        </w:rPr>
        <w:t>Main recommendations</w:t>
      </w:r>
      <w:r w:rsidR="00540F27" w:rsidRPr="00EE33FA">
        <w:rPr>
          <w:b/>
          <w:color w:val="4F81BD"/>
          <w:lang w:val="en-GB"/>
        </w:rPr>
        <w:tab/>
      </w:r>
    </w:p>
    <w:p w14:paraId="071FEE3E" w14:textId="77777777" w:rsidR="00635A8E" w:rsidRPr="00EE33FA" w:rsidRDefault="00635A8E" w:rsidP="0087400E">
      <w:pPr>
        <w:pStyle w:val="ListParagraph"/>
        <w:numPr>
          <w:ilvl w:val="0"/>
          <w:numId w:val="26"/>
        </w:numPr>
        <w:pBdr>
          <w:top w:val="single" w:sz="4" w:space="1" w:color="6681BD" w:shadow="1"/>
          <w:left w:val="single" w:sz="4" w:space="4" w:color="6681BD" w:shadow="1"/>
          <w:bottom w:val="single" w:sz="4" w:space="1" w:color="6681BD" w:shadow="1"/>
          <w:right w:val="single" w:sz="4" w:space="4" w:color="6681BD" w:shadow="1"/>
        </w:pBdr>
        <w:spacing w:before="60" w:after="60"/>
        <w:ind w:right="-1"/>
        <w:contextualSpacing w:val="0"/>
        <w:rPr>
          <w:rFonts w:ascii="Times New Roman" w:hAnsi="Times New Roman"/>
          <w:lang w:val="en-GB"/>
        </w:rPr>
      </w:pPr>
      <w:r w:rsidRPr="00EE33FA">
        <w:rPr>
          <w:rFonts w:ascii="Times New Roman" w:hAnsi="Times New Roman"/>
          <w:lang w:val="en-GB"/>
        </w:rPr>
        <w:t>Scale up measles and rubella elimination efforts through high political commitment, developing national plan and implementing appropriate strategies</w:t>
      </w:r>
    </w:p>
    <w:p w14:paraId="6F038023" w14:textId="77777777" w:rsidR="00635A8E" w:rsidRPr="00EE33FA" w:rsidRDefault="00635A8E" w:rsidP="0087400E">
      <w:pPr>
        <w:pStyle w:val="ListParagraph"/>
        <w:numPr>
          <w:ilvl w:val="0"/>
          <w:numId w:val="26"/>
        </w:numPr>
        <w:pBdr>
          <w:top w:val="single" w:sz="4" w:space="1" w:color="6681BD" w:shadow="1"/>
          <w:left w:val="single" w:sz="4" w:space="4" w:color="6681BD" w:shadow="1"/>
          <w:bottom w:val="single" w:sz="4" w:space="1" w:color="6681BD" w:shadow="1"/>
          <w:right w:val="single" w:sz="4" w:space="4" w:color="6681BD" w:shadow="1"/>
        </w:pBdr>
        <w:spacing w:before="60" w:after="60"/>
        <w:ind w:right="-1"/>
        <w:contextualSpacing w:val="0"/>
        <w:rPr>
          <w:rFonts w:ascii="Times New Roman" w:hAnsi="Times New Roman"/>
          <w:lang w:val="en-GB"/>
        </w:rPr>
      </w:pPr>
      <w:r w:rsidRPr="00EE33FA">
        <w:rPr>
          <w:rFonts w:ascii="Times New Roman" w:hAnsi="Times New Roman"/>
          <w:lang w:val="en-GB"/>
        </w:rPr>
        <w:t>Continue efforts to implement polio “end game” strategies and maintain polio-free status</w:t>
      </w:r>
    </w:p>
    <w:p w14:paraId="7457A0B8" w14:textId="77777777" w:rsidR="00635A8E" w:rsidRPr="00EE33FA" w:rsidRDefault="00635A8E" w:rsidP="0087400E">
      <w:pPr>
        <w:pStyle w:val="ListParagraph"/>
        <w:numPr>
          <w:ilvl w:val="0"/>
          <w:numId w:val="26"/>
        </w:numPr>
        <w:pBdr>
          <w:top w:val="single" w:sz="4" w:space="1" w:color="6681BD" w:shadow="1"/>
          <w:left w:val="single" w:sz="4" w:space="4" w:color="6681BD" w:shadow="1"/>
          <w:bottom w:val="single" w:sz="4" w:space="1" w:color="6681BD" w:shadow="1"/>
          <w:right w:val="single" w:sz="4" w:space="4" w:color="6681BD" w:shadow="1"/>
        </w:pBdr>
        <w:spacing w:before="60" w:after="60"/>
        <w:ind w:right="-1"/>
        <w:contextualSpacing w:val="0"/>
        <w:rPr>
          <w:rFonts w:ascii="Times New Roman" w:hAnsi="Times New Roman"/>
          <w:lang w:val="en-GB"/>
        </w:rPr>
      </w:pPr>
      <w:r w:rsidRPr="00EE33FA">
        <w:rPr>
          <w:rFonts w:ascii="Times New Roman" w:hAnsi="Times New Roman"/>
          <w:lang w:val="en-GB"/>
        </w:rPr>
        <w:t>Strengthen VPD surveillance by reintroducing case based reporting of hepatitis B and implementing CRS surveillance; explore ways to improve specimen collection</w:t>
      </w:r>
    </w:p>
    <w:p w14:paraId="13B4DD1B" w14:textId="04626235" w:rsidR="00635A8E" w:rsidRPr="00EE33FA" w:rsidRDefault="00635A8E" w:rsidP="0087400E">
      <w:pPr>
        <w:pStyle w:val="ListParagraph"/>
        <w:numPr>
          <w:ilvl w:val="0"/>
          <w:numId w:val="26"/>
        </w:numPr>
        <w:pBdr>
          <w:top w:val="single" w:sz="4" w:space="1" w:color="6681BD" w:shadow="1"/>
          <w:left w:val="single" w:sz="4" w:space="4" w:color="6681BD" w:shadow="1"/>
          <w:bottom w:val="single" w:sz="4" w:space="1" w:color="6681BD" w:shadow="1"/>
          <w:right w:val="single" w:sz="4" w:space="4" w:color="6681BD" w:shadow="1"/>
        </w:pBdr>
        <w:spacing w:before="60" w:after="60"/>
        <w:ind w:right="-1"/>
        <w:contextualSpacing w:val="0"/>
        <w:rPr>
          <w:rFonts w:ascii="Times New Roman" w:hAnsi="Times New Roman"/>
          <w:lang w:val="en-GB"/>
        </w:rPr>
      </w:pPr>
      <w:r w:rsidRPr="00EE33FA">
        <w:rPr>
          <w:rFonts w:ascii="Times New Roman" w:hAnsi="Times New Roman"/>
          <w:lang w:val="en-GB"/>
        </w:rPr>
        <w:t>Consider establishing syndromic surveillance for diseases with fever and skin rash, to improve measles and rubella case detection</w:t>
      </w:r>
    </w:p>
    <w:p w14:paraId="4AA8F475" w14:textId="25E2F0AA" w:rsidR="008D3D59" w:rsidRPr="00EE33FA" w:rsidRDefault="001977B4" w:rsidP="00CE27C9">
      <w:pPr>
        <w:pBdr>
          <w:top w:val="single" w:sz="4" w:space="1" w:color="6681BD" w:shadow="1"/>
          <w:left w:val="single" w:sz="4" w:space="4" w:color="6681BD" w:shadow="1"/>
          <w:bottom w:val="single" w:sz="4" w:space="1" w:color="6681BD" w:shadow="1"/>
          <w:right w:val="single" w:sz="4" w:space="4" w:color="6681BD" w:shadow="1"/>
        </w:pBdr>
        <w:spacing w:before="120" w:line="300" w:lineRule="atLeast"/>
        <w:ind w:firstLine="360"/>
        <w:rPr>
          <w:lang w:val="en-GB"/>
        </w:rPr>
      </w:pPr>
      <w:r w:rsidRPr="00EE33FA">
        <w:rPr>
          <w:lang w:val="en-GB"/>
        </w:rPr>
        <w:t>In addition:</w:t>
      </w:r>
    </w:p>
    <w:p w14:paraId="7E7B0336" w14:textId="77777777" w:rsidR="008D3D59" w:rsidRPr="00EE33FA" w:rsidRDefault="008D3D59" w:rsidP="0087400E">
      <w:pPr>
        <w:pStyle w:val="ListParagraph"/>
        <w:numPr>
          <w:ilvl w:val="0"/>
          <w:numId w:val="26"/>
        </w:numPr>
        <w:pBdr>
          <w:top w:val="single" w:sz="4" w:space="1" w:color="6681BD" w:shadow="1"/>
          <w:left w:val="single" w:sz="4" w:space="4" w:color="6681BD" w:shadow="1"/>
          <w:bottom w:val="single" w:sz="4" w:space="1" w:color="6681BD" w:shadow="1"/>
          <w:right w:val="single" w:sz="4" w:space="4" w:color="6681BD" w:shadow="1"/>
        </w:pBdr>
        <w:spacing w:before="120" w:line="300" w:lineRule="atLeast"/>
        <w:contextualSpacing w:val="0"/>
        <w:rPr>
          <w:rFonts w:ascii="Times New Roman" w:hAnsi="Times New Roman" w:cs="Times New Roman"/>
          <w:lang w:val="en-GB"/>
        </w:rPr>
      </w:pPr>
      <w:r w:rsidRPr="00EE33FA">
        <w:rPr>
          <w:rFonts w:ascii="Times New Roman" w:hAnsi="Times New Roman" w:cs="Times New Roman"/>
          <w:lang w:val="en-GB"/>
        </w:rPr>
        <w:t>Maintain and strengthen capacity for laboratory testing for VPDs including those for which testing is currently not available (pertussis) or needs improvement (diphtheria)</w:t>
      </w:r>
    </w:p>
    <w:p w14:paraId="67A45C56" w14:textId="06DE2B4D" w:rsidR="005745E6" w:rsidRPr="00EE33FA" w:rsidRDefault="005745E6" w:rsidP="005745E6">
      <w:pPr>
        <w:spacing w:before="120" w:line="300" w:lineRule="atLeast"/>
        <w:ind w:firstLine="360"/>
        <w:jc w:val="center"/>
        <w:rPr>
          <w:i/>
          <w:lang w:val="en-GB"/>
        </w:rPr>
      </w:pPr>
    </w:p>
    <w:p w14:paraId="31EC6AE6" w14:textId="19B7375A" w:rsidR="009A2084" w:rsidRPr="009A2084" w:rsidRDefault="00025373" w:rsidP="009A2084">
      <w:pPr>
        <w:pStyle w:val="Heading2"/>
        <w:numPr>
          <w:ilvl w:val="0"/>
          <w:numId w:val="11"/>
        </w:numPr>
        <w:rPr>
          <w:lang w:val="en-GB"/>
        </w:rPr>
      </w:pPr>
      <w:bookmarkStart w:id="31" w:name="_Toc303889504"/>
      <w:r w:rsidRPr="00EE33FA">
        <w:rPr>
          <w:lang w:val="en-GB"/>
        </w:rPr>
        <w:lastRenderedPageBreak/>
        <w:t>Abkhazia findings and recommendations</w:t>
      </w:r>
      <w:bookmarkEnd w:id="31"/>
    </w:p>
    <w:p w14:paraId="6A9281EE" w14:textId="39BE1505" w:rsidR="009A2084" w:rsidRPr="00EE33FA" w:rsidRDefault="009A2084" w:rsidP="009A2084">
      <w:pPr>
        <w:spacing w:before="120" w:line="300" w:lineRule="atLeast"/>
        <w:ind w:firstLine="360"/>
        <w:jc w:val="both"/>
        <w:rPr>
          <w:color w:val="000000" w:themeColor="text1"/>
          <w:lang w:val="en-GB"/>
        </w:rPr>
      </w:pPr>
      <w:r>
        <w:rPr>
          <w:lang w:val="en-GB"/>
        </w:rPr>
        <w:t>A field report for Abkhazia, as for other regions visited</w:t>
      </w:r>
      <w:r w:rsidR="006A1D70">
        <w:rPr>
          <w:lang w:val="en-GB"/>
        </w:rPr>
        <w:t>,</w:t>
      </w:r>
      <w:r>
        <w:rPr>
          <w:lang w:val="en-GB"/>
        </w:rPr>
        <w:t xml:space="preserve"> </w:t>
      </w:r>
      <w:r w:rsidR="006A1D70">
        <w:rPr>
          <w:lang w:val="en-GB"/>
        </w:rPr>
        <w:t>will be</w:t>
      </w:r>
      <w:r>
        <w:rPr>
          <w:lang w:val="en-GB"/>
        </w:rPr>
        <w:t xml:space="preserve"> provided </w:t>
      </w:r>
      <w:r w:rsidR="006A1D70">
        <w:rPr>
          <w:lang w:val="en-GB"/>
        </w:rPr>
        <w:t>as a</w:t>
      </w:r>
      <w:r w:rsidR="00F57BAF">
        <w:rPr>
          <w:lang w:val="en-GB"/>
        </w:rPr>
        <w:t>n</w:t>
      </w:r>
      <w:r>
        <w:rPr>
          <w:lang w:val="en-GB"/>
        </w:rPr>
        <w:t xml:space="preserve"> annex, and will </w:t>
      </w:r>
      <w:r w:rsidR="006A1D70">
        <w:rPr>
          <w:lang w:val="en-GB"/>
        </w:rPr>
        <w:t>give</w:t>
      </w:r>
      <w:r>
        <w:rPr>
          <w:lang w:val="en-GB"/>
        </w:rPr>
        <w:t xml:space="preserve"> further details.  Below is a s</w:t>
      </w:r>
      <w:r w:rsidRPr="009A2084">
        <w:rPr>
          <w:lang w:val="en-GB"/>
        </w:rPr>
        <w:t xml:space="preserve">ummary </w:t>
      </w:r>
      <w:r>
        <w:rPr>
          <w:lang w:val="en-GB"/>
        </w:rPr>
        <w:t xml:space="preserve">of the </w:t>
      </w:r>
      <w:r w:rsidRPr="009A2084">
        <w:rPr>
          <w:lang w:val="en-GB"/>
        </w:rPr>
        <w:t>findings and recommendations</w:t>
      </w:r>
      <w:r>
        <w:rPr>
          <w:lang w:val="en-GB"/>
        </w:rPr>
        <w:t>.</w:t>
      </w:r>
    </w:p>
    <w:p w14:paraId="5971A889" w14:textId="77777777" w:rsidR="009A2084" w:rsidRPr="009A2084" w:rsidRDefault="009A2084" w:rsidP="009A2084"/>
    <w:p w14:paraId="0DE2A601" w14:textId="77777777" w:rsidR="00691A28" w:rsidRPr="00EE33FA" w:rsidRDefault="00691A28" w:rsidP="00691A28">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b/>
          <w:color w:val="4F81BD"/>
          <w:lang w:val="en-GB"/>
        </w:rPr>
      </w:pPr>
      <w:r w:rsidRPr="00EE33FA">
        <w:rPr>
          <w:b/>
          <w:color w:val="4F81BD"/>
          <w:lang w:val="en-GB"/>
        </w:rPr>
        <w:t>Summary findings and recommendations</w:t>
      </w:r>
    </w:p>
    <w:p w14:paraId="4B07219F" w14:textId="77777777" w:rsidR="00691A28" w:rsidRPr="00EE33FA" w:rsidRDefault="00691A28" w:rsidP="00691A28">
      <w:pPr>
        <w:spacing w:before="60" w:after="60"/>
        <w:ind w:left="357" w:right="-1"/>
        <w:rPr>
          <w:lang w:val="en-GB"/>
        </w:rPr>
      </w:pPr>
      <w:r w:rsidRPr="00EE33FA">
        <w:rPr>
          <w:b/>
          <w:color w:val="4F81BD"/>
          <w:lang w:val="en-GB"/>
        </w:rPr>
        <w:t>Major achievements</w:t>
      </w:r>
    </w:p>
    <w:p w14:paraId="220C3301" w14:textId="4894C6B8" w:rsidR="00691A28" w:rsidRPr="00EE33FA" w:rsidRDefault="00691A28" w:rsidP="0087400E">
      <w:pPr>
        <w:pStyle w:val="ListParagraph"/>
        <w:numPr>
          <w:ilvl w:val="0"/>
          <w:numId w:val="21"/>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Immunization schedule mainly in line with WHO recommendations (extra dose of BCG is recommended for tuberculin-negative 7-years-olds)</w:t>
      </w:r>
    </w:p>
    <w:p w14:paraId="490D6825" w14:textId="32713AC2" w:rsidR="00691A28" w:rsidRPr="00EE33FA" w:rsidRDefault="00691A28" w:rsidP="0087400E">
      <w:pPr>
        <w:pStyle w:val="ListParagraph"/>
        <w:numPr>
          <w:ilvl w:val="0"/>
          <w:numId w:val="21"/>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Strong data collection system</w:t>
      </w:r>
    </w:p>
    <w:p w14:paraId="22612D2C" w14:textId="3CE7FA1F" w:rsidR="00691A28" w:rsidRPr="00EE33FA" w:rsidRDefault="00691A28" w:rsidP="0087400E">
      <w:pPr>
        <w:pStyle w:val="ListParagraph"/>
        <w:numPr>
          <w:ilvl w:val="0"/>
          <w:numId w:val="21"/>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Well-trained, highly dedicated staff actively involved in advocacy and follow-up among parents</w:t>
      </w:r>
    </w:p>
    <w:p w14:paraId="050EA4FD" w14:textId="2A734257" w:rsidR="00691A28" w:rsidRPr="00EE33FA" w:rsidRDefault="00691A28" w:rsidP="0087400E">
      <w:pPr>
        <w:pStyle w:val="ListParagraph"/>
        <w:numPr>
          <w:ilvl w:val="0"/>
          <w:numId w:val="21"/>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Functioning vaccine supply and storage systems</w:t>
      </w:r>
    </w:p>
    <w:p w14:paraId="1DDC33A3" w14:textId="22C4DD99" w:rsidR="00691A28" w:rsidRPr="00EE33FA" w:rsidRDefault="00691A28" w:rsidP="0087400E">
      <w:pPr>
        <w:pStyle w:val="ListParagraph"/>
        <w:numPr>
          <w:ilvl w:val="0"/>
          <w:numId w:val="21"/>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Good acceptance and roll-out of new vaccines</w:t>
      </w:r>
    </w:p>
    <w:p w14:paraId="23B5B0C2" w14:textId="7575EFD3" w:rsidR="00691A28" w:rsidRPr="00EE33FA" w:rsidRDefault="00691A28" w:rsidP="0087400E">
      <w:pPr>
        <w:pStyle w:val="ListParagraph"/>
        <w:numPr>
          <w:ilvl w:val="0"/>
          <w:numId w:val="21"/>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Well-functioning school vaccination programs</w:t>
      </w:r>
    </w:p>
    <w:p w14:paraId="34953F4F" w14:textId="77777777" w:rsidR="00691A28" w:rsidRPr="00EE33FA" w:rsidRDefault="00691A28" w:rsidP="00691A28">
      <w:pPr>
        <w:spacing w:before="120" w:line="300" w:lineRule="atLeast"/>
        <w:ind w:firstLine="360"/>
        <w:jc w:val="both"/>
        <w:rPr>
          <w:color w:val="000000" w:themeColor="text1"/>
          <w:lang w:val="en-GB"/>
        </w:rPr>
      </w:pPr>
    </w:p>
    <w:p w14:paraId="14CB9F40" w14:textId="77777777" w:rsidR="00691A28" w:rsidRPr="00EE33FA" w:rsidRDefault="00691A28" w:rsidP="00691A28">
      <w:pPr>
        <w:spacing w:before="60" w:after="60"/>
        <w:ind w:left="360" w:right="-1"/>
        <w:rPr>
          <w:lang w:val="en-GB"/>
        </w:rPr>
      </w:pPr>
      <w:r w:rsidRPr="00EE33FA">
        <w:rPr>
          <w:b/>
          <w:color w:val="4F81BD"/>
          <w:lang w:val="en-GB"/>
        </w:rPr>
        <w:t>Major issues identified</w:t>
      </w:r>
    </w:p>
    <w:p w14:paraId="2D99F09E" w14:textId="711CD0C7" w:rsidR="00691A28" w:rsidRPr="00EE33FA" w:rsidRDefault="00691A28" w:rsidP="0087400E">
      <w:pPr>
        <w:pStyle w:val="ListParagraph"/>
        <w:numPr>
          <w:ilvl w:val="0"/>
          <w:numId w:val="22"/>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Weak primary health care systems; lack of paediatricians, nurses, and other relevant health staff</w:t>
      </w:r>
    </w:p>
    <w:p w14:paraId="05B0B299" w14:textId="0C2CB6FA" w:rsidR="00691A28" w:rsidRPr="00EE33FA" w:rsidRDefault="00691A28" w:rsidP="0087400E">
      <w:pPr>
        <w:pStyle w:val="ListParagraph"/>
        <w:numPr>
          <w:ilvl w:val="0"/>
          <w:numId w:val="22"/>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High drop-out rates among children of pre-school age</w:t>
      </w:r>
    </w:p>
    <w:p w14:paraId="66C038D9" w14:textId="2A7447A0" w:rsidR="00691A28" w:rsidRPr="00EE33FA" w:rsidRDefault="00691A28" w:rsidP="0087400E">
      <w:pPr>
        <w:pStyle w:val="ListParagraph"/>
        <w:numPr>
          <w:ilvl w:val="0"/>
          <w:numId w:val="22"/>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Existence of false contraindications and delayed immunization</w:t>
      </w:r>
    </w:p>
    <w:p w14:paraId="7751CF8B" w14:textId="49EC7E72" w:rsidR="00691A28" w:rsidRPr="00EE33FA" w:rsidRDefault="00691A28" w:rsidP="0087400E">
      <w:pPr>
        <w:pStyle w:val="ListParagraph"/>
        <w:numPr>
          <w:ilvl w:val="0"/>
          <w:numId w:val="22"/>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 xml:space="preserve">Major communication challenges, lack of consistent advocacy for immunization </w:t>
      </w:r>
    </w:p>
    <w:p w14:paraId="18940B39" w14:textId="10BBB388" w:rsidR="00691A28" w:rsidRPr="00EE33FA" w:rsidRDefault="00691A28" w:rsidP="0087400E">
      <w:pPr>
        <w:pStyle w:val="ListParagraph"/>
        <w:numPr>
          <w:ilvl w:val="0"/>
          <w:numId w:val="22"/>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 xml:space="preserve">Insufficient engagement and commitment of higher political authorities to immunization </w:t>
      </w:r>
    </w:p>
    <w:p w14:paraId="027F49C6" w14:textId="18EA6973" w:rsidR="00691A28" w:rsidRPr="00EE33FA" w:rsidRDefault="00691A28" w:rsidP="0087400E">
      <w:pPr>
        <w:pStyle w:val="ListParagraph"/>
        <w:numPr>
          <w:ilvl w:val="0"/>
          <w:numId w:val="22"/>
        </w:numP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Access challenges due to remoteness of certain villages and absence of functioning health points in some villages</w:t>
      </w:r>
    </w:p>
    <w:p w14:paraId="742A5934" w14:textId="77777777" w:rsidR="00691A28" w:rsidRPr="00EE33FA" w:rsidRDefault="00691A28" w:rsidP="00691A28">
      <w:pPr>
        <w:spacing w:before="120" w:line="300" w:lineRule="atLeast"/>
        <w:ind w:firstLine="360"/>
        <w:jc w:val="both"/>
        <w:rPr>
          <w:color w:val="000000" w:themeColor="text1"/>
          <w:lang w:val="en-GB"/>
        </w:rPr>
      </w:pPr>
    </w:p>
    <w:p w14:paraId="17AD1648" w14:textId="663C7B55" w:rsidR="00691A28" w:rsidRPr="00EE33FA" w:rsidRDefault="00691A28" w:rsidP="00691A28">
      <w:p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ind w:firstLine="360"/>
        <w:jc w:val="both"/>
        <w:rPr>
          <w:color w:val="000000" w:themeColor="text1"/>
          <w:lang w:val="en-GB"/>
        </w:rPr>
      </w:pPr>
      <w:r w:rsidRPr="00EE33FA">
        <w:rPr>
          <w:b/>
          <w:color w:val="4F81BD"/>
          <w:lang w:val="en-GB"/>
        </w:rPr>
        <w:t>Main recommendations</w:t>
      </w:r>
    </w:p>
    <w:p w14:paraId="2B2DC769" w14:textId="117D09D0" w:rsidR="00691A28" w:rsidRPr="00EE33FA" w:rsidRDefault="00691A28" w:rsidP="0087400E">
      <w:pPr>
        <w:pStyle w:val="ListParagraph"/>
        <w:numPr>
          <w:ilvl w:val="0"/>
          <w:numId w:val="2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Invest in strengthening immunization efforts, especially in rural areas (in short-term – though regular mobile outreach, in long-term – through re-establishment of health points in villages and strengthening primary health care)</w:t>
      </w:r>
    </w:p>
    <w:p w14:paraId="1647DE97" w14:textId="715C9181" w:rsidR="00691A28" w:rsidRPr="00EE33FA" w:rsidRDefault="00691A28" w:rsidP="0087400E">
      <w:pPr>
        <w:pStyle w:val="ListParagraph"/>
        <w:numPr>
          <w:ilvl w:val="0"/>
          <w:numId w:val="2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Strengthen advocacy and communication efforts among parents, medical staff and teachers</w:t>
      </w:r>
    </w:p>
    <w:p w14:paraId="5E32F95B" w14:textId="0746F4F5" w:rsidR="00691A28" w:rsidRPr="00EE33FA" w:rsidRDefault="00691A28" w:rsidP="0087400E">
      <w:pPr>
        <w:pStyle w:val="ListParagraph"/>
        <w:numPr>
          <w:ilvl w:val="0"/>
          <w:numId w:val="2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Invest in/establish VPD surveillance</w:t>
      </w:r>
    </w:p>
    <w:p w14:paraId="6495023B" w14:textId="48300E7B" w:rsidR="00691A28" w:rsidRPr="00EE33FA" w:rsidRDefault="00691A28" w:rsidP="0087400E">
      <w:pPr>
        <w:pStyle w:val="ListParagraph"/>
        <w:numPr>
          <w:ilvl w:val="0"/>
          <w:numId w:val="2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Advocate for stronger political commitment and engagement at the region’s government level, and for regular and sustainable financing of the immunization efforts</w:t>
      </w:r>
    </w:p>
    <w:p w14:paraId="43837A09" w14:textId="76A8565A" w:rsidR="00691A28" w:rsidRPr="00EE33FA" w:rsidRDefault="00691A28" w:rsidP="0087400E">
      <w:pPr>
        <w:pStyle w:val="ListParagraph"/>
        <w:numPr>
          <w:ilvl w:val="0"/>
          <w:numId w:val="2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Improve vaccine management system</w:t>
      </w:r>
    </w:p>
    <w:p w14:paraId="25ED74A0" w14:textId="7A467DFC" w:rsidR="00691A28" w:rsidRPr="00EE33FA" w:rsidRDefault="00691A28" w:rsidP="0087400E">
      <w:pPr>
        <w:pStyle w:val="ListParagraph"/>
        <w:numPr>
          <w:ilvl w:val="0"/>
          <w:numId w:val="23"/>
        </w:numPr>
        <w:pBdr>
          <w:top w:val="single" w:sz="4" w:space="1" w:color="4F81BD" w:themeColor="accent1" w:shadow="1"/>
          <w:left w:val="single" w:sz="4" w:space="4" w:color="4F81BD" w:themeColor="accent1" w:shadow="1"/>
          <w:bottom w:val="single" w:sz="4" w:space="1" w:color="4F81BD" w:themeColor="accent1" w:shadow="1"/>
          <w:right w:val="single" w:sz="4" w:space="4" w:color="4F81BD" w:themeColor="accent1" w:shadow="1"/>
        </w:pBdr>
        <w:spacing w:before="120" w:line="300" w:lineRule="atLeast"/>
        <w:jc w:val="both"/>
        <w:rPr>
          <w:rFonts w:ascii="Times New Roman" w:hAnsi="Times New Roman" w:cs="Times New Roman"/>
          <w:color w:val="000000" w:themeColor="text1"/>
          <w:lang w:val="en-GB"/>
        </w:rPr>
      </w:pPr>
      <w:r w:rsidRPr="00EE33FA">
        <w:rPr>
          <w:rFonts w:ascii="Times New Roman" w:hAnsi="Times New Roman" w:cs="Times New Roman"/>
          <w:color w:val="000000" w:themeColor="text1"/>
          <w:lang w:val="en-GB"/>
        </w:rPr>
        <w:t>Introduce and strengthen supportive supervision</w:t>
      </w:r>
    </w:p>
    <w:p w14:paraId="239DA54B" w14:textId="42903649" w:rsidR="00B0457A" w:rsidRDefault="00B0457A">
      <w:pPr>
        <w:rPr>
          <w:color w:val="000000" w:themeColor="text1"/>
          <w:lang w:val="en-GB"/>
        </w:rPr>
      </w:pPr>
      <w:r>
        <w:rPr>
          <w:color w:val="000000" w:themeColor="text1"/>
          <w:lang w:val="en-GB"/>
        </w:rPr>
        <w:br w:type="page"/>
      </w:r>
    </w:p>
    <w:p w14:paraId="040601DF" w14:textId="28BF00D8" w:rsidR="00EF5D91" w:rsidRPr="00EE33FA" w:rsidRDefault="007B6976" w:rsidP="00FC72D6">
      <w:pPr>
        <w:pStyle w:val="Heading1"/>
        <w:ind w:right="-763"/>
        <w:rPr>
          <w:color w:val="000000"/>
          <w:lang w:val="en-GB"/>
        </w:rPr>
      </w:pPr>
      <w:bookmarkStart w:id="32" w:name="_Toc303889505"/>
      <w:r w:rsidRPr="00EE33FA">
        <w:rPr>
          <w:lang w:val="en-GB"/>
        </w:rPr>
        <w:lastRenderedPageBreak/>
        <w:t xml:space="preserve">Annex </w:t>
      </w:r>
      <w:r w:rsidR="00FC72D6" w:rsidRPr="00EE33FA">
        <w:rPr>
          <w:lang w:val="en-GB"/>
        </w:rPr>
        <w:t>1</w:t>
      </w:r>
      <w:r w:rsidR="00EF5D91" w:rsidRPr="00EE33FA">
        <w:rPr>
          <w:lang w:val="en-GB"/>
        </w:rPr>
        <w:t xml:space="preserve">: </w:t>
      </w:r>
      <w:r w:rsidR="003F5BB9" w:rsidRPr="00EE33FA">
        <w:rPr>
          <w:lang w:val="en-GB"/>
        </w:rPr>
        <w:t>T</w:t>
      </w:r>
      <w:r w:rsidR="007A1924" w:rsidRPr="00EE33FA">
        <w:rPr>
          <w:lang w:val="en-GB"/>
        </w:rPr>
        <w:t>eam members</w:t>
      </w:r>
      <w:r w:rsidR="003F5BB9" w:rsidRPr="00EE33FA">
        <w:rPr>
          <w:lang w:val="en-GB"/>
        </w:rPr>
        <w:t xml:space="preserve"> and list of persons met</w:t>
      </w:r>
      <w:bookmarkEnd w:id="32"/>
    </w:p>
    <w:p w14:paraId="758278DD" w14:textId="77777777" w:rsidR="007A1924" w:rsidRPr="00EE33FA" w:rsidRDefault="007A1924" w:rsidP="00A310A2">
      <w:pPr>
        <w:rPr>
          <w:b/>
          <w:sz w:val="20"/>
          <w:szCs w:val="20"/>
          <w:lang w:val="en-GB"/>
        </w:rPr>
      </w:pPr>
    </w:p>
    <w:p w14:paraId="2963A09C" w14:textId="2A6BC18A" w:rsidR="007A1924" w:rsidRPr="00EE33FA" w:rsidRDefault="00D917BA" w:rsidP="00A310A2">
      <w:pPr>
        <w:rPr>
          <w:b/>
          <w:lang w:val="en-GB"/>
        </w:rPr>
      </w:pPr>
      <w:r w:rsidRPr="00EE33FA">
        <w:rPr>
          <w:b/>
          <w:lang w:val="en-GB"/>
        </w:rPr>
        <w:t>Team members</w:t>
      </w:r>
    </w:p>
    <w:p w14:paraId="42CE35D1" w14:textId="4E125F25" w:rsidR="00546640" w:rsidRPr="00EE33FA" w:rsidRDefault="00546640" w:rsidP="0087400E">
      <w:pPr>
        <w:numPr>
          <w:ilvl w:val="0"/>
          <w:numId w:val="17"/>
        </w:numPr>
        <w:ind w:left="714" w:hanging="357"/>
        <w:jc w:val="both"/>
        <w:rPr>
          <w:color w:val="000000"/>
          <w:sz w:val="22"/>
          <w:szCs w:val="22"/>
          <w:lang w:val="en-GB"/>
        </w:rPr>
      </w:pPr>
      <w:r w:rsidRPr="00EE33FA">
        <w:rPr>
          <w:color w:val="000000"/>
          <w:sz w:val="22"/>
          <w:szCs w:val="22"/>
          <w:lang w:val="en-GB"/>
        </w:rPr>
        <w:t>Oya</w:t>
      </w:r>
      <w:r w:rsidR="00A310A2" w:rsidRPr="00EE33FA">
        <w:rPr>
          <w:color w:val="000000"/>
          <w:sz w:val="22"/>
          <w:szCs w:val="22"/>
          <w:lang w:val="en-GB"/>
        </w:rPr>
        <w:t xml:space="preserve"> Zeren Afsar, UNICEF CEE/CIS</w:t>
      </w:r>
    </w:p>
    <w:p w14:paraId="7BF362DF" w14:textId="36FE0E22" w:rsidR="00A87D16" w:rsidRPr="00EE33FA" w:rsidRDefault="00A87D16" w:rsidP="0087400E">
      <w:pPr>
        <w:numPr>
          <w:ilvl w:val="0"/>
          <w:numId w:val="17"/>
        </w:numPr>
        <w:ind w:left="714" w:hanging="357"/>
        <w:jc w:val="both"/>
        <w:rPr>
          <w:color w:val="000000"/>
          <w:sz w:val="22"/>
          <w:szCs w:val="22"/>
          <w:lang w:val="en-GB"/>
        </w:rPr>
      </w:pPr>
      <w:r w:rsidRPr="00EE33FA">
        <w:rPr>
          <w:color w:val="000000"/>
          <w:sz w:val="22"/>
          <w:szCs w:val="22"/>
          <w:lang w:val="en-GB"/>
        </w:rPr>
        <w:t>Ekaterina Rykovanova</w:t>
      </w:r>
      <w:r w:rsidR="00A310A2" w:rsidRPr="00EE33FA">
        <w:rPr>
          <w:color w:val="000000"/>
          <w:sz w:val="22"/>
          <w:szCs w:val="22"/>
          <w:lang w:val="en-GB"/>
        </w:rPr>
        <w:t>, GAVI</w:t>
      </w:r>
    </w:p>
    <w:p w14:paraId="4324FDF2" w14:textId="7DDFF170" w:rsidR="00546640" w:rsidRPr="00EE33FA" w:rsidRDefault="00546640" w:rsidP="0087400E">
      <w:pPr>
        <w:numPr>
          <w:ilvl w:val="0"/>
          <w:numId w:val="17"/>
        </w:numPr>
        <w:ind w:left="714" w:hanging="357"/>
        <w:jc w:val="both"/>
        <w:rPr>
          <w:color w:val="000000"/>
          <w:sz w:val="22"/>
          <w:szCs w:val="22"/>
          <w:lang w:val="en-GB"/>
        </w:rPr>
      </w:pPr>
      <w:r w:rsidRPr="00EE33FA">
        <w:rPr>
          <w:color w:val="000000"/>
          <w:sz w:val="22"/>
          <w:szCs w:val="22"/>
          <w:lang w:val="en-GB"/>
        </w:rPr>
        <w:t>Eric</w:t>
      </w:r>
      <w:r w:rsidR="00A310A2" w:rsidRPr="00EE33FA">
        <w:rPr>
          <w:color w:val="000000"/>
          <w:sz w:val="22"/>
          <w:szCs w:val="22"/>
          <w:lang w:val="en-GB"/>
        </w:rPr>
        <w:t xml:space="preserve"> Laurent, UNICEF Consultant</w:t>
      </w:r>
    </w:p>
    <w:p w14:paraId="7D2F0D58" w14:textId="021E459A" w:rsidR="00546640" w:rsidRPr="00EE33FA" w:rsidRDefault="00546640" w:rsidP="0087400E">
      <w:pPr>
        <w:numPr>
          <w:ilvl w:val="0"/>
          <w:numId w:val="17"/>
        </w:numPr>
        <w:ind w:left="714" w:hanging="357"/>
        <w:jc w:val="both"/>
        <w:rPr>
          <w:color w:val="000000"/>
          <w:sz w:val="22"/>
          <w:szCs w:val="22"/>
          <w:lang w:val="en-GB"/>
        </w:rPr>
      </w:pPr>
      <w:r w:rsidRPr="00EE33FA">
        <w:rPr>
          <w:color w:val="000000"/>
          <w:sz w:val="22"/>
          <w:szCs w:val="22"/>
          <w:lang w:val="en-GB"/>
        </w:rPr>
        <w:t>Liudmila</w:t>
      </w:r>
      <w:r w:rsidR="00A310A2" w:rsidRPr="00EE33FA">
        <w:rPr>
          <w:color w:val="000000"/>
          <w:sz w:val="22"/>
          <w:szCs w:val="22"/>
          <w:lang w:val="en-GB"/>
        </w:rPr>
        <w:t xml:space="preserve"> Mosina, WHO EURO</w:t>
      </w:r>
    </w:p>
    <w:p w14:paraId="111FE068" w14:textId="18B7F27D" w:rsidR="00546640" w:rsidRPr="00EE33FA" w:rsidRDefault="0017456E" w:rsidP="0087400E">
      <w:pPr>
        <w:numPr>
          <w:ilvl w:val="0"/>
          <w:numId w:val="17"/>
        </w:numPr>
        <w:ind w:left="714" w:hanging="357"/>
        <w:jc w:val="both"/>
        <w:rPr>
          <w:color w:val="000000"/>
          <w:sz w:val="22"/>
          <w:szCs w:val="22"/>
          <w:lang w:val="en-GB"/>
        </w:rPr>
      </w:pPr>
      <w:r w:rsidRPr="00EE33FA">
        <w:rPr>
          <w:color w:val="000000"/>
          <w:sz w:val="22"/>
          <w:szCs w:val="22"/>
          <w:lang w:val="en-GB"/>
        </w:rPr>
        <w:t xml:space="preserve">Nino </w:t>
      </w:r>
      <w:r w:rsidR="00546640" w:rsidRPr="00EE33FA">
        <w:rPr>
          <w:color w:val="000000"/>
          <w:sz w:val="22"/>
          <w:szCs w:val="22"/>
          <w:lang w:val="en-GB"/>
        </w:rPr>
        <w:t>Khetsuriani</w:t>
      </w:r>
      <w:r w:rsidR="00A310A2" w:rsidRPr="00EE33FA">
        <w:rPr>
          <w:color w:val="000000"/>
          <w:sz w:val="22"/>
          <w:szCs w:val="22"/>
          <w:lang w:val="en-GB"/>
        </w:rPr>
        <w:t>, CDC of Atlanta</w:t>
      </w:r>
    </w:p>
    <w:p w14:paraId="0EF0BDF1" w14:textId="6C7CB7C6" w:rsidR="00546640" w:rsidRPr="00EE33FA" w:rsidRDefault="0017456E" w:rsidP="0087400E">
      <w:pPr>
        <w:numPr>
          <w:ilvl w:val="0"/>
          <w:numId w:val="17"/>
        </w:numPr>
        <w:ind w:left="714" w:hanging="357"/>
        <w:jc w:val="both"/>
        <w:rPr>
          <w:color w:val="000000"/>
          <w:sz w:val="22"/>
          <w:szCs w:val="22"/>
          <w:lang w:val="en-GB"/>
        </w:rPr>
      </w:pPr>
      <w:r w:rsidRPr="00EE33FA">
        <w:rPr>
          <w:color w:val="000000"/>
          <w:sz w:val="22"/>
          <w:szCs w:val="22"/>
          <w:lang w:val="en-GB"/>
        </w:rPr>
        <w:t xml:space="preserve">Eka </w:t>
      </w:r>
      <w:r w:rsidR="00546640" w:rsidRPr="00EE33FA">
        <w:rPr>
          <w:color w:val="000000"/>
          <w:sz w:val="22"/>
          <w:szCs w:val="22"/>
          <w:lang w:val="en-GB"/>
        </w:rPr>
        <w:t>Paatashvili</w:t>
      </w:r>
      <w:r w:rsidR="00A310A2" w:rsidRPr="00EE33FA">
        <w:rPr>
          <w:color w:val="000000"/>
          <w:sz w:val="22"/>
          <w:szCs w:val="22"/>
          <w:lang w:val="en-GB"/>
        </w:rPr>
        <w:t>, Sabin Vaccine Institute</w:t>
      </w:r>
    </w:p>
    <w:p w14:paraId="33E75585" w14:textId="5B6253D8" w:rsidR="00A172C6" w:rsidRPr="00EE33FA" w:rsidRDefault="00546640" w:rsidP="0087400E">
      <w:pPr>
        <w:numPr>
          <w:ilvl w:val="0"/>
          <w:numId w:val="17"/>
        </w:numPr>
        <w:ind w:left="714" w:hanging="357"/>
        <w:jc w:val="both"/>
        <w:rPr>
          <w:color w:val="000000"/>
          <w:sz w:val="22"/>
          <w:szCs w:val="22"/>
          <w:lang w:val="en-GB"/>
        </w:rPr>
      </w:pPr>
      <w:r w:rsidRPr="00EE33FA">
        <w:rPr>
          <w:color w:val="000000"/>
          <w:sz w:val="22"/>
          <w:szCs w:val="22"/>
          <w:lang w:val="en-GB"/>
        </w:rPr>
        <w:t>Andrey Tulisov</w:t>
      </w:r>
      <w:r w:rsidR="00A310A2" w:rsidRPr="00EE33FA">
        <w:rPr>
          <w:color w:val="000000"/>
          <w:sz w:val="22"/>
          <w:szCs w:val="22"/>
          <w:lang w:val="en-GB"/>
        </w:rPr>
        <w:t>, UNICEF Abkhazia</w:t>
      </w:r>
    </w:p>
    <w:p w14:paraId="65CD52AB" w14:textId="77777777" w:rsidR="00A310A2" w:rsidRPr="00EE33FA" w:rsidRDefault="00A310A2" w:rsidP="0087400E">
      <w:pPr>
        <w:pStyle w:val="ListParagraph"/>
        <w:numPr>
          <w:ilvl w:val="0"/>
          <w:numId w:val="17"/>
        </w:numPr>
        <w:tabs>
          <w:tab w:val="left" w:pos="3828"/>
        </w:tabs>
        <w:contextualSpacing w:val="0"/>
        <w:rPr>
          <w:rFonts w:ascii="Times New Roman" w:hAnsi="Times New Roman" w:cs="Times New Roman"/>
          <w:sz w:val="22"/>
          <w:szCs w:val="22"/>
          <w:lang w:val="en-GB"/>
        </w:rPr>
      </w:pPr>
      <w:r w:rsidRPr="00EE33FA">
        <w:rPr>
          <w:rFonts w:ascii="Times New Roman" w:hAnsi="Times New Roman" w:cs="Times New Roman"/>
          <w:sz w:val="22"/>
          <w:szCs w:val="22"/>
          <w:lang w:val="en-GB"/>
        </w:rPr>
        <w:t>Lia Jabidze, Head of Immunoprophylaxis Division, NCDC</w:t>
      </w:r>
    </w:p>
    <w:p w14:paraId="4C9AA3C3" w14:textId="1751D53B" w:rsidR="00A310A2" w:rsidRPr="00EE33FA" w:rsidRDefault="00A310A2" w:rsidP="0087400E">
      <w:pPr>
        <w:pStyle w:val="ListParagraph"/>
        <w:numPr>
          <w:ilvl w:val="0"/>
          <w:numId w:val="17"/>
        </w:numPr>
        <w:tabs>
          <w:tab w:val="left" w:pos="3828"/>
        </w:tabs>
        <w:contextualSpacing w:val="0"/>
        <w:rPr>
          <w:rFonts w:ascii="Times New Roman" w:hAnsi="Times New Roman" w:cs="Times New Roman"/>
          <w:sz w:val="22"/>
          <w:szCs w:val="22"/>
          <w:lang w:val="en-GB"/>
        </w:rPr>
      </w:pPr>
      <w:r w:rsidRPr="00EE33FA">
        <w:rPr>
          <w:rFonts w:ascii="Times New Roman" w:hAnsi="Times New Roman" w:cs="Times New Roman"/>
          <w:sz w:val="22"/>
          <w:szCs w:val="22"/>
          <w:lang w:val="en-GB"/>
        </w:rPr>
        <w:t>Tamar Sulkhanishvili, Division of Immunoprophylaxis, NCDC</w:t>
      </w:r>
    </w:p>
    <w:p w14:paraId="638949FA" w14:textId="4BD47ABA" w:rsidR="00A310A2" w:rsidRPr="00EE33FA" w:rsidRDefault="00A310A2" w:rsidP="0087400E">
      <w:pPr>
        <w:pStyle w:val="ListParagraph"/>
        <w:numPr>
          <w:ilvl w:val="0"/>
          <w:numId w:val="17"/>
        </w:numPr>
        <w:tabs>
          <w:tab w:val="left" w:pos="3828"/>
        </w:tabs>
        <w:contextualSpacing w:val="0"/>
        <w:rPr>
          <w:rFonts w:ascii="Times New Roman" w:hAnsi="Times New Roman" w:cs="Times New Roman"/>
          <w:sz w:val="22"/>
          <w:szCs w:val="22"/>
          <w:lang w:val="en-GB"/>
        </w:rPr>
      </w:pPr>
      <w:r w:rsidRPr="00EE33FA">
        <w:rPr>
          <w:rFonts w:ascii="Times New Roman" w:hAnsi="Times New Roman" w:cs="Times New Roman"/>
          <w:sz w:val="22"/>
          <w:szCs w:val="22"/>
          <w:lang w:val="en-GB"/>
        </w:rPr>
        <w:t>Nona Beradze, Division of Immunoprophylaxis, NCDC</w:t>
      </w:r>
    </w:p>
    <w:p w14:paraId="24E7E95E" w14:textId="71CAD23F" w:rsidR="00A310A2" w:rsidRPr="00EE33FA" w:rsidRDefault="00A310A2" w:rsidP="0087400E">
      <w:pPr>
        <w:pStyle w:val="ListParagraph"/>
        <w:numPr>
          <w:ilvl w:val="0"/>
          <w:numId w:val="17"/>
        </w:numPr>
        <w:tabs>
          <w:tab w:val="left" w:pos="3828"/>
        </w:tabs>
        <w:contextualSpacing w:val="0"/>
        <w:rPr>
          <w:rFonts w:ascii="Times New Roman" w:hAnsi="Times New Roman" w:cs="Times New Roman"/>
          <w:sz w:val="22"/>
          <w:szCs w:val="22"/>
          <w:lang w:val="en-GB"/>
        </w:rPr>
      </w:pPr>
      <w:r w:rsidRPr="00EE33FA">
        <w:rPr>
          <w:rFonts w:ascii="Times New Roman" w:hAnsi="Times New Roman" w:cs="Times New Roman"/>
          <w:sz w:val="22"/>
          <w:szCs w:val="22"/>
          <w:lang w:val="en-GB"/>
        </w:rPr>
        <w:t>Tamar Dolakidze, Division of Immunoprophylaxis, NCDC</w:t>
      </w:r>
    </w:p>
    <w:p w14:paraId="6FF0840D" w14:textId="07665437" w:rsidR="00A310A2" w:rsidRPr="00EE33FA" w:rsidRDefault="00A310A2" w:rsidP="0087400E">
      <w:pPr>
        <w:pStyle w:val="ListParagraph"/>
        <w:numPr>
          <w:ilvl w:val="0"/>
          <w:numId w:val="17"/>
        </w:numPr>
        <w:tabs>
          <w:tab w:val="left" w:pos="3828"/>
        </w:tabs>
        <w:contextualSpacing w:val="0"/>
        <w:rPr>
          <w:rFonts w:ascii="Times New Roman" w:hAnsi="Times New Roman" w:cs="Times New Roman"/>
          <w:sz w:val="22"/>
          <w:szCs w:val="22"/>
          <w:lang w:val="en-GB"/>
        </w:rPr>
      </w:pPr>
      <w:r w:rsidRPr="00EE33FA">
        <w:rPr>
          <w:rFonts w:ascii="Times New Roman" w:hAnsi="Times New Roman" w:cs="Times New Roman"/>
          <w:sz w:val="22"/>
          <w:szCs w:val="22"/>
          <w:lang w:val="en-GB"/>
        </w:rPr>
        <w:t>Teona Kashibadze, Division of Immunoprophylaxis, NCDC</w:t>
      </w:r>
    </w:p>
    <w:p w14:paraId="5E91328C" w14:textId="78C35F37" w:rsidR="0017456E" w:rsidRPr="00EE33FA" w:rsidRDefault="0017456E" w:rsidP="0087400E">
      <w:pPr>
        <w:numPr>
          <w:ilvl w:val="0"/>
          <w:numId w:val="17"/>
        </w:numPr>
        <w:jc w:val="both"/>
        <w:rPr>
          <w:color w:val="000000"/>
          <w:sz w:val="22"/>
          <w:szCs w:val="22"/>
          <w:lang w:val="en-GB"/>
        </w:rPr>
      </w:pPr>
      <w:r w:rsidRPr="00EE33FA">
        <w:rPr>
          <w:color w:val="000000"/>
          <w:sz w:val="22"/>
          <w:szCs w:val="22"/>
          <w:lang w:val="en-GB"/>
        </w:rPr>
        <w:t>Tako Ugulava</w:t>
      </w:r>
      <w:r w:rsidR="00A310A2" w:rsidRPr="00EE33FA">
        <w:rPr>
          <w:color w:val="000000"/>
          <w:sz w:val="22"/>
          <w:szCs w:val="22"/>
          <w:lang w:val="en-GB"/>
        </w:rPr>
        <w:t>, UNICEF CO</w:t>
      </w:r>
    </w:p>
    <w:p w14:paraId="3CD0DF52" w14:textId="77777777" w:rsidR="005C06FD" w:rsidRPr="00EE33FA" w:rsidRDefault="005C06FD" w:rsidP="00A310A2">
      <w:pPr>
        <w:jc w:val="both"/>
        <w:rPr>
          <w:color w:val="000000"/>
          <w:sz w:val="22"/>
          <w:szCs w:val="22"/>
          <w:lang w:val="en-GB"/>
        </w:rPr>
      </w:pPr>
    </w:p>
    <w:p w14:paraId="1C69B204" w14:textId="03FD3CE9" w:rsidR="003F5BB9" w:rsidRPr="00EE33FA" w:rsidRDefault="003F5BB9" w:rsidP="00A310A2">
      <w:pPr>
        <w:tabs>
          <w:tab w:val="left" w:pos="3828"/>
        </w:tabs>
        <w:rPr>
          <w:b/>
          <w:lang w:val="en-GB"/>
        </w:rPr>
      </w:pPr>
      <w:r w:rsidRPr="00EE33FA">
        <w:rPr>
          <w:b/>
          <w:lang w:val="en-GB"/>
        </w:rPr>
        <w:t>List of persons met</w:t>
      </w:r>
    </w:p>
    <w:p w14:paraId="68E2A6B1" w14:textId="77777777" w:rsidR="00DB0DB1" w:rsidRPr="00EE33FA" w:rsidRDefault="00DB0DB1" w:rsidP="00DB0DB1">
      <w:pPr>
        <w:tabs>
          <w:tab w:val="left" w:pos="3828"/>
        </w:tabs>
        <w:rPr>
          <w:b/>
          <w:lang w:val="en-GB"/>
        </w:rPr>
      </w:pPr>
      <w:r w:rsidRPr="00EE33FA">
        <w:rPr>
          <w:b/>
          <w:lang w:val="en-GB"/>
        </w:rPr>
        <w:t>MLHSA</w:t>
      </w:r>
    </w:p>
    <w:p w14:paraId="5A21D0FB"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Valery Kvaratskhelia, Deputy Minister, MLHSA</w:t>
      </w:r>
    </w:p>
    <w:p w14:paraId="5E5B109D"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Marina Darakhvelidze, Head of Health Care Department, MLHSA</w:t>
      </w:r>
    </w:p>
    <w:p w14:paraId="6699324C"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Noe Kinkladze, Head of Economic Department, MLHSA</w:t>
      </w:r>
    </w:p>
    <w:p w14:paraId="1E2B7098"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Shorena Okropiridze, Head of Legal Drafting Division, Legal Department, MLHSA</w:t>
      </w:r>
    </w:p>
    <w:p w14:paraId="038B28AD" w14:textId="77777777" w:rsidR="00DB0DB1" w:rsidRPr="00EE33FA" w:rsidRDefault="00DB0DB1" w:rsidP="0087400E">
      <w:pPr>
        <w:pStyle w:val="ListParagraph"/>
        <w:numPr>
          <w:ilvl w:val="0"/>
          <w:numId w:val="19"/>
        </w:numPr>
        <w:tabs>
          <w:tab w:val="left" w:pos="3828"/>
        </w:tabs>
        <w:ind w:right="-561"/>
        <w:rPr>
          <w:rFonts w:ascii="Times New Roman" w:hAnsi="Times New Roman" w:cs="Times New Roman"/>
          <w:sz w:val="22"/>
          <w:szCs w:val="22"/>
          <w:lang w:val="en-GB"/>
        </w:rPr>
      </w:pPr>
      <w:r w:rsidRPr="00EE33FA">
        <w:rPr>
          <w:rFonts w:ascii="Times New Roman" w:hAnsi="Times New Roman" w:cs="Times New Roman"/>
          <w:sz w:val="22"/>
          <w:szCs w:val="22"/>
          <w:lang w:val="en-GB"/>
        </w:rPr>
        <w:t>Ekaterina Adamia, Head of State Program Division, Health Care Department, MLHSA</w:t>
      </w:r>
    </w:p>
    <w:p w14:paraId="0CA423D5"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Maia Gotiashvili, Head of Budget Division, Economic department, MLHSA</w:t>
      </w:r>
    </w:p>
    <w:p w14:paraId="0FFF5196"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Shorena Okropiridze, Legal Department, MLHSA</w:t>
      </w:r>
    </w:p>
    <w:p w14:paraId="50E9AB9A" w14:textId="0F6B9F48" w:rsidR="00DB0DB1" w:rsidRPr="00EE33FA" w:rsidRDefault="00DB0DB1" w:rsidP="0087400E">
      <w:pPr>
        <w:pStyle w:val="ListParagraph"/>
        <w:numPr>
          <w:ilvl w:val="0"/>
          <w:numId w:val="19"/>
        </w:numPr>
        <w:tabs>
          <w:tab w:val="left" w:pos="3828"/>
        </w:tabs>
        <w:ind w:right="-338"/>
        <w:rPr>
          <w:rFonts w:ascii="Times New Roman" w:hAnsi="Times New Roman" w:cs="Times New Roman"/>
          <w:sz w:val="22"/>
          <w:szCs w:val="22"/>
          <w:lang w:val="en-GB"/>
        </w:rPr>
      </w:pPr>
      <w:r w:rsidRPr="00EE33FA">
        <w:rPr>
          <w:rFonts w:ascii="Times New Roman" w:hAnsi="Times New Roman" w:cs="Times New Roman"/>
          <w:sz w:val="22"/>
          <w:szCs w:val="22"/>
          <w:lang w:val="en-GB"/>
        </w:rPr>
        <w:t>Tea Jikia, Head of Departme</w:t>
      </w:r>
      <w:r w:rsidR="00BA25A5" w:rsidRPr="00EE33FA">
        <w:rPr>
          <w:rFonts w:ascii="Times New Roman" w:hAnsi="Times New Roman" w:cs="Times New Roman"/>
          <w:sz w:val="22"/>
          <w:szCs w:val="22"/>
          <w:lang w:val="en-GB"/>
        </w:rPr>
        <w:t>nt of Drugs and Pharmaceutical A</w:t>
      </w:r>
      <w:r w:rsidRPr="00EE33FA">
        <w:rPr>
          <w:rFonts w:ascii="Times New Roman" w:hAnsi="Times New Roman" w:cs="Times New Roman"/>
          <w:sz w:val="22"/>
          <w:szCs w:val="22"/>
          <w:lang w:val="en-GB"/>
        </w:rPr>
        <w:t>ctivities, State Regulatory Agency for Medical Activities</w:t>
      </w:r>
    </w:p>
    <w:p w14:paraId="2F69110E" w14:textId="77777777" w:rsidR="00DB0DB1" w:rsidRPr="00EE33FA" w:rsidRDefault="00DB0DB1" w:rsidP="0087400E">
      <w:pPr>
        <w:pStyle w:val="ListParagraph"/>
        <w:numPr>
          <w:ilvl w:val="0"/>
          <w:numId w:val="19"/>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Ivane Chkhaidze, Chair of NITAG, Director of  Pediatric Clinic, Professor</w:t>
      </w:r>
    </w:p>
    <w:p w14:paraId="6CC02551" w14:textId="77777777" w:rsidR="00DB0DB1" w:rsidRPr="00EE33FA" w:rsidRDefault="00DB0DB1" w:rsidP="00DB0DB1">
      <w:pPr>
        <w:jc w:val="both"/>
        <w:rPr>
          <w:color w:val="000000"/>
          <w:sz w:val="22"/>
          <w:szCs w:val="22"/>
          <w:lang w:val="en-GB"/>
        </w:rPr>
      </w:pPr>
    </w:p>
    <w:p w14:paraId="1DDF0086" w14:textId="0D90196E" w:rsidR="003F5BB9" w:rsidRPr="00EE33FA" w:rsidRDefault="00A310A2" w:rsidP="00A310A2">
      <w:pPr>
        <w:tabs>
          <w:tab w:val="left" w:pos="3828"/>
        </w:tabs>
        <w:rPr>
          <w:b/>
          <w:lang w:val="en-GB"/>
        </w:rPr>
      </w:pPr>
      <w:r w:rsidRPr="00EE33FA">
        <w:rPr>
          <w:b/>
          <w:lang w:val="en-GB"/>
        </w:rPr>
        <w:t>NCDC</w:t>
      </w:r>
    </w:p>
    <w:p w14:paraId="0F23C995" w14:textId="35139DDB" w:rsidR="003F5BB9" w:rsidRPr="00EE33FA" w:rsidRDefault="003F5BB9" w:rsidP="0087400E">
      <w:pPr>
        <w:pStyle w:val="ListParagraph"/>
        <w:numPr>
          <w:ilvl w:val="0"/>
          <w:numId w:val="18"/>
        </w:numPr>
        <w:tabs>
          <w:tab w:val="left" w:pos="3828"/>
          <w:tab w:val="left" w:pos="4144"/>
        </w:tabs>
        <w:rPr>
          <w:rFonts w:ascii="Times New Roman" w:hAnsi="Times New Roman" w:cs="Times New Roman"/>
          <w:sz w:val="22"/>
          <w:szCs w:val="22"/>
          <w:lang w:val="en-GB"/>
        </w:rPr>
      </w:pPr>
      <w:r w:rsidRPr="00EE33FA">
        <w:rPr>
          <w:rFonts w:ascii="Times New Roman" w:hAnsi="Times New Roman" w:cs="Times New Roman"/>
          <w:sz w:val="22"/>
          <w:szCs w:val="22"/>
          <w:lang w:val="en-GB"/>
        </w:rPr>
        <w:t>Amiran Gamkrelidze</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General Director, NCDC</w:t>
      </w:r>
    </w:p>
    <w:p w14:paraId="79AEE9D4" w14:textId="2443E8D5" w:rsidR="00A310A2" w:rsidRPr="00EE33FA" w:rsidRDefault="00A310A2"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Paata Imnadze, Deputy general director, NCDC</w:t>
      </w:r>
    </w:p>
    <w:p w14:paraId="6AF915BE" w14:textId="0D9AF0C3"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Vladimir Getia</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Head of State Program Department, NCDC</w:t>
      </w:r>
    </w:p>
    <w:p w14:paraId="70C41833" w14:textId="566B477D" w:rsidR="003F5BB9" w:rsidRPr="00EE33FA" w:rsidRDefault="00A310A2"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 xml:space="preserve">Gia Kobalia, </w:t>
      </w:r>
      <w:r w:rsidR="003F5BB9" w:rsidRPr="00EE33FA">
        <w:rPr>
          <w:rFonts w:ascii="Times New Roman" w:hAnsi="Times New Roman" w:cs="Times New Roman"/>
          <w:sz w:val="22"/>
          <w:szCs w:val="22"/>
          <w:lang w:val="en-GB"/>
        </w:rPr>
        <w:t>Deputy Head Finance-Economic Department, NCDC</w:t>
      </w:r>
    </w:p>
    <w:p w14:paraId="3902CB71" w14:textId="25DA52B1"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Giorgi kachlishvili</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 xml:space="preserve">Head of Cold chain </w:t>
      </w:r>
      <w:r w:rsidR="00CC26FC" w:rsidRPr="00EE33FA">
        <w:rPr>
          <w:rFonts w:ascii="Times New Roman" w:hAnsi="Times New Roman" w:cs="Times New Roman"/>
          <w:sz w:val="22"/>
          <w:szCs w:val="22"/>
          <w:lang w:val="en-GB"/>
        </w:rPr>
        <w:t>and</w:t>
      </w:r>
      <w:r w:rsidRPr="00EE33FA">
        <w:rPr>
          <w:rFonts w:ascii="Times New Roman" w:hAnsi="Times New Roman" w:cs="Times New Roman"/>
          <w:sz w:val="22"/>
          <w:szCs w:val="22"/>
          <w:lang w:val="en-GB"/>
        </w:rPr>
        <w:t xml:space="preserve"> logistic Division, NCDC</w:t>
      </w:r>
    </w:p>
    <w:p w14:paraId="3B437921" w14:textId="616A08BA"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Mariam Davitashvili</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 xml:space="preserve">Senior Specialist, Cold chain </w:t>
      </w:r>
      <w:r w:rsidR="00CC26FC" w:rsidRPr="00EE33FA">
        <w:rPr>
          <w:rFonts w:ascii="Times New Roman" w:hAnsi="Times New Roman" w:cs="Times New Roman"/>
          <w:sz w:val="22"/>
          <w:szCs w:val="22"/>
          <w:lang w:val="en-GB"/>
        </w:rPr>
        <w:t>and</w:t>
      </w:r>
      <w:r w:rsidRPr="00EE33FA">
        <w:rPr>
          <w:rFonts w:ascii="Times New Roman" w:hAnsi="Times New Roman" w:cs="Times New Roman"/>
          <w:sz w:val="22"/>
          <w:szCs w:val="22"/>
          <w:lang w:val="en-GB"/>
        </w:rPr>
        <w:t xml:space="preserve"> logistic Division, NCDC</w:t>
      </w:r>
    </w:p>
    <w:p w14:paraId="268AC0FB" w14:textId="7376DE3A" w:rsidR="003F5BB9" w:rsidRPr="00EE33FA" w:rsidRDefault="00A310A2"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 xml:space="preserve">Khatuna Zakhashvili, </w:t>
      </w:r>
      <w:r w:rsidR="003F5BB9" w:rsidRPr="00EE33FA">
        <w:rPr>
          <w:rFonts w:ascii="Times New Roman" w:hAnsi="Times New Roman" w:cs="Times New Roman"/>
          <w:sz w:val="22"/>
          <w:szCs w:val="22"/>
          <w:lang w:val="en-GB"/>
        </w:rPr>
        <w:t>Head, Communicable Disease Department, NCDC</w:t>
      </w:r>
    </w:p>
    <w:p w14:paraId="341A166E" w14:textId="364AEC3F" w:rsidR="003F5BB9" w:rsidRPr="00EE33FA" w:rsidRDefault="00A310A2"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 xml:space="preserve">Nazi Chitadze, </w:t>
      </w:r>
      <w:r w:rsidR="003F5BB9" w:rsidRPr="00EE33FA">
        <w:rPr>
          <w:rFonts w:ascii="Times New Roman" w:hAnsi="Times New Roman" w:cs="Times New Roman"/>
          <w:sz w:val="22"/>
          <w:szCs w:val="22"/>
          <w:lang w:val="en-GB"/>
        </w:rPr>
        <w:t>National MR, Serology Laboratory, Lugar Center, NCDC</w:t>
      </w:r>
    </w:p>
    <w:p w14:paraId="67DB4B1B" w14:textId="45A9069D" w:rsidR="003F5BB9" w:rsidRPr="00EE33FA" w:rsidRDefault="00A310A2"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 xml:space="preserve">Lile Malania, </w:t>
      </w:r>
      <w:r w:rsidR="003F5BB9" w:rsidRPr="00EE33FA">
        <w:rPr>
          <w:rFonts w:ascii="Times New Roman" w:hAnsi="Times New Roman" w:cs="Times New Roman"/>
          <w:sz w:val="22"/>
          <w:szCs w:val="22"/>
          <w:lang w:val="en-GB"/>
        </w:rPr>
        <w:t>General Microbiology Laboratory, Lugar Center, NCDC</w:t>
      </w:r>
    </w:p>
    <w:p w14:paraId="62DD4025" w14:textId="536FB18C"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Gvantsa Chanturia</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Lugar Center, NCDC</w:t>
      </w:r>
    </w:p>
    <w:p w14:paraId="5CF2B683" w14:textId="01E43D34"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Maiya Shishniashvili</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Head of Health Promotion Division, NCDC</w:t>
      </w:r>
    </w:p>
    <w:p w14:paraId="6650AF15" w14:textId="7D130C18"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Tamar Sulkhanishvili</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Division of Immunoprophylaxis, NCDC</w:t>
      </w:r>
    </w:p>
    <w:p w14:paraId="40599D42" w14:textId="1E9AB347"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Nona Beradze</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Division of Immunoprophylaxis, NCDC</w:t>
      </w:r>
      <w:r w:rsidRPr="00EE33FA">
        <w:rPr>
          <w:rFonts w:ascii="Times New Roman" w:hAnsi="Times New Roman" w:cs="Times New Roman"/>
          <w:sz w:val="22"/>
          <w:szCs w:val="22"/>
          <w:lang w:val="en-GB"/>
        </w:rPr>
        <w:tab/>
      </w:r>
    </w:p>
    <w:p w14:paraId="48F2C4A4" w14:textId="3929B46A"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Tamar Dolakidze</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 xml:space="preserve">Division of Immunoprophylaxis, NCDC    </w:t>
      </w:r>
    </w:p>
    <w:p w14:paraId="246EB55A" w14:textId="2D714666" w:rsidR="003F5BB9" w:rsidRPr="00EE33FA" w:rsidRDefault="003F5BB9" w:rsidP="0087400E">
      <w:pPr>
        <w:pStyle w:val="ListParagraph"/>
        <w:numPr>
          <w:ilvl w:val="0"/>
          <w:numId w:val="18"/>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Teona Kashibadze</w:t>
      </w:r>
      <w:r w:rsidR="00A310A2" w:rsidRPr="00EE33FA">
        <w:rPr>
          <w:rFonts w:ascii="Times New Roman" w:hAnsi="Times New Roman" w:cs="Times New Roman"/>
          <w:sz w:val="22"/>
          <w:szCs w:val="22"/>
          <w:lang w:val="en-GB"/>
        </w:rPr>
        <w:t xml:space="preserve">, </w:t>
      </w:r>
      <w:r w:rsidRPr="00EE33FA">
        <w:rPr>
          <w:rFonts w:ascii="Times New Roman" w:hAnsi="Times New Roman" w:cs="Times New Roman"/>
          <w:sz w:val="22"/>
          <w:szCs w:val="22"/>
          <w:lang w:val="en-GB"/>
        </w:rPr>
        <w:t xml:space="preserve">Division of Immunoprophylaxis, NCDC </w:t>
      </w:r>
    </w:p>
    <w:p w14:paraId="43D6FBC0" w14:textId="77777777" w:rsidR="003F5BB9" w:rsidRPr="00EE33FA" w:rsidRDefault="003F5BB9" w:rsidP="00A310A2">
      <w:pPr>
        <w:tabs>
          <w:tab w:val="left" w:pos="3828"/>
        </w:tabs>
        <w:rPr>
          <w:sz w:val="22"/>
          <w:szCs w:val="22"/>
          <w:lang w:val="en-GB"/>
        </w:rPr>
      </w:pPr>
    </w:p>
    <w:p w14:paraId="00D38AAE" w14:textId="32EF6EA6" w:rsidR="00A310A2" w:rsidRPr="00EE33FA" w:rsidRDefault="00A310A2" w:rsidP="00A310A2">
      <w:pPr>
        <w:tabs>
          <w:tab w:val="left" w:pos="3828"/>
        </w:tabs>
        <w:rPr>
          <w:b/>
          <w:lang w:val="en-GB"/>
        </w:rPr>
      </w:pPr>
      <w:r w:rsidRPr="00EE33FA">
        <w:rPr>
          <w:b/>
          <w:lang w:val="en-GB"/>
        </w:rPr>
        <w:t>Region</w:t>
      </w:r>
      <w:r w:rsidR="00270906" w:rsidRPr="00EE33FA">
        <w:rPr>
          <w:b/>
          <w:lang w:val="en-GB"/>
        </w:rPr>
        <w:t>s</w:t>
      </w:r>
    </w:p>
    <w:p w14:paraId="392FFB96" w14:textId="1F5DAB95" w:rsidR="00A310A2" w:rsidRPr="00EE33FA" w:rsidRDefault="00270906" w:rsidP="0087400E">
      <w:pPr>
        <w:pStyle w:val="ListParagraph"/>
        <w:numPr>
          <w:ilvl w:val="0"/>
          <w:numId w:val="20"/>
        </w:numPr>
        <w:tabs>
          <w:tab w:val="left" w:pos="3828"/>
        </w:tabs>
        <w:rPr>
          <w:rFonts w:ascii="Times New Roman" w:hAnsi="Times New Roman" w:cs="Times New Roman"/>
          <w:sz w:val="22"/>
          <w:szCs w:val="22"/>
          <w:lang w:val="en-GB"/>
        </w:rPr>
      </w:pPr>
      <w:r w:rsidRPr="00EE33FA">
        <w:rPr>
          <w:rFonts w:ascii="Times New Roman" w:hAnsi="Times New Roman" w:cs="Times New Roman"/>
          <w:sz w:val="22"/>
          <w:szCs w:val="22"/>
          <w:lang w:val="en-GB"/>
        </w:rPr>
        <w:t>List of persons met provided in the field reports</w:t>
      </w:r>
    </w:p>
    <w:p w14:paraId="341414CC" w14:textId="77777777" w:rsidR="007B6976" w:rsidRPr="00EE33FA" w:rsidRDefault="007B6976" w:rsidP="007B6976">
      <w:pPr>
        <w:pStyle w:val="Heading1"/>
        <w:rPr>
          <w:lang w:val="en-GB"/>
        </w:rPr>
      </w:pPr>
      <w:r w:rsidRPr="00EE33FA">
        <w:rPr>
          <w:lang w:val="en-GB"/>
        </w:rPr>
        <w:br w:type="page"/>
      </w:r>
      <w:bookmarkStart w:id="33" w:name="_Toc303889506"/>
      <w:r w:rsidRPr="00EE33FA">
        <w:rPr>
          <w:lang w:val="en-GB"/>
        </w:rPr>
        <w:lastRenderedPageBreak/>
        <w:t xml:space="preserve">Annex </w:t>
      </w:r>
      <w:r w:rsidR="00FC72D6" w:rsidRPr="00EE33FA">
        <w:rPr>
          <w:lang w:val="en-GB"/>
        </w:rPr>
        <w:t>2</w:t>
      </w:r>
      <w:r w:rsidRPr="00EE33FA">
        <w:rPr>
          <w:lang w:val="en-GB"/>
        </w:rPr>
        <w:t xml:space="preserve">: </w:t>
      </w:r>
      <w:r w:rsidR="00175D92" w:rsidRPr="00EE33FA">
        <w:rPr>
          <w:lang w:val="en-GB"/>
        </w:rPr>
        <w:t>Schedules of activities</w:t>
      </w:r>
      <w:bookmarkEnd w:id="33"/>
    </w:p>
    <w:p w14:paraId="016EB5F2" w14:textId="77777777" w:rsidR="00175D92" w:rsidRPr="00EE33FA" w:rsidRDefault="00175D92" w:rsidP="007B6976">
      <w:pPr>
        <w:pStyle w:val="Heading1"/>
        <w:rPr>
          <w:lang w:val="en-GB"/>
        </w:rPr>
      </w:pPr>
    </w:p>
    <w:tbl>
      <w:tblPr>
        <w:tblpPr w:leftFromText="180" w:rightFromText="180" w:vertAnchor="text" w:tblpX="216"/>
        <w:tblW w:w="87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085"/>
        <w:gridCol w:w="5670"/>
      </w:tblGrid>
      <w:tr w:rsidR="00175D92" w:rsidRPr="00EE33FA" w14:paraId="47EE9F12" w14:textId="77777777" w:rsidTr="001928F8">
        <w:tc>
          <w:tcPr>
            <w:tcW w:w="3085" w:type="dxa"/>
            <w:tcMar>
              <w:top w:w="0" w:type="dxa"/>
              <w:left w:w="108" w:type="dxa"/>
              <w:bottom w:w="0" w:type="dxa"/>
              <w:right w:w="108" w:type="dxa"/>
            </w:tcMar>
            <w:vAlign w:val="center"/>
          </w:tcPr>
          <w:p w14:paraId="0F46C49B" w14:textId="77777777" w:rsidR="00175D92" w:rsidRPr="00EE33FA" w:rsidRDefault="00175D92" w:rsidP="001928F8">
            <w:pPr>
              <w:spacing w:before="60" w:after="60" w:line="300" w:lineRule="atLeast"/>
              <w:jc w:val="both"/>
              <w:rPr>
                <w:color w:val="000000"/>
                <w:sz w:val="22"/>
                <w:szCs w:val="22"/>
                <w:lang w:val="en-GB"/>
              </w:rPr>
            </w:pPr>
            <w:r w:rsidRPr="00EE33FA">
              <w:rPr>
                <w:color w:val="000000"/>
                <w:sz w:val="22"/>
                <w:szCs w:val="22"/>
                <w:lang w:val="en-GB"/>
              </w:rPr>
              <w:t>25 July, Saturday</w:t>
            </w:r>
          </w:p>
        </w:tc>
        <w:tc>
          <w:tcPr>
            <w:tcW w:w="5670" w:type="dxa"/>
            <w:tcMar>
              <w:top w:w="0" w:type="dxa"/>
              <w:left w:w="108" w:type="dxa"/>
              <w:bottom w:w="0" w:type="dxa"/>
              <w:right w:w="108" w:type="dxa"/>
            </w:tcMar>
            <w:vAlign w:val="center"/>
          </w:tcPr>
          <w:p w14:paraId="28F130EC"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leader to arrive in Tbilisi</w:t>
            </w:r>
          </w:p>
        </w:tc>
      </w:tr>
      <w:tr w:rsidR="00175D92" w:rsidRPr="00EE33FA" w14:paraId="2A4AFB47" w14:textId="77777777" w:rsidTr="001928F8">
        <w:tc>
          <w:tcPr>
            <w:tcW w:w="3085" w:type="dxa"/>
            <w:tcMar>
              <w:top w:w="0" w:type="dxa"/>
              <w:left w:w="108" w:type="dxa"/>
              <w:bottom w:w="0" w:type="dxa"/>
              <w:right w:w="108" w:type="dxa"/>
            </w:tcMar>
            <w:vAlign w:val="center"/>
          </w:tcPr>
          <w:p w14:paraId="285942C1" w14:textId="77777777" w:rsidR="00175D92" w:rsidRPr="00EE33FA" w:rsidRDefault="00175D92" w:rsidP="001928F8">
            <w:pPr>
              <w:spacing w:before="60" w:after="60" w:line="300" w:lineRule="atLeast"/>
              <w:ind w:right="-395"/>
              <w:jc w:val="both"/>
              <w:rPr>
                <w:color w:val="000000"/>
                <w:sz w:val="22"/>
                <w:szCs w:val="22"/>
                <w:lang w:val="en-GB"/>
              </w:rPr>
            </w:pPr>
            <w:r w:rsidRPr="00EE33FA">
              <w:rPr>
                <w:color w:val="000000"/>
                <w:sz w:val="22"/>
                <w:szCs w:val="22"/>
                <w:lang w:val="en-GB"/>
              </w:rPr>
              <w:t>26 July, Sunday</w:t>
            </w:r>
          </w:p>
        </w:tc>
        <w:tc>
          <w:tcPr>
            <w:tcW w:w="5670" w:type="dxa"/>
            <w:tcMar>
              <w:top w:w="0" w:type="dxa"/>
              <w:left w:w="108" w:type="dxa"/>
              <w:bottom w:w="0" w:type="dxa"/>
              <w:right w:w="108" w:type="dxa"/>
            </w:tcMar>
            <w:vAlign w:val="center"/>
          </w:tcPr>
          <w:p w14:paraId="0362B3BE"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members to arrive in Tbilisi</w:t>
            </w:r>
          </w:p>
          <w:p w14:paraId="7C963A64"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Meeting: Briefing session for international team members</w:t>
            </w:r>
          </w:p>
        </w:tc>
      </w:tr>
      <w:tr w:rsidR="00175D92" w:rsidRPr="00EE33FA" w14:paraId="0E944E4E" w14:textId="77777777" w:rsidTr="001928F8">
        <w:tc>
          <w:tcPr>
            <w:tcW w:w="3085" w:type="dxa"/>
            <w:tcMar>
              <w:top w:w="0" w:type="dxa"/>
              <w:left w:w="108" w:type="dxa"/>
              <w:bottom w:w="0" w:type="dxa"/>
              <w:right w:w="108" w:type="dxa"/>
            </w:tcMar>
            <w:vAlign w:val="center"/>
          </w:tcPr>
          <w:p w14:paraId="19968A78" w14:textId="77777777" w:rsidR="00175D92" w:rsidRPr="00EE33FA" w:rsidRDefault="00175D92" w:rsidP="001928F8">
            <w:pPr>
              <w:spacing w:before="60" w:after="60" w:line="300" w:lineRule="atLeast"/>
              <w:ind w:right="-395"/>
              <w:jc w:val="both"/>
              <w:rPr>
                <w:color w:val="000000"/>
                <w:sz w:val="22"/>
                <w:szCs w:val="22"/>
                <w:lang w:val="en-GB"/>
              </w:rPr>
            </w:pPr>
            <w:r w:rsidRPr="00EE33FA">
              <w:rPr>
                <w:color w:val="000000"/>
                <w:sz w:val="22"/>
                <w:szCs w:val="22"/>
                <w:lang w:val="en-GB"/>
              </w:rPr>
              <w:t>27 July, Monday</w:t>
            </w:r>
          </w:p>
        </w:tc>
        <w:tc>
          <w:tcPr>
            <w:tcW w:w="5670" w:type="dxa"/>
            <w:tcMar>
              <w:top w:w="0" w:type="dxa"/>
              <w:left w:w="108" w:type="dxa"/>
              <w:bottom w:w="0" w:type="dxa"/>
              <w:right w:w="108" w:type="dxa"/>
            </w:tcMar>
            <w:vAlign w:val="center"/>
          </w:tcPr>
          <w:p w14:paraId="3F4ACF7F"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Meeting: Briefing session at MLSHA in Tbilisi</w:t>
            </w:r>
          </w:p>
          <w:p w14:paraId="340713EE" w14:textId="77777777" w:rsidR="00175D92" w:rsidRPr="00EE33FA" w:rsidRDefault="00175D92" w:rsidP="001928F8">
            <w:pPr>
              <w:spacing w:before="60" w:after="60" w:line="300" w:lineRule="atLeast"/>
              <w:ind w:firstLine="34"/>
              <w:jc w:val="both"/>
              <w:rPr>
                <w:color w:val="000000"/>
                <w:sz w:val="22"/>
                <w:szCs w:val="22"/>
                <w:lang w:val="en-GB"/>
              </w:rPr>
            </w:pPr>
            <w:r w:rsidRPr="00EE33FA">
              <w:rPr>
                <w:rFonts w:eastAsia="SimSun"/>
                <w:color w:val="000000"/>
                <w:sz w:val="22"/>
                <w:szCs w:val="22"/>
                <w:lang w:val="en-GB"/>
              </w:rPr>
              <w:t>Logistics coordination for field work</w:t>
            </w:r>
          </w:p>
        </w:tc>
      </w:tr>
      <w:tr w:rsidR="00175D92" w:rsidRPr="00EE33FA" w14:paraId="01A64FC4" w14:textId="77777777" w:rsidTr="001928F8">
        <w:tc>
          <w:tcPr>
            <w:tcW w:w="3085" w:type="dxa"/>
            <w:tcMar>
              <w:top w:w="0" w:type="dxa"/>
              <w:left w:w="108" w:type="dxa"/>
              <w:bottom w:w="0" w:type="dxa"/>
              <w:right w:w="108" w:type="dxa"/>
            </w:tcMar>
            <w:vAlign w:val="center"/>
          </w:tcPr>
          <w:p w14:paraId="6A8CCCB1" w14:textId="77777777" w:rsidR="00175D92" w:rsidRPr="00EE33FA" w:rsidRDefault="00175D92" w:rsidP="001928F8">
            <w:pPr>
              <w:spacing w:before="60" w:after="60" w:line="300" w:lineRule="atLeast"/>
              <w:ind w:right="-395"/>
              <w:jc w:val="both"/>
              <w:rPr>
                <w:color w:val="000000"/>
                <w:sz w:val="22"/>
                <w:szCs w:val="22"/>
                <w:lang w:val="en-GB"/>
              </w:rPr>
            </w:pPr>
            <w:r w:rsidRPr="00EE33FA">
              <w:rPr>
                <w:color w:val="000000"/>
                <w:sz w:val="22"/>
                <w:szCs w:val="22"/>
                <w:lang w:val="en-GB"/>
              </w:rPr>
              <w:t>28 July, Tuesday</w:t>
            </w:r>
          </w:p>
        </w:tc>
        <w:tc>
          <w:tcPr>
            <w:tcW w:w="5670" w:type="dxa"/>
            <w:tcMar>
              <w:top w:w="0" w:type="dxa"/>
              <w:left w:w="108" w:type="dxa"/>
              <w:bottom w:w="0" w:type="dxa"/>
              <w:right w:w="108" w:type="dxa"/>
            </w:tcMar>
            <w:vAlign w:val="center"/>
          </w:tcPr>
          <w:p w14:paraId="369591A5"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members to travel to provinces</w:t>
            </w:r>
          </w:p>
          <w:p w14:paraId="23013DA3"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Initial meeting with Health Officials</w:t>
            </w:r>
          </w:p>
        </w:tc>
      </w:tr>
      <w:tr w:rsidR="00175D92" w:rsidRPr="00EE33FA" w14:paraId="5C075FF2" w14:textId="77777777" w:rsidTr="001928F8">
        <w:tc>
          <w:tcPr>
            <w:tcW w:w="3085" w:type="dxa"/>
            <w:tcMar>
              <w:top w:w="0" w:type="dxa"/>
              <w:left w:w="108" w:type="dxa"/>
              <w:bottom w:w="0" w:type="dxa"/>
              <w:right w:w="108" w:type="dxa"/>
            </w:tcMar>
            <w:vAlign w:val="center"/>
          </w:tcPr>
          <w:p w14:paraId="644EB27F" w14:textId="77777777" w:rsidR="00175D92" w:rsidRPr="00EE33FA" w:rsidRDefault="00175D92" w:rsidP="001928F8">
            <w:pPr>
              <w:spacing w:before="60" w:after="60" w:line="300" w:lineRule="atLeast"/>
              <w:ind w:right="-395"/>
              <w:jc w:val="both"/>
              <w:rPr>
                <w:color w:val="000000"/>
                <w:sz w:val="22"/>
                <w:szCs w:val="22"/>
                <w:lang w:val="en-GB"/>
              </w:rPr>
            </w:pPr>
            <w:r w:rsidRPr="00EE33FA">
              <w:rPr>
                <w:color w:val="000000"/>
                <w:sz w:val="22"/>
                <w:szCs w:val="22"/>
                <w:lang w:val="en-GB"/>
              </w:rPr>
              <w:t>29-31 July, Wednesday-Friday</w:t>
            </w:r>
          </w:p>
        </w:tc>
        <w:tc>
          <w:tcPr>
            <w:tcW w:w="5670" w:type="dxa"/>
            <w:tcMar>
              <w:top w:w="0" w:type="dxa"/>
              <w:left w:w="108" w:type="dxa"/>
              <w:bottom w:w="0" w:type="dxa"/>
              <w:right w:w="108" w:type="dxa"/>
            </w:tcMar>
            <w:vAlign w:val="center"/>
          </w:tcPr>
          <w:p w14:paraId="3A2296FE" w14:textId="77777777" w:rsidR="00175D92" w:rsidRPr="00EE33FA" w:rsidRDefault="00175D92" w:rsidP="001928F8">
            <w:pPr>
              <w:spacing w:before="60" w:after="60" w:line="300" w:lineRule="atLeast"/>
              <w:ind w:firstLine="34"/>
              <w:jc w:val="both"/>
              <w:rPr>
                <w:rFonts w:eastAsia="SimSun"/>
                <w:color w:val="000000"/>
                <w:sz w:val="22"/>
                <w:szCs w:val="22"/>
                <w:lang w:val="en-GB"/>
              </w:rPr>
            </w:pPr>
            <w:r w:rsidRPr="00EE33FA">
              <w:rPr>
                <w:color w:val="000000"/>
                <w:sz w:val="22"/>
                <w:szCs w:val="22"/>
                <w:lang w:val="en-GB"/>
              </w:rPr>
              <w:t>Field work (3 days)</w:t>
            </w:r>
            <w:r w:rsidRPr="00EE33FA">
              <w:rPr>
                <w:rFonts w:eastAsia="SimSun"/>
                <w:color w:val="000000"/>
                <w:sz w:val="22"/>
                <w:szCs w:val="22"/>
                <w:lang w:val="en-GB"/>
              </w:rPr>
              <w:t xml:space="preserve"> </w:t>
            </w:r>
          </w:p>
        </w:tc>
      </w:tr>
      <w:tr w:rsidR="00175D92" w:rsidRPr="00EE33FA" w14:paraId="3011C611" w14:textId="77777777" w:rsidTr="001928F8">
        <w:tc>
          <w:tcPr>
            <w:tcW w:w="3085" w:type="dxa"/>
            <w:tcMar>
              <w:top w:w="0" w:type="dxa"/>
              <w:left w:w="108" w:type="dxa"/>
              <w:bottom w:w="0" w:type="dxa"/>
              <w:right w:w="108" w:type="dxa"/>
            </w:tcMar>
            <w:vAlign w:val="center"/>
          </w:tcPr>
          <w:p w14:paraId="21F8A04E" w14:textId="77777777" w:rsidR="00175D92" w:rsidRPr="00EE33FA" w:rsidRDefault="00175D92" w:rsidP="001928F8">
            <w:pPr>
              <w:spacing w:before="60" w:after="60" w:line="300" w:lineRule="atLeast"/>
              <w:ind w:right="-395"/>
              <w:jc w:val="both"/>
              <w:rPr>
                <w:color w:val="000000"/>
                <w:sz w:val="22"/>
                <w:szCs w:val="22"/>
                <w:lang w:val="en-GB"/>
              </w:rPr>
            </w:pPr>
            <w:r w:rsidRPr="00EE33FA">
              <w:rPr>
                <w:color w:val="000000"/>
                <w:sz w:val="22"/>
                <w:szCs w:val="22"/>
                <w:lang w:val="en-GB"/>
              </w:rPr>
              <w:t>31 Jul-01 Aug, Friday-Saturday</w:t>
            </w:r>
          </w:p>
        </w:tc>
        <w:tc>
          <w:tcPr>
            <w:tcW w:w="5670" w:type="dxa"/>
            <w:tcMar>
              <w:top w:w="0" w:type="dxa"/>
              <w:left w:w="108" w:type="dxa"/>
              <w:bottom w:w="0" w:type="dxa"/>
              <w:right w:w="108" w:type="dxa"/>
            </w:tcMar>
            <w:vAlign w:val="center"/>
          </w:tcPr>
          <w:p w14:paraId="5A2A9E8F"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members to return to Tbilisi</w:t>
            </w:r>
          </w:p>
        </w:tc>
      </w:tr>
      <w:tr w:rsidR="00175D92" w:rsidRPr="00EE33FA" w14:paraId="6D800A2A" w14:textId="77777777" w:rsidTr="001928F8">
        <w:tc>
          <w:tcPr>
            <w:tcW w:w="3085" w:type="dxa"/>
            <w:tcMar>
              <w:top w:w="0" w:type="dxa"/>
              <w:left w:w="108" w:type="dxa"/>
              <w:bottom w:w="0" w:type="dxa"/>
              <w:right w:w="108" w:type="dxa"/>
            </w:tcMar>
            <w:vAlign w:val="center"/>
          </w:tcPr>
          <w:p w14:paraId="34E84627" w14:textId="77777777" w:rsidR="00175D92" w:rsidRPr="00EE33FA" w:rsidRDefault="00175D92" w:rsidP="001928F8">
            <w:pPr>
              <w:spacing w:before="60" w:after="60" w:line="300" w:lineRule="atLeast"/>
              <w:ind w:right="-253"/>
              <w:jc w:val="both"/>
              <w:rPr>
                <w:color w:val="000000"/>
                <w:sz w:val="22"/>
                <w:szCs w:val="22"/>
                <w:lang w:val="en-GB"/>
              </w:rPr>
            </w:pPr>
            <w:r w:rsidRPr="00EE33FA">
              <w:rPr>
                <w:color w:val="000000"/>
                <w:sz w:val="22"/>
                <w:szCs w:val="22"/>
                <w:lang w:val="en-GB"/>
              </w:rPr>
              <w:t xml:space="preserve">01-02 August, Saturday-Sunday </w:t>
            </w:r>
          </w:p>
        </w:tc>
        <w:tc>
          <w:tcPr>
            <w:tcW w:w="5670" w:type="dxa"/>
            <w:tcMar>
              <w:top w:w="0" w:type="dxa"/>
              <w:left w:w="108" w:type="dxa"/>
              <w:bottom w:w="0" w:type="dxa"/>
              <w:right w:w="108" w:type="dxa"/>
            </w:tcMar>
            <w:vAlign w:val="center"/>
          </w:tcPr>
          <w:p w14:paraId="4DD8270D" w14:textId="77777777" w:rsidR="00175D92" w:rsidRPr="00EE33FA" w:rsidRDefault="00175D92" w:rsidP="001928F8">
            <w:pPr>
              <w:spacing w:before="60" w:after="60"/>
              <w:rPr>
                <w:sz w:val="22"/>
                <w:szCs w:val="22"/>
                <w:lang w:val="en-GB"/>
              </w:rPr>
            </w:pPr>
            <w:r w:rsidRPr="00EE33FA">
              <w:rPr>
                <w:sz w:val="22"/>
                <w:szCs w:val="22"/>
                <w:lang w:val="en-GB"/>
              </w:rPr>
              <w:t>Team members to work on the outcomes of field visits</w:t>
            </w:r>
          </w:p>
          <w:p w14:paraId="785EF23D" w14:textId="77777777" w:rsidR="00175D92" w:rsidRPr="00EE33FA" w:rsidRDefault="00175D92" w:rsidP="001928F8">
            <w:pPr>
              <w:spacing w:before="60" w:after="60"/>
              <w:ind w:right="-253"/>
              <w:rPr>
                <w:sz w:val="22"/>
                <w:szCs w:val="22"/>
                <w:lang w:val="en-GB"/>
              </w:rPr>
            </w:pPr>
            <w:r w:rsidRPr="00EE33FA">
              <w:rPr>
                <w:sz w:val="22"/>
                <w:szCs w:val="22"/>
                <w:lang w:val="en-GB"/>
              </w:rPr>
              <w:t xml:space="preserve">Meeting: Coordination with team members (what to prepare) </w:t>
            </w:r>
          </w:p>
        </w:tc>
      </w:tr>
      <w:tr w:rsidR="00175D92" w:rsidRPr="00EE33FA" w14:paraId="3C2B110E" w14:textId="77777777" w:rsidTr="001928F8">
        <w:tc>
          <w:tcPr>
            <w:tcW w:w="3085" w:type="dxa"/>
            <w:tcMar>
              <w:top w:w="0" w:type="dxa"/>
              <w:left w:w="108" w:type="dxa"/>
              <w:bottom w:w="0" w:type="dxa"/>
              <w:right w:w="108" w:type="dxa"/>
            </w:tcMar>
            <w:vAlign w:val="center"/>
          </w:tcPr>
          <w:p w14:paraId="6412DEC6" w14:textId="77777777" w:rsidR="00175D92" w:rsidRPr="00EE33FA" w:rsidRDefault="00175D92" w:rsidP="001928F8">
            <w:pPr>
              <w:spacing w:before="60" w:after="60" w:line="300" w:lineRule="atLeast"/>
              <w:ind w:right="-108"/>
              <w:jc w:val="both"/>
              <w:rPr>
                <w:rFonts w:eastAsia="SimSun"/>
                <w:color w:val="000000"/>
                <w:sz w:val="22"/>
                <w:szCs w:val="22"/>
                <w:lang w:val="en-GB"/>
              </w:rPr>
            </w:pPr>
            <w:r w:rsidRPr="00EE33FA">
              <w:rPr>
                <w:rFonts w:eastAsia="SimSun"/>
                <w:color w:val="000000"/>
                <w:sz w:val="22"/>
                <w:szCs w:val="22"/>
                <w:lang w:val="en-GB"/>
              </w:rPr>
              <w:t xml:space="preserve">03 </w:t>
            </w:r>
            <w:r w:rsidRPr="00EE33FA">
              <w:rPr>
                <w:color w:val="000000"/>
                <w:sz w:val="22"/>
                <w:szCs w:val="22"/>
                <w:lang w:val="en-GB"/>
              </w:rPr>
              <w:t>August</w:t>
            </w:r>
            <w:r w:rsidRPr="00EE33FA">
              <w:rPr>
                <w:rFonts w:eastAsia="SimSun"/>
                <w:color w:val="000000"/>
                <w:sz w:val="22"/>
                <w:szCs w:val="22"/>
                <w:lang w:val="en-GB"/>
              </w:rPr>
              <w:t xml:space="preserve">, Monday </w:t>
            </w:r>
          </w:p>
        </w:tc>
        <w:tc>
          <w:tcPr>
            <w:tcW w:w="5670" w:type="dxa"/>
            <w:tcMar>
              <w:top w:w="0" w:type="dxa"/>
              <w:left w:w="108" w:type="dxa"/>
              <w:bottom w:w="0" w:type="dxa"/>
              <w:right w:w="108" w:type="dxa"/>
            </w:tcMar>
            <w:vAlign w:val="center"/>
          </w:tcPr>
          <w:p w14:paraId="42F932F6" w14:textId="77777777" w:rsidR="00175D92" w:rsidRPr="00EE33FA" w:rsidRDefault="00175D92" w:rsidP="001928F8">
            <w:pPr>
              <w:spacing w:before="60" w:after="60"/>
              <w:ind w:right="-253"/>
              <w:rPr>
                <w:sz w:val="22"/>
                <w:szCs w:val="22"/>
                <w:lang w:val="en-GB"/>
              </w:rPr>
            </w:pPr>
            <w:r w:rsidRPr="00EE33FA">
              <w:rPr>
                <w:sz w:val="22"/>
                <w:szCs w:val="22"/>
                <w:lang w:val="en-GB"/>
              </w:rPr>
              <w:t>Meeting (full review team): Team members to provide feedback on fields visits</w:t>
            </w:r>
          </w:p>
          <w:p w14:paraId="6D24E9D2" w14:textId="77777777" w:rsidR="00175D92" w:rsidRPr="00EE33FA" w:rsidRDefault="00175D92" w:rsidP="001928F8">
            <w:pPr>
              <w:spacing w:before="60" w:after="60"/>
              <w:ind w:right="-253"/>
              <w:rPr>
                <w:sz w:val="22"/>
                <w:szCs w:val="22"/>
                <w:lang w:val="en-GB"/>
              </w:rPr>
            </w:pPr>
            <w:r w:rsidRPr="00EE33FA">
              <w:rPr>
                <w:sz w:val="22"/>
                <w:szCs w:val="22"/>
                <w:lang w:val="en-GB"/>
              </w:rPr>
              <w:t>Team members responsible for technical area/topic to work on their topic outcomes, and provide feedback to team leader</w:t>
            </w:r>
          </w:p>
        </w:tc>
      </w:tr>
      <w:tr w:rsidR="00175D92" w:rsidRPr="00EE33FA" w14:paraId="58E43F8D" w14:textId="77777777" w:rsidTr="001928F8">
        <w:tc>
          <w:tcPr>
            <w:tcW w:w="3085" w:type="dxa"/>
            <w:tcMar>
              <w:top w:w="0" w:type="dxa"/>
              <w:left w:w="108" w:type="dxa"/>
              <w:bottom w:w="0" w:type="dxa"/>
              <w:right w:w="108" w:type="dxa"/>
            </w:tcMar>
            <w:vAlign w:val="center"/>
          </w:tcPr>
          <w:p w14:paraId="5B3A11FD" w14:textId="77777777" w:rsidR="00175D92" w:rsidRPr="00EE33FA" w:rsidRDefault="00175D92" w:rsidP="001928F8">
            <w:pPr>
              <w:spacing w:before="60" w:after="60" w:line="300" w:lineRule="atLeast"/>
              <w:ind w:right="-253"/>
              <w:jc w:val="both"/>
              <w:rPr>
                <w:rFonts w:eastAsia="SimSun"/>
                <w:color w:val="000000"/>
                <w:sz w:val="22"/>
                <w:szCs w:val="22"/>
                <w:lang w:val="en-GB"/>
              </w:rPr>
            </w:pPr>
            <w:r w:rsidRPr="00EE33FA">
              <w:rPr>
                <w:rFonts w:eastAsia="SimSun"/>
                <w:color w:val="000000"/>
                <w:sz w:val="22"/>
                <w:szCs w:val="22"/>
                <w:lang w:val="en-GB"/>
              </w:rPr>
              <w:t xml:space="preserve">04 </w:t>
            </w:r>
            <w:r w:rsidRPr="00EE33FA">
              <w:rPr>
                <w:color w:val="000000"/>
                <w:sz w:val="22"/>
                <w:szCs w:val="22"/>
                <w:lang w:val="en-GB"/>
              </w:rPr>
              <w:t>August</w:t>
            </w:r>
            <w:r w:rsidRPr="00EE33FA">
              <w:rPr>
                <w:rFonts w:eastAsia="SimSun"/>
                <w:color w:val="000000"/>
                <w:sz w:val="22"/>
                <w:szCs w:val="22"/>
                <w:lang w:val="en-GB"/>
              </w:rPr>
              <w:t xml:space="preserve">, </w:t>
            </w:r>
            <w:r w:rsidRPr="00EE33FA">
              <w:rPr>
                <w:color w:val="000000"/>
                <w:sz w:val="22"/>
                <w:szCs w:val="22"/>
                <w:lang w:val="en-GB"/>
              </w:rPr>
              <w:t>Tuesday</w:t>
            </w:r>
          </w:p>
        </w:tc>
        <w:tc>
          <w:tcPr>
            <w:tcW w:w="5670" w:type="dxa"/>
            <w:tcMar>
              <w:top w:w="0" w:type="dxa"/>
              <w:left w:w="108" w:type="dxa"/>
              <w:bottom w:w="0" w:type="dxa"/>
              <w:right w:w="108" w:type="dxa"/>
            </w:tcMar>
            <w:vAlign w:val="center"/>
          </w:tcPr>
          <w:p w14:paraId="5DD0F0D3" w14:textId="77777777" w:rsidR="00175D92" w:rsidRPr="00EE33FA" w:rsidRDefault="00175D92" w:rsidP="001928F8">
            <w:pPr>
              <w:spacing w:before="60" w:after="60"/>
              <w:rPr>
                <w:sz w:val="22"/>
                <w:szCs w:val="22"/>
                <w:lang w:val="en-GB"/>
              </w:rPr>
            </w:pPr>
            <w:r w:rsidRPr="00EE33FA">
              <w:rPr>
                <w:sz w:val="22"/>
                <w:szCs w:val="22"/>
                <w:lang w:val="en-GB"/>
              </w:rPr>
              <w:t>Meeting (full review team):  Discussion and finalization of the outcomes and recommendations of the review (full day)</w:t>
            </w:r>
          </w:p>
          <w:p w14:paraId="33B3A74B" w14:textId="77777777" w:rsidR="00175D92" w:rsidRPr="00EE33FA" w:rsidRDefault="00175D92" w:rsidP="001928F8">
            <w:pPr>
              <w:spacing w:before="60" w:after="60"/>
              <w:rPr>
                <w:sz w:val="22"/>
                <w:szCs w:val="22"/>
                <w:lang w:val="en-GB"/>
              </w:rPr>
            </w:pPr>
            <w:r w:rsidRPr="00EE33FA">
              <w:rPr>
                <w:sz w:val="22"/>
                <w:szCs w:val="22"/>
                <w:lang w:val="en-GB"/>
              </w:rPr>
              <w:t>Preparation of PPT presentation for review final debriefing</w:t>
            </w:r>
          </w:p>
          <w:p w14:paraId="0E25BD85" w14:textId="77777777" w:rsidR="00175D92" w:rsidRPr="00EE33FA" w:rsidRDefault="00175D92" w:rsidP="001928F8">
            <w:pPr>
              <w:spacing w:before="60" w:after="60"/>
              <w:rPr>
                <w:sz w:val="22"/>
                <w:szCs w:val="22"/>
                <w:lang w:val="en-GB"/>
              </w:rPr>
            </w:pPr>
            <w:r w:rsidRPr="00EE33FA">
              <w:rPr>
                <w:sz w:val="22"/>
                <w:szCs w:val="22"/>
                <w:lang w:val="en-GB"/>
              </w:rPr>
              <w:t>Team members to finalize their field report and topic report (Tue-Wed)</w:t>
            </w:r>
          </w:p>
        </w:tc>
      </w:tr>
      <w:tr w:rsidR="00175D92" w:rsidRPr="00EE33FA" w14:paraId="716EDA14" w14:textId="77777777" w:rsidTr="001928F8">
        <w:tc>
          <w:tcPr>
            <w:tcW w:w="3085" w:type="dxa"/>
            <w:tcMar>
              <w:top w:w="0" w:type="dxa"/>
              <w:left w:w="108" w:type="dxa"/>
              <w:bottom w:w="0" w:type="dxa"/>
              <w:right w:w="108" w:type="dxa"/>
            </w:tcMar>
            <w:vAlign w:val="center"/>
          </w:tcPr>
          <w:p w14:paraId="4766F2D1" w14:textId="77777777" w:rsidR="00175D92" w:rsidRPr="00EE33FA" w:rsidRDefault="00175D92" w:rsidP="001928F8">
            <w:pPr>
              <w:spacing w:before="60" w:after="60" w:line="300" w:lineRule="atLeast"/>
              <w:ind w:right="-253"/>
              <w:jc w:val="both"/>
              <w:rPr>
                <w:rFonts w:eastAsia="SimSun"/>
                <w:color w:val="000000"/>
                <w:sz w:val="22"/>
                <w:szCs w:val="22"/>
                <w:lang w:val="en-GB"/>
              </w:rPr>
            </w:pPr>
            <w:r w:rsidRPr="00EE33FA">
              <w:rPr>
                <w:rFonts w:eastAsia="SimSun"/>
                <w:color w:val="000000"/>
                <w:sz w:val="22"/>
                <w:szCs w:val="22"/>
                <w:lang w:val="en-GB"/>
              </w:rPr>
              <w:t xml:space="preserve">05 </w:t>
            </w:r>
            <w:r w:rsidRPr="00EE33FA">
              <w:rPr>
                <w:color w:val="000000"/>
                <w:sz w:val="22"/>
                <w:szCs w:val="22"/>
                <w:lang w:val="en-GB"/>
              </w:rPr>
              <w:t>August</w:t>
            </w:r>
            <w:r w:rsidRPr="00EE33FA">
              <w:rPr>
                <w:rFonts w:eastAsia="SimSun"/>
                <w:color w:val="000000"/>
                <w:sz w:val="22"/>
                <w:szCs w:val="22"/>
                <w:lang w:val="en-GB"/>
              </w:rPr>
              <w:t>, Wednesday</w:t>
            </w:r>
          </w:p>
        </w:tc>
        <w:tc>
          <w:tcPr>
            <w:tcW w:w="5670" w:type="dxa"/>
            <w:tcMar>
              <w:top w:w="0" w:type="dxa"/>
              <w:left w:w="108" w:type="dxa"/>
              <w:bottom w:w="0" w:type="dxa"/>
              <w:right w:w="108" w:type="dxa"/>
            </w:tcMar>
            <w:vAlign w:val="center"/>
          </w:tcPr>
          <w:p w14:paraId="537E19A9" w14:textId="455CF314" w:rsidR="00175D92" w:rsidRPr="00EE33FA" w:rsidRDefault="00175D92" w:rsidP="001928F8">
            <w:pPr>
              <w:spacing w:before="60" w:after="60" w:line="300" w:lineRule="atLeast"/>
              <w:ind w:firstLine="34"/>
              <w:jc w:val="both"/>
              <w:rPr>
                <w:rFonts w:eastAsia="SimSun"/>
                <w:color w:val="000000"/>
                <w:sz w:val="22"/>
                <w:szCs w:val="22"/>
                <w:lang w:val="en-GB"/>
              </w:rPr>
            </w:pPr>
            <w:r w:rsidRPr="00EE33FA">
              <w:rPr>
                <w:rFonts w:eastAsia="SimSun"/>
                <w:color w:val="000000"/>
                <w:sz w:val="22"/>
                <w:szCs w:val="22"/>
                <w:lang w:val="en-GB"/>
              </w:rPr>
              <w:t xml:space="preserve">Meeting: Review final debriefing to MLSHA </w:t>
            </w:r>
            <w:r w:rsidR="00CC26FC" w:rsidRPr="00EE33FA">
              <w:rPr>
                <w:rFonts w:eastAsia="SimSun"/>
                <w:color w:val="000000"/>
                <w:sz w:val="22"/>
                <w:szCs w:val="22"/>
                <w:lang w:val="en-GB"/>
              </w:rPr>
              <w:t>and</w:t>
            </w:r>
            <w:r w:rsidRPr="00EE33FA">
              <w:rPr>
                <w:rFonts w:eastAsia="SimSun"/>
                <w:color w:val="000000"/>
                <w:sz w:val="22"/>
                <w:szCs w:val="22"/>
                <w:lang w:val="en-GB"/>
              </w:rPr>
              <w:t xml:space="preserve"> Partners</w:t>
            </w:r>
          </w:p>
          <w:p w14:paraId="27AB4B27" w14:textId="77777777" w:rsidR="00175D92" w:rsidRPr="00EE33FA" w:rsidRDefault="00175D92" w:rsidP="001928F8">
            <w:pPr>
              <w:spacing w:before="60" w:after="60" w:line="300" w:lineRule="atLeast"/>
              <w:ind w:firstLine="34"/>
              <w:jc w:val="both"/>
              <w:rPr>
                <w:rFonts w:eastAsia="SimSun"/>
                <w:color w:val="000000"/>
                <w:sz w:val="22"/>
                <w:szCs w:val="22"/>
                <w:lang w:val="en-GB"/>
              </w:rPr>
            </w:pPr>
            <w:r w:rsidRPr="00EE33FA">
              <w:rPr>
                <w:rFonts w:eastAsia="SimSun"/>
                <w:color w:val="000000"/>
                <w:sz w:val="22"/>
                <w:szCs w:val="22"/>
                <w:lang w:val="en-GB"/>
              </w:rPr>
              <w:t>Meeting (tentative):  Review debriefing to Minister of Health</w:t>
            </w:r>
          </w:p>
        </w:tc>
      </w:tr>
      <w:tr w:rsidR="00175D92" w:rsidRPr="00EE33FA" w14:paraId="43DD706B" w14:textId="77777777" w:rsidTr="001928F8">
        <w:tc>
          <w:tcPr>
            <w:tcW w:w="3085" w:type="dxa"/>
            <w:tcMar>
              <w:top w:w="0" w:type="dxa"/>
              <w:left w:w="108" w:type="dxa"/>
              <w:bottom w:w="0" w:type="dxa"/>
              <w:right w:w="108" w:type="dxa"/>
            </w:tcMar>
            <w:vAlign w:val="center"/>
          </w:tcPr>
          <w:p w14:paraId="44B112F9" w14:textId="77777777" w:rsidR="00175D92" w:rsidRPr="00EE33FA" w:rsidRDefault="00175D92" w:rsidP="001928F8">
            <w:pPr>
              <w:spacing w:before="60" w:after="60" w:line="300" w:lineRule="atLeast"/>
              <w:ind w:right="-253"/>
              <w:jc w:val="both"/>
              <w:rPr>
                <w:rFonts w:eastAsia="SimSun"/>
                <w:color w:val="000000"/>
                <w:sz w:val="22"/>
                <w:szCs w:val="22"/>
                <w:lang w:val="en-GB"/>
              </w:rPr>
            </w:pPr>
            <w:r w:rsidRPr="00EE33FA">
              <w:rPr>
                <w:rFonts w:eastAsia="SimSun"/>
                <w:color w:val="000000"/>
                <w:sz w:val="22"/>
                <w:szCs w:val="22"/>
                <w:lang w:val="en-GB"/>
              </w:rPr>
              <w:t xml:space="preserve">06 </w:t>
            </w:r>
            <w:r w:rsidRPr="00EE33FA">
              <w:rPr>
                <w:color w:val="000000"/>
                <w:sz w:val="22"/>
                <w:szCs w:val="22"/>
                <w:lang w:val="en-GB"/>
              </w:rPr>
              <w:t>August</w:t>
            </w:r>
            <w:r w:rsidRPr="00EE33FA">
              <w:rPr>
                <w:rFonts w:eastAsia="SimSun"/>
                <w:color w:val="000000"/>
                <w:sz w:val="22"/>
                <w:szCs w:val="22"/>
                <w:lang w:val="en-GB"/>
              </w:rPr>
              <w:t>, Thursday</w:t>
            </w:r>
          </w:p>
        </w:tc>
        <w:tc>
          <w:tcPr>
            <w:tcW w:w="5670" w:type="dxa"/>
            <w:tcMar>
              <w:top w:w="0" w:type="dxa"/>
              <w:left w:w="108" w:type="dxa"/>
              <w:bottom w:w="0" w:type="dxa"/>
              <w:right w:w="108" w:type="dxa"/>
            </w:tcMar>
            <w:vAlign w:val="center"/>
          </w:tcPr>
          <w:p w14:paraId="5831AEE6"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leader to</w:t>
            </w:r>
            <w:r w:rsidRPr="00EE33FA">
              <w:rPr>
                <w:rFonts w:eastAsia="SimSun"/>
                <w:color w:val="000000"/>
                <w:sz w:val="22"/>
                <w:szCs w:val="22"/>
                <w:lang w:val="en-GB"/>
              </w:rPr>
              <w:t xml:space="preserve"> compile all materials for report</w:t>
            </w:r>
            <w:r w:rsidRPr="00EE33FA">
              <w:rPr>
                <w:color w:val="000000"/>
                <w:sz w:val="22"/>
                <w:szCs w:val="22"/>
                <w:lang w:val="en-GB"/>
              </w:rPr>
              <w:t xml:space="preserve"> and start to work on the final report</w:t>
            </w:r>
          </w:p>
          <w:p w14:paraId="050FA299"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members to depart from Tbilisi</w:t>
            </w:r>
          </w:p>
        </w:tc>
      </w:tr>
      <w:tr w:rsidR="00175D92" w:rsidRPr="00EE33FA" w14:paraId="7EACDE19" w14:textId="77777777" w:rsidTr="001928F8">
        <w:tc>
          <w:tcPr>
            <w:tcW w:w="3085" w:type="dxa"/>
            <w:tcMar>
              <w:top w:w="0" w:type="dxa"/>
              <w:left w:w="108" w:type="dxa"/>
              <w:bottom w:w="0" w:type="dxa"/>
              <w:right w:w="108" w:type="dxa"/>
            </w:tcMar>
            <w:vAlign w:val="center"/>
          </w:tcPr>
          <w:p w14:paraId="212E927D" w14:textId="77777777" w:rsidR="00175D92" w:rsidRPr="00EE33FA" w:rsidRDefault="00175D92" w:rsidP="001928F8">
            <w:pPr>
              <w:spacing w:before="60" w:after="60" w:line="300" w:lineRule="atLeast"/>
              <w:jc w:val="both"/>
              <w:rPr>
                <w:rFonts w:eastAsia="SimSun"/>
                <w:color w:val="000000"/>
                <w:sz w:val="22"/>
                <w:szCs w:val="22"/>
                <w:lang w:val="en-GB"/>
              </w:rPr>
            </w:pPr>
            <w:r w:rsidRPr="00EE33FA">
              <w:rPr>
                <w:rFonts w:eastAsia="SimSun"/>
                <w:color w:val="000000"/>
                <w:sz w:val="22"/>
                <w:szCs w:val="22"/>
                <w:lang w:val="en-GB"/>
              </w:rPr>
              <w:t xml:space="preserve">07 </w:t>
            </w:r>
            <w:r w:rsidRPr="00EE33FA">
              <w:rPr>
                <w:color w:val="000000"/>
                <w:sz w:val="22"/>
                <w:szCs w:val="22"/>
                <w:lang w:val="en-GB"/>
              </w:rPr>
              <w:t>August, Friday</w:t>
            </w:r>
          </w:p>
        </w:tc>
        <w:tc>
          <w:tcPr>
            <w:tcW w:w="5670" w:type="dxa"/>
            <w:tcMar>
              <w:top w:w="0" w:type="dxa"/>
              <w:left w:w="108" w:type="dxa"/>
              <w:bottom w:w="0" w:type="dxa"/>
              <w:right w:w="108" w:type="dxa"/>
            </w:tcMar>
            <w:vAlign w:val="center"/>
          </w:tcPr>
          <w:p w14:paraId="12B6822E" w14:textId="77777777" w:rsidR="00175D92" w:rsidRPr="00EE33FA" w:rsidRDefault="00175D92" w:rsidP="001928F8">
            <w:pPr>
              <w:spacing w:before="60" w:after="60" w:line="300" w:lineRule="atLeast"/>
              <w:ind w:firstLine="34"/>
              <w:jc w:val="both"/>
              <w:rPr>
                <w:color w:val="000000"/>
                <w:sz w:val="22"/>
                <w:szCs w:val="22"/>
                <w:lang w:val="en-GB"/>
              </w:rPr>
            </w:pPr>
            <w:r w:rsidRPr="00EE33FA">
              <w:rPr>
                <w:color w:val="000000"/>
                <w:sz w:val="22"/>
                <w:szCs w:val="22"/>
                <w:lang w:val="en-GB"/>
              </w:rPr>
              <w:t>Team leader to depart from Tbilisi</w:t>
            </w:r>
          </w:p>
        </w:tc>
      </w:tr>
    </w:tbl>
    <w:p w14:paraId="48D1588C" w14:textId="77777777" w:rsidR="00175D92" w:rsidRPr="00EE33FA" w:rsidRDefault="00175D92" w:rsidP="00175D92">
      <w:pPr>
        <w:rPr>
          <w:lang w:val="en-GB"/>
        </w:rPr>
      </w:pPr>
    </w:p>
    <w:p w14:paraId="223EC941" w14:textId="77777777" w:rsidR="00FC72D6" w:rsidRPr="00EE33FA" w:rsidRDefault="00FC72D6" w:rsidP="00FC72D6">
      <w:pPr>
        <w:pStyle w:val="Heading1"/>
        <w:ind w:right="-763"/>
        <w:rPr>
          <w:lang w:val="en-GB"/>
        </w:rPr>
      </w:pPr>
      <w:r w:rsidRPr="00EE33FA">
        <w:rPr>
          <w:lang w:val="en-GB"/>
        </w:rPr>
        <w:br w:type="page"/>
      </w:r>
      <w:bookmarkStart w:id="34" w:name="_Toc303889507"/>
      <w:r w:rsidRPr="00EE33FA">
        <w:rPr>
          <w:lang w:val="en-GB"/>
        </w:rPr>
        <w:lastRenderedPageBreak/>
        <w:t>Annex 3:  List of key documents for the desk review</w:t>
      </w:r>
      <w:bookmarkEnd w:id="34"/>
    </w:p>
    <w:p w14:paraId="15AD39B9" w14:textId="77777777" w:rsidR="00931FAE" w:rsidRDefault="00931FAE" w:rsidP="002248E5">
      <w:pPr>
        <w:spacing w:before="60" w:line="300" w:lineRule="atLeast"/>
        <w:jc w:val="both"/>
        <w:rPr>
          <w:color w:val="000000"/>
          <w:lang w:val="en-GB"/>
        </w:rPr>
      </w:pPr>
    </w:p>
    <w:p w14:paraId="2B2A06CF" w14:textId="77777777" w:rsidR="002248E5" w:rsidRDefault="002248E5" w:rsidP="002248E5">
      <w:pPr>
        <w:spacing w:before="60" w:line="300" w:lineRule="atLeast"/>
        <w:jc w:val="both"/>
        <w:rPr>
          <w:color w:val="000000"/>
          <w:lang w:val="en-GB"/>
        </w:rPr>
        <w:sectPr w:rsidR="002248E5" w:rsidSect="00500E5A">
          <w:type w:val="continuous"/>
          <w:pgSz w:w="12240" w:h="15840"/>
          <w:pgMar w:top="1152" w:right="1350" w:bottom="1152" w:left="1872" w:header="720" w:footer="720" w:gutter="0"/>
          <w:cols w:space="720"/>
          <w:titlePg/>
          <w:docGrid w:linePitch="360"/>
        </w:sectPr>
      </w:pPr>
    </w:p>
    <w:p w14:paraId="30524AF3" w14:textId="4548D201"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lastRenderedPageBreak/>
        <w:t>Abkhazia Breastfeeding &amp; Baby Friendly Initiative 2013.pdf</w:t>
      </w:r>
    </w:p>
    <w:p w14:paraId="60120E4A" w14:textId="5D4D0650"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Abkhazia Maternity Services &amp; An</w:t>
      </w:r>
      <w:r>
        <w:rPr>
          <w:color w:val="000000"/>
          <w:lang w:val="en-GB"/>
        </w:rPr>
        <w:t>tenatal Care Assessment 2014.pdf</w:t>
      </w:r>
    </w:p>
    <w:p w14:paraId="2FBB07B2"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Abkhazia Rural PHC Facilities Assessment 2012.docx</w:t>
      </w:r>
    </w:p>
    <w:p w14:paraId="35231733"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Annual Progress Report 2014.doc</w:t>
      </w:r>
    </w:p>
    <w:p w14:paraId="1E3DC9B5"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APR 2013 Internal Appraisal.docx</w:t>
      </w:r>
    </w:p>
    <w:p w14:paraId="436FF7D9"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Bacterial Meningitis Surveillance &amp; Disease Burden 2013.doc</w:t>
      </w:r>
    </w:p>
    <w:p w14:paraId="39842A88"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Comprehensive Multi-year Plan 2012-2016.doc</w:t>
      </w:r>
    </w:p>
    <w:p w14:paraId="1E60700F"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Concern and Resistance to Immunization Research 2012.doc</w:t>
      </w:r>
    </w:p>
    <w:p w14:paraId="74B7C251"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Country Summary 2014.docx</w:t>
      </w:r>
    </w:p>
    <w:p w14:paraId="48A69995"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European Vaccine Action Plan 2015-2020.pdf</w:t>
      </w:r>
    </w:p>
    <w:p w14:paraId="3A5EC238" w14:textId="5A4D886A"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European Vaccine Action Plan Factsheet 2015-2020.pdf</w:t>
      </w:r>
    </w:p>
    <w:p w14:paraId="604DB70F"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EVM Assessment 2014.doc</w:t>
      </w:r>
    </w:p>
    <w:p w14:paraId="207496B0"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EVM Improvement Plan 2014.xlsx</w:t>
      </w:r>
    </w:p>
    <w:p w14:paraId="33C5A86B"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GAVI Graduating Mission Presentation 2014.pptx</w:t>
      </w:r>
    </w:p>
    <w:p w14:paraId="40DAD97A"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GAVI Graduating Mission Report 2012.docx</w:t>
      </w:r>
    </w:p>
    <w:p w14:paraId="26D5F789"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Georgia map.pdf</w:t>
      </w:r>
    </w:p>
    <w:p w14:paraId="798610EB"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Graduation Action Plan GAVI 2014.xls</w:t>
      </w:r>
    </w:p>
    <w:p w14:paraId="2743F285"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Health Assigned Budget 2014.xls</w:t>
      </w:r>
    </w:p>
    <w:p w14:paraId="74BBA890"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Health Expenditure &amp; Utilization Survey 2014.pdf</w:t>
      </w:r>
    </w:p>
    <w:p w14:paraId="5E3E8AC1"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Health Sector Development Strategic Plan 2014-2020.docx</w:t>
      </w:r>
    </w:p>
    <w:p w14:paraId="205E046D"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Health Systems in Transition 2009.pdf</w:t>
      </w:r>
    </w:p>
    <w:p w14:paraId="51DC9C2B"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Hospital Sector Report 2012.pdf</w:t>
      </w:r>
    </w:p>
    <w:p w14:paraId="175FFDE8"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lastRenderedPageBreak/>
        <w:t>Immunization Budgeting and Sustainable Financing VSI 2015.docx</w:t>
      </w:r>
    </w:p>
    <w:p w14:paraId="589C706A"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Immunization Coverage Estimates 2014.pdf</w:t>
      </w:r>
    </w:p>
    <w:p w14:paraId="04918920"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Immunization Coverage NCDC 2011-2013.xlsx</w:t>
      </w:r>
    </w:p>
    <w:p w14:paraId="5E463257"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Immunization Forecast Tool 2015-2019.xlsx</w:t>
      </w:r>
    </w:p>
    <w:p w14:paraId="460629C4"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Immunization legislation VSI 2015.docx</w:t>
      </w:r>
    </w:p>
    <w:p w14:paraId="757D2F33"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Joint Reporting Form 2014.pdf</w:t>
      </w:r>
    </w:p>
    <w:p w14:paraId="5E88A00D"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Law on Budget System.pdf</w:t>
      </w:r>
    </w:p>
    <w:p w14:paraId="3A70FB8C"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Law on Medicines.pdf</w:t>
      </w:r>
    </w:p>
    <w:p w14:paraId="1B6F081F"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Law on Public Health.pdf</w:t>
      </w:r>
    </w:p>
    <w:p w14:paraId="0D975413"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Law on Public Procurement.pdf</w:t>
      </w:r>
    </w:p>
    <w:p w14:paraId="018102F8"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Medical Insurance for Poor 2013.pdf</w:t>
      </w:r>
    </w:p>
    <w:p w14:paraId="4D5BA20F"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MoH Organogramme 2014.docx</w:t>
      </w:r>
    </w:p>
    <w:p w14:paraId="4F64FB9B"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NRA Institutional Development Plan 2014.xlsx</w:t>
      </w:r>
    </w:p>
    <w:p w14:paraId="70154CA9"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PCV10 Introduction Cost-effectiveness Analysis 2014.docx</w:t>
      </w:r>
    </w:p>
    <w:p w14:paraId="7C2AEA0C"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PCV10 Pre-introduction Readiness Assessment 2014.docx</w:t>
      </w:r>
    </w:p>
    <w:p w14:paraId="1561DBE7"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Pharmaceutical Market 2012.pdf</w:t>
      </w:r>
    </w:p>
    <w:p w14:paraId="663DE50A"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Population &amp; Newborn Data 2013.xls</w:t>
      </w:r>
    </w:p>
    <w:p w14:paraId="6F888C58"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Public Expenditure Review 2014.pdf</w:t>
      </w:r>
    </w:p>
    <w:p w14:paraId="647CF265"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Rotavirus Implementation Report 2013.docx</w:t>
      </w:r>
    </w:p>
    <w:p w14:paraId="286BF239"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Rotavirus Post-Introduction Evaluation 2014.doc</w:t>
      </w:r>
    </w:p>
    <w:p w14:paraId="50382CE7"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Social-economic Development Strategy 2020.pdf</w:t>
      </w:r>
    </w:p>
    <w:p w14:paraId="161F7C9A" w14:textId="77777777" w:rsidR="00931FAE" w:rsidRPr="00931FAE" w:rsidRDefault="00931FAE" w:rsidP="00931FAE">
      <w:pPr>
        <w:numPr>
          <w:ilvl w:val="0"/>
          <w:numId w:val="2"/>
        </w:numPr>
        <w:spacing w:before="60" w:line="300" w:lineRule="atLeast"/>
        <w:ind w:left="284"/>
        <w:rPr>
          <w:color w:val="000000"/>
          <w:lang w:val="en-GB"/>
        </w:rPr>
      </w:pPr>
      <w:r w:rsidRPr="00931FAE">
        <w:rPr>
          <w:color w:val="000000"/>
          <w:lang w:val="en-GB"/>
        </w:rPr>
        <w:t>Vaccine Supply Provisional Plan 2015.xlsx</w:t>
      </w:r>
    </w:p>
    <w:p w14:paraId="6F00D052" w14:textId="50FBDBE3" w:rsidR="004811D9" w:rsidRPr="00EE33FA" w:rsidRDefault="00931FAE" w:rsidP="00931FAE">
      <w:pPr>
        <w:numPr>
          <w:ilvl w:val="0"/>
          <w:numId w:val="2"/>
        </w:numPr>
        <w:spacing w:before="60" w:line="300" w:lineRule="atLeast"/>
        <w:ind w:left="284"/>
        <w:rPr>
          <w:color w:val="000000"/>
          <w:lang w:val="en-GB"/>
        </w:rPr>
      </w:pPr>
      <w:r w:rsidRPr="00931FAE">
        <w:rPr>
          <w:color w:val="000000"/>
          <w:lang w:val="en-GB"/>
        </w:rPr>
        <w:t>Vaccines Budget 2012-2015.xls</w:t>
      </w:r>
    </w:p>
    <w:p w14:paraId="66F533C1" w14:textId="77777777" w:rsidR="00931FAE" w:rsidRDefault="00931FAE" w:rsidP="007B6976">
      <w:pPr>
        <w:pStyle w:val="Heading1"/>
        <w:rPr>
          <w:lang w:val="en-GB"/>
        </w:rPr>
        <w:sectPr w:rsidR="00931FAE" w:rsidSect="00931FAE">
          <w:type w:val="continuous"/>
          <w:pgSz w:w="12240" w:h="15840"/>
          <w:pgMar w:top="1152" w:right="1350" w:bottom="1152" w:left="1872" w:header="720" w:footer="720" w:gutter="0"/>
          <w:cols w:num="2" w:space="720"/>
          <w:titlePg/>
          <w:docGrid w:linePitch="360"/>
        </w:sectPr>
      </w:pPr>
    </w:p>
    <w:p w14:paraId="1D466E86" w14:textId="318C1B04" w:rsidR="007B6976" w:rsidRPr="00EE33FA" w:rsidRDefault="007B6976" w:rsidP="007B6976">
      <w:pPr>
        <w:pStyle w:val="Heading1"/>
        <w:rPr>
          <w:lang w:val="en-GB"/>
        </w:rPr>
      </w:pPr>
    </w:p>
    <w:p w14:paraId="362F6FC0" w14:textId="0922BFEF" w:rsidR="0098047F" w:rsidRPr="00EE33FA" w:rsidRDefault="00FC72D6" w:rsidP="0098047F">
      <w:pPr>
        <w:pStyle w:val="Heading1"/>
        <w:rPr>
          <w:lang w:val="en-GB"/>
        </w:rPr>
      </w:pPr>
      <w:r w:rsidRPr="00EE33FA">
        <w:rPr>
          <w:lang w:val="en-GB"/>
        </w:rPr>
        <w:br w:type="page"/>
      </w:r>
      <w:bookmarkStart w:id="35" w:name="_Toc303889508"/>
      <w:r w:rsidR="00EB6179" w:rsidRPr="00EE33FA">
        <w:rPr>
          <w:lang w:val="en-GB"/>
        </w:rPr>
        <w:lastRenderedPageBreak/>
        <w:t>Annex 4</w:t>
      </w:r>
      <w:r w:rsidRPr="00EE33FA">
        <w:rPr>
          <w:lang w:val="en-GB"/>
        </w:rPr>
        <w:t xml:space="preserve">: </w:t>
      </w:r>
      <w:bookmarkStart w:id="36" w:name="_Toc290215944"/>
      <w:r w:rsidR="0098047F" w:rsidRPr="00EE33FA">
        <w:rPr>
          <w:lang w:val="en-GB"/>
        </w:rPr>
        <w:t>Field reports</w:t>
      </w:r>
      <w:bookmarkEnd w:id="35"/>
      <w:bookmarkEnd w:id="36"/>
    </w:p>
    <w:p w14:paraId="54DEF0A4" w14:textId="77777777" w:rsidR="0098047F" w:rsidRPr="00EE33FA" w:rsidRDefault="0098047F" w:rsidP="0098047F">
      <w:pPr>
        <w:spacing w:before="120"/>
        <w:rPr>
          <w:b/>
          <w:lang w:val="en-GB"/>
        </w:rPr>
      </w:pPr>
    </w:p>
    <w:p w14:paraId="07C29FE5" w14:textId="00F9608A" w:rsidR="0098047F" w:rsidRPr="00EE33FA" w:rsidRDefault="0098047F" w:rsidP="0098047F">
      <w:pPr>
        <w:spacing w:before="120"/>
        <w:ind w:firstLine="360"/>
        <w:jc w:val="both"/>
        <w:rPr>
          <w:lang w:val="en-GB"/>
        </w:rPr>
      </w:pPr>
      <w:r w:rsidRPr="00EE33FA">
        <w:rPr>
          <w:lang w:val="en-GB"/>
        </w:rPr>
        <w:t xml:space="preserve">Field reports (5) were </w:t>
      </w:r>
      <w:r w:rsidR="004762F7" w:rsidRPr="00EE33FA">
        <w:rPr>
          <w:lang w:val="en-GB"/>
        </w:rPr>
        <w:t>drafted by the team members</w:t>
      </w:r>
      <w:r w:rsidRPr="00EE33FA">
        <w:rPr>
          <w:lang w:val="en-GB"/>
        </w:rPr>
        <w:t xml:space="preserve"> and</w:t>
      </w:r>
      <w:r w:rsidR="004762F7" w:rsidRPr="00EE33FA">
        <w:rPr>
          <w:lang w:val="en-GB"/>
        </w:rPr>
        <w:t xml:space="preserve"> after </w:t>
      </w:r>
      <w:r w:rsidR="007572C0" w:rsidRPr="00EE33FA">
        <w:rPr>
          <w:lang w:val="en-GB"/>
        </w:rPr>
        <w:t>clearance</w:t>
      </w:r>
      <w:r w:rsidRPr="00EE33FA">
        <w:rPr>
          <w:lang w:val="en-GB"/>
        </w:rPr>
        <w:t xml:space="preserve"> will be shared with the respective Region/Municipality/District.  They are not attached to this report, due to the large number of pages for all t</w:t>
      </w:r>
      <w:r w:rsidR="004762F7" w:rsidRPr="00EE33FA">
        <w:rPr>
          <w:lang w:val="en-GB"/>
        </w:rPr>
        <w:t>hese reports, but are available on request.</w:t>
      </w:r>
    </w:p>
    <w:p w14:paraId="2FE66A57" w14:textId="77777777" w:rsidR="00781F0B" w:rsidRPr="00EE33FA" w:rsidRDefault="00781F0B" w:rsidP="0098047F">
      <w:pPr>
        <w:spacing w:before="120"/>
        <w:ind w:firstLine="360"/>
        <w:jc w:val="both"/>
        <w:rPr>
          <w:lang w:val="en-GB"/>
        </w:rPr>
      </w:pPr>
    </w:p>
    <w:p w14:paraId="5B1EC3EC" w14:textId="12E881EF" w:rsidR="0098047F" w:rsidRPr="00EE33FA" w:rsidRDefault="0098047F">
      <w:pPr>
        <w:rPr>
          <w:color w:val="000000"/>
          <w:lang w:val="en-GB"/>
        </w:rPr>
      </w:pPr>
      <w:r w:rsidRPr="00EE33FA">
        <w:rPr>
          <w:color w:val="000000"/>
          <w:lang w:val="en-GB"/>
        </w:rPr>
        <w:br w:type="page"/>
      </w:r>
    </w:p>
    <w:p w14:paraId="3F643660" w14:textId="174C0CBF" w:rsidR="00EB6179" w:rsidRPr="00EE33FA" w:rsidRDefault="00EB6179" w:rsidP="00EB6179">
      <w:pPr>
        <w:pStyle w:val="Heading1"/>
        <w:rPr>
          <w:lang w:val="en-GB"/>
        </w:rPr>
      </w:pPr>
      <w:bookmarkStart w:id="37" w:name="_Toc303889509"/>
      <w:r w:rsidRPr="00EE33FA">
        <w:rPr>
          <w:lang w:val="en-GB"/>
        </w:rPr>
        <w:lastRenderedPageBreak/>
        <w:t>Annex 5: EVM recommendations implementation status</w:t>
      </w:r>
      <w:bookmarkEnd w:id="37"/>
    </w:p>
    <w:p w14:paraId="757622DB" w14:textId="77777777" w:rsidR="00B015D9" w:rsidRDefault="00B015D9">
      <w:pPr>
        <w:rPr>
          <w:lang w:val="en-GB"/>
        </w:rPr>
      </w:pPr>
    </w:p>
    <w:tbl>
      <w:tblPr>
        <w:tblStyle w:val="TableGrid"/>
        <w:tblW w:w="11057" w:type="dxa"/>
        <w:tblInd w:w="-1026" w:type="dxa"/>
        <w:tblLayout w:type="fixed"/>
        <w:tblLook w:val="04A0" w:firstRow="1" w:lastRow="0" w:firstColumn="1" w:lastColumn="0" w:noHBand="0" w:noVBand="1"/>
      </w:tblPr>
      <w:tblGrid>
        <w:gridCol w:w="425"/>
        <w:gridCol w:w="567"/>
        <w:gridCol w:w="4962"/>
        <w:gridCol w:w="425"/>
        <w:gridCol w:w="2126"/>
        <w:gridCol w:w="1358"/>
        <w:gridCol w:w="1194"/>
      </w:tblGrid>
      <w:tr w:rsidR="009D6762" w:rsidRPr="005549F2" w14:paraId="1CB0F639" w14:textId="77777777" w:rsidTr="00024914">
        <w:trPr>
          <w:cantSplit/>
          <w:trHeight w:val="1134"/>
        </w:trPr>
        <w:tc>
          <w:tcPr>
            <w:tcW w:w="425" w:type="dxa"/>
            <w:textDirection w:val="btLr"/>
            <w:vAlign w:val="center"/>
          </w:tcPr>
          <w:p w14:paraId="4586EB23" w14:textId="11379329" w:rsidR="009D6762" w:rsidRPr="005549F2" w:rsidRDefault="009D6762" w:rsidP="00A404D0">
            <w:pPr>
              <w:ind w:left="-108" w:right="-108"/>
              <w:jc w:val="center"/>
              <w:rPr>
                <w:b/>
                <w:sz w:val="22"/>
                <w:szCs w:val="22"/>
                <w:lang w:val="en-GB"/>
              </w:rPr>
            </w:pPr>
            <w:r w:rsidRPr="005549F2">
              <w:rPr>
                <w:b/>
                <w:sz w:val="22"/>
                <w:szCs w:val="22"/>
              </w:rPr>
              <w:t>Item no.</w:t>
            </w:r>
          </w:p>
        </w:tc>
        <w:tc>
          <w:tcPr>
            <w:tcW w:w="567" w:type="dxa"/>
            <w:textDirection w:val="btLr"/>
            <w:vAlign w:val="center"/>
          </w:tcPr>
          <w:p w14:paraId="63F76891" w14:textId="1C155314" w:rsidR="009D6762" w:rsidRPr="005549F2" w:rsidRDefault="009D6762" w:rsidP="00A404D0">
            <w:pPr>
              <w:ind w:left="113" w:right="113"/>
              <w:jc w:val="center"/>
              <w:rPr>
                <w:b/>
                <w:sz w:val="22"/>
                <w:szCs w:val="22"/>
                <w:lang w:val="en-GB"/>
              </w:rPr>
            </w:pPr>
            <w:r w:rsidRPr="005549F2">
              <w:rPr>
                <w:b/>
                <w:sz w:val="22"/>
                <w:szCs w:val="22"/>
              </w:rPr>
              <w:t>EVM criterion</w:t>
            </w:r>
          </w:p>
        </w:tc>
        <w:tc>
          <w:tcPr>
            <w:tcW w:w="4962" w:type="dxa"/>
            <w:vAlign w:val="center"/>
          </w:tcPr>
          <w:p w14:paraId="5688CBCA" w14:textId="77777777" w:rsidR="009D6762" w:rsidRPr="005549F2" w:rsidRDefault="009D6762" w:rsidP="00C40C59">
            <w:pPr>
              <w:rPr>
                <w:b/>
                <w:sz w:val="22"/>
                <w:szCs w:val="22"/>
              </w:rPr>
            </w:pPr>
          </w:p>
          <w:p w14:paraId="25736E20" w14:textId="7920EF2B" w:rsidR="009D6762" w:rsidRPr="005549F2" w:rsidRDefault="009D6762" w:rsidP="00C40C59">
            <w:pPr>
              <w:jc w:val="center"/>
              <w:rPr>
                <w:b/>
                <w:sz w:val="22"/>
                <w:szCs w:val="22"/>
                <w:lang w:val="en-GB"/>
              </w:rPr>
            </w:pPr>
            <w:r w:rsidRPr="005549F2">
              <w:rPr>
                <w:b/>
                <w:sz w:val="22"/>
                <w:szCs w:val="22"/>
              </w:rPr>
              <w:t>Task description</w:t>
            </w:r>
          </w:p>
        </w:tc>
        <w:tc>
          <w:tcPr>
            <w:tcW w:w="425" w:type="dxa"/>
            <w:textDirection w:val="btLr"/>
            <w:vAlign w:val="center"/>
          </w:tcPr>
          <w:p w14:paraId="5854873B" w14:textId="7F843AB4" w:rsidR="009D6762" w:rsidRPr="005549F2" w:rsidRDefault="009D6762" w:rsidP="00A404D0">
            <w:pPr>
              <w:ind w:left="113" w:right="113"/>
              <w:jc w:val="center"/>
              <w:rPr>
                <w:b/>
                <w:sz w:val="22"/>
                <w:szCs w:val="22"/>
                <w:lang w:val="en-GB"/>
              </w:rPr>
            </w:pPr>
            <w:r w:rsidRPr="005549F2">
              <w:rPr>
                <w:b/>
                <w:sz w:val="22"/>
                <w:szCs w:val="22"/>
              </w:rPr>
              <w:t>Priority</w:t>
            </w:r>
          </w:p>
        </w:tc>
        <w:tc>
          <w:tcPr>
            <w:tcW w:w="2126" w:type="dxa"/>
            <w:vAlign w:val="center"/>
          </w:tcPr>
          <w:p w14:paraId="54B33ACC" w14:textId="77777777" w:rsidR="009D6762" w:rsidRPr="005549F2" w:rsidRDefault="009D6762" w:rsidP="00A404D0">
            <w:pPr>
              <w:jc w:val="center"/>
              <w:rPr>
                <w:b/>
                <w:sz w:val="22"/>
                <w:szCs w:val="22"/>
              </w:rPr>
            </w:pPr>
          </w:p>
          <w:p w14:paraId="3DD4D8D2" w14:textId="24B33EB4" w:rsidR="009D6762" w:rsidRPr="005549F2" w:rsidRDefault="009D6762" w:rsidP="00A404D0">
            <w:pPr>
              <w:jc w:val="center"/>
              <w:rPr>
                <w:b/>
                <w:sz w:val="22"/>
                <w:szCs w:val="22"/>
                <w:lang w:val="en-GB"/>
              </w:rPr>
            </w:pPr>
            <w:r w:rsidRPr="005549F2">
              <w:rPr>
                <w:b/>
                <w:sz w:val="22"/>
                <w:szCs w:val="22"/>
              </w:rPr>
              <w:t>Responsibility</w:t>
            </w:r>
          </w:p>
        </w:tc>
        <w:tc>
          <w:tcPr>
            <w:tcW w:w="1358" w:type="dxa"/>
            <w:vAlign w:val="center"/>
          </w:tcPr>
          <w:p w14:paraId="7AE380DE" w14:textId="77777777" w:rsidR="009D6762" w:rsidRPr="005549F2" w:rsidRDefault="009D6762" w:rsidP="00A404D0">
            <w:pPr>
              <w:jc w:val="center"/>
              <w:rPr>
                <w:b/>
                <w:color w:val="0000FF"/>
                <w:sz w:val="22"/>
                <w:szCs w:val="22"/>
              </w:rPr>
            </w:pPr>
          </w:p>
          <w:p w14:paraId="298EC9D4" w14:textId="2AF0A120" w:rsidR="009D6762" w:rsidRPr="005549F2" w:rsidRDefault="009D6762" w:rsidP="00A404D0">
            <w:pPr>
              <w:jc w:val="center"/>
              <w:rPr>
                <w:b/>
                <w:color w:val="0000FF"/>
                <w:sz w:val="22"/>
                <w:szCs w:val="22"/>
                <w:lang w:val="en-GB"/>
              </w:rPr>
            </w:pPr>
            <w:r w:rsidRPr="005549F2">
              <w:rPr>
                <w:b/>
                <w:color w:val="0000FF"/>
                <w:sz w:val="22"/>
                <w:szCs w:val="22"/>
              </w:rPr>
              <w:t>Implementation</w:t>
            </w:r>
          </w:p>
        </w:tc>
        <w:tc>
          <w:tcPr>
            <w:tcW w:w="1194" w:type="dxa"/>
            <w:vAlign w:val="center"/>
          </w:tcPr>
          <w:p w14:paraId="27765B13" w14:textId="77777777" w:rsidR="009D6762" w:rsidRPr="005549F2" w:rsidRDefault="009D6762" w:rsidP="00024914">
            <w:pPr>
              <w:jc w:val="center"/>
              <w:rPr>
                <w:b/>
                <w:color w:val="0000FF"/>
                <w:sz w:val="22"/>
                <w:szCs w:val="22"/>
              </w:rPr>
            </w:pPr>
          </w:p>
          <w:p w14:paraId="0830D29B" w14:textId="56340022" w:rsidR="009D6762" w:rsidRPr="009D6762" w:rsidRDefault="009D6762" w:rsidP="00A404D0">
            <w:pPr>
              <w:jc w:val="center"/>
              <w:rPr>
                <w:color w:val="0000FF"/>
                <w:sz w:val="22"/>
                <w:szCs w:val="22"/>
                <w:lang w:val="en-GB"/>
              </w:rPr>
            </w:pPr>
            <w:r>
              <w:rPr>
                <w:b/>
                <w:color w:val="0000FF"/>
                <w:sz w:val="22"/>
                <w:szCs w:val="22"/>
              </w:rPr>
              <w:t>Notes</w:t>
            </w:r>
          </w:p>
        </w:tc>
      </w:tr>
      <w:tr w:rsidR="009D6762" w:rsidRPr="005549F2" w14:paraId="6FDC2FBB" w14:textId="77777777" w:rsidTr="00024914">
        <w:tc>
          <w:tcPr>
            <w:tcW w:w="425" w:type="dxa"/>
            <w:vAlign w:val="center"/>
          </w:tcPr>
          <w:p w14:paraId="4BE2B56F" w14:textId="0A350039" w:rsidR="009D6762" w:rsidRPr="005549F2" w:rsidRDefault="009D6762" w:rsidP="00A404D0">
            <w:pPr>
              <w:ind w:left="-108" w:right="-108"/>
              <w:jc w:val="center"/>
              <w:rPr>
                <w:sz w:val="22"/>
                <w:szCs w:val="22"/>
                <w:lang w:val="en-GB"/>
              </w:rPr>
            </w:pPr>
            <w:r w:rsidRPr="005549F2">
              <w:rPr>
                <w:sz w:val="22"/>
                <w:szCs w:val="22"/>
              </w:rPr>
              <w:t>1</w:t>
            </w:r>
          </w:p>
        </w:tc>
        <w:tc>
          <w:tcPr>
            <w:tcW w:w="567" w:type="dxa"/>
            <w:vAlign w:val="center"/>
          </w:tcPr>
          <w:p w14:paraId="53573D2A" w14:textId="2E563B30" w:rsidR="009D6762" w:rsidRPr="005549F2" w:rsidRDefault="009D6762" w:rsidP="00A404D0">
            <w:pPr>
              <w:jc w:val="center"/>
              <w:rPr>
                <w:sz w:val="22"/>
                <w:szCs w:val="22"/>
                <w:lang w:val="en-GB"/>
              </w:rPr>
            </w:pPr>
            <w:r w:rsidRPr="005549F2">
              <w:rPr>
                <w:sz w:val="22"/>
                <w:szCs w:val="22"/>
              </w:rPr>
              <w:t>E1</w:t>
            </w:r>
          </w:p>
        </w:tc>
        <w:tc>
          <w:tcPr>
            <w:tcW w:w="4962" w:type="dxa"/>
            <w:vAlign w:val="center"/>
          </w:tcPr>
          <w:p w14:paraId="54D245EE" w14:textId="3D2967EB" w:rsidR="009D6762" w:rsidRPr="005549F2" w:rsidRDefault="009D6762" w:rsidP="00C40C59">
            <w:pPr>
              <w:rPr>
                <w:sz w:val="22"/>
                <w:szCs w:val="22"/>
                <w:lang w:val="en-GB"/>
              </w:rPr>
            </w:pPr>
            <w:r w:rsidRPr="005549F2">
              <w:rPr>
                <w:sz w:val="22"/>
                <w:szCs w:val="22"/>
              </w:rPr>
              <w:t>Prepare SOP to clarify vaccine arrival activities.</w:t>
            </w:r>
          </w:p>
        </w:tc>
        <w:tc>
          <w:tcPr>
            <w:tcW w:w="425" w:type="dxa"/>
            <w:vAlign w:val="center"/>
          </w:tcPr>
          <w:p w14:paraId="21D194DA" w14:textId="468C9EB2"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00483D6D" w14:textId="0F41A269"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6E6923FC" w14:textId="34EEBE08"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52966CE3" w14:textId="049456DE" w:rsidR="009D6762" w:rsidRPr="009D6762" w:rsidRDefault="009D6762" w:rsidP="00A404D0">
            <w:pPr>
              <w:jc w:val="center"/>
              <w:rPr>
                <w:color w:val="0000FF"/>
                <w:sz w:val="22"/>
                <w:szCs w:val="22"/>
                <w:lang w:val="en-GB"/>
              </w:rPr>
            </w:pPr>
          </w:p>
        </w:tc>
      </w:tr>
      <w:tr w:rsidR="009D6762" w:rsidRPr="005549F2" w14:paraId="0CC69B05" w14:textId="77777777" w:rsidTr="00024914">
        <w:tc>
          <w:tcPr>
            <w:tcW w:w="425" w:type="dxa"/>
            <w:vAlign w:val="center"/>
          </w:tcPr>
          <w:p w14:paraId="6D200F05" w14:textId="7BD59641" w:rsidR="009D6762" w:rsidRPr="005549F2" w:rsidRDefault="009D6762" w:rsidP="00A404D0">
            <w:pPr>
              <w:ind w:left="-108" w:right="-108"/>
              <w:jc w:val="center"/>
              <w:rPr>
                <w:sz w:val="22"/>
                <w:szCs w:val="22"/>
                <w:lang w:val="en-GB"/>
              </w:rPr>
            </w:pPr>
            <w:r w:rsidRPr="005549F2">
              <w:rPr>
                <w:sz w:val="22"/>
                <w:szCs w:val="22"/>
              </w:rPr>
              <w:t>2</w:t>
            </w:r>
          </w:p>
        </w:tc>
        <w:tc>
          <w:tcPr>
            <w:tcW w:w="567" w:type="dxa"/>
            <w:vAlign w:val="center"/>
          </w:tcPr>
          <w:p w14:paraId="01ED16DA" w14:textId="4BF244A8" w:rsidR="009D6762" w:rsidRPr="005549F2" w:rsidRDefault="009D6762" w:rsidP="00A404D0">
            <w:pPr>
              <w:jc w:val="center"/>
              <w:rPr>
                <w:sz w:val="22"/>
                <w:szCs w:val="22"/>
                <w:lang w:val="en-GB"/>
              </w:rPr>
            </w:pPr>
            <w:r w:rsidRPr="005549F2">
              <w:rPr>
                <w:sz w:val="22"/>
                <w:szCs w:val="22"/>
              </w:rPr>
              <w:t>E1</w:t>
            </w:r>
          </w:p>
        </w:tc>
        <w:tc>
          <w:tcPr>
            <w:tcW w:w="4962" w:type="dxa"/>
            <w:vAlign w:val="center"/>
          </w:tcPr>
          <w:p w14:paraId="7F924930" w14:textId="2840C36A" w:rsidR="009D6762" w:rsidRPr="005549F2" w:rsidRDefault="009D6762" w:rsidP="00C40C59">
            <w:pPr>
              <w:rPr>
                <w:sz w:val="22"/>
                <w:szCs w:val="22"/>
                <w:lang w:val="en-GB"/>
              </w:rPr>
            </w:pPr>
            <w:r w:rsidRPr="005549F2">
              <w:rPr>
                <w:sz w:val="22"/>
                <w:szCs w:val="22"/>
              </w:rPr>
              <w:t>Prepare a contingency plan to use in long arrival delays.</w:t>
            </w:r>
          </w:p>
        </w:tc>
        <w:tc>
          <w:tcPr>
            <w:tcW w:w="425" w:type="dxa"/>
            <w:vAlign w:val="center"/>
          </w:tcPr>
          <w:p w14:paraId="2A0EA5C9" w14:textId="49033FCF"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0EFAD76E" w14:textId="1D5A1080"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48274E68" w14:textId="0158B1EC" w:rsidR="009D6762" w:rsidRPr="006430FD" w:rsidRDefault="009D6762" w:rsidP="00A404D0">
            <w:pPr>
              <w:jc w:val="center"/>
              <w:rPr>
                <w:color w:val="FF0000"/>
                <w:sz w:val="22"/>
                <w:szCs w:val="22"/>
                <w:lang w:val="en-GB"/>
              </w:rPr>
            </w:pPr>
            <w:r w:rsidRPr="006430FD">
              <w:rPr>
                <w:color w:val="FF0000"/>
                <w:sz w:val="22"/>
                <w:szCs w:val="22"/>
                <w:lang w:val="en-GB"/>
              </w:rPr>
              <w:t>NO</w:t>
            </w:r>
          </w:p>
        </w:tc>
        <w:tc>
          <w:tcPr>
            <w:tcW w:w="1194" w:type="dxa"/>
          </w:tcPr>
          <w:p w14:paraId="26F7D582" w14:textId="49D523D7" w:rsidR="009D6762" w:rsidRPr="009D6762" w:rsidRDefault="009D6762" w:rsidP="00A404D0">
            <w:pPr>
              <w:jc w:val="center"/>
              <w:rPr>
                <w:color w:val="0000FF"/>
                <w:sz w:val="22"/>
                <w:szCs w:val="22"/>
                <w:lang w:val="en-GB"/>
              </w:rPr>
            </w:pPr>
          </w:p>
        </w:tc>
      </w:tr>
      <w:tr w:rsidR="009D6762" w:rsidRPr="005549F2" w14:paraId="208A902D" w14:textId="77777777" w:rsidTr="00024914">
        <w:tc>
          <w:tcPr>
            <w:tcW w:w="425" w:type="dxa"/>
            <w:vAlign w:val="center"/>
          </w:tcPr>
          <w:p w14:paraId="3A35CA89" w14:textId="2337D113" w:rsidR="009D6762" w:rsidRPr="005549F2" w:rsidRDefault="009D6762" w:rsidP="00A404D0">
            <w:pPr>
              <w:ind w:left="-108" w:right="-108"/>
              <w:jc w:val="center"/>
              <w:rPr>
                <w:sz w:val="22"/>
                <w:szCs w:val="22"/>
                <w:lang w:val="en-GB"/>
              </w:rPr>
            </w:pPr>
            <w:r w:rsidRPr="005549F2">
              <w:rPr>
                <w:sz w:val="22"/>
                <w:szCs w:val="22"/>
              </w:rPr>
              <w:t>3</w:t>
            </w:r>
          </w:p>
        </w:tc>
        <w:tc>
          <w:tcPr>
            <w:tcW w:w="567" w:type="dxa"/>
            <w:vAlign w:val="center"/>
          </w:tcPr>
          <w:p w14:paraId="3CA7BAB1" w14:textId="2F5C7FD3" w:rsidR="009D6762" w:rsidRPr="005549F2" w:rsidRDefault="009D6762" w:rsidP="00A404D0">
            <w:pPr>
              <w:jc w:val="center"/>
              <w:rPr>
                <w:sz w:val="22"/>
                <w:szCs w:val="22"/>
                <w:lang w:val="en-GB"/>
              </w:rPr>
            </w:pPr>
            <w:r w:rsidRPr="005549F2">
              <w:rPr>
                <w:sz w:val="22"/>
                <w:szCs w:val="22"/>
              </w:rPr>
              <w:t>E1</w:t>
            </w:r>
          </w:p>
        </w:tc>
        <w:tc>
          <w:tcPr>
            <w:tcW w:w="4962" w:type="dxa"/>
            <w:vAlign w:val="center"/>
          </w:tcPr>
          <w:p w14:paraId="09B1F8BD" w14:textId="1536373D" w:rsidR="009D6762" w:rsidRPr="005549F2" w:rsidRDefault="009D6762" w:rsidP="00C40C59">
            <w:pPr>
              <w:rPr>
                <w:sz w:val="22"/>
                <w:szCs w:val="22"/>
                <w:lang w:val="en-GB"/>
              </w:rPr>
            </w:pPr>
            <w:r w:rsidRPr="005549F2">
              <w:rPr>
                <w:sz w:val="22"/>
                <w:szCs w:val="22"/>
              </w:rPr>
              <w:t>Prepare an MoU between NCDC and customs authorities for improved vaccine arrival procedures.</w:t>
            </w:r>
          </w:p>
        </w:tc>
        <w:tc>
          <w:tcPr>
            <w:tcW w:w="425" w:type="dxa"/>
            <w:vAlign w:val="center"/>
          </w:tcPr>
          <w:p w14:paraId="0BA0155F" w14:textId="6DC41EA7"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1760A585" w14:textId="346553EF"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71BAA825" w14:textId="16D8EC5A"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20D18290" w14:textId="10CCDADB" w:rsidR="009D6762" w:rsidRPr="009D6762" w:rsidRDefault="009D6762" w:rsidP="00A404D0">
            <w:pPr>
              <w:jc w:val="center"/>
              <w:rPr>
                <w:color w:val="0000FF"/>
                <w:sz w:val="22"/>
                <w:szCs w:val="22"/>
                <w:lang w:val="en-GB"/>
              </w:rPr>
            </w:pPr>
          </w:p>
        </w:tc>
      </w:tr>
      <w:tr w:rsidR="009D6762" w:rsidRPr="005549F2" w14:paraId="543EBA50" w14:textId="77777777" w:rsidTr="00024914">
        <w:tc>
          <w:tcPr>
            <w:tcW w:w="425" w:type="dxa"/>
            <w:vAlign w:val="center"/>
          </w:tcPr>
          <w:p w14:paraId="7EC9DB38" w14:textId="2E51C7A0" w:rsidR="009D6762" w:rsidRPr="005549F2" w:rsidRDefault="009D6762" w:rsidP="00A404D0">
            <w:pPr>
              <w:ind w:left="-108" w:right="-108"/>
              <w:jc w:val="center"/>
              <w:rPr>
                <w:sz w:val="22"/>
                <w:szCs w:val="22"/>
                <w:lang w:val="en-GB"/>
              </w:rPr>
            </w:pPr>
            <w:r w:rsidRPr="005549F2">
              <w:rPr>
                <w:sz w:val="22"/>
                <w:szCs w:val="22"/>
              </w:rPr>
              <w:t>4</w:t>
            </w:r>
          </w:p>
        </w:tc>
        <w:tc>
          <w:tcPr>
            <w:tcW w:w="567" w:type="dxa"/>
            <w:vAlign w:val="center"/>
          </w:tcPr>
          <w:p w14:paraId="20EC017C" w14:textId="126409C3"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1901BB8E" w14:textId="22D74001" w:rsidR="009D6762" w:rsidRPr="005549F2" w:rsidRDefault="009D6762" w:rsidP="00C40C59">
            <w:pPr>
              <w:rPr>
                <w:sz w:val="22"/>
                <w:szCs w:val="22"/>
                <w:lang w:val="en-GB"/>
              </w:rPr>
            </w:pPr>
            <w:r w:rsidRPr="005549F2">
              <w:rPr>
                <w:sz w:val="22"/>
                <w:szCs w:val="22"/>
              </w:rPr>
              <w:t>Conduct temperature mapping exercises in all cold rooms that are used for vaccine keeping.</w:t>
            </w:r>
          </w:p>
        </w:tc>
        <w:tc>
          <w:tcPr>
            <w:tcW w:w="425" w:type="dxa"/>
            <w:vAlign w:val="center"/>
          </w:tcPr>
          <w:p w14:paraId="7284F154" w14:textId="76AB0846"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712B0CF0" w14:textId="5E8B250A" w:rsidR="009D6762" w:rsidRPr="005549F2" w:rsidRDefault="009D6762" w:rsidP="00A404D0">
            <w:pPr>
              <w:jc w:val="center"/>
              <w:rPr>
                <w:sz w:val="22"/>
                <w:szCs w:val="22"/>
                <w:lang w:val="en-GB"/>
              </w:rPr>
            </w:pPr>
            <w:r w:rsidRPr="005549F2">
              <w:rPr>
                <w:sz w:val="22"/>
                <w:szCs w:val="22"/>
              </w:rPr>
              <w:t>International Partners</w:t>
            </w:r>
          </w:p>
        </w:tc>
        <w:tc>
          <w:tcPr>
            <w:tcW w:w="1358" w:type="dxa"/>
            <w:vAlign w:val="center"/>
          </w:tcPr>
          <w:p w14:paraId="1B9C42E8" w14:textId="072D81C4"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54BF9187" w14:textId="23F6072C" w:rsidR="009D6762" w:rsidRPr="009D6762" w:rsidRDefault="009D6762" w:rsidP="009D6762">
            <w:pPr>
              <w:jc w:val="center"/>
              <w:rPr>
                <w:color w:val="0000FF"/>
                <w:sz w:val="22"/>
                <w:szCs w:val="22"/>
                <w:lang w:val="en-GB"/>
              </w:rPr>
            </w:pPr>
            <w:r w:rsidRPr="009D6762">
              <w:rPr>
                <w:sz w:val="22"/>
                <w:szCs w:val="22"/>
              </w:rPr>
              <w:t>Awaiting visit WHO experts</w:t>
            </w:r>
          </w:p>
        </w:tc>
      </w:tr>
      <w:tr w:rsidR="009D6762" w:rsidRPr="005549F2" w14:paraId="0604B9FB" w14:textId="77777777" w:rsidTr="00024914">
        <w:tc>
          <w:tcPr>
            <w:tcW w:w="425" w:type="dxa"/>
            <w:vAlign w:val="center"/>
          </w:tcPr>
          <w:p w14:paraId="057E79D7" w14:textId="24A00D27" w:rsidR="009D6762" w:rsidRPr="005549F2" w:rsidRDefault="009D6762" w:rsidP="00A404D0">
            <w:pPr>
              <w:ind w:left="-108" w:right="-108"/>
              <w:jc w:val="center"/>
              <w:rPr>
                <w:sz w:val="22"/>
                <w:szCs w:val="22"/>
                <w:lang w:val="en-GB"/>
              </w:rPr>
            </w:pPr>
            <w:r w:rsidRPr="005549F2">
              <w:rPr>
                <w:sz w:val="22"/>
                <w:szCs w:val="22"/>
              </w:rPr>
              <w:t>5</w:t>
            </w:r>
          </w:p>
        </w:tc>
        <w:tc>
          <w:tcPr>
            <w:tcW w:w="567" w:type="dxa"/>
            <w:vAlign w:val="center"/>
          </w:tcPr>
          <w:p w14:paraId="6014DA5C" w14:textId="2B2552A8"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1B09F08A" w14:textId="51E0C76E" w:rsidR="009D6762" w:rsidRPr="005549F2" w:rsidRDefault="009D6762" w:rsidP="00C40C59">
            <w:pPr>
              <w:rPr>
                <w:sz w:val="22"/>
                <w:szCs w:val="22"/>
                <w:lang w:val="en-GB"/>
              </w:rPr>
            </w:pPr>
            <w:r w:rsidRPr="005549F2">
              <w:rPr>
                <w:sz w:val="22"/>
                <w:szCs w:val="22"/>
              </w:rPr>
              <w:t>Conduct a temperature monitoring study following WHO standard protocol.</w:t>
            </w:r>
          </w:p>
        </w:tc>
        <w:tc>
          <w:tcPr>
            <w:tcW w:w="425" w:type="dxa"/>
            <w:vAlign w:val="center"/>
          </w:tcPr>
          <w:p w14:paraId="675D8DEF" w14:textId="39FC2AB7"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0B1B05AF" w14:textId="044610BE" w:rsidR="009D6762" w:rsidRPr="005549F2" w:rsidRDefault="009D6762" w:rsidP="00A404D0">
            <w:pPr>
              <w:jc w:val="center"/>
              <w:rPr>
                <w:sz w:val="22"/>
                <w:szCs w:val="22"/>
                <w:lang w:val="en-GB"/>
              </w:rPr>
            </w:pPr>
            <w:r w:rsidRPr="005549F2">
              <w:rPr>
                <w:sz w:val="22"/>
                <w:szCs w:val="22"/>
              </w:rPr>
              <w:t>International Partners</w:t>
            </w:r>
          </w:p>
        </w:tc>
        <w:tc>
          <w:tcPr>
            <w:tcW w:w="1358" w:type="dxa"/>
            <w:vAlign w:val="center"/>
          </w:tcPr>
          <w:p w14:paraId="26B5C7B8" w14:textId="14C10017"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26BB99B7" w14:textId="243946AC" w:rsidR="009D6762" w:rsidRPr="009D6762" w:rsidRDefault="009D6762" w:rsidP="00A404D0">
            <w:pPr>
              <w:jc w:val="center"/>
              <w:rPr>
                <w:color w:val="0000FF"/>
                <w:sz w:val="22"/>
                <w:szCs w:val="22"/>
                <w:lang w:val="en-GB"/>
              </w:rPr>
            </w:pPr>
            <w:r w:rsidRPr="009D6762">
              <w:rPr>
                <w:sz w:val="22"/>
                <w:szCs w:val="22"/>
              </w:rPr>
              <w:t>Awaiting visit WHO experts</w:t>
            </w:r>
          </w:p>
        </w:tc>
      </w:tr>
      <w:tr w:rsidR="009D6762" w:rsidRPr="005549F2" w14:paraId="242C6EF6" w14:textId="77777777" w:rsidTr="00024914">
        <w:tc>
          <w:tcPr>
            <w:tcW w:w="425" w:type="dxa"/>
            <w:vAlign w:val="center"/>
          </w:tcPr>
          <w:p w14:paraId="7E5F8402" w14:textId="0EFD0E69" w:rsidR="009D6762" w:rsidRPr="005549F2" w:rsidRDefault="009D6762" w:rsidP="00A404D0">
            <w:pPr>
              <w:ind w:left="-108" w:right="-108"/>
              <w:jc w:val="center"/>
              <w:rPr>
                <w:sz w:val="22"/>
                <w:szCs w:val="22"/>
                <w:lang w:val="en-GB"/>
              </w:rPr>
            </w:pPr>
            <w:r w:rsidRPr="005549F2">
              <w:rPr>
                <w:sz w:val="22"/>
                <w:szCs w:val="22"/>
              </w:rPr>
              <w:t>6</w:t>
            </w:r>
          </w:p>
        </w:tc>
        <w:tc>
          <w:tcPr>
            <w:tcW w:w="567" w:type="dxa"/>
            <w:vAlign w:val="center"/>
          </w:tcPr>
          <w:p w14:paraId="315838EA" w14:textId="1D1E8D44"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208C29F9" w14:textId="381E293E" w:rsidR="009D6762" w:rsidRPr="005549F2" w:rsidRDefault="009D6762" w:rsidP="00C40C59">
            <w:pPr>
              <w:rPr>
                <w:sz w:val="22"/>
                <w:szCs w:val="22"/>
                <w:lang w:val="en-GB"/>
              </w:rPr>
            </w:pPr>
            <w:r w:rsidRPr="005549F2">
              <w:rPr>
                <w:sz w:val="22"/>
                <w:szCs w:val="22"/>
              </w:rPr>
              <w:t>Prepare/adapt temperature monitoring SOPs using new electronic monitoring equipment.</w:t>
            </w:r>
          </w:p>
        </w:tc>
        <w:tc>
          <w:tcPr>
            <w:tcW w:w="425" w:type="dxa"/>
            <w:vAlign w:val="center"/>
          </w:tcPr>
          <w:p w14:paraId="3C32FB71" w14:textId="7AA4C8E4"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0AE4EA8E" w14:textId="269F0464" w:rsidR="009D6762" w:rsidRPr="005549F2" w:rsidRDefault="009D6762" w:rsidP="00A404D0">
            <w:pPr>
              <w:jc w:val="center"/>
              <w:rPr>
                <w:sz w:val="22"/>
                <w:szCs w:val="22"/>
                <w:lang w:val="en-GB"/>
              </w:rPr>
            </w:pPr>
            <w:r w:rsidRPr="005549F2">
              <w:rPr>
                <w:sz w:val="22"/>
                <w:szCs w:val="22"/>
              </w:rPr>
              <w:t>International Partners</w:t>
            </w:r>
          </w:p>
        </w:tc>
        <w:tc>
          <w:tcPr>
            <w:tcW w:w="1358" w:type="dxa"/>
            <w:vAlign w:val="center"/>
          </w:tcPr>
          <w:p w14:paraId="0B070E86" w14:textId="4B2D2455"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28C4E25A" w14:textId="61099ADF" w:rsidR="009D6762" w:rsidRPr="009D6762" w:rsidRDefault="009D6762" w:rsidP="00A404D0">
            <w:pPr>
              <w:jc w:val="center"/>
              <w:rPr>
                <w:color w:val="0000FF"/>
                <w:sz w:val="22"/>
                <w:szCs w:val="22"/>
                <w:lang w:val="en-GB"/>
              </w:rPr>
            </w:pPr>
            <w:r w:rsidRPr="009D6762">
              <w:rPr>
                <w:sz w:val="22"/>
                <w:szCs w:val="22"/>
              </w:rPr>
              <w:t>Awaiting visit WHO experts</w:t>
            </w:r>
          </w:p>
        </w:tc>
      </w:tr>
      <w:tr w:rsidR="009D6762" w:rsidRPr="005549F2" w14:paraId="63F348D4" w14:textId="77777777" w:rsidTr="00024914">
        <w:tc>
          <w:tcPr>
            <w:tcW w:w="425" w:type="dxa"/>
            <w:vAlign w:val="center"/>
          </w:tcPr>
          <w:p w14:paraId="57A9AC28" w14:textId="3D782E4B" w:rsidR="009D6762" w:rsidRPr="005549F2" w:rsidRDefault="009D6762" w:rsidP="00A404D0">
            <w:pPr>
              <w:ind w:left="-108" w:right="-108"/>
              <w:jc w:val="center"/>
              <w:rPr>
                <w:sz w:val="22"/>
                <w:szCs w:val="22"/>
                <w:lang w:val="en-GB"/>
              </w:rPr>
            </w:pPr>
            <w:r w:rsidRPr="005549F2">
              <w:rPr>
                <w:sz w:val="22"/>
                <w:szCs w:val="22"/>
              </w:rPr>
              <w:t>7</w:t>
            </w:r>
          </w:p>
        </w:tc>
        <w:tc>
          <w:tcPr>
            <w:tcW w:w="567" w:type="dxa"/>
            <w:vAlign w:val="center"/>
          </w:tcPr>
          <w:p w14:paraId="233E5DBD" w14:textId="4694D567"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2A9EE205" w14:textId="56CBA84F" w:rsidR="009D6762" w:rsidRPr="005549F2" w:rsidRDefault="009D6762" w:rsidP="00C40C59">
            <w:pPr>
              <w:rPr>
                <w:sz w:val="22"/>
                <w:szCs w:val="22"/>
                <w:lang w:val="en-GB"/>
              </w:rPr>
            </w:pPr>
            <w:r w:rsidRPr="005549F2">
              <w:rPr>
                <w:sz w:val="22"/>
                <w:szCs w:val="22"/>
              </w:rPr>
              <w:t>Train store keepers on proper use of electronic temperature monitoring devices.</w:t>
            </w:r>
          </w:p>
        </w:tc>
        <w:tc>
          <w:tcPr>
            <w:tcW w:w="425" w:type="dxa"/>
            <w:vAlign w:val="center"/>
          </w:tcPr>
          <w:p w14:paraId="2C51A2CC" w14:textId="23BBCCC3"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52DF42CD" w14:textId="77777777" w:rsidR="009D6762" w:rsidRPr="005549F2" w:rsidRDefault="009D6762" w:rsidP="00A404D0">
            <w:pPr>
              <w:jc w:val="center"/>
              <w:rPr>
                <w:sz w:val="22"/>
                <w:szCs w:val="22"/>
                <w:lang w:val="en-GB"/>
              </w:rPr>
            </w:pPr>
          </w:p>
        </w:tc>
        <w:tc>
          <w:tcPr>
            <w:tcW w:w="1358" w:type="dxa"/>
            <w:vAlign w:val="center"/>
          </w:tcPr>
          <w:p w14:paraId="5A129261" w14:textId="02525EAB"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15868043" w14:textId="33C6CB76" w:rsidR="009D6762" w:rsidRPr="009D6762" w:rsidRDefault="009D6762" w:rsidP="00A404D0">
            <w:pPr>
              <w:jc w:val="center"/>
              <w:rPr>
                <w:color w:val="0000FF"/>
                <w:sz w:val="22"/>
                <w:szCs w:val="22"/>
                <w:lang w:val="en-GB"/>
              </w:rPr>
            </w:pPr>
          </w:p>
        </w:tc>
      </w:tr>
      <w:tr w:rsidR="009D6762" w:rsidRPr="005549F2" w14:paraId="5A1B18B8" w14:textId="77777777" w:rsidTr="00024914">
        <w:tc>
          <w:tcPr>
            <w:tcW w:w="425" w:type="dxa"/>
            <w:vAlign w:val="center"/>
          </w:tcPr>
          <w:p w14:paraId="073DD997" w14:textId="3BD0F99E" w:rsidR="009D6762" w:rsidRPr="005549F2" w:rsidRDefault="009D6762" w:rsidP="00A404D0">
            <w:pPr>
              <w:ind w:left="-108" w:right="-108"/>
              <w:jc w:val="center"/>
              <w:rPr>
                <w:sz w:val="22"/>
                <w:szCs w:val="22"/>
                <w:lang w:val="en-GB"/>
              </w:rPr>
            </w:pPr>
            <w:r w:rsidRPr="005549F2">
              <w:rPr>
                <w:sz w:val="22"/>
                <w:szCs w:val="22"/>
              </w:rPr>
              <w:t>8</w:t>
            </w:r>
          </w:p>
        </w:tc>
        <w:tc>
          <w:tcPr>
            <w:tcW w:w="567" w:type="dxa"/>
            <w:vAlign w:val="center"/>
          </w:tcPr>
          <w:p w14:paraId="6AD130E6" w14:textId="5B04FD23"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764DC67C" w14:textId="69700047" w:rsidR="009D6762" w:rsidRPr="005549F2" w:rsidRDefault="009D6762" w:rsidP="00C40C59">
            <w:pPr>
              <w:rPr>
                <w:sz w:val="22"/>
                <w:szCs w:val="22"/>
                <w:lang w:val="en-GB"/>
              </w:rPr>
            </w:pPr>
            <w:r w:rsidRPr="005549F2">
              <w:rPr>
                <w:sz w:val="22"/>
                <w:szCs w:val="22"/>
              </w:rPr>
              <w:t>Adapt manual temperature monitoring tables to record alarm events, min/max daily temperature measurements and durations of temperature breaches.</w:t>
            </w:r>
          </w:p>
        </w:tc>
        <w:tc>
          <w:tcPr>
            <w:tcW w:w="425" w:type="dxa"/>
            <w:vAlign w:val="center"/>
          </w:tcPr>
          <w:p w14:paraId="20C488A5" w14:textId="1E44D0BE"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2EBAF6B0" w14:textId="6C309339"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5596821F" w14:textId="6D6CF52F"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0A0AC458" w14:textId="6C782BAE" w:rsidR="009D6762" w:rsidRPr="009D6762" w:rsidRDefault="009D6762" w:rsidP="00A404D0">
            <w:pPr>
              <w:jc w:val="center"/>
              <w:rPr>
                <w:color w:val="0000FF"/>
                <w:sz w:val="22"/>
                <w:szCs w:val="22"/>
                <w:lang w:val="en-GB"/>
              </w:rPr>
            </w:pPr>
          </w:p>
        </w:tc>
      </w:tr>
      <w:tr w:rsidR="009D6762" w:rsidRPr="005549F2" w14:paraId="07A9F5B0" w14:textId="77777777" w:rsidTr="00024914">
        <w:tc>
          <w:tcPr>
            <w:tcW w:w="425" w:type="dxa"/>
            <w:vAlign w:val="center"/>
          </w:tcPr>
          <w:p w14:paraId="5C901FE3" w14:textId="1D77686F" w:rsidR="009D6762" w:rsidRPr="005549F2" w:rsidRDefault="009D6762" w:rsidP="00A404D0">
            <w:pPr>
              <w:ind w:left="-108" w:right="-108"/>
              <w:jc w:val="center"/>
              <w:rPr>
                <w:sz w:val="22"/>
                <w:szCs w:val="22"/>
                <w:lang w:val="en-GB"/>
              </w:rPr>
            </w:pPr>
            <w:r w:rsidRPr="005549F2">
              <w:rPr>
                <w:sz w:val="22"/>
                <w:szCs w:val="22"/>
              </w:rPr>
              <w:t>9</w:t>
            </w:r>
          </w:p>
        </w:tc>
        <w:tc>
          <w:tcPr>
            <w:tcW w:w="567" w:type="dxa"/>
            <w:vAlign w:val="center"/>
          </w:tcPr>
          <w:p w14:paraId="20242786" w14:textId="08EE1BEE"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260D1447" w14:textId="31B23661" w:rsidR="009D6762" w:rsidRPr="005549F2" w:rsidRDefault="009D6762" w:rsidP="00C40C59">
            <w:pPr>
              <w:rPr>
                <w:sz w:val="22"/>
                <w:szCs w:val="22"/>
                <w:lang w:val="en-GB"/>
              </w:rPr>
            </w:pPr>
            <w:r w:rsidRPr="005549F2">
              <w:rPr>
                <w:sz w:val="22"/>
                <w:szCs w:val="22"/>
              </w:rPr>
              <w:t>Use only WHO prequalified and calibrated temperature monitoring equipment</w:t>
            </w:r>
          </w:p>
        </w:tc>
        <w:tc>
          <w:tcPr>
            <w:tcW w:w="425" w:type="dxa"/>
            <w:vAlign w:val="center"/>
          </w:tcPr>
          <w:p w14:paraId="5ECF9E0A" w14:textId="5809029A"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5DEED2F4" w14:textId="00C1094B" w:rsidR="009D6762" w:rsidRPr="005549F2" w:rsidRDefault="009D6762" w:rsidP="00A404D0">
            <w:pPr>
              <w:jc w:val="center"/>
              <w:rPr>
                <w:sz w:val="22"/>
                <w:szCs w:val="22"/>
                <w:lang w:val="en-GB"/>
              </w:rPr>
            </w:pPr>
            <w:r w:rsidRPr="005549F2">
              <w:rPr>
                <w:sz w:val="22"/>
                <w:szCs w:val="22"/>
              </w:rPr>
              <w:t>NCDC, International Partn.</w:t>
            </w:r>
          </w:p>
        </w:tc>
        <w:tc>
          <w:tcPr>
            <w:tcW w:w="1358" w:type="dxa"/>
            <w:vAlign w:val="center"/>
          </w:tcPr>
          <w:p w14:paraId="2E1FB501" w14:textId="1AD60882"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116FC374" w14:textId="5930ACCB" w:rsidR="009D6762" w:rsidRPr="009D6762" w:rsidRDefault="009D6762" w:rsidP="00A404D0">
            <w:pPr>
              <w:jc w:val="center"/>
              <w:rPr>
                <w:color w:val="0000FF"/>
                <w:sz w:val="22"/>
                <w:szCs w:val="22"/>
                <w:lang w:val="en-GB"/>
              </w:rPr>
            </w:pPr>
          </w:p>
        </w:tc>
      </w:tr>
      <w:tr w:rsidR="009D6762" w:rsidRPr="005549F2" w14:paraId="08648168" w14:textId="77777777" w:rsidTr="00024914">
        <w:tc>
          <w:tcPr>
            <w:tcW w:w="425" w:type="dxa"/>
            <w:vAlign w:val="center"/>
          </w:tcPr>
          <w:p w14:paraId="1E430B6D" w14:textId="3C098F21" w:rsidR="009D6762" w:rsidRPr="005549F2" w:rsidRDefault="009D6762" w:rsidP="00A404D0">
            <w:pPr>
              <w:ind w:left="-108" w:right="-108"/>
              <w:jc w:val="center"/>
              <w:rPr>
                <w:sz w:val="22"/>
                <w:szCs w:val="22"/>
                <w:lang w:val="en-GB"/>
              </w:rPr>
            </w:pPr>
            <w:r w:rsidRPr="005549F2">
              <w:rPr>
                <w:sz w:val="22"/>
                <w:szCs w:val="22"/>
              </w:rPr>
              <w:t>10</w:t>
            </w:r>
          </w:p>
        </w:tc>
        <w:tc>
          <w:tcPr>
            <w:tcW w:w="567" w:type="dxa"/>
            <w:vAlign w:val="center"/>
          </w:tcPr>
          <w:p w14:paraId="0D1A07B4" w14:textId="55C4BD7A" w:rsidR="009D6762" w:rsidRPr="005549F2" w:rsidRDefault="009D6762" w:rsidP="00A404D0">
            <w:pPr>
              <w:jc w:val="center"/>
              <w:rPr>
                <w:sz w:val="22"/>
                <w:szCs w:val="22"/>
                <w:lang w:val="en-GB"/>
              </w:rPr>
            </w:pPr>
            <w:r w:rsidRPr="005549F2">
              <w:rPr>
                <w:sz w:val="22"/>
                <w:szCs w:val="22"/>
              </w:rPr>
              <w:t>E2</w:t>
            </w:r>
          </w:p>
        </w:tc>
        <w:tc>
          <w:tcPr>
            <w:tcW w:w="4962" w:type="dxa"/>
            <w:vAlign w:val="center"/>
          </w:tcPr>
          <w:p w14:paraId="3AA63339" w14:textId="77A5DF03" w:rsidR="009D6762" w:rsidRPr="005549F2" w:rsidRDefault="009D6762" w:rsidP="00C40C59">
            <w:pPr>
              <w:rPr>
                <w:sz w:val="22"/>
                <w:szCs w:val="22"/>
                <w:lang w:val="en-GB"/>
              </w:rPr>
            </w:pPr>
            <w:r w:rsidRPr="005549F2">
              <w:rPr>
                <w:sz w:val="22"/>
                <w:szCs w:val="22"/>
              </w:rPr>
              <w:t>30DTRs should be used in all vaccine refrigerators</w:t>
            </w:r>
          </w:p>
        </w:tc>
        <w:tc>
          <w:tcPr>
            <w:tcW w:w="425" w:type="dxa"/>
            <w:vAlign w:val="center"/>
          </w:tcPr>
          <w:p w14:paraId="1507D957" w14:textId="102C191C"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6929AAF5" w14:textId="44C8EBE2" w:rsidR="009D6762" w:rsidRPr="005549F2" w:rsidRDefault="009D6762" w:rsidP="00A404D0">
            <w:pPr>
              <w:jc w:val="center"/>
              <w:rPr>
                <w:sz w:val="22"/>
                <w:szCs w:val="22"/>
                <w:lang w:val="en-GB"/>
              </w:rPr>
            </w:pPr>
            <w:r w:rsidRPr="005549F2">
              <w:rPr>
                <w:sz w:val="22"/>
                <w:szCs w:val="22"/>
              </w:rPr>
              <w:t>NCDC, International Partn.</w:t>
            </w:r>
          </w:p>
        </w:tc>
        <w:tc>
          <w:tcPr>
            <w:tcW w:w="1358" w:type="dxa"/>
            <w:vAlign w:val="center"/>
          </w:tcPr>
          <w:p w14:paraId="7E90565C" w14:textId="282F9AEB"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024E1411" w14:textId="3B61C7E1" w:rsidR="009D6762" w:rsidRPr="009D6762" w:rsidRDefault="009D6762" w:rsidP="00A404D0">
            <w:pPr>
              <w:jc w:val="center"/>
              <w:rPr>
                <w:color w:val="0000FF"/>
                <w:sz w:val="22"/>
                <w:szCs w:val="22"/>
                <w:lang w:val="en-GB"/>
              </w:rPr>
            </w:pPr>
          </w:p>
        </w:tc>
      </w:tr>
      <w:tr w:rsidR="009D6762" w:rsidRPr="005549F2" w14:paraId="6001A295" w14:textId="77777777" w:rsidTr="00024914">
        <w:tc>
          <w:tcPr>
            <w:tcW w:w="425" w:type="dxa"/>
            <w:vAlign w:val="center"/>
          </w:tcPr>
          <w:p w14:paraId="12C5333A" w14:textId="1FD204D9" w:rsidR="009D6762" w:rsidRPr="005549F2" w:rsidRDefault="009D6762" w:rsidP="00A404D0">
            <w:pPr>
              <w:ind w:left="-108" w:right="-108"/>
              <w:jc w:val="center"/>
              <w:rPr>
                <w:sz w:val="22"/>
                <w:szCs w:val="22"/>
                <w:lang w:val="en-GB"/>
              </w:rPr>
            </w:pPr>
            <w:r w:rsidRPr="005549F2">
              <w:rPr>
                <w:sz w:val="22"/>
                <w:szCs w:val="22"/>
              </w:rPr>
              <w:t>11</w:t>
            </w:r>
          </w:p>
        </w:tc>
        <w:tc>
          <w:tcPr>
            <w:tcW w:w="567" w:type="dxa"/>
            <w:vAlign w:val="center"/>
          </w:tcPr>
          <w:p w14:paraId="324AE445" w14:textId="5710B872" w:rsidR="009D6762" w:rsidRPr="005549F2" w:rsidRDefault="009D6762" w:rsidP="00A404D0">
            <w:pPr>
              <w:jc w:val="center"/>
              <w:rPr>
                <w:sz w:val="22"/>
                <w:szCs w:val="22"/>
                <w:lang w:val="en-GB"/>
              </w:rPr>
            </w:pPr>
            <w:r w:rsidRPr="005549F2">
              <w:rPr>
                <w:sz w:val="22"/>
                <w:szCs w:val="22"/>
              </w:rPr>
              <w:t>E3</w:t>
            </w:r>
          </w:p>
        </w:tc>
        <w:tc>
          <w:tcPr>
            <w:tcW w:w="4962" w:type="dxa"/>
            <w:vAlign w:val="center"/>
          </w:tcPr>
          <w:p w14:paraId="7E23FC19" w14:textId="57A3E2E1" w:rsidR="009D6762" w:rsidRPr="005549F2" w:rsidRDefault="009D6762" w:rsidP="00C40C59">
            <w:pPr>
              <w:rPr>
                <w:sz w:val="22"/>
                <w:szCs w:val="22"/>
                <w:lang w:val="en-GB"/>
              </w:rPr>
            </w:pPr>
            <w:r w:rsidRPr="005549F2">
              <w:rPr>
                <w:sz w:val="22"/>
                <w:szCs w:val="22"/>
              </w:rPr>
              <w:t>Dry storage area should be expanded and reorganized</w:t>
            </w:r>
            <w:r>
              <w:rPr>
                <w:sz w:val="22"/>
                <w:szCs w:val="22"/>
              </w:rPr>
              <w:t>.</w:t>
            </w:r>
          </w:p>
        </w:tc>
        <w:tc>
          <w:tcPr>
            <w:tcW w:w="425" w:type="dxa"/>
            <w:vAlign w:val="center"/>
          </w:tcPr>
          <w:p w14:paraId="458B4926" w14:textId="58C5E5AA"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0B8214FE" w14:textId="5F8611FD" w:rsidR="009D6762" w:rsidRPr="005549F2" w:rsidRDefault="009D6762" w:rsidP="00A404D0">
            <w:pPr>
              <w:jc w:val="center"/>
              <w:rPr>
                <w:sz w:val="22"/>
                <w:szCs w:val="22"/>
                <w:lang w:val="en-GB"/>
              </w:rPr>
            </w:pPr>
            <w:r w:rsidRPr="005549F2">
              <w:rPr>
                <w:sz w:val="22"/>
                <w:szCs w:val="22"/>
              </w:rPr>
              <w:t>NCDC and District managements</w:t>
            </w:r>
          </w:p>
        </w:tc>
        <w:tc>
          <w:tcPr>
            <w:tcW w:w="1358" w:type="dxa"/>
            <w:vAlign w:val="center"/>
          </w:tcPr>
          <w:p w14:paraId="186C141D" w14:textId="41B92D24"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054C6D16" w14:textId="313DDE4D" w:rsidR="009D6762" w:rsidRPr="009D6762" w:rsidRDefault="009D6762" w:rsidP="00A404D0">
            <w:pPr>
              <w:jc w:val="center"/>
              <w:rPr>
                <w:color w:val="0000FF"/>
                <w:sz w:val="22"/>
                <w:szCs w:val="22"/>
                <w:lang w:val="en-GB"/>
              </w:rPr>
            </w:pPr>
          </w:p>
        </w:tc>
      </w:tr>
      <w:tr w:rsidR="009D6762" w:rsidRPr="005549F2" w14:paraId="10FEB702" w14:textId="77777777" w:rsidTr="00024914">
        <w:tc>
          <w:tcPr>
            <w:tcW w:w="425" w:type="dxa"/>
            <w:vAlign w:val="center"/>
          </w:tcPr>
          <w:p w14:paraId="39C713CF" w14:textId="356D0DF9" w:rsidR="009D6762" w:rsidRPr="005549F2" w:rsidRDefault="009D6762" w:rsidP="00A404D0">
            <w:pPr>
              <w:ind w:left="-108" w:right="-108"/>
              <w:jc w:val="center"/>
              <w:rPr>
                <w:sz w:val="22"/>
                <w:szCs w:val="22"/>
                <w:lang w:val="en-GB"/>
              </w:rPr>
            </w:pPr>
            <w:r w:rsidRPr="005549F2">
              <w:rPr>
                <w:sz w:val="22"/>
                <w:szCs w:val="22"/>
              </w:rPr>
              <w:t>12</w:t>
            </w:r>
          </w:p>
        </w:tc>
        <w:tc>
          <w:tcPr>
            <w:tcW w:w="567" w:type="dxa"/>
            <w:vAlign w:val="center"/>
          </w:tcPr>
          <w:p w14:paraId="254FB256" w14:textId="33BDD4FC" w:rsidR="009D6762" w:rsidRPr="005549F2" w:rsidRDefault="009D6762" w:rsidP="00A404D0">
            <w:pPr>
              <w:jc w:val="center"/>
              <w:rPr>
                <w:sz w:val="22"/>
                <w:szCs w:val="22"/>
                <w:lang w:val="en-GB"/>
              </w:rPr>
            </w:pPr>
            <w:r w:rsidRPr="005549F2">
              <w:rPr>
                <w:sz w:val="22"/>
                <w:szCs w:val="22"/>
              </w:rPr>
              <w:t>E3</w:t>
            </w:r>
          </w:p>
        </w:tc>
        <w:tc>
          <w:tcPr>
            <w:tcW w:w="4962" w:type="dxa"/>
            <w:vAlign w:val="center"/>
          </w:tcPr>
          <w:p w14:paraId="7D794150" w14:textId="14A0A4FC" w:rsidR="009D6762" w:rsidRPr="005549F2" w:rsidRDefault="009D6762" w:rsidP="00C40C59">
            <w:pPr>
              <w:rPr>
                <w:sz w:val="22"/>
                <w:szCs w:val="22"/>
                <w:lang w:val="en-GB"/>
              </w:rPr>
            </w:pPr>
            <w:r w:rsidRPr="005549F2">
              <w:rPr>
                <w:sz w:val="22"/>
                <w:szCs w:val="22"/>
              </w:rPr>
              <w:t>An SOP, setting out a contingency plan should be prepared and all emergency contact details should be posted in the vaccine store.</w:t>
            </w:r>
          </w:p>
        </w:tc>
        <w:tc>
          <w:tcPr>
            <w:tcW w:w="425" w:type="dxa"/>
            <w:vAlign w:val="center"/>
          </w:tcPr>
          <w:p w14:paraId="2FCBA37B" w14:textId="59758E52"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324B849E" w14:textId="60207BF2"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162B808F" w14:textId="7805A6D3"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1DEFBBA7" w14:textId="6F439FAC" w:rsidR="009D6762" w:rsidRPr="009D6762" w:rsidRDefault="009D6762" w:rsidP="00A404D0">
            <w:pPr>
              <w:jc w:val="center"/>
              <w:rPr>
                <w:color w:val="0000FF"/>
                <w:sz w:val="22"/>
                <w:szCs w:val="22"/>
                <w:lang w:val="en-GB"/>
              </w:rPr>
            </w:pPr>
            <w:r w:rsidRPr="009D6762">
              <w:rPr>
                <w:sz w:val="22"/>
                <w:szCs w:val="22"/>
              </w:rPr>
              <w:t>Awaiting visit WHO experts</w:t>
            </w:r>
          </w:p>
        </w:tc>
      </w:tr>
      <w:tr w:rsidR="009D6762" w:rsidRPr="005549F2" w14:paraId="4F2FD72F" w14:textId="77777777" w:rsidTr="00024914">
        <w:tc>
          <w:tcPr>
            <w:tcW w:w="425" w:type="dxa"/>
            <w:vAlign w:val="center"/>
          </w:tcPr>
          <w:p w14:paraId="16BF8A31" w14:textId="024DC458" w:rsidR="009D6762" w:rsidRPr="005549F2" w:rsidRDefault="009D6762" w:rsidP="00A404D0">
            <w:pPr>
              <w:ind w:left="-108" w:right="-108"/>
              <w:jc w:val="center"/>
              <w:rPr>
                <w:sz w:val="22"/>
                <w:szCs w:val="22"/>
                <w:lang w:val="en-GB"/>
              </w:rPr>
            </w:pPr>
            <w:r w:rsidRPr="005549F2">
              <w:rPr>
                <w:sz w:val="22"/>
                <w:szCs w:val="22"/>
              </w:rPr>
              <w:t>13</w:t>
            </w:r>
          </w:p>
        </w:tc>
        <w:tc>
          <w:tcPr>
            <w:tcW w:w="567" w:type="dxa"/>
            <w:vAlign w:val="center"/>
          </w:tcPr>
          <w:p w14:paraId="4D2531B2" w14:textId="7C72271A"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26F066D6" w14:textId="4253070F" w:rsidR="009D6762" w:rsidRPr="005549F2" w:rsidRDefault="009D6762" w:rsidP="00C40C59">
            <w:pPr>
              <w:rPr>
                <w:sz w:val="22"/>
                <w:szCs w:val="22"/>
                <w:lang w:val="en-GB"/>
              </w:rPr>
            </w:pPr>
            <w:r w:rsidRPr="005549F2">
              <w:rPr>
                <w:sz w:val="22"/>
                <w:szCs w:val="22"/>
              </w:rPr>
              <w:t>Central store should have dedicated, preferably refrigerated trucks with proper temperature recording systems.</w:t>
            </w:r>
          </w:p>
        </w:tc>
        <w:tc>
          <w:tcPr>
            <w:tcW w:w="425" w:type="dxa"/>
            <w:vAlign w:val="center"/>
          </w:tcPr>
          <w:p w14:paraId="6FA5EC2B" w14:textId="2AF3C09F"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4B6211F3" w14:textId="09D19207"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0C577983" w14:textId="764A25E5"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12DD4F17" w14:textId="09FF8491" w:rsidR="009D6762" w:rsidRPr="009D6762" w:rsidRDefault="009D6762" w:rsidP="00A404D0">
            <w:pPr>
              <w:jc w:val="center"/>
              <w:rPr>
                <w:color w:val="0000FF"/>
                <w:sz w:val="22"/>
                <w:szCs w:val="22"/>
                <w:lang w:val="en-GB"/>
              </w:rPr>
            </w:pPr>
          </w:p>
        </w:tc>
      </w:tr>
      <w:tr w:rsidR="009D6762" w:rsidRPr="005549F2" w14:paraId="65D6A77F" w14:textId="77777777" w:rsidTr="00024914">
        <w:tc>
          <w:tcPr>
            <w:tcW w:w="425" w:type="dxa"/>
            <w:vAlign w:val="center"/>
          </w:tcPr>
          <w:p w14:paraId="795EF7E5" w14:textId="4DB02F3D" w:rsidR="009D6762" w:rsidRPr="005549F2" w:rsidRDefault="009D6762" w:rsidP="00A404D0">
            <w:pPr>
              <w:ind w:left="-108" w:right="-108"/>
              <w:jc w:val="center"/>
              <w:rPr>
                <w:sz w:val="22"/>
                <w:szCs w:val="22"/>
                <w:lang w:val="en-GB"/>
              </w:rPr>
            </w:pPr>
            <w:r w:rsidRPr="005549F2">
              <w:rPr>
                <w:sz w:val="22"/>
                <w:szCs w:val="22"/>
              </w:rPr>
              <w:t>14</w:t>
            </w:r>
          </w:p>
        </w:tc>
        <w:tc>
          <w:tcPr>
            <w:tcW w:w="567" w:type="dxa"/>
            <w:vAlign w:val="center"/>
          </w:tcPr>
          <w:p w14:paraId="4B58F384" w14:textId="7B1118F0"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2E82FB60" w14:textId="59F6B0F6" w:rsidR="009D6762" w:rsidRPr="005549F2" w:rsidRDefault="009D6762" w:rsidP="00C40C59">
            <w:pPr>
              <w:rPr>
                <w:sz w:val="22"/>
                <w:szCs w:val="22"/>
                <w:lang w:val="en-GB"/>
              </w:rPr>
            </w:pPr>
            <w:r w:rsidRPr="005549F2">
              <w:rPr>
                <w:sz w:val="22"/>
                <w:szCs w:val="22"/>
              </w:rPr>
              <w:t>Freezers to store OPV should be connected to a central temperature monitoring system</w:t>
            </w:r>
          </w:p>
        </w:tc>
        <w:tc>
          <w:tcPr>
            <w:tcW w:w="425" w:type="dxa"/>
            <w:vAlign w:val="center"/>
          </w:tcPr>
          <w:p w14:paraId="71F26558" w14:textId="5724002B"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7B26C824" w14:textId="7363C617"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19D911EE" w14:textId="0326B17D" w:rsidR="009D6762" w:rsidRPr="005549F2" w:rsidRDefault="009D6762" w:rsidP="00A404D0">
            <w:pPr>
              <w:jc w:val="center"/>
              <w:rPr>
                <w:color w:val="008000"/>
                <w:sz w:val="22"/>
                <w:szCs w:val="22"/>
                <w:lang w:val="en-GB"/>
              </w:rPr>
            </w:pPr>
            <w:r w:rsidRPr="005549F2">
              <w:rPr>
                <w:color w:val="008000"/>
                <w:sz w:val="22"/>
                <w:szCs w:val="22"/>
                <w:lang w:val="en-GB"/>
              </w:rPr>
              <w:t>ONGOING</w:t>
            </w:r>
          </w:p>
        </w:tc>
        <w:tc>
          <w:tcPr>
            <w:tcW w:w="1194" w:type="dxa"/>
          </w:tcPr>
          <w:p w14:paraId="37918CE3" w14:textId="45DEB6F0" w:rsidR="009D6762" w:rsidRPr="009D6762" w:rsidRDefault="009D6762" w:rsidP="00A404D0">
            <w:pPr>
              <w:jc w:val="center"/>
              <w:rPr>
                <w:color w:val="0000FF"/>
                <w:sz w:val="22"/>
                <w:szCs w:val="22"/>
                <w:lang w:val="en-GB"/>
              </w:rPr>
            </w:pPr>
            <w:r w:rsidRPr="009D6762">
              <w:rPr>
                <w:sz w:val="22"/>
                <w:szCs w:val="22"/>
              </w:rPr>
              <w:t>Has been purchased</w:t>
            </w:r>
          </w:p>
        </w:tc>
      </w:tr>
      <w:tr w:rsidR="009D6762" w:rsidRPr="005549F2" w14:paraId="0C1CF60A" w14:textId="77777777" w:rsidTr="00024914">
        <w:tc>
          <w:tcPr>
            <w:tcW w:w="425" w:type="dxa"/>
            <w:vAlign w:val="center"/>
          </w:tcPr>
          <w:p w14:paraId="76E49477" w14:textId="55B35CCF" w:rsidR="009D6762" w:rsidRPr="005549F2" w:rsidRDefault="009D6762" w:rsidP="00A404D0">
            <w:pPr>
              <w:ind w:left="-108" w:right="-108"/>
              <w:jc w:val="center"/>
              <w:rPr>
                <w:sz w:val="22"/>
                <w:szCs w:val="22"/>
                <w:lang w:val="en-GB"/>
              </w:rPr>
            </w:pPr>
            <w:r w:rsidRPr="005549F2">
              <w:rPr>
                <w:sz w:val="22"/>
                <w:szCs w:val="22"/>
              </w:rPr>
              <w:t>15</w:t>
            </w:r>
          </w:p>
        </w:tc>
        <w:tc>
          <w:tcPr>
            <w:tcW w:w="567" w:type="dxa"/>
            <w:vAlign w:val="center"/>
          </w:tcPr>
          <w:p w14:paraId="3A20978F" w14:textId="5CFC6629"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0F632C62" w14:textId="59E8217D" w:rsidR="009D6762" w:rsidRPr="005549F2" w:rsidRDefault="009D6762" w:rsidP="00C40C59">
            <w:pPr>
              <w:rPr>
                <w:sz w:val="22"/>
                <w:szCs w:val="22"/>
                <w:lang w:val="en-GB"/>
              </w:rPr>
            </w:pPr>
            <w:r w:rsidRPr="005549F2">
              <w:rPr>
                <w:sz w:val="22"/>
                <w:szCs w:val="22"/>
              </w:rPr>
              <w:t>Dry store should be organized better to allow first to expire products dispatched first.</w:t>
            </w:r>
          </w:p>
        </w:tc>
        <w:tc>
          <w:tcPr>
            <w:tcW w:w="425" w:type="dxa"/>
            <w:vAlign w:val="center"/>
          </w:tcPr>
          <w:p w14:paraId="6AAA6080" w14:textId="4F1EED2D" w:rsidR="009D6762" w:rsidRPr="005549F2" w:rsidRDefault="009D6762" w:rsidP="00A404D0">
            <w:pPr>
              <w:jc w:val="center"/>
              <w:rPr>
                <w:sz w:val="22"/>
                <w:szCs w:val="22"/>
                <w:lang w:val="en-GB"/>
              </w:rPr>
            </w:pPr>
            <w:r w:rsidRPr="005549F2">
              <w:rPr>
                <w:sz w:val="22"/>
                <w:szCs w:val="22"/>
              </w:rPr>
              <w:t>L</w:t>
            </w:r>
          </w:p>
        </w:tc>
        <w:tc>
          <w:tcPr>
            <w:tcW w:w="2126" w:type="dxa"/>
            <w:vAlign w:val="center"/>
          </w:tcPr>
          <w:p w14:paraId="2544F17B" w14:textId="3CE1EC33"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60F0D37F" w14:textId="4D9E8026"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11EEAAD9" w14:textId="0C884904" w:rsidR="009D6762" w:rsidRPr="009D6762" w:rsidRDefault="009D6762" w:rsidP="00A404D0">
            <w:pPr>
              <w:jc w:val="center"/>
              <w:rPr>
                <w:color w:val="0000FF"/>
                <w:sz w:val="22"/>
                <w:szCs w:val="22"/>
                <w:lang w:val="en-GB"/>
              </w:rPr>
            </w:pPr>
          </w:p>
        </w:tc>
      </w:tr>
      <w:tr w:rsidR="009D6762" w:rsidRPr="005549F2" w14:paraId="33319505" w14:textId="77777777" w:rsidTr="00024914">
        <w:tc>
          <w:tcPr>
            <w:tcW w:w="425" w:type="dxa"/>
            <w:vAlign w:val="center"/>
          </w:tcPr>
          <w:p w14:paraId="4E17A1BE" w14:textId="422F2370" w:rsidR="009D6762" w:rsidRPr="005549F2" w:rsidRDefault="009D6762" w:rsidP="00A404D0">
            <w:pPr>
              <w:ind w:left="-108" w:right="-108"/>
              <w:jc w:val="center"/>
              <w:rPr>
                <w:sz w:val="22"/>
                <w:szCs w:val="22"/>
                <w:lang w:val="en-GB"/>
              </w:rPr>
            </w:pPr>
            <w:r w:rsidRPr="005549F2">
              <w:rPr>
                <w:sz w:val="22"/>
                <w:szCs w:val="22"/>
              </w:rPr>
              <w:t>16</w:t>
            </w:r>
          </w:p>
        </w:tc>
        <w:tc>
          <w:tcPr>
            <w:tcW w:w="567" w:type="dxa"/>
            <w:vAlign w:val="center"/>
          </w:tcPr>
          <w:p w14:paraId="7BA4D421" w14:textId="256F6165"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7D6AFB95" w14:textId="3CF83423" w:rsidR="009D6762" w:rsidRPr="005549F2" w:rsidRDefault="009D6762" w:rsidP="00C40C59">
            <w:pPr>
              <w:rPr>
                <w:sz w:val="22"/>
                <w:szCs w:val="22"/>
                <w:lang w:val="en-GB"/>
              </w:rPr>
            </w:pPr>
            <w:r w:rsidRPr="005549F2">
              <w:rPr>
                <w:sz w:val="22"/>
                <w:szCs w:val="22"/>
              </w:rPr>
              <w:t>Store building requires a general maintenance</w:t>
            </w:r>
          </w:p>
        </w:tc>
        <w:tc>
          <w:tcPr>
            <w:tcW w:w="425" w:type="dxa"/>
            <w:vAlign w:val="center"/>
          </w:tcPr>
          <w:p w14:paraId="0C427E3D" w14:textId="50F351D5"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6DF1AE6B" w14:textId="47DBD39C" w:rsidR="009D6762" w:rsidRPr="005549F2" w:rsidRDefault="009D6762" w:rsidP="00A404D0">
            <w:pPr>
              <w:jc w:val="center"/>
              <w:rPr>
                <w:sz w:val="22"/>
                <w:szCs w:val="22"/>
                <w:lang w:val="en-GB"/>
              </w:rPr>
            </w:pPr>
            <w:r w:rsidRPr="005549F2">
              <w:rPr>
                <w:sz w:val="22"/>
                <w:szCs w:val="22"/>
              </w:rPr>
              <w:t>NCDC and Region managements</w:t>
            </w:r>
          </w:p>
        </w:tc>
        <w:tc>
          <w:tcPr>
            <w:tcW w:w="1358" w:type="dxa"/>
            <w:vAlign w:val="center"/>
          </w:tcPr>
          <w:p w14:paraId="6BBD2AEA" w14:textId="54A70473"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53245083" w14:textId="3D0386FF" w:rsidR="009D6762" w:rsidRPr="009D6762" w:rsidRDefault="009D6762" w:rsidP="00A404D0">
            <w:pPr>
              <w:jc w:val="center"/>
              <w:rPr>
                <w:color w:val="0000FF"/>
                <w:sz w:val="22"/>
                <w:szCs w:val="22"/>
                <w:lang w:val="en-GB"/>
              </w:rPr>
            </w:pPr>
            <w:r w:rsidRPr="009D6762">
              <w:rPr>
                <w:sz w:val="22"/>
                <w:szCs w:val="22"/>
              </w:rPr>
              <w:t>Awaiting visit WHO experts</w:t>
            </w:r>
          </w:p>
        </w:tc>
      </w:tr>
      <w:tr w:rsidR="009D6762" w:rsidRPr="005549F2" w14:paraId="67892AB9" w14:textId="77777777" w:rsidTr="00024914">
        <w:tc>
          <w:tcPr>
            <w:tcW w:w="425" w:type="dxa"/>
            <w:vAlign w:val="center"/>
          </w:tcPr>
          <w:p w14:paraId="102EBC15" w14:textId="519A0CA8" w:rsidR="009D6762" w:rsidRPr="005549F2" w:rsidRDefault="009D6762" w:rsidP="00A404D0">
            <w:pPr>
              <w:ind w:left="-108" w:right="-108"/>
              <w:jc w:val="center"/>
              <w:rPr>
                <w:sz w:val="22"/>
                <w:szCs w:val="22"/>
                <w:lang w:val="en-GB"/>
              </w:rPr>
            </w:pPr>
            <w:r w:rsidRPr="005549F2">
              <w:rPr>
                <w:sz w:val="22"/>
                <w:szCs w:val="22"/>
              </w:rPr>
              <w:t>17</w:t>
            </w:r>
          </w:p>
        </w:tc>
        <w:tc>
          <w:tcPr>
            <w:tcW w:w="567" w:type="dxa"/>
            <w:vAlign w:val="center"/>
          </w:tcPr>
          <w:p w14:paraId="6BF22E3E" w14:textId="1DE46C2A"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44E4FEB4" w14:textId="2390F5CF" w:rsidR="009D6762" w:rsidRPr="005549F2" w:rsidRDefault="009D6762" w:rsidP="00C40C59">
            <w:pPr>
              <w:rPr>
                <w:sz w:val="22"/>
                <w:szCs w:val="22"/>
                <w:lang w:val="en-GB"/>
              </w:rPr>
            </w:pPr>
            <w:r w:rsidRPr="005549F2">
              <w:rPr>
                <w:sz w:val="22"/>
                <w:szCs w:val="22"/>
              </w:rPr>
              <w:t>Store needs extra space for maint</w:t>
            </w:r>
            <w:r>
              <w:rPr>
                <w:sz w:val="22"/>
                <w:szCs w:val="22"/>
              </w:rPr>
              <w:t>en</w:t>
            </w:r>
            <w:r w:rsidRPr="005549F2">
              <w:rPr>
                <w:sz w:val="22"/>
                <w:szCs w:val="22"/>
              </w:rPr>
              <w:t>ance of equipment, keeping diluents in proper temperature ranges and vaccine packing.</w:t>
            </w:r>
          </w:p>
        </w:tc>
        <w:tc>
          <w:tcPr>
            <w:tcW w:w="425" w:type="dxa"/>
            <w:vAlign w:val="center"/>
          </w:tcPr>
          <w:p w14:paraId="200C14BC" w14:textId="3F51CCD2"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0A8445DE" w14:textId="63A53B19" w:rsidR="009D6762" w:rsidRPr="005549F2" w:rsidRDefault="009D6762" w:rsidP="00A404D0">
            <w:pPr>
              <w:jc w:val="center"/>
              <w:rPr>
                <w:sz w:val="22"/>
                <w:szCs w:val="22"/>
                <w:lang w:val="en-GB"/>
              </w:rPr>
            </w:pPr>
            <w:r w:rsidRPr="005549F2">
              <w:rPr>
                <w:sz w:val="22"/>
                <w:szCs w:val="22"/>
              </w:rPr>
              <w:t>NCDC and Region managements</w:t>
            </w:r>
          </w:p>
        </w:tc>
        <w:tc>
          <w:tcPr>
            <w:tcW w:w="1358" w:type="dxa"/>
            <w:vAlign w:val="center"/>
          </w:tcPr>
          <w:p w14:paraId="0F7919C3" w14:textId="2B8ABB7D"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33DE0596" w14:textId="55D71640" w:rsidR="009D6762" w:rsidRPr="009D6762" w:rsidRDefault="009D6762" w:rsidP="00A404D0">
            <w:pPr>
              <w:jc w:val="center"/>
              <w:rPr>
                <w:color w:val="0000FF"/>
                <w:sz w:val="22"/>
                <w:szCs w:val="22"/>
                <w:lang w:val="en-GB"/>
              </w:rPr>
            </w:pPr>
          </w:p>
        </w:tc>
      </w:tr>
      <w:tr w:rsidR="009D6762" w:rsidRPr="005549F2" w14:paraId="3F056C42" w14:textId="77777777" w:rsidTr="00024914">
        <w:tc>
          <w:tcPr>
            <w:tcW w:w="425" w:type="dxa"/>
            <w:vAlign w:val="center"/>
          </w:tcPr>
          <w:p w14:paraId="1438F63E" w14:textId="2681A9DB" w:rsidR="009D6762" w:rsidRPr="005549F2" w:rsidRDefault="009D6762" w:rsidP="00A404D0">
            <w:pPr>
              <w:ind w:left="-108" w:right="-108"/>
              <w:jc w:val="center"/>
              <w:rPr>
                <w:sz w:val="22"/>
                <w:szCs w:val="22"/>
                <w:lang w:val="en-GB"/>
              </w:rPr>
            </w:pPr>
            <w:r w:rsidRPr="005549F2">
              <w:rPr>
                <w:sz w:val="22"/>
                <w:szCs w:val="22"/>
              </w:rPr>
              <w:t>18</w:t>
            </w:r>
          </w:p>
        </w:tc>
        <w:tc>
          <w:tcPr>
            <w:tcW w:w="567" w:type="dxa"/>
            <w:vAlign w:val="center"/>
          </w:tcPr>
          <w:p w14:paraId="684B65BD" w14:textId="575DF32D"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2F8AECDC" w14:textId="4A46DD2A" w:rsidR="009D6762" w:rsidRPr="005549F2" w:rsidRDefault="009D6762" w:rsidP="00C40C59">
            <w:pPr>
              <w:rPr>
                <w:sz w:val="22"/>
                <w:szCs w:val="22"/>
                <w:lang w:val="en-GB"/>
              </w:rPr>
            </w:pPr>
            <w:r w:rsidRPr="005549F2">
              <w:rPr>
                <w:sz w:val="22"/>
                <w:szCs w:val="22"/>
              </w:rPr>
              <w:t>There should be proper shelving in the dry storage area.</w:t>
            </w:r>
          </w:p>
        </w:tc>
        <w:tc>
          <w:tcPr>
            <w:tcW w:w="425" w:type="dxa"/>
            <w:vAlign w:val="center"/>
          </w:tcPr>
          <w:p w14:paraId="7FAD8EA8" w14:textId="5B01F29E"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4046C1F6" w14:textId="4DA30E83" w:rsidR="009D6762" w:rsidRPr="005549F2" w:rsidRDefault="009D6762" w:rsidP="00A404D0">
            <w:pPr>
              <w:jc w:val="center"/>
              <w:rPr>
                <w:sz w:val="22"/>
                <w:szCs w:val="22"/>
                <w:lang w:val="en-GB"/>
              </w:rPr>
            </w:pPr>
            <w:r w:rsidRPr="005549F2">
              <w:rPr>
                <w:sz w:val="22"/>
                <w:szCs w:val="22"/>
              </w:rPr>
              <w:t>NCDC and Region managements</w:t>
            </w:r>
          </w:p>
        </w:tc>
        <w:tc>
          <w:tcPr>
            <w:tcW w:w="1358" w:type="dxa"/>
            <w:vAlign w:val="center"/>
          </w:tcPr>
          <w:p w14:paraId="758BC8D0" w14:textId="115BD1BE"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0EA3DA96" w14:textId="377D7AC7" w:rsidR="009D6762" w:rsidRPr="009D6762" w:rsidRDefault="009D6762" w:rsidP="00A404D0">
            <w:pPr>
              <w:jc w:val="center"/>
              <w:rPr>
                <w:color w:val="0000FF"/>
                <w:sz w:val="22"/>
                <w:szCs w:val="22"/>
                <w:lang w:val="en-GB"/>
              </w:rPr>
            </w:pPr>
          </w:p>
        </w:tc>
      </w:tr>
      <w:tr w:rsidR="009D6762" w:rsidRPr="005549F2" w14:paraId="1A20963D" w14:textId="77777777" w:rsidTr="00024914">
        <w:tc>
          <w:tcPr>
            <w:tcW w:w="425" w:type="dxa"/>
            <w:vAlign w:val="center"/>
          </w:tcPr>
          <w:p w14:paraId="4E16E98E" w14:textId="0370A211" w:rsidR="009D6762" w:rsidRPr="005549F2" w:rsidRDefault="009D6762" w:rsidP="00A404D0">
            <w:pPr>
              <w:ind w:left="-108" w:right="-108"/>
              <w:jc w:val="center"/>
              <w:rPr>
                <w:sz w:val="22"/>
                <w:szCs w:val="22"/>
                <w:lang w:val="en-GB"/>
              </w:rPr>
            </w:pPr>
            <w:r w:rsidRPr="005549F2">
              <w:rPr>
                <w:sz w:val="22"/>
                <w:szCs w:val="22"/>
              </w:rPr>
              <w:t>19</w:t>
            </w:r>
          </w:p>
        </w:tc>
        <w:tc>
          <w:tcPr>
            <w:tcW w:w="567" w:type="dxa"/>
            <w:vAlign w:val="center"/>
          </w:tcPr>
          <w:p w14:paraId="600AD4A9" w14:textId="13061DED"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1A8D3CB3" w14:textId="6CB6C5F7" w:rsidR="009D6762" w:rsidRPr="005549F2" w:rsidRDefault="009D6762" w:rsidP="00C40C59">
            <w:pPr>
              <w:rPr>
                <w:sz w:val="22"/>
                <w:szCs w:val="22"/>
                <w:lang w:val="en-GB"/>
              </w:rPr>
            </w:pPr>
            <w:r w:rsidRPr="005549F2">
              <w:rPr>
                <w:sz w:val="22"/>
                <w:szCs w:val="22"/>
              </w:rPr>
              <w:t xml:space="preserve">Stand-by generator should be installed and all staff (including security guards) should trained properly to </w:t>
            </w:r>
            <w:r w:rsidRPr="005549F2">
              <w:rPr>
                <w:sz w:val="22"/>
                <w:szCs w:val="22"/>
              </w:rPr>
              <w:lastRenderedPageBreak/>
              <w:t>start in case of a long power cut.</w:t>
            </w:r>
          </w:p>
        </w:tc>
        <w:tc>
          <w:tcPr>
            <w:tcW w:w="425" w:type="dxa"/>
            <w:vAlign w:val="center"/>
          </w:tcPr>
          <w:p w14:paraId="375E68AF" w14:textId="1F7C61B3" w:rsidR="009D6762" w:rsidRPr="005549F2" w:rsidRDefault="009D6762" w:rsidP="00A404D0">
            <w:pPr>
              <w:jc w:val="center"/>
              <w:rPr>
                <w:sz w:val="22"/>
                <w:szCs w:val="22"/>
                <w:lang w:val="en-GB"/>
              </w:rPr>
            </w:pPr>
            <w:r w:rsidRPr="005549F2">
              <w:rPr>
                <w:sz w:val="22"/>
                <w:szCs w:val="22"/>
              </w:rPr>
              <w:lastRenderedPageBreak/>
              <w:t>H</w:t>
            </w:r>
          </w:p>
        </w:tc>
        <w:tc>
          <w:tcPr>
            <w:tcW w:w="2126" w:type="dxa"/>
            <w:vAlign w:val="center"/>
          </w:tcPr>
          <w:p w14:paraId="3BE2CA41" w14:textId="2DF90F92" w:rsidR="009D6762" w:rsidRPr="005549F2" w:rsidRDefault="009D6762" w:rsidP="00A404D0">
            <w:pPr>
              <w:jc w:val="center"/>
              <w:rPr>
                <w:sz w:val="22"/>
                <w:szCs w:val="22"/>
                <w:lang w:val="en-GB"/>
              </w:rPr>
            </w:pPr>
            <w:r w:rsidRPr="005549F2">
              <w:rPr>
                <w:sz w:val="22"/>
                <w:szCs w:val="22"/>
              </w:rPr>
              <w:t>NCDC and Region managements</w:t>
            </w:r>
          </w:p>
        </w:tc>
        <w:tc>
          <w:tcPr>
            <w:tcW w:w="1358" w:type="dxa"/>
            <w:vAlign w:val="center"/>
          </w:tcPr>
          <w:p w14:paraId="067600CD" w14:textId="5E839E0A"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78095C23" w14:textId="63DC02DA" w:rsidR="009D6762" w:rsidRPr="009D6762" w:rsidRDefault="009D6762" w:rsidP="00A404D0">
            <w:pPr>
              <w:jc w:val="center"/>
              <w:rPr>
                <w:color w:val="0000FF"/>
                <w:sz w:val="22"/>
                <w:szCs w:val="22"/>
                <w:lang w:val="en-GB"/>
              </w:rPr>
            </w:pPr>
          </w:p>
        </w:tc>
      </w:tr>
      <w:tr w:rsidR="009D6762" w:rsidRPr="005549F2" w14:paraId="6533FCD3" w14:textId="77777777" w:rsidTr="00024914">
        <w:tc>
          <w:tcPr>
            <w:tcW w:w="425" w:type="dxa"/>
            <w:vAlign w:val="center"/>
          </w:tcPr>
          <w:p w14:paraId="6F306ECF" w14:textId="46AC120F" w:rsidR="009D6762" w:rsidRPr="005549F2" w:rsidRDefault="009D6762" w:rsidP="00A404D0">
            <w:pPr>
              <w:ind w:left="-108" w:right="-108"/>
              <w:jc w:val="center"/>
              <w:rPr>
                <w:sz w:val="22"/>
                <w:szCs w:val="22"/>
                <w:lang w:val="en-GB"/>
              </w:rPr>
            </w:pPr>
            <w:r w:rsidRPr="005549F2">
              <w:rPr>
                <w:sz w:val="22"/>
                <w:szCs w:val="22"/>
              </w:rPr>
              <w:lastRenderedPageBreak/>
              <w:t>20</w:t>
            </w:r>
          </w:p>
        </w:tc>
        <w:tc>
          <w:tcPr>
            <w:tcW w:w="567" w:type="dxa"/>
            <w:vAlign w:val="center"/>
          </w:tcPr>
          <w:p w14:paraId="3017F46F" w14:textId="523DA2C3"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22091C45" w14:textId="49435FAA" w:rsidR="009D6762" w:rsidRPr="005549F2" w:rsidRDefault="009D6762" w:rsidP="00C40C59">
            <w:pPr>
              <w:rPr>
                <w:sz w:val="22"/>
                <w:szCs w:val="22"/>
                <w:lang w:val="en-GB"/>
              </w:rPr>
            </w:pPr>
            <w:r w:rsidRPr="005549F2">
              <w:rPr>
                <w:sz w:val="22"/>
                <w:szCs w:val="22"/>
              </w:rPr>
              <w:t>All vaccine refrigerators and freezers should</w:t>
            </w:r>
            <w:r>
              <w:rPr>
                <w:sz w:val="22"/>
                <w:szCs w:val="22"/>
              </w:rPr>
              <w:t xml:space="preserve"> be connected to voltage stabiliz</w:t>
            </w:r>
            <w:r w:rsidRPr="005549F2">
              <w:rPr>
                <w:sz w:val="22"/>
                <w:szCs w:val="22"/>
              </w:rPr>
              <w:t>ers.</w:t>
            </w:r>
          </w:p>
        </w:tc>
        <w:tc>
          <w:tcPr>
            <w:tcW w:w="425" w:type="dxa"/>
            <w:vAlign w:val="center"/>
          </w:tcPr>
          <w:p w14:paraId="528E43A7" w14:textId="451A55B4"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36C64D89" w14:textId="76CA3DEE"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709961E0" w14:textId="2289EE43"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474CB7CD" w14:textId="0A6647E1" w:rsidR="009D6762" w:rsidRPr="009D6762" w:rsidRDefault="009D6762" w:rsidP="00A404D0">
            <w:pPr>
              <w:jc w:val="center"/>
              <w:rPr>
                <w:color w:val="0000FF"/>
                <w:sz w:val="22"/>
                <w:szCs w:val="22"/>
                <w:lang w:val="en-GB"/>
              </w:rPr>
            </w:pPr>
          </w:p>
        </w:tc>
      </w:tr>
      <w:tr w:rsidR="009D6762" w:rsidRPr="005549F2" w14:paraId="60000815" w14:textId="77777777" w:rsidTr="00024914">
        <w:tc>
          <w:tcPr>
            <w:tcW w:w="425" w:type="dxa"/>
            <w:vAlign w:val="center"/>
          </w:tcPr>
          <w:p w14:paraId="16772430" w14:textId="0FD6A42C" w:rsidR="009D6762" w:rsidRPr="005549F2" w:rsidRDefault="009D6762" w:rsidP="00A404D0">
            <w:pPr>
              <w:ind w:left="-108" w:right="-108"/>
              <w:jc w:val="center"/>
              <w:rPr>
                <w:sz w:val="22"/>
                <w:szCs w:val="22"/>
                <w:lang w:val="en-GB"/>
              </w:rPr>
            </w:pPr>
            <w:r w:rsidRPr="005549F2">
              <w:rPr>
                <w:sz w:val="22"/>
                <w:szCs w:val="22"/>
              </w:rPr>
              <w:t>21</w:t>
            </w:r>
          </w:p>
        </w:tc>
        <w:tc>
          <w:tcPr>
            <w:tcW w:w="567" w:type="dxa"/>
            <w:vAlign w:val="center"/>
          </w:tcPr>
          <w:p w14:paraId="73B410BD" w14:textId="3864D964" w:rsidR="009D6762" w:rsidRPr="005549F2" w:rsidRDefault="009D6762" w:rsidP="00A404D0">
            <w:pPr>
              <w:jc w:val="center"/>
              <w:rPr>
                <w:sz w:val="22"/>
                <w:szCs w:val="22"/>
                <w:lang w:val="en-GB"/>
              </w:rPr>
            </w:pPr>
            <w:r w:rsidRPr="005549F2">
              <w:rPr>
                <w:sz w:val="22"/>
                <w:szCs w:val="22"/>
              </w:rPr>
              <w:t>E4</w:t>
            </w:r>
          </w:p>
        </w:tc>
        <w:tc>
          <w:tcPr>
            <w:tcW w:w="4962" w:type="dxa"/>
            <w:vAlign w:val="center"/>
          </w:tcPr>
          <w:p w14:paraId="5DF3118D" w14:textId="0FF4AE05" w:rsidR="009D6762" w:rsidRPr="005549F2" w:rsidRDefault="009D6762" w:rsidP="00C40C59">
            <w:pPr>
              <w:rPr>
                <w:sz w:val="22"/>
                <w:szCs w:val="22"/>
                <w:lang w:val="en-GB"/>
              </w:rPr>
            </w:pPr>
            <w:r w:rsidRPr="005549F2">
              <w:rPr>
                <w:sz w:val="22"/>
                <w:szCs w:val="22"/>
              </w:rPr>
              <w:t>Proper heating and air conditioning systems should installed in all cold and dry stores</w:t>
            </w:r>
          </w:p>
        </w:tc>
        <w:tc>
          <w:tcPr>
            <w:tcW w:w="425" w:type="dxa"/>
            <w:vAlign w:val="center"/>
          </w:tcPr>
          <w:p w14:paraId="50F547D5" w14:textId="59BAB31C"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6CD188A6" w14:textId="69D6687B" w:rsidR="009D6762" w:rsidRPr="005549F2" w:rsidRDefault="009D6762" w:rsidP="00A404D0">
            <w:pPr>
              <w:jc w:val="center"/>
              <w:rPr>
                <w:sz w:val="22"/>
                <w:szCs w:val="22"/>
                <w:lang w:val="en-GB"/>
              </w:rPr>
            </w:pPr>
            <w:r w:rsidRPr="005549F2">
              <w:rPr>
                <w:sz w:val="22"/>
                <w:szCs w:val="22"/>
              </w:rPr>
              <w:t>NCDC and Region managements</w:t>
            </w:r>
          </w:p>
        </w:tc>
        <w:tc>
          <w:tcPr>
            <w:tcW w:w="1358" w:type="dxa"/>
            <w:vAlign w:val="center"/>
          </w:tcPr>
          <w:p w14:paraId="3D743314" w14:textId="506FEC8D"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2DD859F6" w14:textId="10E03EAF" w:rsidR="009D6762" w:rsidRPr="009D6762" w:rsidRDefault="009D6762" w:rsidP="00A404D0">
            <w:pPr>
              <w:jc w:val="center"/>
              <w:rPr>
                <w:color w:val="0000FF"/>
                <w:sz w:val="22"/>
                <w:szCs w:val="22"/>
                <w:lang w:val="en-GB"/>
              </w:rPr>
            </w:pPr>
          </w:p>
        </w:tc>
      </w:tr>
      <w:tr w:rsidR="009D6762" w:rsidRPr="005549F2" w14:paraId="56A350B0" w14:textId="77777777" w:rsidTr="00024914">
        <w:tc>
          <w:tcPr>
            <w:tcW w:w="425" w:type="dxa"/>
            <w:vAlign w:val="center"/>
          </w:tcPr>
          <w:p w14:paraId="7C430609" w14:textId="16B251D4" w:rsidR="009D6762" w:rsidRPr="005549F2" w:rsidRDefault="009D6762" w:rsidP="00A404D0">
            <w:pPr>
              <w:ind w:left="-108" w:right="-108"/>
              <w:jc w:val="center"/>
              <w:rPr>
                <w:sz w:val="22"/>
                <w:szCs w:val="22"/>
                <w:lang w:val="en-GB"/>
              </w:rPr>
            </w:pPr>
            <w:r w:rsidRPr="005549F2">
              <w:rPr>
                <w:sz w:val="22"/>
                <w:szCs w:val="22"/>
              </w:rPr>
              <w:t>22</w:t>
            </w:r>
          </w:p>
        </w:tc>
        <w:tc>
          <w:tcPr>
            <w:tcW w:w="567" w:type="dxa"/>
            <w:vAlign w:val="center"/>
          </w:tcPr>
          <w:p w14:paraId="324B8380" w14:textId="51F9EE42" w:rsidR="009D6762" w:rsidRPr="005549F2" w:rsidRDefault="009D6762" w:rsidP="00A404D0">
            <w:pPr>
              <w:jc w:val="center"/>
              <w:rPr>
                <w:sz w:val="22"/>
                <w:szCs w:val="22"/>
                <w:lang w:val="en-GB"/>
              </w:rPr>
            </w:pPr>
            <w:r w:rsidRPr="005549F2">
              <w:rPr>
                <w:sz w:val="22"/>
                <w:szCs w:val="22"/>
              </w:rPr>
              <w:t>E5</w:t>
            </w:r>
          </w:p>
        </w:tc>
        <w:tc>
          <w:tcPr>
            <w:tcW w:w="4962" w:type="dxa"/>
            <w:vAlign w:val="center"/>
          </w:tcPr>
          <w:p w14:paraId="1600A5A3" w14:textId="7C363550" w:rsidR="009D6762" w:rsidRPr="005549F2" w:rsidRDefault="009D6762" w:rsidP="00C40C59">
            <w:pPr>
              <w:rPr>
                <w:sz w:val="22"/>
                <w:szCs w:val="22"/>
                <w:lang w:val="en-GB"/>
              </w:rPr>
            </w:pPr>
            <w:r w:rsidRPr="005549F2">
              <w:rPr>
                <w:sz w:val="22"/>
                <w:szCs w:val="22"/>
              </w:rPr>
              <w:t>Written preventive and breakdown maintenance plans should be prepared for buildings, equipment and vehicles at all levels. All maintenance activities should be clearly documented and archived by store managers</w:t>
            </w:r>
          </w:p>
        </w:tc>
        <w:tc>
          <w:tcPr>
            <w:tcW w:w="425" w:type="dxa"/>
            <w:vAlign w:val="center"/>
          </w:tcPr>
          <w:p w14:paraId="31DF136A" w14:textId="7EBD6A92"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55F8A1FF" w14:textId="3C13CEEF" w:rsidR="009D6762" w:rsidRPr="005549F2" w:rsidRDefault="009D6762" w:rsidP="00A404D0">
            <w:pPr>
              <w:jc w:val="center"/>
              <w:rPr>
                <w:sz w:val="22"/>
                <w:szCs w:val="22"/>
                <w:lang w:val="en-GB"/>
              </w:rPr>
            </w:pPr>
            <w:r w:rsidRPr="005549F2">
              <w:rPr>
                <w:sz w:val="22"/>
                <w:szCs w:val="22"/>
              </w:rPr>
              <w:t>NCDC and Region managements</w:t>
            </w:r>
          </w:p>
        </w:tc>
        <w:tc>
          <w:tcPr>
            <w:tcW w:w="1358" w:type="dxa"/>
            <w:vAlign w:val="center"/>
          </w:tcPr>
          <w:p w14:paraId="3E6BA155" w14:textId="5F15D3D6"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421910B9" w14:textId="4DA02A7D" w:rsidR="009D6762" w:rsidRPr="009D6762" w:rsidRDefault="009D6762" w:rsidP="00A404D0">
            <w:pPr>
              <w:jc w:val="center"/>
              <w:rPr>
                <w:color w:val="0000FF"/>
                <w:sz w:val="22"/>
                <w:szCs w:val="22"/>
                <w:lang w:val="en-GB"/>
              </w:rPr>
            </w:pPr>
            <w:r w:rsidRPr="009D6762">
              <w:rPr>
                <w:sz w:val="22"/>
                <w:szCs w:val="22"/>
              </w:rPr>
              <w:t>Storage has been renewed</w:t>
            </w:r>
          </w:p>
        </w:tc>
      </w:tr>
      <w:tr w:rsidR="009D6762" w:rsidRPr="005549F2" w14:paraId="58A24281" w14:textId="77777777" w:rsidTr="00024914">
        <w:tc>
          <w:tcPr>
            <w:tcW w:w="425" w:type="dxa"/>
            <w:vAlign w:val="center"/>
          </w:tcPr>
          <w:p w14:paraId="525B54B7" w14:textId="332B5A7D" w:rsidR="009D6762" w:rsidRPr="005549F2" w:rsidRDefault="009D6762" w:rsidP="00A404D0">
            <w:pPr>
              <w:ind w:left="-108" w:right="-108"/>
              <w:jc w:val="center"/>
              <w:rPr>
                <w:sz w:val="22"/>
                <w:szCs w:val="22"/>
                <w:lang w:val="en-GB"/>
              </w:rPr>
            </w:pPr>
            <w:r w:rsidRPr="005549F2">
              <w:rPr>
                <w:sz w:val="22"/>
                <w:szCs w:val="22"/>
              </w:rPr>
              <w:t>23</w:t>
            </w:r>
          </w:p>
        </w:tc>
        <w:tc>
          <w:tcPr>
            <w:tcW w:w="567" w:type="dxa"/>
            <w:vAlign w:val="center"/>
          </w:tcPr>
          <w:p w14:paraId="14CDD616" w14:textId="213B4408" w:rsidR="009D6762" w:rsidRPr="005549F2" w:rsidRDefault="009D6762" w:rsidP="00A404D0">
            <w:pPr>
              <w:jc w:val="center"/>
              <w:rPr>
                <w:sz w:val="22"/>
                <w:szCs w:val="22"/>
                <w:lang w:val="en-GB"/>
              </w:rPr>
            </w:pPr>
            <w:r w:rsidRPr="005549F2">
              <w:rPr>
                <w:sz w:val="22"/>
                <w:szCs w:val="22"/>
              </w:rPr>
              <w:t>E6</w:t>
            </w:r>
          </w:p>
        </w:tc>
        <w:tc>
          <w:tcPr>
            <w:tcW w:w="4962" w:type="dxa"/>
            <w:vAlign w:val="center"/>
          </w:tcPr>
          <w:p w14:paraId="379AC928" w14:textId="79AD997B" w:rsidR="009D6762" w:rsidRPr="005549F2" w:rsidRDefault="009D6762" w:rsidP="00C40C59">
            <w:pPr>
              <w:rPr>
                <w:sz w:val="22"/>
                <w:szCs w:val="22"/>
                <w:lang w:val="en-GB"/>
              </w:rPr>
            </w:pPr>
            <w:r w:rsidRPr="005549F2">
              <w:rPr>
                <w:sz w:val="22"/>
                <w:szCs w:val="22"/>
              </w:rPr>
              <w:t>Minimum, maximum and reorder stock levels should be established at all levels.</w:t>
            </w:r>
          </w:p>
        </w:tc>
        <w:tc>
          <w:tcPr>
            <w:tcW w:w="425" w:type="dxa"/>
            <w:vAlign w:val="center"/>
          </w:tcPr>
          <w:p w14:paraId="4823E217" w14:textId="50C9947B"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23A56F0A" w14:textId="77EE2747"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1CA18E94" w14:textId="0C7539CA"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7CE7833A" w14:textId="0A08DB03" w:rsidR="009D6762" w:rsidRPr="009D6762" w:rsidRDefault="009C251D" w:rsidP="009C251D">
            <w:pPr>
              <w:jc w:val="center"/>
              <w:rPr>
                <w:color w:val="0000FF"/>
                <w:sz w:val="22"/>
                <w:szCs w:val="22"/>
                <w:lang w:val="en-GB"/>
              </w:rPr>
            </w:pPr>
            <w:r>
              <w:rPr>
                <w:sz w:val="22"/>
                <w:szCs w:val="22"/>
              </w:rPr>
              <w:t>A</w:t>
            </w:r>
            <w:r w:rsidR="009D6762" w:rsidRPr="009D6762">
              <w:rPr>
                <w:sz w:val="22"/>
                <w:szCs w:val="22"/>
              </w:rPr>
              <w:t>lready established in NCDC, trainings conducted on other levels.</w:t>
            </w:r>
          </w:p>
        </w:tc>
      </w:tr>
      <w:tr w:rsidR="009D6762" w:rsidRPr="005549F2" w14:paraId="759983DC" w14:textId="77777777" w:rsidTr="00024914">
        <w:tc>
          <w:tcPr>
            <w:tcW w:w="425" w:type="dxa"/>
            <w:vAlign w:val="center"/>
          </w:tcPr>
          <w:p w14:paraId="63DE2135" w14:textId="0A6F8236" w:rsidR="009D6762" w:rsidRPr="005549F2" w:rsidRDefault="009D6762" w:rsidP="00A404D0">
            <w:pPr>
              <w:ind w:left="-108" w:right="-108"/>
              <w:jc w:val="center"/>
              <w:rPr>
                <w:sz w:val="22"/>
                <w:szCs w:val="22"/>
                <w:lang w:val="en-GB"/>
              </w:rPr>
            </w:pPr>
            <w:r w:rsidRPr="005549F2">
              <w:rPr>
                <w:sz w:val="22"/>
                <w:szCs w:val="22"/>
              </w:rPr>
              <w:t>24</w:t>
            </w:r>
          </w:p>
        </w:tc>
        <w:tc>
          <w:tcPr>
            <w:tcW w:w="567" w:type="dxa"/>
            <w:vAlign w:val="center"/>
          </w:tcPr>
          <w:p w14:paraId="5BACDFFE" w14:textId="72E316FF" w:rsidR="009D6762" w:rsidRPr="005549F2" w:rsidRDefault="009D6762" w:rsidP="00A404D0">
            <w:pPr>
              <w:jc w:val="center"/>
              <w:rPr>
                <w:sz w:val="22"/>
                <w:szCs w:val="22"/>
                <w:lang w:val="en-GB"/>
              </w:rPr>
            </w:pPr>
            <w:r w:rsidRPr="005549F2">
              <w:rPr>
                <w:sz w:val="22"/>
                <w:szCs w:val="22"/>
              </w:rPr>
              <w:t>E6</w:t>
            </w:r>
          </w:p>
        </w:tc>
        <w:tc>
          <w:tcPr>
            <w:tcW w:w="4962" w:type="dxa"/>
            <w:vAlign w:val="center"/>
          </w:tcPr>
          <w:p w14:paraId="121A0924" w14:textId="0CF63C7C" w:rsidR="009D6762" w:rsidRPr="005549F2" w:rsidRDefault="009D6762" w:rsidP="00C40C59">
            <w:pPr>
              <w:rPr>
                <w:sz w:val="22"/>
                <w:szCs w:val="22"/>
                <w:lang w:val="en-GB"/>
              </w:rPr>
            </w:pPr>
            <w:r w:rsidRPr="005549F2">
              <w:rPr>
                <w:sz w:val="22"/>
                <w:szCs w:val="22"/>
              </w:rPr>
              <w:t>Stock management system should include vaccine and diluent vial sizes and manufacturer names.</w:t>
            </w:r>
          </w:p>
        </w:tc>
        <w:tc>
          <w:tcPr>
            <w:tcW w:w="425" w:type="dxa"/>
            <w:vAlign w:val="center"/>
          </w:tcPr>
          <w:p w14:paraId="0BDD52D8" w14:textId="492CB77F"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44BFD4C0" w14:textId="2531E6E2" w:rsidR="009D6762" w:rsidRPr="005549F2" w:rsidRDefault="009D6762" w:rsidP="00A404D0">
            <w:pPr>
              <w:jc w:val="center"/>
              <w:rPr>
                <w:sz w:val="22"/>
                <w:szCs w:val="22"/>
                <w:lang w:val="en-GB"/>
              </w:rPr>
            </w:pPr>
            <w:r w:rsidRPr="005549F2">
              <w:rPr>
                <w:sz w:val="22"/>
                <w:szCs w:val="22"/>
              </w:rPr>
              <w:t>NCDC, International Partn.</w:t>
            </w:r>
          </w:p>
        </w:tc>
        <w:tc>
          <w:tcPr>
            <w:tcW w:w="1358" w:type="dxa"/>
            <w:vAlign w:val="center"/>
          </w:tcPr>
          <w:p w14:paraId="0E51B101" w14:textId="3528BD8D"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6F003260" w14:textId="0CEDA997" w:rsidR="009D6762" w:rsidRPr="009D6762" w:rsidRDefault="009D6762" w:rsidP="00A404D0">
            <w:pPr>
              <w:jc w:val="center"/>
              <w:rPr>
                <w:color w:val="0000FF"/>
                <w:sz w:val="22"/>
                <w:szCs w:val="22"/>
                <w:lang w:val="en-GB"/>
              </w:rPr>
            </w:pPr>
          </w:p>
        </w:tc>
      </w:tr>
      <w:tr w:rsidR="009D6762" w:rsidRPr="005549F2" w14:paraId="310BB506" w14:textId="77777777" w:rsidTr="00024914">
        <w:tc>
          <w:tcPr>
            <w:tcW w:w="425" w:type="dxa"/>
            <w:vAlign w:val="center"/>
          </w:tcPr>
          <w:p w14:paraId="1D6479D9" w14:textId="1A5A1311" w:rsidR="009D6762" w:rsidRPr="005549F2" w:rsidRDefault="009D6762" w:rsidP="00A404D0">
            <w:pPr>
              <w:ind w:left="-108" w:right="-108"/>
              <w:jc w:val="center"/>
              <w:rPr>
                <w:sz w:val="22"/>
                <w:szCs w:val="22"/>
                <w:lang w:val="en-GB"/>
              </w:rPr>
            </w:pPr>
            <w:r w:rsidRPr="005549F2">
              <w:rPr>
                <w:sz w:val="22"/>
                <w:szCs w:val="22"/>
              </w:rPr>
              <w:t>25</w:t>
            </w:r>
          </w:p>
        </w:tc>
        <w:tc>
          <w:tcPr>
            <w:tcW w:w="567" w:type="dxa"/>
            <w:vAlign w:val="center"/>
          </w:tcPr>
          <w:p w14:paraId="32A3351A" w14:textId="0C9A43E1" w:rsidR="009D6762" w:rsidRPr="005549F2" w:rsidRDefault="009D6762" w:rsidP="00A404D0">
            <w:pPr>
              <w:jc w:val="center"/>
              <w:rPr>
                <w:sz w:val="22"/>
                <w:szCs w:val="22"/>
                <w:lang w:val="en-GB"/>
              </w:rPr>
            </w:pPr>
            <w:r w:rsidRPr="005549F2">
              <w:rPr>
                <w:sz w:val="22"/>
                <w:szCs w:val="22"/>
              </w:rPr>
              <w:t>E6</w:t>
            </w:r>
          </w:p>
        </w:tc>
        <w:tc>
          <w:tcPr>
            <w:tcW w:w="4962" w:type="dxa"/>
            <w:vAlign w:val="center"/>
          </w:tcPr>
          <w:p w14:paraId="3A38F3EC" w14:textId="4F6FBA77" w:rsidR="009D6762" w:rsidRPr="005549F2" w:rsidRDefault="009D6762" w:rsidP="00C40C59">
            <w:pPr>
              <w:rPr>
                <w:sz w:val="22"/>
                <w:szCs w:val="22"/>
                <w:lang w:val="en-GB"/>
              </w:rPr>
            </w:pPr>
            <w:r w:rsidRPr="005549F2">
              <w:rPr>
                <w:sz w:val="22"/>
                <w:szCs w:val="22"/>
              </w:rPr>
              <w:t>EEFO rule should be strictly followed by all stores.</w:t>
            </w:r>
          </w:p>
        </w:tc>
        <w:tc>
          <w:tcPr>
            <w:tcW w:w="425" w:type="dxa"/>
            <w:vAlign w:val="center"/>
          </w:tcPr>
          <w:p w14:paraId="35F27788" w14:textId="30E25A50"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31E06B3B" w14:textId="3949A3F1"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097E9393" w14:textId="5406B8CE"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57F01969" w14:textId="148FC34D" w:rsidR="009D6762" w:rsidRPr="009D6762" w:rsidRDefault="009D6762" w:rsidP="00A404D0">
            <w:pPr>
              <w:jc w:val="center"/>
              <w:rPr>
                <w:color w:val="0000FF"/>
                <w:sz w:val="22"/>
                <w:szCs w:val="22"/>
                <w:lang w:val="en-GB"/>
              </w:rPr>
            </w:pPr>
          </w:p>
        </w:tc>
      </w:tr>
      <w:tr w:rsidR="009D6762" w:rsidRPr="005549F2" w14:paraId="54E515B1" w14:textId="77777777" w:rsidTr="00024914">
        <w:tc>
          <w:tcPr>
            <w:tcW w:w="425" w:type="dxa"/>
            <w:vAlign w:val="center"/>
          </w:tcPr>
          <w:p w14:paraId="292C85E4" w14:textId="34C04F1F" w:rsidR="009D6762" w:rsidRPr="005549F2" w:rsidRDefault="009D6762" w:rsidP="00A404D0">
            <w:pPr>
              <w:ind w:left="-108" w:right="-108"/>
              <w:jc w:val="center"/>
              <w:rPr>
                <w:sz w:val="22"/>
                <w:szCs w:val="22"/>
                <w:lang w:val="en-GB"/>
              </w:rPr>
            </w:pPr>
            <w:r w:rsidRPr="005549F2">
              <w:rPr>
                <w:sz w:val="22"/>
                <w:szCs w:val="22"/>
              </w:rPr>
              <w:t>26</w:t>
            </w:r>
          </w:p>
        </w:tc>
        <w:tc>
          <w:tcPr>
            <w:tcW w:w="567" w:type="dxa"/>
            <w:vAlign w:val="center"/>
          </w:tcPr>
          <w:p w14:paraId="2C194615" w14:textId="50A83ACB" w:rsidR="009D6762" w:rsidRPr="005549F2" w:rsidRDefault="009D6762" w:rsidP="00A404D0">
            <w:pPr>
              <w:jc w:val="center"/>
              <w:rPr>
                <w:sz w:val="22"/>
                <w:szCs w:val="22"/>
                <w:lang w:val="en-GB"/>
              </w:rPr>
            </w:pPr>
            <w:r w:rsidRPr="005549F2">
              <w:rPr>
                <w:sz w:val="22"/>
                <w:szCs w:val="22"/>
              </w:rPr>
              <w:t>E6</w:t>
            </w:r>
          </w:p>
        </w:tc>
        <w:tc>
          <w:tcPr>
            <w:tcW w:w="4962" w:type="dxa"/>
            <w:vAlign w:val="center"/>
          </w:tcPr>
          <w:p w14:paraId="60A26DB1" w14:textId="24C13B22" w:rsidR="009D6762" w:rsidRPr="005549F2" w:rsidRDefault="009D6762" w:rsidP="00C40C59">
            <w:pPr>
              <w:rPr>
                <w:sz w:val="22"/>
                <w:szCs w:val="22"/>
                <w:lang w:val="en-GB"/>
              </w:rPr>
            </w:pPr>
            <w:r w:rsidRPr="005549F2">
              <w:rPr>
                <w:sz w:val="22"/>
                <w:szCs w:val="22"/>
              </w:rPr>
              <w:t>Vaccine stock records should be updated at the end of the each transaction day.</w:t>
            </w:r>
          </w:p>
        </w:tc>
        <w:tc>
          <w:tcPr>
            <w:tcW w:w="425" w:type="dxa"/>
            <w:vAlign w:val="center"/>
          </w:tcPr>
          <w:p w14:paraId="525705E0" w14:textId="461E435C"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6F8955C3" w14:textId="529CDDA1" w:rsidR="009D6762" w:rsidRPr="005549F2" w:rsidRDefault="009D6762" w:rsidP="00A404D0">
            <w:pPr>
              <w:jc w:val="center"/>
              <w:rPr>
                <w:sz w:val="22"/>
                <w:szCs w:val="22"/>
                <w:lang w:val="en-GB"/>
              </w:rPr>
            </w:pPr>
            <w:r w:rsidRPr="005549F2">
              <w:rPr>
                <w:sz w:val="22"/>
                <w:szCs w:val="22"/>
              </w:rPr>
              <w:t>All stores</w:t>
            </w:r>
          </w:p>
        </w:tc>
        <w:tc>
          <w:tcPr>
            <w:tcW w:w="1358" w:type="dxa"/>
            <w:vAlign w:val="center"/>
          </w:tcPr>
          <w:p w14:paraId="02AC0F8E" w14:textId="2EC78AE6"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1DDD7BDA" w14:textId="6A441259" w:rsidR="009D6762" w:rsidRPr="009D6762" w:rsidRDefault="009D6762" w:rsidP="00A404D0">
            <w:pPr>
              <w:jc w:val="center"/>
              <w:rPr>
                <w:color w:val="0000FF"/>
                <w:sz w:val="22"/>
                <w:szCs w:val="22"/>
                <w:lang w:val="en-GB"/>
              </w:rPr>
            </w:pPr>
          </w:p>
        </w:tc>
      </w:tr>
      <w:tr w:rsidR="009D6762" w:rsidRPr="005549F2" w14:paraId="13BA9629" w14:textId="77777777" w:rsidTr="00024914">
        <w:tc>
          <w:tcPr>
            <w:tcW w:w="425" w:type="dxa"/>
            <w:vAlign w:val="center"/>
          </w:tcPr>
          <w:p w14:paraId="737DFA52" w14:textId="03DFC03A" w:rsidR="009D6762" w:rsidRPr="005549F2" w:rsidRDefault="009D6762" w:rsidP="00A404D0">
            <w:pPr>
              <w:ind w:left="-108" w:right="-108"/>
              <w:jc w:val="center"/>
              <w:rPr>
                <w:sz w:val="22"/>
                <w:szCs w:val="22"/>
                <w:lang w:val="en-GB"/>
              </w:rPr>
            </w:pPr>
            <w:r w:rsidRPr="005549F2">
              <w:rPr>
                <w:sz w:val="22"/>
                <w:szCs w:val="22"/>
              </w:rPr>
              <w:t>27</w:t>
            </w:r>
          </w:p>
        </w:tc>
        <w:tc>
          <w:tcPr>
            <w:tcW w:w="567" w:type="dxa"/>
            <w:vAlign w:val="center"/>
          </w:tcPr>
          <w:p w14:paraId="42F8FF85" w14:textId="39DE1EB4" w:rsidR="009D6762" w:rsidRPr="005549F2" w:rsidRDefault="009D6762" w:rsidP="00A404D0">
            <w:pPr>
              <w:jc w:val="center"/>
              <w:rPr>
                <w:sz w:val="22"/>
                <w:szCs w:val="22"/>
                <w:lang w:val="en-GB"/>
              </w:rPr>
            </w:pPr>
            <w:r w:rsidRPr="005549F2">
              <w:rPr>
                <w:sz w:val="22"/>
                <w:szCs w:val="22"/>
              </w:rPr>
              <w:t>E6</w:t>
            </w:r>
          </w:p>
        </w:tc>
        <w:tc>
          <w:tcPr>
            <w:tcW w:w="4962" w:type="dxa"/>
            <w:vAlign w:val="center"/>
          </w:tcPr>
          <w:p w14:paraId="656F6229" w14:textId="72A036BC" w:rsidR="009D6762" w:rsidRPr="005549F2" w:rsidRDefault="009D6762" w:rsidP="00C40C59">
            <w:pPr>
              <w:rPr>
                <w:sz w:val="22"/>
                <w:szCs w:val="22"/>
                <w:lang w:val="en-GB"/>
              </w:rPr>
            </w:pPr>
            <w:r w:rsidRPr="005549F2">
              <w:rPr>
                <w:sz w:val="22"/>
                <w:szCs w:val="22"/>
              </w:rPr>
              <w:t>Unopened vial wastages should be recorded in the stock books as well as separate wastage reports.</w:t>
            </w:r>
          </w:p>
        </w:tc>
        <w:tc>
          <w:tcPr>
            <w:tcW w:w="425" w:type="dxa"/>
            <w:vAlign w:val="center"/>
          </w:tcPr>
          <w:p w14:paraId="7D15BEB8" w14:textId="48D6BD88"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46429467" w14:textId="3234E285" w:rsidR="009D6762" w:rsidRPr="005549F2" w:rsidRDefault="009D6762" w:rsidP="00A404D0">
            <w:pPr>
              <w:jc w:val="center"/>
              <w:rPr>
                <w:sz w:val="22"/>
                <w:szCs w:val="22"/>
                <w:lang w:val="en-GB"/>
              </w:rPr>
            </w:pPr>
            <w:r w:rsidRPr="005549F2">
              <w:rPr>
                <w:sz w:val="22"/>
                <w:szCs w:val="22"/>
              </w:rPr>
              <w:t>All stores</w:t>
            </w:r>
          </w:p>
        </w:tc>
        <w:tc>
          <w:tcPr>
            <w:tcW w:w="1358" w:type="dxa"/>
            <w:vAlign w:val="center"/>
          </w:tcPr>
          <w:p w14:paraId="0343FB21" w14:textId="02C2FCA9"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6205CDF2" w14:textId="5080D512" w:rsidR="009D6762" w:rsidRPr="009D6762" w:rsidRDefault="009D6762" w:rsidP="00A404D0">
            <w:pPr>
              <w:jc w:val="center"/>
              <w:rPr>
                <w:color w:val="0000FF"/>
                <w:sz w:val="22"/>
                <w:szCs w:val="22"/>
                <w:lang w:val="en-GB"/>
              </w:rPr>
            </w:pPr>
          </w:p>
        </w:tc>
      </w:tr>
      <w:tr w:rsidR="009D6762" w:rsidRPr="005549F2" w14:paraId="552D3D38" w14:textId="77777777" w:rsidTr="00024914">
        <w:tc>
          <w:tcPr>
            <w:tcW w:w="425" w:type="dxa"/>
            <w:vAlign w:val="center"/>
          </w:tcPr>
          <w:p w14:paraId="781F53D2" w14:textId="66DA37E9" w:rsidR="009D6762" w:rsidRPr="005549F2" w:rsidRDefault="009D6762" w:rsidP="00A404D0">
            <w:pPr>
              <w:ind w:left="-108" w:right="-108"/>
              <w:jc w:val="center"/>
              <w:rPr>
                <w:sz w:val="22"/>
                <w:szCs w:val="22"/>
                <w:lang w:val="en-GB"/>
              </w:rPr>
            </w:pPr>
            <w:r w:rsidRPr="005549F2">
              <w:rPr>
                <w:sz w:val="22"/>
                <w:szCs w:val="22"/>
              </w:rPr>
              <w:t>28</w:t>
            </w:r>
          </w:p>
        </w:tc>
        <w:tc>
          <w:tcPr>
            <w:tcW w:w="567" w:type="dxa"/>
            <w:vAlign w:val="center"/>
          </w:tcPr>
          <w:p w14:paraId="64DF9094" w14:textId="5C9FCDDE" w:rsidR="009D6762" w:rsidRPr="005549F2" w:rsidRDefault="009D6762" w:rsidP="00A404D0">
            <w:pPr>
              <w:jc w:val="center"/>
              <w:rPr>
                <w:sz w:val="22"/>
                <w:szCs w:val="22"/>
                <w:lang w:val="en-GB"/>
              </w:rPr>
            </w:pPr>
            <w:r w:rsidRPr="005549F2">
              <w:rPr>
                <w:sz w:val="22"/>
                <w:szCs w:val="22"/>
              </w:rPr>
              <w:t>E7</w:t>
            </w:r>
          </w:p>
        </w:tc>
        <w:tc>
          <w:tcPr>
            <w:tcW w:w="4962" w:type="dxa"/>
            <w:vAlign w:val="center"/>
          </w:tcPr>
          <w:p w14:paraId="6FBA702E" w14:textId="79A9B0E3" w:rsidR="009D6762" w:rsidRPr="005549F2" w:rsidRDefault="009D6762" w:rsidP="00C40C59">
            <w:pPr>
              <w:rPr>
                <w:sz w:val="22"/>
                <w:szCs w:val="22"/>
                <w:lang w:val="en-GB"/>
              </w:rPr>
            </w:pPr>
            <w:r w:rsidRPr="005549F2">
              <w:rPr>
                <w:sz w:val="22"/>
                <w:szCs w:val="22"/>
              </w:rPr>
              <w:t>Freeze indicators should be packed with all freeze sensitive vaccines.</w:t>
            </w:r>
          </w:p>
        </w:tc>
        <w:tc>
          <w:tcPr>
            <w:tcW w:w="425" w:type="dxa"/>
            <w:vAlign w:val="center"/>
          </w:tcPr>
          <w:p w14:paraId="5E6E7C8F" w14:textId="215BDE94"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4FAD70DC" w14:textId="0F550008" w:rsidR="009D6762" w:rsidRPr="005549F2" w:rsidRDefault="009D6762" w:rsidP="00A404D0">
            <w:pPr>
              <w:jc w:val="center"/>
              <w:rPr>
                <w:sz w:val="22"/>
                <w:szCs w:val="22"/>
                <w:lang w:val="en-GB"/>
              </w:rPr>
            </w:pPr>
            <w:r w:rsidRPr="005549F2">
              <w:rPr>
                <w:sz w:val="22"/>
                <w:szCs w:val="22"/>
              </w:rPr>
              <w:t>All stores</w:t>
            </w:r>
          </w:p>
        </w:tc>
        <w:tc>
          <w:tcPr>
            <w:tcW w:w="1358" w:type="dxa"/>
            <w:vAlign w:val="center"/>
          </w:tcPr>
          <w:p w14:paraId="4BCF8BE0" w14:textId="4062428C"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7435F60D" w14:textId="797AED3A" w:rsidR="009D6762" w:rsidRPr="009D6762" w:rsidRDefault="009D6762" w:rsidP="00A404D0">
            <w:pPr>
              <w:jc w:val="center"/>
              <w:rPr>
                <w:color w:val="0000FF"/>
                <w:sz w:val="22"/>
                <w:szCs w:val="22"/>
                <w:lang w:val="en-GB"/>
              </w:rPr>
            </w:pPr>
          </w:p>
        </w:tc>
      </w:tr>
      <w:tr w:rsidR="009D6762" w:rsidRPr="005549F2" w14:paraId="09C78CA6" w14:textId="77777777" w:rsidTr="00024914">
        <w:tc>
          <w:tcPr>
            <w:tcW w:w="425" w:type="dxa"/>
            <w:vAlign w:val="center"/>
          </w:tcPr>
          <w:p w14:paraId="439267C8" w14:textId="4B22C299" w:rsidR="009D6762" w:rsidRPr="005549F2" w:rsidRDefault="009D6762" w:rsidP="00A404D0">
            <w:pPr>
              <w:ind w:left="-108" w:right="-108"/>
              <w:jc w:val="center"/>
              <w:rPr>
                <w:sz w:val="22"/>
                <w:szCs w:val="22"/>
                <w:lang w:val="en-GB"/>
              </w:rPr>
            </w:pPr>
            <w:r w:rsidRPr="005549F2">
              <w:rPr>
                <w:sz w:val="22"/>
                <w:szCs w:val="22"/>
              </w:rPr>
              <w:t>29</w:t>
            </w:r>
          </w:p>
        </w:tc>
        <w:tc>
          <w:tcPr>
            <w:tcW w:w="567" w:type="dxa"/>
            <w:vAlign w:val="center"/>
          </w:tcPr>
          <w:p w14:paraId="62A446B6" w14:textId="0F90531B" w:rsidR="009D6762" w:rsidRPr="005549F2" w:rsidRDefault="009D6762" w:rsidP="00A404D0">
            <w:pPr>
              <w:jc w:val="center"/>
              <w:rPr>
                <w:sz w:val="22"/>
                <w:szCs w:val="22"/>
                <w:lang w:val="en-GB"/>
              </w:rPr>
            </w:pPr>
            <w:r w:rsidRPr="005549F2">
              <w:rPr>
                <w:sz w:val="22"/>
                <w:szCs w:val="22"/>
              </w:rPr>
              <w:t>E7</w:t>
            </w:r>
          </w:p>
        </w:tc>
        <w:tc>
          <w:tcPr>
            <w:tcW w:w="4962" w:type="dxa"/>
            <w:vAlign w:val="center"/>
          </w:tcPr>
          <w:p w14:paraId="533992E7" w14:textId="2292B124" w:rsidR="009D6762" w:rsidRPr="005549F2" w:rsidRDefault="009D6762" w:rsidP="00C40C59">
            <w:pPr>
              <w:rPr>
                <w:sz w:val="22"/>
                <w:szCs w:val="22"/>
                <w:lang w:val="en-GB"/>
              </w:rPr>
            </w:pPr>
            <w:r w:rsidRPr="005549F2">
              <w:rPr>
                <w:sz w:val="22"/>
                <w:szCs w:val="22"/>
              </w:rPr>
              <w:t>Freeze indicator statuses should be recorded at the beginning and the end of shipments.</w:t>
            </w:r>
          </w:p>
        </w:tc>
        <w:tc>
          <w:tcPr>
            <w:tcW w:w="425" w:type="dxa"/>
            <w:vAlign w:val="center"/>
          </w:tcPr>
          <w:p w14:paraId="62C57923" w14:textId="22E244DF" w:rsidR="009D6762" w:rsidRPr="005549F2" w:rsidRDefault="009D6762" w:rsidP="00A404D0">
            <w:pPr>
              <w:jc w:val="center"/>
              <w:rPr>
                <w:sz w:val="22"/>
                <w:szCs w:val="22"/>
                <w:lang w:val="en-GB"/>
              </w:rPr>
            </w:pPr>
            <w:r w:rsidRPr="005549F2">
              <w:rPr>
                <w:sz w:val="22"/>
                <w:szCs w:val="22"/>
              </w:rPr>
              <w:t>High</w:t>
            </w:r>
          </w:p>
        </w:tc>
        <w:tc>
          <w:tcPr>
            <w:tcW w:w="2126" w:type="dxa"/>
            <w:vAlign w:val="center"/>
          </w:tcPr>
          <w:p w14:paraId="4CC53005" w14:textId="5D78D290" w:rsidR="009D6762" w:rsidRPr="005549F2" w:rsidRDefault="009D6762" w:rsidP="00A404D0">
            <w:pPr>
              <w:jc w:val="center"/>
              <w:rPr>
                <w:sz w:val="22"/>
                <w:szCs w:val="22"/>
                <w:lang w:val="en-GB"/>
              </w:rPr>
            </w:pPr>
            <w:r w:rsidRPr="005549F2">
              <w:rPr>
                <w:sz w:val="22"/>
                <w:szCs w:val="22"/>
              </w:rPr>
              <w:t>All stores</w:t>
            </w:r>
          </w:p>
        </w:tc>
        <w:tc>
          <w:tcPr>
            <w:tcW w:w="1358" w:type="dxa"/>
            <w:vAlign w:val="center"/>
          </w:tcPr>
          <w:p w14:paraId="43D016C5" w14:textId="52A6D0BE"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21064D13" w14:textId="7BEBB42A" w:rsidR="009D6762" w:rsidRPr="009D6762" w:rsidRDefault="009D6762" w:rsidP="00A404D0">
            <w:pPr>
              <w:jc w:val="center"/>
              <w:rPr>
                <w:color w:val="0000FF"/>
                <w:sz w:val="22"/>
                <w:szCs w:val="22"/>
                <w:lang w:val="en-GB"/>
              </w:rPr>
            </w:pPr>
          </w:p>
        </w:tc>
      </w:tr>
      <w:tr w:rsidR="009D6762" w:rsidRPr="005549F2" w14:paraId="3A7FBF11" w14:textId="77777777" w:rsidTr="00024914">
        <w:tc>
          <w:tcPr>
            <w:tcW w:w="425" w:type="dxa"/>
            <w:vAlign w:val="center"/>
          </w:tcPr>
          <w:p w14:paraId="476B7F5E" w14:textId="57A183E8" w:rsidR="009D6762" w:rsidRPr="005549F2" w:rsidRDefault="009D6762" w:rsidP="00A404D0">
            <w:pPr>
              <w:ind w:left="-108" w:right="-108"/>
              <w:jc w:val="center"/>
              <w:rPr>
                <w:sz w:val="22"/>
                <w:szCs w:val="22"/>
                <w:lang w:val="en-GB"/>
              </w:rPr>
            </w:pPr>
            <w:r w:rsidRPr="005549F2">
              <w:rPr>
                <w:sz w:val="22"/>
                <w:szCs w:val="22"/>
              </w:rPr>
              <w:t>30</w:t>
            </w:r>
          </w:p>
        </w:tc>
        <w:tc>
          <w:tcPr>
            <w:tcW w:w="567" w:type="dxa"/>
            <w:vAlign w:val="center"/>
          </w:tcPr>
          <w:p w14:paraId="0202026F" w14:textId="6A4E5064" w:rsidR="009D6762" w:rsidRPr="005549F2" w:rsidRDefault="009D6762" w:rsidP="00A404D0">
            <w:pPr>
              <w:jc w:val="center"/>
              <w:rPr>
                <w:sz w:val="22"/>
                <w:szCs w:val="22"/>
                <w:lang w:val="en-GB"/>
              </w:rPr>
            </w:pPr>
            <w:r w:rsidRPr="005549F2">
              <w:rPr>
                <w:sz w:val="22"/>
                <w:szCs w:val="22"/>
              </w:rPr>
              <w:t>E8</w:t>
            </w:r>
          </w:p>
        </w:tc>
        <w:tc>
          <w:tcPr>
            <w:tcW w:w="4962" w:type="dxa"/>
            <w:vAlign w:val="center"/>
          </w:tcPr>
          <w:p w14:paraId="2224022A" w14:textId="596F08DC" w:rsidR="009D6762" w:rsidRPr="005549F2" w:rsidRDefault="009D6762" w:rsidP="00C40C59">
            <w:pPr>
              <w:rPr>
                <w:sz w:val="22"/>
                <w:szCs w:val="22"/>
                <w:lang w:val="en-GB"/>
              </w:rPr>
            </w:pPr>
            <w:r w:rsidRPr="005549F2">
              <w:rPr>
                <w:sz w:val="22"/>
                <w:szCs w:val="22"/>
              </w:rPr>
              <w:t>A waste management assessment should be conducted and its recommendations should be followed</w:t>
            </w:r>
          </w:p>
        </w:tc>
        <w:tc>
          <w:tcPr>
            <w:tcW w:w="425" w:type="dxa"/>
            <w:vAlign w:val="center"/>
          </w:tcPr>
          <w:p w14:paraId="5A73D4AF" w14:textId="4DE97C42" w:rsidR="009D6762" w:rsidRPr="005549F2" w:rsidRDefault="009D6762" w:rsidP="00A404D0">
            <w:pPr>
              <w:jc w:val="center"/>
              <w:rPr>
                <w:sz w:val="22"/>
                <w:szCs w:val="22"/>
                <w:lang w:val="en-GB"/>
              </w:rPr>
            </w:pPr>
            <w:r w:rsidRPr="005549F2">
              <w:rPr>
                <w:sz w:val="22"/>
                <w:szCs w:val="22"/>
              </w:rPr>
              <w:t>L</w:t>
            </w:r>
          </w:p>
        </w:tc>
        <w:tc>
          <w:tcPr>
            <w:tcW w:w="2126" w:type="dxa"/>
            <w:vAlign w:val="center"/>
          </w:tcPr>
          <w:p w14:paraId="28B31CBC" w14:textId="4F6022F7"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7A6225FF" w14:textId="7B07BF64" w:rsidR="009D6762" w:rsidRPr="005549F2" w:rsidRDefault="009D6762" w:rsidP="00A404D0">
            <w:pPr>
              <w:jc w:val="center"/>
              <w:rPr>
                <w:color w:val="0000FF"/>
                <w:sz w:val="22"/>
                <w:szCs w:val="22"/>
                <w:lang w:val="en-GB"/>
              </w:rPr>
            </w:pPr>
            <w:r w:rsidRPr="005549F2">
              <w:rPr>
                <w:color w:val="008000"/>
                <w:sz w:val="22"/>
                <w:szCs w:val="22"/>
                <w:lang w:val="en-GB"/>
              </w:rPr>
              <w:t>ONGOING</w:t>
            </w:r>
          </w:p>
        </w:tc>
        <w:tc>
          <w:tcPr>
            <w:tcW w:w="1194" w:type="dxa"/>
          </w:tcPr>
          <w:p w14:paraId="22588F57" w14:textId="5DEAFB8F" w:rsidR="009D6762" w:rsidRPr="009D6762" w:rsidRDefault="009D6762" w:rsidP="00A404D0">
            <w:pPr>
              <w:jc w:val="center"/>
              <w:rPr>
                <w:color w:val="0000FF"/>
                <w:sz w:val="22"/>
                <w:szCs w:val="22"/>
                <w:lang w:val="en-GB"/>
              </w:rPr>
            </w:pPr>
            <w:r w:rsidRPr="009D6762">
              <w:rPr>
                <w:sz w:val="22"/>
                <w:szCs w:val="22"/>
              </w:rPr>
              <w:t>Awaiting visit WHO experts</w:t>
            </w:r>
          </w:p>
        </w:tc>
      </w:tr>
      <w:tr w:rsidR="009D6762" w:rsidRPr="005549F2" w14:paraId="315D7B4B" w14:textId="77777777" w:rsidTr="00024914">
        <w:tc>
          <w:tcPr>
            <w:tcW w:w="425" w:type="dxa"/>
            <w:vAlign w:val="center"/>
          </w:tcPr>
          <w:p w14:paraId="51D1CD6F" w14:textId="699F6052" w:rsidR="009D6762" w:rsidRPr="005549F2" w:rsidRDefault="009D6762" w:rsidP="00A404D0">
            <w:pPr>
              <w:ind w:left="-108" w:right="-108"/>
              <w:jc w:val="center"/>
              <w:rPr>
                <w:sz w:val="22"/>
                <w:szCs w:val="22"/>
                <w:lang w:val="en-GB"/>
              </w:rPr>
            </w:pPr>
            <w:r w:rsidRPr="005549F2">
              <w:rPr>
                <w:sz w:val="22"/>
                <w:szCs w:val="22"/>
              </w:rPr>
              <w:t>31</w:t>
            </w:r>
          </w:p>
        </w:tc>
        <w:tc>
          <w:tcPr>
            <w:tcW w:w="567" w:type="dxa"/>
            <w:vAlign w:val="center"/>
          </w:tcPr>
          <w:p w14:paraId="78C3087E" w14:textId="223F08BA" w:rsidR="009D6762" w:rsidRPr="005549F2" w:rsidRDefault="009D6762" w:rsidP="00A404D0">
            <w:pPr>
              <w:jc w:val="center"/>
              <w:rPr>
                <w:sz w:val="22"/>
                <w:szCs w:val="22"/>
                <w:lang w:val="en-GB"/>
              </w:rPr>
            </w:pPr>
            <w:r w:rsidRPr="005549F2">
              <w:rPr>
                <w:sz w:val="22"/>
                <w:szCs w:val="22"/>
              </w:rPr>
              <w:t>E8</w:t>
            </w:r>
          </w:p>
        </w:tc>
        <w:tc>
          <w:tcPr>
            <w:tcW w:w="4962" w:type="dxa"/>
            <w:vAlign w:val="center"/>
          </w:tcPr>
          <w:p w14:paraId="6D29BC90" w14:textId="673E805D" w:rsidR="009D6762" w:rsidRPr="005549F2" w:rsidRDefault="009D6762" w:rsidP="00C40C59">
            <w:pPr>
              <w:rPr>
                <w:sz w:val="22"/>
                <w:szCs w:val="22"/>
                <w:lang w:val="en-GB"/>
              </w:rPr>
            </w:pPr>
            <w:r w:rsidRPr="005549F2">
              <w:rPr>
                <w:sz w:val="22"/>
                <w:szCs w:val="22"/>
              </w:rPr>
              <w:t>Posters or stickers should be prepared to remind proper use of VVM.</w:t>
            </w:r>
          </w:p>
        </w:tc>
        <w:tc>
          <w:tcPr>
            <w:tcW w:w="425" w:type="dxa"/>
            <w:vAlign w:val="center"/>
          </w:tcPr>
          <w:p w14:paraId="7533C4A3" w14:textId="65385321"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5E0BA9CF" w14:textId="41EB25D8"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007E4923" w14:textId="740C622A"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07C87C84" w14:textId="6B620629" w:rsidR="009D6762" w:rsidRPr="009D6762" w:rsidRDefault="009D6762" w:rsidP="00A404D0">
            <w:pPr>
              <w:jc w:val="center"/>
              <w:rPr>
                <w:color w:val="0000FF"/>
                <w:sz w:val="22"/>
                <w:szCs w:val="22"/>
                <w:lang w:val="en-GB"/>
              </w:rPr>
            </w:pPr>
          </w:p>
        </w:tc>
      </w:tr>
      <w:tr w:rsidR="009D6762" w:rsidRPr="005549F2" w14:paraId="46AFA681" w14:textId="77777777" w:rsidTr="00024914">
        <w:tc>
          <w:tcPr>
            <w:tcW w:w="425" w:type="dxa"/>
            <w:vAlign w:val="center"/>
          </w:tcPr>
          <w:p w14:paraId="6A4FB915" w14:textId="6BF452B1" w:rsidR="009D6762" w:rsidRPr="005549F2" w:rsidRDefault="009D6762" w:rsidP="00A404D0">
            <w:pPr>
              <w:ind w:left="-108" w:right="-108"/>
              <w:jc w:val="center"/>
              <w:rPr>
                <w:sz w:val="22"/>
                <w:szCs w:val="22"/>
                <w:lang w:val="en-GB"/>
              </w:rPr>
            </w:pPr>
            <w:r w:rsidRPr="005549F2">
              <w:rPr>
                <w:sz w:val="22"/>
                <w:szCs w:val="22"/>
              </w:rPr>
              <w:t>32</w:t>
            </w:r>
          </w:p>
        </w:tc>
        <w:tc>
          <w:tcPr>
            <w:tcW w:w="567" w:type="dxa"/>
            <w:vAlign w:val="center"/>
          </w:tcPr>
          <w:p w14:paraId="0F7C521B" w14:textId="17153D79" w:rsidR="009D6762" w:rsidRPr="005549F2" w:rsidRDefault="009D6762" w:rsidP="00A404D0">
            <w:pPr>
              <w:jc w:val="center"/>
              <w:rPr>
                <w:sz w:val="22"/>
                <w:szCs w:val="22"/>
                <w:lang w:val="en-GB"/>
              </w:rPr>
            </w:pPr>
            <w:r w:rsidRPr="005549F2">
              <w:rPr>
                <w:sz w:val="22"/>
                <w:szCs w:val="22"/>
              </w:rPr>
              <w:t>E8</w:t>
            </w:r>
          </w:p>
        </w:tc>
        <w:tc>
          <w:tcPr>
            <w:tcW w:w="4962" w:type="dxa"/>
            <w:vAlign w:val="center"/>
          </w:tcPr>
          <w:p w14:paraId="2F668E28" w14:textId="24E41776" w:rsidR="009D6762" w:rsidRPr="005549F2" w:rsidRDefault="009D6762" w:rsidP="00C40C59">
            <w:pPr>
              <w:rPr>
                <w:sz w:val="22"/>
                <w:szCs w:val="22"/>
                <w:lang w:val="en-GB"/>
              </w:rPr>
            </w:pPr>
            <w:r w:rsidRPr="005549F2">
              <w:rPr>
                <w:sz w:val="22"/>
                <w:szCs w:val="22"/>
              </w:rPr>
              <w:t>All store managers should receive refresher training on vaccine stock management.</w:t>
            </w:r>
          </w:p>
        </w:tc>
        <w:tc>
          <w:tcPr>
            <w:tcW w:w="425" w:type="dxa"/>
            <w:vAlign w:val="center"/>
          </w:tcPr>
          <w:p w14:paraId="0C685ECA" w14:textId="112B7658"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1B091F16" w14:textId="4DFC047C"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47FA4F35" w14:textId="4B224965" w:rsidR="009D6762" w:rsidRPr="005549F2" w:rsidRDefault="009D6762" w:rsidP="00A404D0">
            <w:pPr>
              <w:jc w:val="center"/>
              <w:rPr>
                <w:color w:val="0000FF"/>
                <w:sz w:val="22"/>
                <w:szCs w:val="22"/>
                <w:lang w:val="en-GB"/>
              </w:rPr>
            </w:pPr>
            <w:r w:rsidRPr="006430FD">
              <w:rPr>
                <w:color w:val="FF0000"/>
                <w:sz w:val="22"/>
                <w:szCs w:val="22"/>
                <w:lang w:val="en-GB"/>
              </w:rPr>
              <w:t>NO</w:t>
            </w:r>
          </w:p>
        </w:tc>
        <w:tc>
          <w:tcPr>
            <w:tcW w:w="1194" w:type="dxa"/>
          </w:tcPr>
          <w:p w14:paraId="68BD7147" w14:textId="2A935306" w:rsidR="009D6762" w:rsidRPr="009D6762" w:rsidRDefault="009D6762" w:rsidP="00A404D0">
            <w:pPr>
              <w:jc w:val="center"/>
              <w:rPr>
                <w:color w:val="0000FF"/>
                <w:sz w:val="22"/>
                <w:szCs w:val="22"/>
                <w:lang w:val="en-GB"/>
              </w:rPr>
            </w:pPr>
          </w:p>
        </w:tc>
      </w:tr>
      <w:tr w:rsidR="009D6762" w:rsidRPr="005549F2" w14:paraId="6370F76C" w14:textId="77777777" w:rsidTr="00024914">
        <w:tc>
          <w:tcPr>
            <w:tcW w:w="425" w:type="dxa"/>
            <w:vAlign w:val="center"/>
          </w:tcPr>
          <w:p w14:paraId="5B938A6A" w14:textId="64758F7D" w:rsidR="009D6762" w:rsidRPr="005549F2" w:rsidRDefault="009D6762" w:rsidP="00A404D0">
            <w:pPr>
              <w:ind w:left="-108" w:right="-108"/>
              <w:jc w:val="center"/>
              <w:rPr>
                <w:sz w:val="22"/>
                <w:szCs w:val="22"/>
                <w:lang w:val="en-GB"/>
              </w:rPr>
            </w:pPr>
            <w:r w:rsidRPr="005549F2">
              <w:rPr>
                <w:sz w:val="22"/>
                <w:szCs w:val="22"/>
              </w:rPr>
              <w:t>33</w:t>
            </w:r>
          </w:p>
        </w:tc>
        <w:tc>
          <w:tcPr>
            <w:tcW w:w="567" w:type="dxa"/>
            <w:vAlign w:val="center"/>
          </w:tcPr>
          <w:p w14:paraId="4631DF65" w14:textId="0D0EADB7" w:rsidR="009D6762" w:rsidRPr="005549F2" w:rsidRDefault="009D6762" w:rsidP="00A404D0">
            <w:pPr>
              <w:jc w:val="center"/>
              <w:rPr>
                <w:sz w:val="22"/>
                <w:szCs w:val="22"/>
                <w:lang w:val="en-GB"/>
              </w:rPr>
            </w:pPr>
            <w:r w:rsidRPr="005549F2">
              <w:rPr>
                <w:sz w:val="22"/>
                <w:szCs w:val="22"/>
              </w:rPr>
              <w:t>E9</w:t>
            </w:r>
          </w:p>
        </w:tc>
        <w:tc>
          <w:tcPr>
            <w:tcW w:w="4962" w:type="dxa"/>
            <w:vAlign w:val="center"/>
          </w:tcPr>
          <w:p w14:paraId="02540C33" w14:textId="072B1043" w:rsidR="009D6762" w:rsidRPr="005549F2" w:rsidRDefault="009D6762" w:rsidP="00C40C59">
            <w:pPr>
              <w:rPr>
                <w:sz w:val="22"/>
                <w:szCs w:val="22"/>
                <w:lang w:val="en-GB"/>
              </w:rPr>
            </w:pPr>
            <w:r w:rsidRPr="005549F2">
              <w:rPr>
                <w:sz w:val="22"/>
                <w:szCs w:val="22"/>
              </w:rPr>
              <w:t>Vaccine delivery visits should be used as supportive supervision opportunities</w:t>
            </w:r>
          </w:p>
        </w:tc>
        <w:tc>
          <w:tcPr>
            <w:tcW w:w="425" w:type="dxa"/>
            <w:vAlign w:val="center"/>
          </w:tcPr>
          <w:p w14:paraId="6D64A038" w14:textId="68B9A9F6"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48637E2E" w14:textId="2FB48A3C"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2BEC829A" w14:textId="32FFD1EB" w:rsidR="009D6762" w:rsidRPr="005549F2" w:rsidRDefault="009D6762" w:rsidP="00A404D0">
            <w:pPr>
              <w:jc w:val="center"/>
              <w:rPr>
                <w:color w:val="0000FF"/>
                <w:sz w:val="22"/>
                <w:szCs w:val="22"/>
                <w:lang w:val="en-GB"/>
              </w:rPr>
            </w:pPr>
            <w:r w:rsidRPr="005549F2">
              <w:rPr>
                <w:color w:val="008000"/>
                <w:sz w:val="22"/>
                <w:szCs w:val="22"/>
                <w:lang w:val="en-GB"/>
              </w:rPr>
              <w:t>ONGOING</w:t>
            </w:r>
          </w:p>
        </w:tc>
        <w:tc>
          <w:tcPr>
            <w:tcW w:w="1194" w:type="dxa"/>
          </w:tcPr>
          <w:p w14:paraId="2B5B2A42" w14:textId="70E4D808" w:rsidR="009D6762" w:rsidRPr="009D6762" w:rsidRDefault="009D6762" w:rsidP="00A404D0">
            <w:pPr>
              <w:jc w:val="center"/>
              <w:rPr>
                <w:color w:val="0000FF"/>
                <w:sz w:val="22"/>
                <w:szCs w:val="22"/>
                <w:lang w:val="en-GB"/>
              </w:rPr>
            </w:pPr>
          </w:p>
        </w:tc>
      </w:tr>
      <w:tr w:rsidR="009D6762" w:rsidRPr="005549F2" w14:paraId="2E5EB86B" w14:textId="77777777" w:rsidTr="00024914">
        <w:tc>
          <w:tcPr>
            <w:tcW w:w="425" w:type="dxa"/>
            <w:vAlign w:val="center"/>
          </w:tcPr>
          <w:p w14:paraId="7FD0D514" w14:textId="3C27EF72" w:rsidR="009D6762" w:rsidRPr="005549F2" w:rsidRDefault="009D6762" w:rsidP="00A404D0">
            <w:pPr>
              <w:ind w:left="-108" w:right="-108"/>
              <w:jc w:val="center"/>
              <w:rPr>
                <w:sz w:val="22"/>
                <w:szCs w:val="22"/>
                <w:lang w:val="en-GB"/>
              </w:rPr>
            </w:pPr>
            <w:r w:rsidRPr="005549F2">
              <w:rPr>
                <w:sz w:val="22"/>
                <w:szCs w:val="22"/>
              </w:rPr>
              <w:t>34</w:t>
            </w:r>
          </w:p>
        </w:tc>
        <w:tc>
          <w:tcPr>
            <w:tcW w:w="567" w:type="dxa"/>
            <w:vAlign w:val="center"/>
          </w:tcPr>
          <w:p w14:paraId="098B6139" w14:textId="6319C579" w:rsidR="009D6762" w:rsidRPr="005549F2" w:rsidRDefault="009D6762" w:rsidP="00A404D0">
            <w:pPr>
              <w:jc w:val="center"/>
              <w:rPr>
                <w:sz w:val="22"/>
                <w:szCs w:val="22"/>
                <w:lang w:val="en-GB"/>
              </w:rPr>
            </w:pPr>
            <w:r w:rsidRPr="005549F2">
              <w:rPr>
                <w:sz w:val="22"/>
                <w:szCs w:val="22"/>
              </w:rPr>
              <w:t>E9</w:t>
            </w:r>
          </w:p>
        </w:tc>
        <w:tc>
          <w:tcPr>
            <w:tcW w:w="4962" w:type="dxa"/>
            <w:vAlign w:val="center"/>
          </w:tcPr>
          <w:p w14:paraId="431D6C0C" w14:textId="5BF1CD51" w:rsidR="009D6762" w:rsidRPr="005549F2" w:rsidRDefault="009D6762" w:rsidP="00C40C59">
            <w:pPr>
              <w:rPr>
                <w:sz w:val="22"/>
                <w:szCs w:val="22"/>
                <w:lang w:val="en-GB"/>
              </w:rPr>
            </w:pPr>
            <w:r w:rsidRPr="005549F2">
              <w:rPr>
                <w:sz w:val="22"/>
                <w:szCs w:val="22"/>
              </w:rPr>
              <w:t>A cold chain inventory update system should be implemented</w:t>
            </w:r>
          </w:p>
        </w:tc>
        <w:tc>
          <w:tcPr>
            <w:tcW w:w="425" w:type="dxa"/>
            <w:vAlign w:val="center"/>
          </w:tcPr>
          <w:p w14:paraId="5AC6E5DE" w14:textId="4A775728" w:rsidR="009D6762" w:rsidRPr="005549F2" w:rsidRDefault="009D6762" w:rsidP="00A404D0">
            <w:pPr>
              <w:jc w:val="center"/>
              <w:rPr>
                <w:sz w:val="22"/>
                <w:szCs w:val="22"/>
                <w:lang w:val="en-GB"/>
              </w:rPr>
            </w:pPr>
            <w:r w:rsidRPr="005549F2">
              <w:rPr>
                <w:sz w:val="22"/>
                <w:szCs w:val="22"/>
              </w:rPr>
              <w:t>M</w:t>
            </w:r>
          </w:p>
        </w:tc>
        <w:tc>
          <w:tcPr>
            <w:tcW w:w="2126" w:type="dxa"/>
            <w:vAlign w:val="center"/>
          </w:tcPr>
          <w:p w14:paraId="1B6D69DD" w14:textId="19D28F09"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4F83128F" w14:textId="35D38737"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726BD887" w14:textId="1640965B" w:rsidR="009D6762" w:rsidRPr="009D6762" w:rsidRDefault="009D6762" w:rsidP="00A404D0">
            <w:pPr>
              <w:jc w:val="center"/>
              <w:rPr>
                <w:color w:val="0000FF"/>
                <w:sz w:val="22"/>
                <w:szCs w:val="22"/>
                <w:lang w:val="en-GB"/>
              </w:rPr>
            </w:pPr>
          </w:p>
        </w:tc>
      </w:tr>
      <w:tr w:rsidR="009D6762" w:rsidRPr="005549F2" w14:paraId="74A9DD60" w14:textId="77777777" w:rsidTr="00024914">
        <w:tc>
          <w:tcPr>
            <w:tcW w:w="425" w:type="dxa"/>
            <w:vAlign w:val="center"/>
          </w:tcPr>
          <w:p w14:paraId="02D5A0A4" w14:textId="3937C428" w:rsidR="009D6762" w:rsidRPr="005549F2" w:rsidRDefault="009D6762" w:rsidP="00A404D0">
            <w:pPr>
              <w:ind w:left="-108" w:right="-108"/>
              <w:jc w:val="center"/>
              <w:rPr>
                <w:sz w:val="22"/>
                <w:szCs w:val="22"/>
                <w:lang w:val="en-GB"/>
              </w:rPr>
            </w:pPr>
            <w:r w:rsidRPr="005549F2">
              <w:rPr>
                <w:sz w:val="22"/>
                <w:szCs w:val="22"/>
              </w:rPr>
              <w:t>35</w:t>
            </w:r>
          </w:p>
        </w:tc>
        <w:tc>
          <w:tcPr>
            <w:tcW w:w="567" w:type="dxa"/>
            <w:vAlign w:val="center"/>
          </w:tcPr>
          <w:p w14:paraId="588056CB" w14:textId="2B6D173D" w:rsidR="009D6762" w:rsidRPr="005549F2" w:rsidRDefault="009D6762" w:rsidP="00A404D0">
            <w:pPr>
              <w:jc w:val="center"/>
              <w:rPr>
                <w:sz w:val="22"/>
                <w:szCs w:val="22"/>
                <w:lang w:val="en-GB"/>
              </w:rPr>
            </w:pPr>
            <w:r w:rsidRPr="005549F2">
              <w:rPr>
                <w:sz w:val="22"/>
                <w:szCs w:val="22"/>
              </w:rPr>
              <w:t>E9</w:t>
            </w:r>
          </w:p>
        </w:tc>
        <w:tc>
          <w:tcPr>
            <w:tcW w:w="4962" w:type="dxa"/>
            <w:vAlign w:val="center"/>
          </w:tcPr>
          <w:p w14:paraId="4E8E91D3" w14:textId="13214E70" w:rsidR="009D6762" w:rsidRPr="005549F2" w:rsidRDefault="009D6762" w:rsidP="00C40C59">
            <w:pPr>
              <w:rPr>
                <w:sz w:val="22"/>
                <w:szCs w:val="22"/>
                <w:lang w:val="en-GB"/>
              </w:rPr>
            </w:pPr>
            <w:r w:rsidRPr="005549F2">
              <w:rPr>
                <w:sz w:val="22"/>
                <w:szCs w:val="22"/>
              </w:rPr>
              <w:t>A supportive supervision system should implemented at all levels</w:t>
            </w:r>
          </w:p>
        </w:tc>
        <w:tc>
          <w:tcPr>
            <w:tcW w:w="425" w:type="dxa"/>
            <w:vAlign w:val="center"/>
          </w:tcPr>
          <w:p w14:paraId="4E7D2198" w14:textId="41825BC9"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317EAB2C" w14:textId="23F01B4B" w:rsidR="009D6762" w:rsidRPr="005549F2" w:rsidRDefault="009D6762" w:rsidP="00A404D0">
            <w:pPr>
              <w:jc w:val="center"/>
              <w:rPr>
                <w:sz w:val="22"/>
                <w:szCs w:val="22"/>
                <w:lang w:val="en-GB"/>
              </w:rPr>
            </w:pPr>
            <w:r w:rsidRPr="005549F2">
              <w:rPr>
                <w:sz w:val="22"/>
                <w:szCs w:val="22"/>
              </w:rPr>
              <w:t>NCDC</w:t>
            </w:r>
          </w:p>
        </w:tc>
        <w:tc>
          <w:tcPr>
            <w:tcW w:w="1358" w:type="dxa"/>
            <w:vAlign w:val="center"/>
          </w:tcPr>
          <w:p w14:paraId="6379807D" w14:textId="1B24FA9E" w:rsidR="009D6762" w:rsidRPr="005549F2" w:rsidRDefault="009D6762" w:rsidP="00A404D0">
            <w:pPr>
              <w:jc w:val="center"/>
              <w:rPr>
                <w:color w:val="0000FF"/>
                <w:sz w:val="22"/>
                <w:szCs w:val="22"/>
                <w:lang w:val="en-GB"/>
              </w:rPr>
            </w:pPr>
            <w:r w:rsidRPr="005549F2">
              <w:rPr>
                <w:color w:val="008000"/>
                <w:sz w:val="22"/>
                <w:szCs w:val="22"/>
                <w:lang w:val="en-GB"/>
              </w:rPr>
              <w:t>ONGOING</w:t>
            </w:r>
          </w:p>
        </w:tc>
        <w:tc>
          <w:tcPr>
            <w:tcW w:w="1194" w:type="dxa"/>
          </w:tcPr>
          <w:p w14:paraId="47431C84" w14:textId="46D4E6D1" w:rsidR="009D6762" w:rsidRPr="009D6762" w:rsidRDefault="009D6762" w:rsidP="00A404D0">
            <w:pPr>
              <w:jc w:val="center"/>
              <w:rPr>
                <w:color w:val="0000FF"/>
                <w:sz w:val="22"/>
                <w:szCs w:val="22"/>
                <w:lang w:val="en-GB"/>
              </w:rPr>
            </w:pPr>
          </w:p>
        </w:tc>
      </w:tr>
      <w:tr w:rsidR="009D6762" w:rsidRPr="005549F2" w14:paraId="74AFAF59" w14:textId="77777777" w:rsidTr="00024914">
        <w:tc>
          <w:tcPr>
            <w:tcW w:w="425" w:type="dxa"/>
            <w:vAlign w:val="center"/>
          </w:tcPr>
          <w:p w14:paraId="339E9B85" w14:textId="4D53CC02" w:rsidR="009D6762" w:rsidRPr="005549F2" w:rsidRDefault="009D6762" w:rsidP="00A404D0">
            <w:pPr>
              <w:ind w:left="-108" w:right="-108"/>
              <w:jc w:val="center"/>
              <w:rPr>
                <w:sz w:val="22"/>
                <w:szCs w:val="22"/>
                <w:lang w:val="en-GB"/>
              </w:rPr>
            </w:pPr>
            <w:r w:rsidRPr="005549F2">
              <w:rPr>
                <w:sz w:val="22"/>
                <w:szCs w:val="22"/>
              </w:rPr>
              <w:t>36</w:t>
            </w:r>
          </w:p>
        </w:tc>
        <w:tc>
          <w:tcPr>
            <w:tcW w:w="567" w:type="dxa"/>
            <w:vAlign w:val="center"/>
          </w:tcPr>
          <w:p w14:paraId="66C109AB" w14:textId="22C658AC" w:rsidR="009D6762" w:rsidRPr="005549F2" w:rsidRDefault="009D6762" w:rsidP="00A404D0">
            <w:pPr>
              <w:jc w:val="center"/>
              <w:rPr>
                <w:sz w:val="22"/>
                <w:szCs w:val="22"/>
                <w:lang w:val="en-GB"/>
              </w:rPr>
            </w:pPr>
            <w:r w:rsidRPr="005549F2">
              <w:rPr>
                <w:sz w:val="22"/>
                <w:szCs w:val="22"/>
              </w:rPr>
              <w:t>E9</w:t>
            </w:r>
          </w:p>
        </w:tc>
        <w:tc>
          <w:tcPr>
            <w:tcW w:w="4962" w:type="dxa"/>
            <w:vAlign w:val="center"/>
          </w:tcPr>
          <w:p w14:paraId="169CC27C" w14:textId="665E7211" w:rsidR="009D6762" w:rsidRPr="005549F2" w:rsidRDefault="009D6762" w:rsidP="00C40C59">
            <w:pPr>
              <w:ind w:right="-108"/>
              <w:rPr>
                <w:sz w:val="22"/>
                <w:szCs w:val="22"/>
                <w:lang w:val="en-GB"/>
              </w:rPr>
            </w:pPr>
            <w:r w:rsidRPr="005549F2">
              <w:rPr>
                <w:sz w:val="22"/>
                <w:szCs w:val="22"/>
              </w:rPr>
              <w:t>Standard Operating Procedures Manual should be prepared/improved in accordance with WHO recommendations (e.g. on vaccine arrivals, distributions, good storage and record keeping practices, truck loading, conducting shake test…)</w:t>
            </w:r>
          </w:p>
        </w:tc>
        <w:tc>
          <w:tcPr>
            <w:tcW w:w="425" w:type="dxa"/>
            <w:vAlign w:val="center"/>
          </w:tcPr>
          <w:p w14:paraId="16DDCEF7" w14:textId="6CA68EA4" w:rsidR="009D6762" w:rsidRPr="005549F2" w:rsidRDefault="009D6762" w:rsidP="00A404D0">
            <w:pPr>
              <w:jc w:val="center"/>
              <w:rPr>
                <w:sz w:val="22"/>
                <w:szCs w:val="22"/>
                <w:lang w:val="en-GB"/>
              </w:rPr>
            </w:pPr>
            <w:r w:rsidRPr="005549F2">
              <w:rPr>
                <w:sz w:val="22"/>
                <w:szCs w:val="22"/>
              </w:rPr>
              <w:t>H</w:t>
            </w:r>
          </w:p>
        </w:tc>
        <w:tc>
          <w:tcPr>
            <w:tcW w:w="2126" w:type="dxa"/>
            <w:vAlign w:val="center"/>
          </w:tcPr>
          <w:p w14:paraId="56598AE2" w14:textId="3153DA6B" w:rsidR="009D6762" w:rsidRPr="005549F2" w:rsidRDefault="009D6762" w:rsidP="00C40C59">
            <w:pPr>
              <w:jc w:val="center"/>
              <w:rPr>
                <w:sz w:val="22"/>
                <w:szCs w:val="22"/>
                <w:lang w:val="en-GB"/>
              </w:rPr>
            </w:pPr>
            <w:r w:rsidRPr="005549F2">
              <w:rPr>
                <w:sz w:val="22"/>
                <w:szCs w:val="22"/>
              </w:rPr>
              <w:t>NCDC, International Partn.</w:t>
            </w:r>
          </w:p>
        </w:tc>
        <w:tc>
          <w:tcPr>
            <w:tcW w:w="1358" w:type="dxa"/>
            <w:vAlign w:val="center"/>
          </w:tcPr>
          <w:p w14:paraId="4431DFEF" w14:textId="224D1B8D" w:rsidR="009D6762" w:rsidRPr="005549F2" w:rsidRDefault="009D6762" w:rsidP="00A404D0">
            <w:pPr>
              <w:jc w:val="center"/>
              <w:rPr>
                <w:color w:val="0000FF"/>
                <w:sz w:val="22"/>
                <w:szCs w:val="22"/>
                <w:lang w:val="en-GB"/>
              </w:rPr>
            </w:pPr>
            <w:r w:rsidRPr="005549F2">
              <w:rPr>
                <w:color w:val="0000FF"/>
                <w:sz w:val="22"/>
                <w:szCs w:val="22"/>
              </w:rPr>
              <w:t>YES</w:t>
            </w:r>
          </w:p>
        </w:tc>
        <w:tc>
          <w:tcPr>
            <w:tcW w:w="1194" w:type="dxa"/>
          </w:tcPr>
          <w:p w14:paraId="4868B9E0" w14:textId="2A929080" w:rsidR="009D6762" w:rsidRPr="009D6762" w:rsidRDefault="009D6762" w:rsidP="00A404D0">
            <w:pPr>
              <w:jc w:val="center"/>
              <w:rPr>
                <w:color w:val="0000FF"/>
                <w:sz w:val="22"/>
                <w:szCs w:val="22"/>
                <w:lang w:val="en-GB"/>
              </w:rPr>
            </w:pPr>
            <w:r w:rsidRPr="009D6762">
              <w:rPr>
                <w:sz w:val="22"/>
                <w:szCs w:val="22"/>
              </w:rPr>
              <w:t>Awaiting visit WHO experts</w:t>
            </w:r>
          </w:p>
        </w:tc>
      </w:tr>
    </w:tbl>
    <w:p w14:paraId="74D6F441" w14:textId="77777777" w:rsidR="00EB6179" w:rsidRPr="00EE33FA" w:rsidRDefault="00EB6179">
      <w:pPr>
        <w:rPr>
          <w:rFonts w:ascii="Calibri" w:hAnsi="Calibri"/>
          <w:b/>
          <w:bCs/>
          <w:i/>
          <w:color w:val="4F81BD"/>
          <w:sz w:val="32"/>
          <w:lang w:val="en-GB"/>
        </w:rPr>
      </w:pPr>
      <w:r w:rsidRPr="00EE33FA">
        <w:rPr>
          <w:lang w:val="en-GB"/>
        </w:rPr>
        <w:br w:type="page"/>
      </w:r>
    </w:p>
    <w:p w14:paraId="7CCD6126" w14:textId="7EDB8AED" w:rsidR="007B6976" w:rsidRDefault="002606BF" w:rsidP="00616FA8">
      <w:pPr>
        <w:pStyle w:val="Heading1"/>
        <w:rPr>
          <w:lang w:val="en-GB"/>
        </w:rPr>
      </w:pPr>
      <w:bookmarkStart w:id="38" w:name="_Toc303889510"/>
      <w:r w:rsidRPr="00EE33FA">
        <w:rPr>
          <w:lang w:val="en-GB"/>
        </w:rPr>
        <w:lastRenderedPageBreak/>
        <w:t>Annex 6</w:t>
      </w:r>
      <w:r w:rsidR="0098047F" w:rsidRPr="00EE33FA">
        <w:rPr>
          <w:lang w:val="en-GB"/>
        </w:rPr>
        <w:t xml:space="preserve">: </w:t>
      </w:r>
      <w:r w:rsidRPr="00EE33FA">
        <w:rPr>
          <w:lang w:val="en-GB"/>
        </w:rPr>
        <w:t>Vaccine stock management graphs</w:t>
      </w:r>
      <w:bookmarkEnd w:id="38"/>
    </w:p>
    <w:p w14:paraId="7A5D2F77" w14:textId="77777777" w:rsidR="00616FA8" w:rsidRPr="00616FA8" w:rsidRDefault="00616FA8" w:rsidP="00616FA8"/>
    <w:p w14:paraId="3FCF6E96" w14:textId="476D9E48" w:rsidR="00616FA8" w:rsidRDefault="00616FA8" w:rsidP="0075402A">
      <w:pPr>
        <w:spacing w:before="120" w:line="300" w:lineRule="atLeast"/>
        <w:jc w:val="both"/>
        <w:rPr>
          <w:color w:val="000000"/>
          <w:lang w:val="en-GB"/>
        </w:rPr>
      </w:pPr>
      <w:r>
        <w:rPr>
          <w:noProof/>
          <w:lang w:val="ka-GE" w:eastAsia="ka-GE"/>
        </w:rPr>
        <w:drawing>
          <wp:inline distT="0" distB="0" distL="0" distR="0" wp14:anchorId="363EF047" wp14:editId="0E48EC5B">
            <wp:extent cx="5486400" cy="2809875"/>
            <wp:effectExtent l="0" t="0" r="25400" b="349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9FA35D" w14:textId="569F6C5F" w:rsidR="00616FA8" w:rsidRDefault="00616FA8" w:rsidP="00616FA8">
      <w:pPr>
        <w:pStyle w:val="Caption"/>
        <w:keepNext/>
        <w:spacing w:after="0" w:line="300" w:lineRule="atLeast"/>
        <w:jc w:val="center"/>
        <w:rPr>
          <w:b w:val="0"/>
          <w:i/>
          <w:sz w:val="24"/>
          <w:szCs w:val="24"/>
          <w:lang w:val="en-GB"/>
        </w:rPr>
      </w:pPr>
      <w:r>
        <w:rPr>
          <w:b w:val="0"/>
          <w:i/>
          <w:sz w:val="24"/>
          <w:szCs w:val="24"/>
          <w:lang w:val="en-GB"/>
        </w:rPr>
        <w:t>Pentavalent vaccine stock-in-hands analysis at central level, 2014</w:t>
      </w:r>
    </w:p>
    <w:p w14:paraId="63F2EA01" w14:textId="77777777" w:rsidR="00616FA8" w:rsidRPr="00616FA8" w:rsidRDefault="00616FA8" w:rsidP="00616FA8"/>
    <w:p w14:paraId="44310BF4" w14:textId="77777777" w:rsidR="00616FA8" w:rsidRDefault="00616FA8" w:rsidP="00616FA8"/>
    <w:p w14:paraId="28A45D0B" w14:textId="4A780551" w:rsidR="00616FA8" w:rsidRDefault="00616FA8" w:rsidP="00616FA8">
      <w:r>
        <w:rPr>
          <w:noProof/>
          <w:lang w:val="ka-GE" w:eastAsia="ka-GE"/>
        </w:rPr>
        <w:drawing>
          <wp:inline distT="0" distB="0" distL="0" distR="0" wp14:anchorId="7970BF80" wp14:editId="543B37E1">
            <wp:extent cx="5486400" cy="2809875"/>
            <wp:effectExtent l="0" t="0" r="25400" b="349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E78399" w14:textId="46BEAEBB" w:rsidR="00616FA8" w:rsidRPr="00EE33FA" w:rsidRDefault="00616FA8" w:rsidP="00616FA8">
      <w:pPr>
        <w:pStyle w:val="Caption"/>
        <w:keepNext/>
        <w:spacing w:after="0" w:line="300" w:lineRule="atLeast"/>
        <w:jc w:val="center"/>
        <w:rPr>
          <w:b w:val="0"/>
          <w:i/>
          <w:sz w:val="24"/>
          <w:szCs w:val="24"/>
          <w:lang w:val="en-GB"/>
        </w:rPr>
      </w:pPr>
      <w:r>
        <w:rPr>
          <w:b w:val="0"/>
          <w:i/>
          <w:sz w:val="24"/>
          <w:szCs w:val="24"/>
          <w:lang w:val="en-GB"/>
        </w:rPr>
        <w:t>OPV vaccine stock-in-hands analysis at central level, 2014</w:t>
      </w:r>
    </w:p>
    <w:p w14:paraId="44923AD3" w14:textId="77777777" w:rsidR="00616FA8" w:rsidRDefault="00616FA8" w:rsidP="00616FA8"/>
    <w:p w14:paraId="24B06158" w14:textId="4188B060" w:rsidR="00616FA8" w:rsidRDefault="00616FA8" w:rsidP="00616FA8">
      <w:r>
        <w:rPr>
          <w:noProof/>
          <w:lang w:val="ka-GE" w:eastAsia="ka-GE"/>
        </w:rPr>
        <w:lastRenderedPageBreak/>
        <w:drawing>
          <wp:inline distT="0" distB="0" distL="0" distR="0" wp14:anchorId="33E3199C" wp14:editId="629B4970">
            <wp:extent cx="5486400" cy="2809875"/>
            <wp:effectExtent l="0" t="0" r="25400" b="349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07AB9E" w14:textId="2DC024D0" w:rsidR="00616FA8" w:rsidRPr="00EE33FA" w:rsidRDefault="00616FA8" w:rsidP="00616FA8">
      <w:pPr>
        <w:pStyle w:val="Caption"/>
        <w:keepNext/>
        <w:spacing w:after="0" w:line="300" w:lineRule="atLeast"/>
        <w:jc w:val="center"/>
        <w:rPr>
          <w:b w:val="0"/>
          <w:i/>
          <w:sz w:val="24"/>
          <w:szCs w:val="24"/>
          <w:lang w:val="en-GB"/>
        </w:rPr>
      </w:pPr>
      <w:r>
        <w:rPr>
          <w:b w:val="0"/>
          <w:i/>
          <w:sz w:val="24"/>
          <w:szCs w:val="24"/>
          <w:lang w:val="en-GB"/>
        </w:rPr>
        <w:t>MMR vaccine stock-in-hands analysis at central level, 2014</w:t>
      </w:r>
    </w:p>
    <w:p w14:paraId="35528D68" w14:textId="77777777" w:rsidR="00616FA8" w:rsidRPr="00616FA8" w:rsidRDefault="00616FA8" w:rsidP="00616FA8"/>
    <w:p w14:paraId="13D251FA" w14:textId="77777777" w:rsidR="00616FA8" w:rsidRPr="00EE33FA" w:rsidRDefault="00616FA8" w:rsidP="0075402A">
      <w:pPr>
        <w:spacing w:before="120" w:line="300" w:lineRule="atLeast"/>
        <w:jc w:val="both"/>
        <w:rPr>
          <w:color w:val="000000"/>
          <w:lang w:val="en-GB"/>
        </w:rPr>
      </w:pPr>
    </w:p>
    <w:sectPr w:rsidR="00616FA8" w:rsidRPr="00EE33FA" w:rsidSect="00500E5A">
      <w:type w:val="continuous"/>
      <w:pgSz w:w="12240" w:h="15840"/>
      <w:pgMar w:top="1152" w:right="1350" w:bottom="1152" w:left="187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AED5" w14:textId="77777777" w:rsidR="0090139C" w:rsidRDefault="0090139C">
      <w:r>
        <w:separator/>
      </w:r>
    </w:p>
  </w:endnote>
  <w:endnote w:type="continuationSeparator" w:id="0">
    <w:p w14:paraId="743846F4" w14:textId="77777777" w:rsidR="0090139C" w:rsidRDefault="0090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ZapfHumnst BT">
    <w:altName w:val="Lucida Sans Unicode"/>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erican Typewriter">
    <w:altName w:val="Arial"/>
    <w:charset w:val="00"/>
    <w:family w:val="auto"/>
    <w:pitch w:val="variable"/>
    <w:sig w:usb0="A000006F" w:usb1="00000019" w:usb2="00000000" w:usb3="00000000" w:csb0="000001F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75A7" w14:textId="77777777" w:rsidR="00CC139A" w:rsidRDefault="00CC139A" w:rsidP="008553A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CAD6F00" w14:textId="77777777" w:rsidR="00CC139A" w:rsidRDefault="00CC139A" w:rsidP="008553AC">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65398" w14:textId="77777777" w:rsidR="00CC139A" w:rsidRDefault="00CC139A" w:rsidP="001D4E8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7A1A">
      <w:rPr>
        <w:rStyle w:val="PageNumber"/>
        <w:noProof/>
      </w:rPr>
      <w:t>2</w:t>
    </w:r>
    <w:r>
      <w:rPr>
        <w:rStyle w:val="PageNumber"/>
      </w:rPr>
      <w:fldChar w:fldCharType="end"/>
    </w:r>
  </w:p>
  <w:p w14:paraId="5FFD1412" w14:textId="49AA4C14" w:rsidR="00CC139A" w:rsidRPr="00DD5536" w:rsidRDefault="00CC139A" w:rsidP="008553AC">
    <w:pPr>
      <w:pStyle w:val="Footer"/>
      <w:ind w:firstLine="360"/>
      <w:jc w:val="right"/>
      <w:rPr>
        <w:i/>
      </w:rPr>
    </w:pPr>
    <w:r>
      <w:rPr>
        <w:i/>
      </w:rPr>
      <w:t>Immunization</w:t>
    </w:r>
    <w:r w:rsidRPr="00D506BB">
      <w:rPr>
        <w:i/>
      </w:rPr>
      <w:t xml:space="preserve"> </w:t>
    </w:r>
    <w:r>
      <w:rPr>
        <w:i/>
      </w:rPr>
      <w:t xml:space="preserve">and </w:t>
    </w:r>
    <w:r w:rsidRPr="00D506BB">
      <w:rPr>
        <w:i/>
      </w:rPr>
      <w:t xml:space="preserve">surveillance review, </w:t>
    </w:r>
    <w:r>
      <w:rPr>
        <w:i/>
      </w:rPr>
      <w:t>Georgia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03CC" w14:textId="77777777" w:rsidR="00CC139A" w:rsidRPr="00D506BB" w:rsidRDefault="00CC139A" w:rsidP="001F161D">
    <w:pPr>
      <w:pStyle w:val="Footer"/>
      <w:jc w:val="right"/>
      <w:rPr>
        <w:i/>
      </w:rPr>
    </w:pPr>
    <w:r>
      <w:rPr>
        <w:i/>
      </w:rPr>
      <w:t>Immunization</w:t>
    </w:r>
    <w:r w:rsidRPr="00D506BB">
      <w:rPr>
        <w:i/>
      </w:rPr>
      <w:t xml:space="preserve"> </w:t>
    </w:r>
    <w:r>
      <w:rPr>
        <w:i/>
      </w:rPr>
      <w:t xml:space="preserve">&amp; </w:t>
    </w:r>
    <w:r w:rsidRPr="00D506BB">
      <w:rPr>
        <w:i/>
      </w:rPr>
      <w:t xml:space="preserve">surveillance review, </w:t>
    </w:r>
    <w:r>
      <w:rPr>
        <w:i/>
      </w:rPr>
      <w:t>Georgia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95187" w14:textId="77777777" w:rsidR="0090139C" w:rsidRDefault="0090139C">
      <w:r>
        <w:separator/>
      </w:r>
    </w:p>
  </w:footnote>
  <w:footnote w:type="continuationSeparator" w:id="0">
    <w:p w14:paraId="60EB4575" w14:textId="77777777" w:rsidR="0090139C" w:rsidRDefault="0090139C">
      <w:r>
        <w:continuationSeparator/>
      </w:r>
    </w:p>
  </w:footnote>
  <w:footnote w:id="1">
    <w:p w14:paraId="639F3161" w14:textId="77777777" w:rsidR="00CC139A" w:rsidRDefault="00CC139A" w:rsidP="008D3D59">
      <w:pPr>
        <w:pStyle w:val="FootnoteText"/>
      </w:pPr>
      <w:r>
        <w:rPr>
          <w:rStyle w:val="FootnoteReference"/>
        </w:rPr>
        <w:footnoteRef/>
      </w:r>
      <w:r>
        <w:t xml:space="preserve"> It should be taken into account that with the recently released preliminary results of the 2014 national census in Georgia with total number of 3.7 million, rather than previously estimated 4.5 million, and expected retrospective downward estimation of previous years by the Georgian National Statistical Service, actual AFP rates in Georgia could be higher than they appear when using previous national or UN population 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93AB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617041"/>
    <w:multiLevelType w:val="hybridMultilevel"/>
    <w:tmpl w:val="9B3A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80593"/>
    <w:multiLevelType w:val="hybridMultilevel"/>
    <w:tmpl w:val="2A2E8B90"/>
    <w:lvl w:ilvl="0" w:tplc="10C80BCC">
      <w:start w:val="1"/>
      <w:numFmt w:val="bullet"/>
      <w:lvlText w:val="-"/>
      <w:lvlJc w:val="left"/>
      <w:pPr>
        <w:ind w:left="717"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nsid w:val="12AD2368"/>
    <w:multiLevelType w:val="hybridMultilevel"/>
    <w:tmpl w:val="1CB4A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142AF"/>
    <w:multiLevelType w:val="hybridMultilevel"/>
    <w:tmpl w:val="612E9914"/>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nsid w:val="20B61AC6"/>
    <w:multiLevelType w:val="hybridMultilevel"/>
    <w:tmpl w:val="868E786C"/>
    <w:lvl w:ilvl="0" w:tplc="10C80BCC">
      <w:start w:val="1"/>
      <w:numFmt w:val="bullet"/>
      <w:lvlText w:val="-"/>
      <w:lvlJc w:val="left"/>
      <w:pPr>
        <w:ind w:left="72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110D1"/>
    <w:multiLevelType w:val="hybridMultilevel"/>
    <w:tmpl w:val="3DE4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B5B71"/>
    <w:multiLevelType w:val="hybridMultilevel"/>
    <w:tmpl w:val="F4DE835A"/>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515AC"/>
    <w:multiLevelType w:val="hybridMultilevel"/>
    <w:tmpl w:val="24AE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15C65"/>
    <w:multiLevelType w:val="hybridMultilevel"/>
    <w:tmpl w:val="CA5E1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35089"/>
    <w:multiLevelType w:val="hybridMultilevel"/>
    <w:tmpl w:val="BAAE2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33EAF"/>
    <w:multiLevelType w:val="hybridMultilevel"/>
    <w:tmpl w:val="265E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E49DE"/>
    <w:multiLevelType w:val="hybridMultilevel"/>
    <w:tmpl w:val="24D8C2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7709A4"/>
    <w:multiLevelType w:val="multilevel"/>
    <w:tmpl w:val="0409001F"/>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C125AD"/>
    <w:multiLevelType w:val="hybridMultilevel"/>
    <w:tmpl w:val="0A66401A"/>
    <w:lvl w:ilvl="0" w:tplc="10C80BCC">
      <w:start w:val="1"/>
      <w:numFmt w:val="bullet"/>
      <w:lvlText w:val="-"/>
      <w:lvlJc w:val="left"/>
      <w:pPr>
        <w:ind w:left="72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411F06"/>
    <w:multiLevelType w:val="hybridMultilevel"/>
    <w:tmpl w:val="C8A6FDCA"/>
    <w:lvl w:ilvl="0" w:tplc="04090013">
      <w:start w:val="1"/>
      <w:numFmt w:val="upperRoman"/>
      <w:lvlText w:val="%1."/>
      <w:lvlJc w:val="right"/>
      <w:pPr>
        <w:ind w:left="1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B01E97"/>
    <w:multiLevelType w:val="hybridMultilevel"/>
    <w:tmpl w:val="6466FC5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B9020C"/>
    <w:multiLevelType w:val="hybridMultilevel"/>
    <w:tmpl w:val="8438DD54"/>
    <w:lvl w:ilvl="0" w:tplc="10C80BCC">
      <w:start w:val="1"/>
      <w:numFmt w:val="bullet"/>
      <w:lvlText w:val="-"/>
      <w:lvlJc w:val="left"/>
      <w:pPr>
        <w:ind w:left="108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C358F7"/>
    <w:multiLevelType w:val="hybridMultilevel"/>
    <w:tmpl w:val="77F0C3C2"/>
    <w:lvl w:ilvl="0" w:tplc="10C80BCC">
      <w:start w:val="1"/>
      <w:numFmt w:val="bullet"/>
      <w:lvlText w:val="-"/>
      <w:lvlJc w:val="left"/>
      <w:pPr>
        <w:ind w:left="72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67C3D"/>
    <w:multiLevelType w:val="hybridMultilevel"/>
    <w:tmpl w:val="3DE4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364040"/>
    <w:multiLevelType w:val="hybridMultilevel"/>
    <w:tmpl w:val="446EBE76"/>
    <w:lvl w:ilvl="0" w:tplc="10C80BCC">
      <w:start w:val="1"/>
      <w:numFmt w:val="bullet"/>
      <w:lvlText w:val="-"/>
      <w:lvlJc w:val="left"/>
      <w:pPr>
        <w:ind w:left="72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B7153C"/>
    <w:multiLevelType w:val="hybridMultilevel"/>
    <w:tmpl w:val="BFB28888"/>
    <w:lvl w:ilvl="0" w:tplc="10C80BCC">
      <w:start w:val="1"/>
      <w:numFmt w:val="bullet"/>
      <w:lvlText w:val="-"/>
      <w:lvlJc w:val="left"/>
      <w:pPr>
        <w:ind w:left="72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23E67"/>
    <w:multiLevelType w:val="hybridMultilevel"/>
    <w:tmpl w:val="80244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3A3973"/>
    <w:multiLevelType w:val="multilevel"/>
    <w:tmpl w:val="C8A6FDCA"/>
    <w:lvl w:ilvl="0">
      <w:start w:val="1"/>
      <w:numFmt w:val="upperRoman"/>
      <w:lvlText w:val="%1."/>
      <w:lvlJc w:val="right"/>
      <w:pPr>
        <w:ind w:left="180" w:hanging="18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F504587"/>
    <w:multiLevelType w:val="hybridMultilevel"/>
    <w:tmpl w:val="134A3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28579C"/>
    <w:multiLevelType w:val="hybridMultilevel"/>
    <w:tmpl w:val="EACC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207E9"/>
    <w:multiLevelType w:val="hybridMultilevel"/>
    <w:tmpl w:val="38E636C0"/>
    <w:lvl w:ilvl="0" w:tplc="10C80BCC">
      <w:start w:val="1"/>
      <w:numFmt w:val="bullet"/>
      <w:lvlText w:val="-"/>
      <w:lvlJc w:val="left"/>
      <w:pPr>
        <w:ind w:left="720" w:hanging="360"/>
      </w:pPr>
      <w:rPr>
        <w:rFonts w:ascii="Times New Roman" w:hAnsi="Times New Roman" w:cs="Times New Roman"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91182E"/>
    <w:multiLevelType w:val="multilevel"/>
    <w:tmpl w:val="85A21196"/>
    <w:lvl w:ilvl="0">
      <w:start w:val="1"/>
      <w:numFmt w:val="lowerLetter"/>
      <w:lvlText w:val="(%1)"/>
      <w:lvlJc w:val="left"/>
      <w:pPr>
        <w:tabs>
          <w:tab w:val="num" w:pos="1080"/>
        </w:tabs>
        <w:ind w:left="0" w:firstLine="720"/>
      </w:pPr>
      <w:rPr>
        <w:rFonts w:hint="default"/>
      </w:rPr>
    </w:lvl>
    <w:lvl w:ilvl="1">
      <w:start w:val="1"/>
      <w:numFmt w:val="lowerLetter"/>
      <w:pStyle w:val="Listalphabetical5plus3level3"/>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pStyle w:val="List"/>
      <w:lvlText w:val="(%5)"/>
      <w:lvlJc w:val="left"/>
      <w:pPr>
        <w:tabs>
          <w:tab w:val="num" w:pos="-36"/>
        </w:tabs>
        <w:ind w:left="-36" w:hanging="50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6"/>
  </w:num>
  <w:num w:numId="3">
    <w:abstractNumId w:val="24"/>
  </w:num>
  <w:num w:numId="4">
    <w:abstractNumId w:val="12"/>
  </w:num>
  <w:num w:numId="5">
    <w:abstractNumId w:val="11"/>
  </w:num>
  <w:num w:numId="6">
    <w:abstractNumId w:val="4"/>
  </w:num>
  <w:num w:numId="7">
    <w:abstractNumId w:val="7"/>
  </w:num>
  <w:num w:numId="8">
    <w:abstractNumId w:val="13"/>
  </w:num>
  <w:num w:numId="9">
    <w:abstractNumId w:val="15"/>
  </w:num>
  <w:num w:numId="10">
    <w:abstractNumId w:val="3"/>
  </w:num>
  <w:num w:numId="11">
    <w:abstractNumId w:val="23"/>
  </w:num>
  <w:num w:numId="12">
    <w:abstractNumId w:val="8"/>
  </w:num>
  <w:num w:numId="13">
    <w:abstractNumId w:val="6"/>
  </w:num>
  <w:num w:numId="14">
    <w:abstractNumId w:val="14"/>
  </w:num>
  <w:num w:numId="15">
    <w:abstractNumId w:val="19"/>
  </w:num>
  <w:num w:numId="16">
    <w:abstractNumId w:val="17"/>
  </w:num>
  <w:num w:numId="17">
    <w:abstractNumId w:val="20"/>
  </w:num>
  <w:num w:numId="18">
    <w:abstractNumId w:val="18"/>
  </w:num>
  <w:num w:numId="19">
    <w:abstractNumId w:val="26"/>
  </w:num>
  <w:num w:numId="20">
    <w:abstractNumId w:val="21"/>
  </w:num>
  <w:num w:numId="21">
    <w:abstractNumId w:val="2"/>
  </w:num>
  <w:num w:numId="22">
    <w:abstractNumId w:val="5"/>
  </w:num>
  <w:num w:numId="23">
    <w:abstractNumId w:val="1"/>
  </w:num>
  <w:num w:numId="24">
    <w:abstractNumId w:val="10"/>
  </w:num>
  <w:num w:numId="25">
    <w:abstractNumId w:val="9"/>
  </w:num>
  <w:num w:numId="26">
    <w:abstractNumId w:val="25"/>
  </w:num>
  <w:num w:numId="27">
    <w:abstractNumId w:val="22"/>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defaultTabStop w:val="720"/>
  <w:hyphenationZone w:val="14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94"/>
    <w:rsid w:val="0000186C"/>
    <w:rsid w:val="000018C1"/>
    <w:rsid w:val="00002CA7"/>
    <w:rsid w:val="000048D0"/>
    <w:rsid w:val="0000502D"/>
    <w:rsid w:val="000050F9"/>
    <w:rsid w:val="000073AC"/>
    <w:rsid w:val="00007B73"/>
    <w:rsid w:val="00010C76"/>
    <w:rsid w:val="0001107C"/>
    <w:rsid w:val="00012373"/>
    <w:rsid w:val="000146AE"/>
    <w:rsid w:val="000164D7"/>
    <w:rsid w:val="000171D5"/>
    <w:rsid w:val="00017E57"/>
    <w:rsid w:val="000203FB"/>
    <w:rsid w:val="000213DD"/>
    <w:rsid w:val="0002184C"/>
    <w:rsid w:val="000221BE"/>
    <w:rsid w:val="000235A9"/>
    <w:rsid w:val="00024756"/>
    <w:rsid w:val="00024914"/>
    <w:rsid w:val="00025373"/>
    <w:rsid w:val="00025C4B"/>
    <w:rsid w:val="00027A8F"/>
    <w:rsid w:val="00031ACF"/>
    <w:rsid w:val="00032B16"/>
    <w:rsid w:val="00033CAF"/>
    <w:rsid w:val="000352D9"/>
    <w:rsid w:val="00035472"/>
    <w:rsid w:val="00035631"/>
    <w:rsid w:val="00035A2C"/>
    <w:rsid w:val="00035EB2"/>
    <w:rsid w:val="00036539"/>
    <w:rsid w:val="000369FB"/>
    <w:rsid w:val="00042E95"/>
    <w:rsid w:val="0004331B"/>
    <w:rsid w:val="000434CD"/>
    <w:rsid w:val="00044224"/>
    <w:rsid w:val="00044BCD"/>
    <w:rsid w:val="00045920"/>
    <w:rsid w:val="00045945"/>
    <w:rsid w:val="00045D84"/>
    <w:rsid w:val="000460B7"/>
    <w:rsid w:val="00047C6E"/>
    <w:rsid w:val="000509F1"/>
    <w:rsid w:val="0005187E"/>
    <w:rsid w:val="00052BAB"/>
    <w:rsid w:val="0005364F"/>
    <w:rsid w:val="000546CB"/>
    <w:rsid w:val="00054834"/>
    <w:rsid w:val="00062A52"/>
    <w:rsid w:val="00063970"/>
    <w:rsid w:val="0007022F"/>
    <w:rsid w:val="0007159F"/>
    <w:rsid w:val="00071BCD"/>
    <w:rsid w:val="00071C7D"/>
    <w:rsid w:val="000724E7"/>
    <w:rsid w:val="00072546"/>
    <w:rsid w:val="0007282D"/>
    <w:rsid w:val="00073773"/>
    <w:rsid w:val="000744F9"/>
    <w:rsid w:val="000751AC"/>
    <w:rsid w:val="00077038"/>
    <w:rsid w:val="00077CAE"/>
    <w:rsid w:val="00080624"/>
    <w:rsid w:val="00080A25"/>
    <w:rsid w:val="000831E7"/>
    <w:rsid w:val="000837B8"/>
    <w:rsid w:val="00087D14"/>
    <w:rsid w:val="0009052D"/>
    <w:rsid w:val="0009093D"/>
    <w:rsid w:val="000948AB"/>
    <w:rsid w:val="00094AC7"/>
    <w:rsid w:val="00095011"/>
    <w:rsid w:val="00096E46"/>
    <w:rsid w:val="00097FCF"/>
    <w:rsid w:val="000A0F7A"/>
    <w:rsid w:val="000A0FE2"/>
    <w:rsid w:val="000A15DA"/>
    <w:rsid w:val="000A374C"/>
    <w:rsid w:val="000A37EA"/>
    <w:rsid w:val="000A4621"/>
    <w:rsid w:val="000A7FEC"/>
    <w:rsid w:val="000B5B56"/>
    <w:rsid w:val="000B6E2B"/>
    <w:rsid w:val="000C08FC"/>
    <w:rsid w:val="000C0BEE"/>
    <w:rsid w:val="000C18A0"/>
    <w:rsid w:val="000C2104"/>
    <w:rsid w:val="000C28E7"/>
    <w:rsid w:val="000C38AA"/>
    <w:rsid w:val="000C4821"/>
    <w:rsid w:val="000C4C57"/>
    <w:rsid w:val="000C6A56"/>
    <w:rsid w:val="000C6BE7"/>
    <w:rsid w:val="000D3EB4"/>
    <w:rsid w:val="000D47DD"/>
    <w:rsid w:val="000D709E"/>
    <w:rsid w:val="000E0272"/>
    <w:rsid w:val="000E0B8D"/>
    <w:rsid w:val="000E0C56"/>
    <w:rsid w:val="000E3412"/>
    <w:rsid w:val="000E4409"/>
    <w:rsid w:val="000E56C8"/>
    <w:rsid w:val="000E5FC6"/>
    <w:rsid w:val="000E6C20"/>
    <w:rsid w:val="000E6E52"/>
    <w:rsid w:val="000E7B4D"/>
    <w:rsid w:val="000F29EE"/>
    <w:rsid w:val="000F425E"/>
    <w:rsid w:val="000F4426"/>
    <w:rsid w:val="000F5B39"/>
    <w:rsid w:val="00101323"/>
    <w:rsid w:val="00101491"/>
    <w:rsid w:val="00102C10"/>
    <w:rsid w:val="0010502A"/>
    <w:rsid w:val="001051D4"/>
    <w:rsid w:val="00105317"/>
    <w:rsid w:val="00110E74"/>
    <w:rsid w:val="001116C3"/>
    <w:rsid w:val="001119A7"/>
    <w:rsid w:val="00113FE3"/>
    <w:rsid w:val="001142F9"/>
    <w:rsid w:val="00116D53"/>
    <w:rsid w:val="001175EF"/>
    <w:rsid w:val="00117613"/>
    <w:rsid w:val="00117B4A"/>
    <w:rsid w:val="00120565"/>
    <w:rsid w:val="00120E4F"/>
    <w:rsid w:val="00121B5A"/>
    <w:rsid w:val="00122FAB"/>
    <w:rsid w:val="00123D18"/>
    <w:rsid w:val="00125D09"/>
    <w:rsid w:val="001304B7"/>
    <w:rsid w:val="00130738"/>
    <w:rsid w:val="00133995"/>
    <w:rsid w:val="0013643C"/>
    <w:rsid w:val="0014072E"/>
    <w:rsid w:val="0014229F"/>
    <w:rsid w:val="00142376"/>
    <w:rsid w:val="00142558"/>
    <w:rsid w:val="00142D50"/>
    <w:rsid w:val="00144636"/>
    <w:rsid w:val="00145612"/>
    <w:rsid w:val="00150E9D"/>
    <w:rsid w:val="00150F23"/>
    <w:rsid w:val="0015561B"/>
    <w:rsid w:val="00155F22"/>
    <w:rsid w:val="0015631D"/>
    <w:rsid w:val="001564FF"/>
    <w:rsid w:val="00160A15"/>
    <w:rsid w:val="00162E0A"/>
    <w:rsid w:val="00163B0C"/>
    <w:rsid w:val="00164BB0"/>
    <w:rsid w:val="00165FCF"/>
    <w:rsid w:val="00166162"/>
    <w:rsid w:val="0016706E"/>
    <w:rsid w:val="00171811"/>
    <w:rsid w:val="00173C2E"/>
    <w:rsid w:val="0017456E"/>
    <w:rsid w:val="00174900"/>
    <w:rsid w:val="001750DC"/>
    <w:rsid w:val="0017539A"/>
    <w:rsid w:val="00175D92"/>
    <w:rsid w:val="00177358"/>
    <w:rsid w:val="001832FE"/>
    <w:rsid w:val="00184C38"/>
    <w:rsid w:val="00184F1F"/>
    <w:rsid w:val="00186C46"/>
    <w:rsid w:val="00186EE2"/>
    <w:rsid w:val="00191BD6"/>
    <w:rsid w:val="001925B9"/>
    <w:rsid w:val="001928F8"/>
    <w:rsid w:val="001938D1"/>
    <w:rsid w:val="001944A9"/>
    <w:rsid w:val="00194A25"/>
    <w:rsid w:val="00194CD4"/>
    <w:rsid w:val="00195D37"/>
    <w:rsid w:val="001977B4"/>
    <w:rsid w:val="001A2808"/>
    <w:rsid w:val="001A401F"/>
    <w:rsid w:val="001A6002"/>
    <w:rsid w:val="001B11C3"/>
    <w:rsid w:val="001B2C4C"/>
    <w:rsid w:val="001B60C1"/>
    <w:rsid w:val="001C01BF"/>
    <w:rsid w:val="001C10BE"/>
    <w:rsid w:val="001C234B"/>
    <w:rsid w:val="001C3459"/>
    <w:rsid w:val="001C350B"/>
    <w:rsid w:val="001C3C5C"/>
    <w:rsid w:val="001C4C7B"/>
    <w:rsid w:val="001C4F17"/>
    <w:rsid w:val="001C68CF"/>
    <w:rsid w:val="001D0477"/>
    <w:rsid w:val="001D1636"/>
    <w:rsid w:val="001D3D53"/>
    <w:rsid w:val="001D47DA"/>
    <w:rsid w:val="001D4E8F"/>
    <w:rsid w:val="001D6525"/>
    <w:rsid w:val="001E37FB"/>
    <w:rsid w:val="001E5EE5"/>
    <w:rsid w:val="001E734E"/>
    <w:rsid w:val="001F12FF"/>
    <w:rsid w:val="001F13F1"/>
    <w:rsid w:val="001F161D"/>
    <w:rsid w:val="001F3B16"/>
    <w:rsid w:val="001F41DF"/>
    <w:rsid w:val="001F7852"/>
    <w:rsid w:val="00201C5B"/>
    <w:rsid w:val="00201C61"/>
    <w:rsid w:val="002034FD"/>
    <w:rsid w:val="002041B2"/>
    <w:rsid w:val="00206FBA"/>
    <w:rsid w:val="002163EA"/>
    <w:rsid w:val="00216AD6"/>
    <w:rsid w:val="00220495"/>
    <w:rsid w:val="00220880"/>
    <w:rsid w:val="00221825"/>
    <w:rsid w:val="00221D17"/>
    <w:rsid w:val="002248E5"/>
    <w:rsid w:val="00224A9C"/>
    <w:rsid w:val="00224C0C"/>
    <w:rsid w:val="0022708A"/>
    <w:rsid w:val="002317F5"/>
    <w:rsid w:val="00232B67"/>
    <w:rsid w:val="00235274"/>
    <w:rsid w:val="002354FE"/>
    <w:rsid w:val="00235E1D"/>
    <w:rsid w:val="0024023E"/>
    <w:rsid w:val="00240E1C"/>
    <w:rsid w:val="00241A76"/>
    <w:rsid w:val="0024340F"/>
    <w:rsid w:val="00244E33"/>
    <w:rsid w:val="002461E1"/>
    <w:rsid w:val="00252008"/>
    <w:rsid w:val="00254725"/>
    <w:rsid w:val="002553CC"/>
    <w:rsid w:val="00255E45"/>
    <w:rsid w:val="002606BF"/>
    <w:rsid w:val="00261080"/>
    <w:rsid w:val="00262B13"/>
    <w:rsid w:val="00264504"/>
    <w:rsid w:val="00267ED9"/>
    <w:rsid w:val="00270663"/>
    <w:rsid w:val="00270906"/>
    <w:rsid w:val="00272B2F"/>
    <w:rsid w:val="00272D20"/>
    <w:rsid w:val="0027316C"/>
    <w:rsid w:val="00275308"/>
    <w:rsid w:val="00276B55"/>
    <w:rsid w:val="00276E4B"/>
    <w:rsid w:val="00277E55"/>
    <w:rsid w:val="00283179"/>
    <w:rsid w:val="002905DF"/>
    <w:rsid w:val="00292154"/>
    <w:rsid w:val="00294238"/>
    <w:rsid w:val="00295137"/>
    <w:rsid w:val="00296611"/>
    <w:rsid w:val="00296AF2"/>
    <w:rsid w:val="00297137"/>
    <w:rsid w:val="002972F9"/>
    <w:rsid w:val="002A08BE"/>
    <w:rsid w:val="002A09FB"/>
    <w:rsid w:val="002A0FDD"/>
    <w:rsid w:val="002A2311"/>
    <w:rsid w:val="002A233F"/>
    <w:rsid w:val="002A28AF"/>
    <w:rsid w:val="002A304E"/>
    <w:rsid w:val="002A3ACF"/>
    <w:rsid w:val="002A3C24"/>
    <w:rsid w:val="002A435F"/>
    <w:rsid w:val="002A70F4"/>
    <w:rsid w:val="002B0AA7"/>
    <w:rsid w:val="002B0FD7"/>
    <w:rsid w:val="002B0FFC"/>
    <w:rsid w:val="002B481A"/>
    <w:rsid w:val="002B4CDB"/>
    <w:rsid w:val="002B7044"/>
    <w:rsid w:val="002B7254"/>
    <w:rsid w:val="002B7366"/>
    <w:rsid w:val="002C072B"/>
    <w:rsid w:val="002C1DC6"/>
    <w:rsid w:val="002C2EC9"/>
    <w:rsid w:val="002C3F55"/>
    <w:rsid w:val="002C4C64"/>
    <w:rsid w:val="002C5AD1"/>
    <w:rsid w:val="002C7C14"/>
    <w:rsid w:val="002D204F"/>
    <w:rsid w:val="002D36A7"/>
    <w:rsid w:val="002D4C13"/>
    <w:rsid w:val="002D72ED"/>
    <w:rsid w:val="002E01A9"/>
    <w:rsid w:val="002E3CFA"/>
    <w:rsid w:val="002F0BE8"/>
    <w:rsid w:val="002F20E4"/>
    <w:rsid w:val="002F2C6A"/>
    <w:rsid w:val="002F34F3"/>
    <w:rsid w:val="002F4BBB"/>
    <w:rsid w:val="002F56C0"/>
    <w:rsid w:val="002F5A7F"/>
    <w:rsid w:val="003007E6"/>
    <w:rsid w:val="00300D87"/>
    <w:rsid w:val="00301036"/>
    <w:rsid w:val="0030218B"/>
    <w:rsid w:val="003054DD"/>
    <w:rsid w:val="00307569"/>
    <w:rsid w:val="00307BBE"/>
    <w:rsid w:val="00312609"/>
    <w:rsid w:val="003136BC"/>
    <w:rsid w:val="00314E61"/>
    <w:rsid w:val="00316532"/>
    <w:rsid w:val="00317C92"/>
    <w:rsid w:val="00320A84"/>
    <w:rsid w:val="00320C95"/>
    <w:rsid w:val="003233AD"/>
    <w:rsid w:val="003236FC"/>
    <w:rsid w:val="00323E3B"/>
    <w:rsid w:val="00326642"/>
    <w:rsid w:val="00326ADB"/>
    <w:rsid w:val="00326D9F"/>
    <w:rsid w:val="00332223"/>
    <w:rsid w:val="003323F3"/>
    <w:rsid w:val="00332E1E"/>
    <w:rsid w:val="0033357F"/>
    <w:rsid w:val="00333C34"/>
    <w:rsid w:val="003349AA"/>
    <w:rsid w:val="00335E4C"/>
    <w:rsid w:val="00336BEF"/>
    <w:rsid w:val="003377EE"/>
    <w:rsid w:val="00340A4B"/>
    <w:rsid w:val="00342D6A"/>
    <w:rsid w:val="00343C49"/>
    <w:rsid w:val="00344031"/>
    <w:rsid w:val="003460C0"/>
    <w:rsid w:val="003466DD"/>
    <w:rsid w:val="00346C7E"/>
    <w:rsid w:val="0035068C"/>
    <w:rsid w:val="00350CBE"/>
    <w:rsid w:val="00352409"/>
    <w:rsid w:val="00352E74"/>
    <w:rsid w:val="00353D7B"/>
    <w:rsid w:val="0035568F"/>
    <w:rsid w:val="00357143"/>
    <w:rsid w:val="003636E1"/>
    <w:rsid w:val="00363AD9"/>
    <w:rsid w:val="00365ED2"/>
    <w:rsid w:val="003662F7"/>
    <w:rsid w:val="00366FAF"/>
    <w:rsid w:val="003723C5"/>
    <w:rsid w:val="00372798"/>
    <w:rsid w:val="00373310"/>
    <w:rsid w:val="00373A9B"/>
    <w:rsid w:val="0037452C"/>
    <w:rsid w:val="00374BFC"/>
    <w:rsid w:val="003760CA"/>
    <w:rsid w:val="00376790"/>
    <w:rsid w:val="003814AA"/>
    <w:rsid w:val="00381B01"/>
    <w:rsid w:val="00382009"/>
    <w:rsid w:val="003828E2"/>
    <w:rsid w:val="00382990"/>
    <w:rsid w:val="00382D6A"/>
    <w:rsid w:val="00383F21"/>
    <w:rsid w:val="00385B4D"/>
    <w:rsid w:val="0039178D"/>
    <w:rsid w:val="00391D54"/>
    <w:rsid w:val="003927F2"/>
    <w:rsid w:val="00394011"/>
    <w:rsid w:val="00395463"/>
    <w:rsid w:val="0039679E"/>
    <w:rsid w:val="00396B6F"/>
    <w:rsid w:val="003A01DB"/>
    <w:rsid w:val="003A1691"/>
    <w:rsid w:val="003A20A5"/>
    <w:rsid w:val="003A20B3"/>
    <w:rsid w:val="003A53AB"/>
    <w:rsid w:val="003A595A"/>
    <w:rsid w:val="003B0FCC"/>
    <w:rsid w:val="003B3F54"/>
    <w:rsid w:val="003B544A"/>
    <w:rsid w:val="003B5AE8"/>
    <w:rsid w:val="003B6004"/>
    <w:rsid w:val="003B63C1"/>
    <w:rsid w:val="003C0242"/>
    <w:rsid w:val="003C0865"/>
    <w:rsid w:val="003C1E58"/>
    <w:rsid w:val="003C2AE5"/>
    <w:rsid w:val="003C3087"/>
    <w:rsid w:val="003C692A"/>
    <w:rsid w:val="003D0E12"/>
    <w:rsid w:val="003D27EF"/>
    <w:rsid w:val="003D3493"/>
    <w:rsid w:val="003D4FC5"/>
    <w:rsid w:val="003D5F76"/>
    <w:rsid w:val="003E23DD"/>
    <w:rsid w:val="003E6FB7"/>
    <w:rsid w:val="003F022B"/>
    <w:rsid w:val="003F0B1F"/>
    <w:rsid w:val="003F451B"/>
    <w:rsid w:val="003F4A44"/>
    <w:rsid w:val="003F5A6E"/>
    <w:rsid w:val="003F5BB9"/>
    <w:rsid w:val="003F6B55"/>
    <w:rsid w:val="003F7F2A"/>
    <w:rsid w:val="0040165E"/>
    <w:rsid w:val="00401984"/>
    <w:rsid w:val="004041D8"/>
    <w:rsid w:val="004042AC"/>
    <w:rsid w:val="00404CB7"/>
    <w:rsid w:val="00405012"/>
    <w:rsid w:val="00405BB4"/>
    <w:rsid w:val="004071C4"/>
    <w:rsid w:val="00410CE0"/>
    <w:rsid w:val="00413765"/>
    <w:rsid w:val="00414341"/>
    <w:rsid w:val="00414823"/>
    <w:rsid w:val="0042051D"/>
    <w:rsid w:val="00420BF9"/>
    <w:rsid w:val="00421CB2"/>
    <w:rsid w:val="00422C30"/>
    <w:rsid w:val="00423761"/>
    <w:rsid w:val="00423D9A"/>
    <w:rsid w:val="00423E07"/>
    <w:rsid w:val="00425354"/>
    <w:rsid w:val="00425A65"/>
    <w:rsid w:val="00426127"/>
    <w:rsid w:val="00426774"/>
    <w:rsid w:val="0042706F"/>
    <w:rsid w:val="00427860"/>
    <w:rsid w:val="004333DE"/>
    <w:rsid w:val="00435FE9"/>
    <w:rsid w:val="004366A6"/>
    <w:rsid w:val="0043744D"/>
    <w:rsid w:val="00437629"/>
    <w:rsid w:val="00440213"/>
    <w:rsid w:val="00443CCF"/>
    <w:rsid w:val="004440FC"/>
    <w:rsid w:val="00445770"/>
    <w:rsid w:val="00446059"/>
    <w:rsid w:val="00446DD0"/>
    <w:rsid w:val="0044723F"/>
    <w:rsid w:val="00447636"/>
    <w:rsid w:val="00447E1C"/>
    <w:rsid w:val="004506C9"/>
    <w:rsid w:val="00451962"/>
    <w:rsid w:val="00453409"/>
    <w:rsid w:val="00457ED3"/>
    <w:rsid w:val="004614C2"/>
    <w:rsid w:val="00463523"/>
    <w:rsid w:val="0046529A"/>
    <w:rsid w:val="0047293B"/>
    <w:rsid w:val="00472D40"/>
    <w:rsid w:val="004753A7"/>
    <w:rsid w:val="004762F7"/>
    <w:rsid w:val="004811D9"/>
    <w:rsid w:val="00481731"/>
    <w:rsid w:val="00481814"/>
    <w:rsid w:val="00482A43"/>
    <w:rsid w:val="00483E2B"/>
    <w:rsid w:val="004866D4"/>
    <w:rsid w:val="004877E2"/>
    <w:rsid w:val="00490708"/>
    <w:rsid w:val="004909B8"/>
    <w:rsid w:val="004920C9"/>
    <w:rsid w:val="00495697"/>
    <w:rsid w:val="00496DA2"/>
    <w:rsid w:val="004A3BEE"/>
    <w:rsid w:val="004A6C2E"/>
    <w:rsid w:val="004B11C7"/>
    <w:rsid w:val="004B1AC8"/>
    <w:rsid w:val="004B5C6E"/>
    <w:rsid w:val="004B5E62"/>
    <w:rsid w:val="004C0AFF"/>
    <w:rsid w:val="004C10B5"/>
    <w:rsid w:val="004C13FA"/>
    <w:rsid w:val="004C39F6"/>
    <w:rsid w:val="004C5587"/>
    <w:rsid w:val="004C6A9C"/>
    <w:rsid w:val="004C7C5A"/>
    <w:rsid w:val="004D57AF"/>
    <w:rsid w:val="004D6378"/>
    <w:rsid w:val="004E09AC"/>
    <w:rsid w:val="004E0C43"/>
    <w:rsid w:val="004E1E1E"/>
    <w:rsid w:val="004E2F80"/>
    <w:rsid w:val="004E35B7"/>
    <w:rsid w:val="004E5B41"/>
    <w:rsid w:val="004E7DAA"/>
    <w:rsid w:val="004F0270"/>
    <w:rsid w:val="004F32C7"/>
    <w:rsid w:val="004F41DC"/>
    <w:rsid w:val="004F54F3"/>
    <w:rsid w:val="004F5BF7"/>
    <w:rsid w:val="004F68A1"/>
    <w:rsid w:val="00500A9A"/>
    <w:rsid w:val="00500BBA"/>
    <w:rsid w:val="00500E5A"/>
    <w:rsid w:val="00501EDB"/>
    <w:rsid w:val="005037DA"/>
    <w:rsid w:val="00504253"/>
    <w:rsid w:val="0051053C"/>
    <w:rsid w:val="0051163F"/>
    <w:rsid w:val="00512EDD"/>
    <w:rsid w:val="00514266"/>
    <w:rsid w:val="00514404"/>
    <w:rsid w:val="00515C55"/>
    <w:rsid w:val="005165F4"/>
    <w:rsid w:val="0052007C"/>
    <w:rsid w:val="005202C1"/>
    <w:rsid w:val="00521A41"/>
    <w:rsid w:val="00521CFE"/>
    <w:rsid w:val="00522C32"/>
    <w:rsid w:val="0052346C"/>
    <w:rsid w:val="00525431"/>
    <w:rsid w:val="00525A8A"/>
    <w:rsid w:val="00525E4F"/>
    <w:rsid w:val="00526D86"/>
    <w:rsid w:val="00526EDB"/>
    <w:rsid w:val="00531D61"/>
    <w:rsid w:val="00532DC7"/>
    <w:rsid w:val="0053301C"/>
    <w:rsid w:val="0053581E"/>
    <w:rsid w:val="00540696"/>
    <w:rsid w:val="00540BD5"/>
    <w:rsid w:val="00540F27"/>
    <w:rsid w:val="00541DE0"/>
    <w:rsid w:val="00542254"/>
    <w:rsid w:val="00546640"/>
    <w:rsid w:val="005477E1"/>
    <w:rsid w:val="00551BCC"/>
    <w:rsid w:val="00552DB7"/>
    <w:rsid w:val="00552FBF"/>
    <w:rsid w:val="005545BB"/>
    <w:rsid w:val="005549F2"/>
    <w:rsid w:val="00554F76"/>
    <w:rsid w:val="00555AC2"/>
    <w:rsid w:val="00555FA5"/>
    <w:rsid w:val="00564583"/>
    <w:rsid w:val="00564E27"/>
    <w:rsid w:val="00565A67"/>
    <w:rsid w:val="00567B00"/>
    <w:rsid w:val="005745E6"/>
    <w:rsid w:val="00574F3F"/>
    <w:rsid w:val="005760F6"/>
    <w:rsid w:val="00576196"/>
    <w:rsid w:val="00577547"/>
    <w:rsid w:val="00577689"/>
    <w:rsid w:val="005803E8"/>
    <w:rsid w:val="005808E2"/>
    <w:rsid w:val="00581185"/>
    <w:rsid w:val="00581AA6"/>
    <w:rsid w:val="00582C17"/>
    <w:rsid w:val="00583A9D"/>
    <w:rsid w:val="00584135"/>
    <w:rsid w:val="00586138"/>
    <w:rsid w:val="00586308"/>
    <w:rsid w:val="00586E52"/>
    <w:rsid w:val="0058703D"/>
    <w:rsid w:val="005911A2"/>
    <w:rsid w:val="005915A9"/>
    <w:rsid w:val="00591711"/>
    <w:rsid w:val="00592B3F"/>
    <w:rsid w:val="00592E3B"/>
    <w:rsid w:val="00596F1E"/>
    <w:rsid w:val="005A1988"/>
    <w:rsid w:val="005A21FE"/>
    <w:rsid w:val="005A2223"/>
    <w:rsid w:val="005A2B26"/>
    <w:rsid w:val="005A31E8"/>
    <w:rsid w:val="005A3788"/>
    <w:rsid w:val="005A38BD"/>
    <w:rsid w:val="005A50FE"/>
    <w:rsid w:val="005A6DBB"/>
    <w:rsid w:val="005A7F5E"/>
    <w:rsid w:val="005B01CD"/>
    <w:rsid w:val="005B065D"/>
    <w:rsid w:val="005B32F2"/>
    <w:rsid w:val="005B4C58"/>
    <w:rsid w:val="005B565D"/>
    <w:rsid w:val="005B57A6"/>
    <w:rsid w:val="005B5815"/>
    <w:rsid w:val="005B6DA9"/>
    <w:rsid w:val="005B7036"/>
    <w:rsid w:val="005B7550"/>
    <w:rsid w:val="005C06FD"/>
    <w:rsid w:val="005C3E43"/>
    <w:rsid w:val="005C426D"/>
    <w:rsid w:val="005C434A"/>
    <w:rsid w:val="005C4A19"/>
    <w:rsid w:val="005C4F7B"/>
    <w:rsid w:val="005C66E5"/>
    <w:rsid w:val="005C6E23"/>
    <w:rsid w:val="005C71F7"/>
    <w:rsid w:val="005C7332"/>
    <w:rsid w:val="005D000B"/>
    <w:rsid w:val="005D05AA"/>
    <w:rsid w:val="005D1008"/>
    <w:rsid w:val="005D1207"/>
    <w:rsid w:val="005D1EB2"/>
    <w:rsid w:val="005D2751"/>
    <w:rsid w:val="005D60B7"/>
    <w:rsid w:val="005E2430"/>
    <w:rsid w:val="005E280B"/>
    <w:rsid w:val="005E2F4D"/>
    <w:rsid w:val="005E37C4"/>
    <w:rsid w:val="005F182B"/>
    <w:rsid w:val="005F1C70"/>
    <w:rsid w:val="005F264B"/>
    <w:rsid w:val="005F2DF6"/>
    <w:rsid w:val="005F2FE9"/>
    <w:rsid w:val="005F3133"/>
    <w:rsid w:val="005F689D"/>
    <w:rsid w:val="005F6F0A"/>
    <w:rsid w:val="005F7F51"/>
    <w:rsid w:val="00600118"/>
    <w:rsid w:val="00600C84"/>
    <w:rsid w:val="006020CF"/>
    <w:rsid w:val="006034FA"/>
    <w:rsid w:val="00604BA2"/>
    <w:rsid w:val="006053B8"/>
    <w:rsid w:val="00605978"/>
    <w:rsid w:val="006067E6"/>
    <w:rsid w:val="006075C7"/>
    <w:rsid w:val="00614578"/>
    <w:rsid w:val="00615712"/>
    <w:rsid w:val="00616FA8"/>
    <w:rsid w:val="006211F7"/>
    <w:rsid w:val="00622780"/>
    <w:rsid w:val="00622B37"/>
    <w:rsid w:val="00622CE6"/>
    <w:rsid w:val="00622D64"/>
    <w:rsid w:val="00624B3A"/>
    <w:rsid w:val="00625260"/>
    <w:rsid w:val="006302DA"/>
    <w:rsid w:val="006309F0"/>
    <w:rsid w:val="006336E2"/>
    <w:rsid w:val="00635115"/>
    <w:rsid w:val="00635A8E"/>
    <w:rsid w:val="00637041"/>
    <w:rsid w:val="00640964"/>
    <w:rsid w:val="006421D0"/>
    <w:rsid w:val="00642973"/>
    <w:rsid w:val="006430FD"/>
    <w:rsid w:val="006438E4"/>
    <w:rsid w:val="006438FE"/>
    <w:rsid w:val="006445F0"/>
    <w:rsid w:val="006448AC"/>
    <w:rsid w:val="00646CB6"/>
    <w:rsid w:val="006503DC"/>
    <w:rsid w:val="0065227D"/>
    <w:rsid w:val="006531C7"/>
    <w:rsid w:val="00653D3B"/>
    <w:rsid w:val="006550A0"/>
    <w:rsid w:val="00655C72"/>
    <w:rsid w:val="00656079"/>
    <w:rsid w:val="0065616D"/>
    <w:rsid w:val="00660C3A"/>
    <w:rsid w:val="006615AA"/>
    <w:rsid w:val="00661971"/>
    <w:rsid w:val="006624F2"/>
    <w:rsid w:val="006644D2"/>
    <w:rsid w:val="00664CDC"/>
    <w:rsid w:val="0067169A"/>
    <w:rsid w:val="00671793"/>
    <w:rsid w:val="00673F3B"/>
    <w:rsid w:val="00674C43"/>
    <w:rsid w:val="00675FA4"/>
    <w:rsid w:val="0067603C"/>
    <w:rsid w:val="00676648"/>
    <w:rsid w:val="00676DCE"/>
    <w:rsid w:val="0067700F"/>
    <w:rsid w:val="0068001D"/>
    <w:rsid w:val="00680416"/>
    <w:rsid w:val="00680517"/>
    <w:rsid w:val="00682336"/>
    <w:rsid w:val="006826B9"/>
    <w:rsid w:val="00683A45"/>
    <w:rsid w:val="006862CE"/>
    <w:rsid w:val="00690977"/>
    <w:rsid w:val="00691A28"/>
    <w:rsid w:val="006922A7"/>
    <w:rsid w:val="00696274"/>
    <w:rsid w:val="00696283"/>
    <w:rsid w:val="006962B6"/>
    <w:rsid w:val="006978B1"/>
    <w:rsid w:val="00697BEC"/>
    <w:rsid w:val="006A134D"/>
    <w:rsid w:val="006A1D70"/>
    <w:rsid w:val="006A1FA7"/>
    <w:rsid w:val="006A5000"/>
    <w:rsid w:val="006A5CC8"/>
    <w:rsid w:val="006B1D13"/>
    <w:rsid w:val="006B2155"/>
    <w:rsid w:val="006B2E2F"/>
    <w:rsid w:val="006B4D54"/>
    <w:rsid w:val="006B5046"/>
    <w:rsid w:val="006B5107"/>
    <w:rsid w:val="006B5CA8"/>
    <w:rsid w:val="006C0283"/>
    <w:rsid w:val="006C066F"/>
    <w:rsid w:val="006C1093"/>
    <w:rsid w:val="006C3CA4"/>
    <w:rsid w:val="006C4274"/>
    <w:rsid w:val="006C4F7B"/>
    <w:rsid w:val="006D1533"/>
    <w:rsid w:val="006D19F6"/>
    <w:rsid w:val="006D1B22"/>
    <w:rsid w:val="006D2FC9"/>
    <w:rsid w:val="006D49A2"/>
    <w:rsid w:val="006D4DD1"/>
    <w:rsid w:val="006D792A"/>
    <w:rsid w:val="006E022F"/>
    <w:rsid w:val="006E0635"/>
    <w:rsid w:val="006E0C2E"/>
    <w:rsid w:val="006E3539"/>
    <w:rsid w:val="006E3D6C"/>
    <w:rsid w:val="006E444B"/>
    <w:rsid w:val="006E4AAC"/>
    <w:rsid w:val="006E4FEE"/>
    <w:rsid w:val="006E6429"/>
    <w:rsid w:val="006F0B2B"/>
    <w:rsid w:val="006F3323"/>
    <w:rsid w:val="006F39FF"/>
    <w:rsid w:val="006F5D3C"/>
    <w:rsid w:val="006F62B5"/>
    <w:rsid w:val="006F6E14"/>
    <w:rsid w:val="00702831"/>
    <w:rsid w:val="007049F2"/>
    <w:rsid w:val="00706379"/>
    <w:rsid w:val="0070770C"/>
    <w:rsid w:val="0070795F"/>
    <w:rsid w:val="00710245"/>
    <w:rsid w:val="007105AF"/>
    <w:rsid w:val="00715B21"/>
    <w:rsid w:val="00716252"/>
    <w:rsid w:val="00717C0D"/>
    <w:rsid w:val="00722D68"/>
    <w:rsid w:val="007233B3"/>
    <w:rsid w:val="00725211"/>
    <w:rsid w:val="00725D23"/>
    <w:rsid w:val="00726A8D"/>
    <w:rsid w:val="0072788F"/>
    <w:rsid w:val="007327D7"/>
    <w:rsid w:val="00732C55"/>
    <w:rsid w:val="007338D0"/>
    <w:rsid w:val="0073504B"/>
    <w:rsid w:val="00735749"/>
    <w:rsid w:val="007366CE"/>
    <w:rsid w:val="00737F97"/>
    <w:rsid w:val="00740538"/>
    <w:rsid w:val="00741C9D"/>
    <w:rsid w:val="007438DC"/>
    <w:rsid w:val="00747DD8"/>
    <w:rsid w:val="007501B5"/>
    <w:rsid w:val="007503D6"/>
    <w:rsid w:val="00753AC5"/>
    <w:rsid w:val="0075402A"/>
    <w:rsid w:val="0075593D"/>
    <w:rsid w:val="0075647A"/>
    <w:rsid w:val="0075656E"/>
    <w:rsid w:val="007572C0"/>
    <w:rsid w:val="00760133"/>
    <w:rsid w:val="00760240"/>
    <w:rsid w:val="0076211E"/>
    <w:rsid w:val="007636C2"/>
    <w:rsid w:val="00764804"/>
    <w:rsid w:val="00764FF1"/>
    <w:rsid w:val="00765656"/>
    <w:rsid w:val="007704C1"/>
    <w:rsid w:val="00770DE0"/>
    <w:rsid w:val="007722CB"/>
    <w:rsid w:val="00772CB6"/>
    <w:rsid w:val="00774BBC"/>
    <w:rsid w:val="00776DB5"/>
    <w:rsid w:val="00777AEE"/>
    <w:rsid w:val="00780272"/>
    <w:rsid w:val="007802E9"/>
    <w:rsid w:val="007814DD"/>
    <w:rsid w:val="00781F0B"/>
    <w:rsid w:val="007827FA"/>
    <w:rsid w:val="00786320"/>
    <w:rsid w:val="00790F02"/>
    <w:rsid w:val="00791C51"/>
    <w:rsid w:val="0079384B"/>
    <w:rsid w:val="00793C8D"/>
    <w:rsid w:val="00795281"/>
    <w:rsid w:val="00795844"/>
    <w:rsid w:val="00796805"/>
    <w:rsid w:val="007A1924"/>
    <w:rsid w:val="007A3A0D"/>
    <w:rsid w:val="007A3B76"/>
    <w:rsid w:val="007A5E2D"/>
    <w:rsid w:val="007A65C0"/>
    <w:rsid w:val="007A6975"/>
    <w:rsid w:val="007A6D7F"/>
    <w:rsid w:val="007A71E1"/>
    <w:rsid w:val="007A75CB"/>
    <w:rsid w:val="007B050B"/>
    <w:rsid w:val="007B06E5"/>
    <w:rsid w:val="007B136E"/>
    <w:rsid w:val="007B2088"/>
    <w:rsid w:val="007B29A4"/>
    <w:rsid w:val="007B480F"/>
    <w:rsid w:val="007B6976"/>
    <w:rsid w:val="007C3CCC"/>
    <w:rsid w:val="007C4E80"/>
    <w:rsid w:val="007C5CCC"/>
    <w:rsid w:val="007C63D3"/>
    <w:rsid w:val="007D0747"/>
    <w:rsid w:val="007D0D47"/>
    <w:rsid w:val="007D18CB"/>
    <w:rsid w:val="007D2741"/>
    <w:rsid w:val="007D2841"/>
    <w:rsid w:val="007D2F0D"/>
    <w:rsid w:val="007D4708"/>
    <w:rsid w:val="007D621F"/>
    <w:rsid w:val="007D67F5"/>
    <w:rsid w:val="007D7FAE"/>
    <w:rsid w:val="007E02E6"/>
    <w:rsid w:val="007E07C2"/>
    <w:rsid w:val="007E15B6"/>
    <w:rsid w:val="007E299C"/>
    <w:rsid w:val="007E4C0B"/>
    <w:rsid w:val="007E6994"/>
    <w:rsid w:val="007E6B50"/>
    <w:rsid w:val="007E7F7F"/>
    <w:rsid w:val="007F02A6"/>
    <w:rsid w:val="007F2EC1"/>
    <w:rsid w:val="007F4704"/>
    <w:rsid w:val="007F4924"/>
    <w:rsid w:val="007F4B1D"/>
    <w:rsid w:val="007F51E3"/>
    <w:rsid w:val="007F5614"/>
    <w:rsid w:val="00801FD7"/>
    <w:rsid w:val="00804581"/>
    <w:rsid w:val="00807730"/>
    <w:rsid w:val="00812882"/>
    <w:rsid w:val="0081475A"/>
    <w:rsid w:val="008167F9"/>
    <w:rsid w:val="0081770D"/>
    <w:rsid w:val="0082019B"/>
    <w:rsid w:val="00822800"/>
    <w:rsid w:val="00823C5F"/>
    <w:rsid w:val="00824BD0"/>
    <w:rsid w:val="00827B24"/>
    <w:rsid w:val="00831361"/>
    <w:rsid w:val="00833FCA"/>
    <w:rsid w:val="008376B6"/>
    <w:rsid w:val="00837C23"/>
    <w:rsid w:val="00841A37"/>
    <w:rsid w:val="00842B4C"/>
    <w:rsid w:val="00842E80"/>
    <w:rsid w:val="008459DE"/>
    <w:rsid w:val="008476A8"/>
    <w:rsid w:val="008478D7"/>
    <w:rsid w:val="00847ABB"/>
    <w:rsid w:val="00847BD7"/>
    <w:rsid w:val="008521FB"/>
    <w:rsid w:val="00852804"/>
    <w:rsid w:val="008536EB"/>
    <w:rsid w:val="008553AC"/>
    <w:rsid w:val="0085556D"/>
    <w:rsid w:val="00857107"/>
    <w:rsid w:val="008571AD"/>
    <w:rsid w:val="0086014B"/>
    <w:rsid w:val="0086161C"/>
    <w:rsid w:val="00862494"/>
    <w:rsid w:val="00863114"/>
    <w:rsid w:val="008640A5"/>
    <w:rsid w:val="00864998"/>
    <w:rsid w:val="00864D8E"/>
    <w:rsid w:val="00864F88"/>
    <w:rsid w:val="00864FB5"/>
    <w:rsid w:val="0086654B"/>
    <w:rsid w:val="00872CC3"/>
    <w:rsid w:val="00873CC2"/>
    <w:rsid w:val="0087400E"/>
    <w:rsid w:val="00875372"/>
    <w:rsid w:val="0087589E"/>
    <w:rsid w:val="008776A1"/>
    <w:rsid w:val="00880132"/>
    <w:rsid w:val="0088044A"/>
    <w:rsid w:val="00880A10"/>
    <w:rsid w:val="00881B9F"/>
    <w:rsid w:val="0088389E"/>
    <w:rsid w:val="00884BFD"/>
    <w:rsid w:val="008853F0"/>
    <w:rsid w:val="00895DC8"/>
    <w:rsid w:val="008A01B7"/>
    <w:rsid w:val="008A253D"/>
    <w:rsid w:val="008A2613"/>
    <w:rsid w:val="008A3B57"/>
    <w:rsid w:val="008A44B2"/>
    <w:rsid w:val="008A515F"/>
    <w:rsid w:val="008A6214"/>
    <w:rsid w:val="008A6394"/>
    <w:rsid w:val="008A6D0B"/>
    <w:rsid w:val="008B1D2D"/>
    <w:rsid w:val="008B297A"/>
    <w:rsid w:val="008B2BC5"/>
    <w:rsid w:val="008B341A"/>
    <w:rsid w:val="008B3FCC"/>
    <w:rsid w:val="008B4643"/>
    <w:rsid w:val="008B46D8"/>
    <w:rsid w:val="008B54C4"/>
    <w:rsid w:val="008B67E5"/>
    <w:rsid w:val="008B70A1"/>
    <w:rsid w:val="008B73E4"/>
    <w:rsid w:val="008B7C7B"/>
    <w:rsid w:val="008C0647"/>
    <w:rsid w:val="008C4535"/>
    <w:rsid w:val="008D0594"/>
    <w:rsid w:val="008D111A"/>
    <w:rsid w:val="008D13CF"/>
    <w:rsid w:val="008D26A8"/>
    <w:rsid w:val="008D3D59"/>
    <w:rsid w:val="008D401A"/>
    <w:rsid w:val="008D4945"/>
    <w:rsid w:val="008D6794"/>
    <w:rsid w:val="008D7976"/>
    <w:rsid w:val="008E20C1"/>
    <w:rsid w:val="008E2BA1"/>
    <w:rsid w:val="008E4109"/>
    <w:rsid w:val="008E4B7A"/>
    <w:rsid w:val="008E6264"/>
    <w:rsid w:val="008F0283"/>
    <w:rsid w:val="008F035F"/>
    <w:rsid w:val="008F1512"/>
    <w:rsid w:val="008F2038"/>
    <w:rsid w:val="008F49BF"/>
    <w:rsid w:val="008F67B4"/>
    <w:rsid w:val="00901320"/>
    <w:rsid w:val="0090139C"/>
    <w:rsid w:val="009124A3"/>
    <w:rsid w:val="00913EDA"/>
    <w:rsid w:val="009145F4"/>
    <w:rsid w:val="00916040"/>
    <w:rsid w:val="0092000C"/>
    <w:rsid w:val="009200C8"/>
    <w:rsid w:val="009201C8"/>
    <w:rsid w:val="00922684"/>
    <w:rsid w:val="00926EA6"/>
    <w:rsid w:val="009279A7"/>
    <w:rsid w:val="0093037A"/>
    <w:rsid w:val="00931FAE"/>
    <w:rsid w:val="00932642"/>
    <w:rsid w:val="009337F5"/>
    <w:rsid w:val="00934097"/>
    <w:rsid w:val="00934610"/>
    <w:rsid w:val="00941FD3"/>
    <w:rsid w:val="00942576"/>
    <w:rsid w:val="00944758"/>
    <w:rsid w:val="00945AAC"/>
    <w:rsid w:val="00946258"/>
    <w:rsid w:val="0095039E"/>
    <w:rsid w:val="00950A4F"/>
    <w:rsid w:val="0095234E"/>
    <w:rsid w:val="009546DC"/>
    <w:rsid w:val="0095472D"/>
    <w:rsid w:val="00955007"/>
    <w:rsid w:val="009557CF"/>
    <w:rsid w:val="00955D16"/>
    <w:rsid w:val="009566EB"/>
    <w:rsid w:val="0095717A"/>
    <w:rsid w:val="00961786"/>
    <w:rsid w:val="00963611"/>
    <w:rsid w:val="009638A0"/>
    <w:rsid w:val="00963D3B"/>
    <w:rsid w:val="0096543A"/>
    <w:rsid w:val="00965B8E"/>
    <w:rsid w:val="009679F7"/>
    <w:rsid w:val="009709D8"/>
    <w:rsid w:val="00971682"/>
    <w:rsid w:val="00972A03"/>
    <w:rsid w:val="009741CB"/>
    <w:rsid w:val="00974A2D"/>
    <w:rsid w:val="00975009"/>
    <w:rsid w:val="00976936"/>
    <w:rsid w:val="00976EBF"/>
    <w:rsid w:val="0098047F"/>
    <w:rsid w:val="00982D66"/>
    <w:rsid w:val="00984839"/>
    <w:rsid w:val="00986968"/>
    <w:rsid w:val="00986EFE"/>
    <w:rsid w:val="00990A19"/>
    <w:rsid w:val="00990D67"/>
    <w:rsid w:val="00990FA3"/>
    <w:rsid w:val="00992B3A"/>
    <w:rsid w:val="0099532E"/>
    <w:rsid w:val="00995EC2"/>
    <w:rsid w:val="009968D2"/>
    <w:rsid w:val="00997FBF"/>
    <w:rsid w:val="009A046F"/>
    <w:rsid w:val="009A0AED"/>
    <w:rsid w:val="009A2084"/>
    <w:rsid w:val="009A23F9"/>
    <w:rsid w:val="009A45CF"/>
    <w:rsid w:val="009A4A2B"/>
    <w:rsid w:val="009A59BC"/>
    <w:rsid w:val="009A6E00"/>
    <w:rsid w:val="009A7095"/>
    <w:rsid w:val="009A7584"/>
    <w:rsid w:val="009A7BBC"/>
    <w:rsid w:val="009B022A"/>
    <w:rsid w:val="009B2744"/>
    <w:rsid w:val="009B2B6E"/>
    <w:rsid w:val="009B3843"/>
    <w:rsid w:val="009B3A1C"/>
    <w:rsid w:val="009B408E"/>
    <w:rsid w:val="009B65F6"/>
    <w:rsid w:val="009C0629"/>
    <w:rsid w:val="009C0B8D"/>
    <w:rsid w:val="009C23D7"/>
    <w:rsid w:val="009C251D"/>
    <w:rsid w:val="009C37E3"/>
    <w:rsid w:val="009C4611"/>
    <w:rsid w:val="009C50AC"/>
    <w:rsid w:val="009C561C"/>
    <w:rsid w:val="009C58CA"/>
    <w:rsid w:val="009D0A46"/>
    <w:rsid w:val="009D2D67"/>
    <w:rsid w:val="009D302D"/>
    <w:rsid w:val="009D333F"/>
    <w:rsid w:val="009D3725"/>
    <w:rsid w:val="009D3B4C"/>
    <w:rsid w:val="009D42DE"/>
    <w:rsid w:val="009D4F08"/>
    <w:rsid w:val="009D60CC"/>
    <w:rsid w:val="009D6762"/>
    <w:rsid w:val="009E01F6"/>
    <w:rsid w:val="009E2CFF"/>
    <w:rsid w:val="009E641D"/>
    <w:rsid w:val="009E756B"/>
    <w:rsid w:val="009F0A2D"/>
    <w:rsid w:val="009F134F"/>
    <w:rsid w:val="009F1C97"/>
    <w:rsid w:val="009F1D47"/>
    <w:rsid w:val="009F3927"/>
    <w:rsid w:val="009F429F"/>
    <w:rsid w:val="009F5609"/>
    <w:rsid w:val="00A00ECD"/>
    <w:rsid w:val="00A01632"/>
    <w:rsid w:val="00A01B8F"/>
    <w:rsid w:val="00A0215A"/>
    <w:rsid w:val="00A06CDC"/>
    <w:rsid w:val="00A07320"/>
    <w:rsid w:val="00A07B9B"/>
    <w:rsid w:val="00A1009C"/>
    <w:rsid w:val="00A101AB"/>
    <w:rsid w:val="00A125D0"/>
    <w:rsid w:val="00A129BF"/>
    <w:rsid w:val="00A14CC2"/>
    <w:rsid w:val="00A15118"/>
    <w:rsid w:val="00A158C4"/>
    <w:rsid w:val="00A16F64"/>
    <w:rsid w:val="00A172C6"/>
    <w:rsid w:val="00A1794D"/>
    <w:rsid w:val="00A17DE3"/>
    <w:rsid w:val="00A23C27"/>
    <w:rsid w:val="00A25913"/>
    <w:rsid w:val="00A310A2"/>
    <w:rsid w:val="00A31D88"/>
    <w:rsid w:val="00A32723"/>
    <w:rsid w:val="00A34077"/>
    <w:rsid w:val="00A35490"/>
    <w:rsid w:val="00A401AE"/>
    <w:rsid w:val="00A404D0"/>
    <w:rsid w:val="00A42434"/>
    <w:rsid w:val="00A425BD"/>
    <w:rsid w:val="00A42779"/>
    <w:rsid w:val="00A42916"/>
    <w:rsid w:val="00A44B97"/>
    <w:rsid w:val="00A45F54"/>
    <w:rsid w:val="00A50AC1"/>
    <w:rsid w:val="00A50B70"/>
    <w:rsid w:val="00A50D57"/>
    <w:rsid w:val="00A5297B"/>
    <w:rsid w:val="00A57186"/>
    <w:rsid w:val="00A6019A"/>
    <w:rsid w:val="00A60FC0"/>
    <w:rsid w:val="00A611F2"/>
    <w:rsid w:val="00A61CB6"/>
    <w:rsid w:val="00A632E9"/>
    <w:rsid w:val="00A65342"/>
    <w:rsid w:val="00A65C17"/>
    <w:rsid w:val="00A669AC"/>
    <w:rsid w:val="00A66CDB"/>
    <w:rsid w:val="00A66E22"/>
    <w:rsid w:val="00A67B01"/>
    <w:rsid w:val="00A70256"/>
    <w:rsid w:val="00A703D4"/>
    <w:rsid w:val="00A732C6"/>
    <w:rsid w:val="00A76D1D"/>
    <w:rsid w:val="00A770B7"/>
    <w:rsid w:val="00A81147"/>
    <w:rsid w:val="00A81E4C"/>
    <w:rsid w:val="00A82461"/>
    <w:rsid w:val="00A82A4D"/>
    <w:rsid w:val="00A84697"/>
    <w:rsid w:val="00A84F6E"/>
    <w:rsid w:val="00A84FB4"/>
    <w:rsid w:val="00A87D16"/>
    <w:rsid w:val="00A92A47"/>
    <w:rsid w:val="00A92D44"/>
    <w:rsid w:val="00A95856"/>
    <w:rsid w:val="00A9737A"/>
    <w:rsid w:val="00AA0300"/>
    <w:rsid w:val="00AA0F3F"/>
    <w:rsid w:val="00AA12AD"/>
    <w:rsid w:val="00AA2640"/>
    <w:rsid w:val="00AA2671"/>
    <w:rsid w:val="00AA2DFE"/>
    <w:rsid w:val="00AA4A4F"/>
    <w:rsid w:val="00AA4E01"/>
    <w:rsid w:val="00AA56C5"/>
    <w:rsid w:val="00AA6403"/>
    <w:rsid w:val="00AA67D0"/>
    <w:rsid w:val="00AA68A8"/>
    <w:rsid w:val="00AA7D41"/>
    <w:rsid w:val="00AB1505"/>
    <w:rsid w:val="00AB3577"/>
    <w:rsid w:val="00AB4342"/>
    <w:rsid w:val="00AC0232"/>
    <w:rsid w:val="00AC0CAF"/>
    <w:rsid w:val="00AC1151"/>
    <w:rsid w:val="00AC1549"/>
    <w:rsid w:val="00AC3804"/>
    <w:rsid w:val="00AC3A20"/>
    <w:rsid w:val="00AC43CD"/>
    <w:rsid w:val="00AC61CF"/>
    <w:rsid w:val="00AD0F30"/>
    <w:rsid w:val="00AD0FB6"/>
    <w:rsid w:val="00AD5279"/>
    <w:rsid w:val="00AD5837"/>
    <w:rsid w:val="00AE3767"/>
    <w:rsid w:val="00AE444E"/>
    <w:rsid w:val="00AE577E"/>
    <w:rsid w:val="00AE58AD"/>
    <w:rsid w:val="00AE5B00"/>
    <w:rsid w:val="00AE6B95"/>
    <w:rsid w:val="00AE76B4"/>
    <w:rsid w:val="00AE77E7"/>
    <w:rsid w:val="00AF1709"/>
    <w:rsid w:val="00AF2281"/>
    <w:rsid w:val="00AF29A8"/>
    <w:rsid w:val="00AF2FD0"/>
    <w:rsid w:val="00AF304D"/>
    <w:rsid w:val="00AF70C8"/>
    <w:rsid w:val="00B003E8"/>
    <w:rsid w:val="00B015D9"/>
    <w:rsid w:val="00B01603"/>
    <w:rsid w:val="00B02018"/>
    <w:rsid w:val="00B02C36"/>
    <w:rsid w:val="00B03A17"/>
    <w:rsid w:val="00B0457A"/>
    <w:rsid w:val="00B07146"/>
    <w:rsid w:val="00B073C2"/>
    <w:rsid w:val="00B11381"/>
    <w:rsid w:val="00B11AC8"/>
    <w:rsid w:val="00B13477"/>
    <w:rsid w:val="00B14B04"/>
    <w:rsid w:val="00B15960"/>
    <w:rsid w:val="00B1734C"/>
    <w:rsid w:val="00B1786C"/>
    <w:rsid w:val="00B20CD3"/>
    <w:rsid w:val="00B21739"/>
    <w:rsid w:val="00B220A3"/>
    <w:rsid w:val="00B22E15"/>
    <w:rsid w:val="00B23E30"/>
    <w:rsid w:val="00B24C57"/>
    <w:rsid w:val="00B25F69"/>
    <w:rsid w:val="00B30997"/>
    <w:rsid w:val="00B30D74"/>
    <w:rsid w:val="00B330C0"/>
    <w:rsid w:val="00B341F3"/>
    <w:rsid w:val="00B3439D"/>
    <w:rsid w:val="00B34682"/>
    <w:rsid w:val="00B353D8"/>
    <w:rsid w:val="00B3599B"/>
    <w:rsid w:val="00B36A16"/>
    <w:rsid w:val="00B36A57"/>
    <w:rsid w:val="00B37051"/>
    <w:rsid w:val="00B40B9D"/>
    <w:rsid w:val="00B451F8"/>
    <w:rsid w:val="00B50D5D"/>
    <w:rsid w:val="00B50EB1"/>
    <w:rsid w:val="00B513D6"/>
    <w:rsid w:val="00B5295E"/>
    <w:rsid w:val="00B54460"/>
    <w:rsid w:val="00B56504"/>
    <w:rsid w:val="00B57730"/>
    <w:rsid w:val="00B60054"/>
    <w:rsid w:val="00B61950"/>
    <w:rsid w:val="00B62F7B"/>
    <w:rsid w:val="00B7207F"/>
    <w:rsid w:val="00B731B4"/>
    <w:rsid w:val="00B733B7"/>
    <w:rsid w:val="00B75B63"/>
    <w:rsid w:val="00B80EF1"/>
    <w:rsid w:val="00B8179F"/>
    <w:rsid w:val="00B818C0"/>
    <w:rsid w:val="00B829A4"/>
    <w:rsid w:val="00B82E17"/>
    <w:rsid w:val="00B84BC1"/>
    <w:rsid w:val="00B85B0D"/>
    <w:rsid w:val="00B874A0"/>
    <w:rsid w:val="00B87EB9"/>
    <w:rsid w:val="00B91334"/>
    <w:rsid w:val="00B9215F"/>
    <w:rsid w:val="00B930A5"/>
    <w:rsid w:val="00B930E7"/>
    <w:rsid w:val="00B93A70"/>
    <w:rsid w:val="00B96352"/>
    <w:rsid w:val="00B9635B"/>
    <w:rsid w:val="00BA25A5"/>
    <w:rsid w:val="00BA34B2"/>
    <w:rsid w:val="00BA39B3"/>
    <w:rsid w:val="00BA6FDD"/>
    <w:rsid w:val="00BB25F2"/>
    <w:rsid w:val="00BB26DC"/>
    <w:rsid w:val="00BB4CF0"/>
    <w:rsid w:val="00BC2BCB"/>
    <w:rsid w:val="00BC31AB"/>
    <w:rsid w:val="00BC3889"/>
    <w:rsid w:val="00BC3C1A"/>
    <w:rsid w:val="00BC641B"/>
    <w:rsid w:val="00BC74A6"/>
    <w:rsid w:val="00BC7BAA"/>
    <w:rsid w:val="00BC7FC3"/>
    <w:rsid w:val="00BD04D9"/>
    <w:rsid w:val="00BD15C5"/>
    <w:rsid w:val="00BD2A68"/>
    <w:rsid w:val="00BD2ED2"/>
    <w:rsid w:val="00BD3C20"/>
    <w:rsid w:val="00BD3FF2"/>
    <w:rsid w:val="00BD6161"/>
    <w:rsid w:val="00BD6643"/>
    <w:rsid w:val="00BE1108"/>
    <w:rsid w:val="00BE36FB"/>
    <w:rsid w:val="00BE798C"/>
    <w:rsid w:val="00BF1ACB"/>
    <w:rsid w:val="00BF212B"/>
    <w:rsid w:val="00BF284F"/>
    <w:rsid w:val="00BF2F42"/>
    <w:rsid w:val="00BF4B88"/>
    <w:rsid w:val="00BF6C4A"/>
    <w:rsid w:val="00BF747B"/>
    <w:rsid w:val="00BF7C28"/>
    <w:rsid w:val="00C01196"/>
    <w:rsid w:val="00C0372E"/>
    <w:rsid w:val="00C037C8"/>
    <w:rsid w:val="00C03935"/>
    <w:rsid w:val="00C04734"/>
    <w:rsid w:val="00C05487"/>
    <w:rsid w:val="00C05EBA"/>
    <w:rsid w:val="00C06431"/>
    <w:rsid w:val="00C06847"/>
    <w:rsid w:val="00C06C56"/>
    <w:rsid w:val="00C100CF"/>
    <w:rsid w:val="00C128CB"/>
    <w:rsid w:val="00C1318E"/>
    <w:rsid w:val="00C13194"/>
    <w:rsid w:val="00C17481"/>
    <w:rsid w:val="00C17ED5"/>
    <w:rsid w:val="00C218AB"/>
    <w:rsid w:val="00C22B5B"/>
    <w:rsid w:val="00C2469F"/>
    <w:rsid w:val="00C2669E"/>
    <w:rsid w:val="00C27CC2"/>
    <w:rsid w:val="00C34110"/>
    <w:rsid w:val="00C3480A"/>
    <w:rsid w:val="00C35437"/>
    <w:rsid w:val="00C363D0"/>
    <w:rsid w:val="00C37D56"/>
    <w:rsid w:val="00C40C59"/>
    <w:rsid w:val="00C41493"/>
    <w:rsid w:val="00C41EAE"/>
    <w:rsid w:val="00C44137"/>
    <w:rsid w:val="00C50AD4"/>
    <w:rsid w:val="00C50C0F"/>
    <w:rsid w:val="00C5191B"/>
    <w:rsid w:val="00C51DCA"/>
    <w:rsid w:val="00C53B96"/>
    <w:rsid w:val="00C57948"/>
    <w:rsid w:val="00C57F1C"/>
    <w:rsid w:val="00C6364E"/>
    <w:rsid w:val="00C67B7B"/>
    <w:rsid w:val="00C70CD7"/>
    <w:rsid w:val="00C714CB"/>
    <w:rsid w:val="00C71674"/>
    <w:rsid w:val="00C72D41"/>
    <w:rsid w:val="00C73C8C"/>
    <w:rsid w:val="00C74919"/>
    <w:rsid w:val="00C756F7"/>
    <w:rsid w:val="00C76521"/>
    <w:rsid w:val="00C7767F"/>
    <w:rsid w:val="00C777C9"/>
    <w:rsid w:val="00C77CDA"/>
    <w:rsid w:val="00C8119D"/>
    <w:rsid w:val="00C812D4"/>
    <w:rsid w:val="00C82088"/>
    <w:rsid w:val="00C824D1"/>
    <w:rsid w:val="00C83D8F"/>
    <w:rsid w:val="00C844D8"/>
    <w:rsid w:val="00C86DDF"/>
    <w:rsid w:val="00C8709D"/>
    <w:rsid w:val="00C8754B"/>
    <w:rsid w:val="00C912E6"/>
    <w:rsid w:val="00C934E5"/>
    <w:rsid w:val="00C94360"/>
    <w:rsid w:val="00C94ED8"/>
    <w:rsid w:val="00C96B60"/>
    <w:rsid w:val="00C97710"/>
    <w:rsid w:val="00CA197A"/>
    <w:rsid w:val="00CA1A05"/>
    <w:rsid w:val="00CA3E38"/>
    <w:rsid w:val="00CA64B0"/>
    <w:rsid w:val="00CB0A5F"/>
    <w:rsid w:val="00CB27FA"/>
    <w:rsid w:val="00CB3D0D"/>
    <w:rsid w:val="00CB6AE8"/>
    <w:rsid w:val="00CB73CB"/>
    <w:rsid w:val="00CC020F"/>
    <w:rsid w:val="00CC139A"/>
    <w:rsid w:val="00CC26FC"/>
    <w:rsid w:val="00CC27D7"/>
    <w:rsid w:val="00CC35DC"/>
    <w:rsid w:val="00CC4C5B"/>
    <w:rsid w:val="00CC5206"/>
    <w:rsid w:val="00CD047B"/>
    <w:rsid w:val="00CD15C7"/>
    <w:rsid w:val="00CD20F9"/>
    <w:rsid w:val="00CD263C"/>
    <w:rsid w:val="00CD50AF"/>
    <w:rsid w:val="00CD5AD4"/>
    <w:rsid w:val="00CD5F56"/>
    <w:rsid w:val="00CD7572"/>
    <w:rsid w:val="00CD7CFD"/>
    <w:rsid w:val="00CE23F8"/>
    <w:rsid w:val="00CE27C9"/>
    <w:rsid w:val="00CE56BE"/>
    <w:rsid w:val="00CE79F7"/>
    <w:rsid w:val="00CE7F97"/>
    <w:rsid w:val="00CF04E2"/>
    <w:rsid w:val="00CF06FD"/>
    <w:rsid w:val="00CF1295"/>
    <w:rsid w:val="00CF22EB"/>
    <w:rsid w:val="00CF232F"/>
    <w:rsid w:val="00CF3615"/>
    <w:rsid w:val="00CF3FEF"/>
    <w:rsid w:val="00CF4448"/>
    <w:rsid w:val="00CF4504"/>
    <w:rsid w:val="00CF52CF"/>
    <w:rsid w:val="00CF58B9"/>
    <w:rsid w:val="00CF6B18"/>
    <w:rsid w:val="00CF6F10"/>
    <w:rsid w:val="00CF74F1"/>
    <w:rsid w:val="00D00C9E"/>
    <w:rsid w:val="00D02204"/>
    <w:rsid w:val="00D0315A"/>
    <w:rsid w:val="00D05D9F"/>
    <w:rsid w:val="00D106C7"/>
    <w:rsid w:val="00D10F22"/>
    <w:rsid w:val="00D1129E"/>
    <w:rsid w:val="00D1237E"/>
    <w:rsid w:val="00D20003"/>
    <w:rsid w:val="00D2352E"/>
    <w:rsid w:val="00D24258"/>
    <w:rsid w:val="00D242C8"/>
    <w:rsid w:val="00D270DB"/>
    <w:rsid w:val="00D27F81"/>
    <w:rsid w:val="00D31309"/>
    <w:rsid w:val="00D3372A"/>
    <w:rsid w:val="00D33E9A"/>
    <w:rsid w:val="00D3448D"/>
    <w:rsid w:val="00D34D89"/>
    <w:rsid w:val="00D3521F"/>
    <w:rsid w:val="00D35C0A"/>
    <w:rsid w:val="00D35E36"/>
    <w:rsid w:val="00D40B12"/>
    <w:rsid w:val="00D42AFB"/>
    <w:rsid w:val="00D4476B"/>
    <w:rsid w:val="00D44922"/>
    <w:rsid w:val="00D44B9C"/>
    <w:rsid w:val="00D45653"/>
    <w:rsid w:val="00D4763A"/>
    <w:rsid w:val="00D506BB"/>
    <w:rsid w:val="00D5150F"/>
    <w:rsid w:val="00D5207A"/>
    <w:rsid w:val="00D553DF"/>
    <w:rsid w:val="00D55996"/>
    <w:rsid w:val="00D56A2B"/>
    <w:rsid w:val="00D56D46"/>
    <w:rsid w:val="00D615FF"/>
    <w:rsid w:val="00D620BF"/>
    <w:rsid w:val="00D63ACE"/>
    <w:rsid w:val="00D6674F"/>
    <w:rsid w:val="00D66780"/>
    <w:rsid w:val="00D66E71"/>
    <w:rsid w:val="00D705CD"/>
    <w:rsid w:val="00D70B74"/>
    <w:rsid w:val="00D715DE"/>
    <w:rsid w:val="00D71E5E"/>
    <w:rsid w:val="00D71F95"/>
    <w:rsid w:val="00D721B5"/>
    <w:rsid w:val="00D74696"/>
    <w:rsid w:val="00D74B7A"/>
    <w:rsid w:val="00D812BE"/>
    <w:rsid w:val="00D82728"/>
    <w:rsid w:val="00D83CD2"/>
    <w:rsid w:val="00D8438F"/>
    <w:rsid w:val="00D8769E"/>
    <w:rsid w:val="00D917BA"/>
    <w:rsid w:val="00D921C6"/>
    <w:rsid w:val="00D928AA"/>
    <w:rsid w:val="00D937FD"/>
    <w:rsid w:val="00D93E5C"/>
    <w:rsid w:val="00D97733"/>
    <w:rsid w:val="00DA2074"/>
    <w:rsid w:val="00DA21F4"/>
    <w:rsid w:val="00DA3CFD"/>
    <w:rsid w:val="00DA566C"/>
    <w:rsid w:val="00DA572C"/>
    <w:rsid w:val="00DA7935"/>
    <w:rsid w:val="00DA79C7"/>
    <w:rsid w:val="00DA7AA9"/>
    <w:rsid w:val="00DB02C0"/>
    <w:rsid w:val="00DB0761"/>
    <w:rsid w:val="00DB0DB1"/>
    <w:rsid w:val="00DB1556"/>
    <w:rsid w:val="00DB2A77"/>
    <w:rsid w:val="00DB2DA2"/>
    <w:rsid w:val="00DB2F41"/>
    <w:rsid w:val="00DB32E0"/>
    <w:rsid w:val="00DB35F0"/>
    <w:rsid w:val="00DB5F64"/>
    <w:rsid w:val="00DB6C59"/>
    <w:rsid w:val="00DB7915"/>
    <w:rsid w:val="00DC16E9"/>
    <w:rsid w:val="00DC2E0B"/>
    <w:rsid w:val="00DC3DBF"/>
    <w:rsid w:val="00DC3FA5"/>
    <w:rsid w:val="00DC5280"/>
    <w:rsid w:val="00DC57F8"/>
    <w:rsid w:val="00DD144D"/>
    <w:rsid w:val="00DD1778"/>
    <w:rsid w:val="00DD2541"/>
    <w:rsid w:val="00DD4CBA"/>
    <w:rsid w:val="00DD5536"/>
    <w:rsid w:val="00DD57D3"/>
    <w:rsid w:val="00DD6553"/>
    <w:rsid w:val="00DD67B1"/>
    <w:rsid w:val="00DD7A1A"/>
    <w:rsid w:val="00DE0046"/>
    <w:rsid w:val="00DE1C58"/>
    <w:rsid w:val="00DE22B8"/>
    <w:rsid w:val="00DE2438"/>
    <w:rsid w:val="00DE64CA"/>
    <w:rsid w:val="00DF07BB"/>
    <w:rsid w:val="00DF33E9"/>
    <w:rsid w:val="00DF3DE4"/>
    <w:rsid w:val="00DF61A9"/>
    <w:rsid w:val="00DF6801"/>
    <w:rsid w:val="00DF76A6"/>
    <w:rsid w:val="00E00D68"/>
    <w:rsid w:val="00E015F0"/>
    <w:rsid w:val="00E02EE9"/>
    <w:rsid w:val="00E07999"/>
    <w:rsid w:val="00E07B0E"/>
    <w:rsid w:val="00E10734"/>
    <w:rsid w:val="00E10DDA"/>
    <w:rsid w:val="00E10F8A"/>
    <w:rsid w:val="00E113BA"/>
    <w:rsid w:val="00E113C3"/>
    <w:rsid w:val="00E11E33"/>
    <w:rsid w:val="00E127F7"/>
    <w:rsid w:val="00E14385"/>
    <w:rsid w:val="00E1671F"/>
    <w:rsid w:val="00E26F40"/>
    <w:rsid w:val="00E274F6"/>
    <w:rsid w:val="00E278E8"/>
    <w:rsid w:val="00E30861"/>
    <w:rsid w:val="00E31227"/>
    <w:rsid w:val="00E31C1E"/>
    <w:rsid w:val="00E41688"/>
    <w:rsid w:val="00E41C0D"/>
    <w:rsid w:val="00E4247D"/>
    <w:rsid w:val="00E426DA"/>
    <w:rsid w:val="00E435F1"/>
    <w:rsid w:val="00E45A1F"/>
    <w:rsid w:val="00E45B7E"/>
    <w:rsid w:val="00E45FCC"/>
    <w:rsid w:val="00E47B9C"/>
    <w:rsid w:val="00E5007E"/>
    <w:rsid w:val="00E510B8"/>
    <w:rsid w:val="00E527A7"/>
    <w:rsid w:val="00E602E5"/>
    <w:rsid w:val="00E60509"/>
    <w:rsid w:val="00E61262"/>
    <w:rsid w:val="00E61FA5"/>
    <w:rsid w:val="00E64FCF"/>
    <w:rsid w:val="00E657DB"/>
    <w:rsid w:val="00E65CFF"/>
    <w:rsid w:val="00E66A77"/>
    <w:rsid w:val="00E67BD5"/>
    <w:rsid w:val="00E70991"/>
    <w:rsid w:val="00E71D45"/>
    <w:rsid w:val="00E739E2"/>
    <w:rsid w:val="00E73A92"/>
    <w:rsid w:val="00E73C6A"/>
    <w:rsid w:val="00E74CEC"/>
    <w:rsid w:val="00E74F8B"/>
    <w:rsid w:val="00E771F4"/>
    <w:rsid w:val="00E813EA"/>
    <w:rsid w:val="00E845EC"/>
    <w:rsid w:val="00E8575A"/>
    <w:rsid w:val="00E8597E"/>
    <w:rsid w:val="00E86655"/>
    <w:rsid w:val="00E90903"/>
    <w:rsid w:val="00E91512"/>
    <w:rsid w:val="00E93497"/>
    <w:rsid w:val="00E93ACA"/>
    <w:rsid w:val="00E95680"/>
    <w:rsid w:val="00E95F10"/>
    <w:rsid w:val="00E96DAD"/>
    <w:rsid w:val="00EA2E76"/>
    <w:rsid w:val="00EA3AE1"/>
    <w:rsid w:val="00EA5958"/>
    <w:rsid w:val="00EA65AC"/>
    <w:rsid w:val="00EB0946"/>
    <w:rsid w:val="00EB09AC"/>
    <w:rsid w:val="00EB0BED"/>
    <w:rsid w:val="00EB1F6C"/>
    <w:rsid w:val="00EB2087"/>
    <w:rsid w:val="00EB360A"/>
    <w:rsid w:val="00EB3E29"/>
    <w:rsid w:val="00EB42DC"/>
    <w:rsid w:val="00EB47E8"/>
    <w:rsid w:val="00EB5189"/>
    <w:rsid w:val="00EB58DA"/>
    <w:rsid w:val="00EB6179"/>
    <w:rsid w:val="00EB754A"/>
    <w:rsid w:val="00EB7DE7"/>
    <w:rsid w:val="00EC0401"/>
    <w:rsid w:val="00EC2BCB"/>
    <w:rsid w:val="00EC2BCE"/>
    <w:rsid w:val="00EC4E82"/>
    <w:rsid w:val="00EC5819"/>
    <w:rsid w:val="00EC72AB"/>
    <w:rsid w:val="00ED0B03"/>
    <w:rsid w:val="00ED184E"/>
    <w:rsid w:val="00ED3BFB"/>
    <w:rsid w:val="00ED5722"/>
    <w:rsid w:val="00EE004D"/>
    <w:rsid w:val="00EE08D7"/>
    <w:rsid w:val="00EE1964"/>
    <w:rsid w:val="00EE2789"/>
    <w:rsid w:val="00EE27BA"/>
    <w:rsid w:val="00EE28B1"/>
    <w:rsid w:val="00EE33FA"/>
    <w:rsid w:val="00EE6124"/>
    <w:rsid w:val="00EF1BA6"/>
    <w:rsid w:val="00EF1FC0"/>
    <w:rsid w:val="00EF49D2"/>
    <w:rsid w:val="00EF5D91"/>
    <w:rsid w:val="00EF662F"/>
    <w:rsid w:val="00EF6641"/>
    <w:rsid w:val="00EF792C"/>
    <w:rsid w:val="00EF7B18"/>
    <w:rsid w:val="00F003FE"/>
    <w:rsid w:val="00F0112B"/>
    <w:rsid w:val="00F01566"/>
    <w:rsid w:val="00F06914"/>
    <w:rsid w:val="00F076A1"/>
    <w:rsid w:val="00F07E76"/>
    <w:rsid w:val="00F117EA"/>
    <w:rsid w:val="00F13303"/>
    <w:rsid w:val="00F1366A"/>
    <w:rsid w:val="00F13EA0"/>
    <w:rsid w:val="00F15238"/>
    <w:rsid w:val="00F15CFB"/>
    <w:rsid w:val="00F20FDD"/>
    <w:rsid w:val="00F22D6C"/>
    <w:rsid w:val="00F23A64"/>
    <w:rsid w:val="00F244D2"/>
    <w:rsid w:val="00F25936"/>
    <w:rsid w:val="00F27AD3"/>
    <w:rsid w:val="00F325A6"/>
    <w:rsid w:val="00F331D7"/>
    <w:rsid w:val="00F44AB5"/>
    <w:rsid w:val="00F45809"/>
    <w:rsid w:val="00F460AF"/>
    <w:rsid w:val="00F46227"/>
    <w:rsid w:val="00F50F5A"/>
    <w:rsid w:val="00F510CD"/>
    <w:rsid w:val="00F51242"/>
    <w:rsid w:val="00F5199E"/>
    <w:rsid w:val="00F5284C"/>
    <w:rsid w:val="00F52976"/>
    <w:rsid w:val="00F53051"/>
    <w:rsid w:val="00F53073"/>
    <w:rsid w:val="00F53869"/>
    <w:rsid w:val="00F54D45"/>
    <w:rsid w:val="00F5686D"/>
    <w:rsid w:val="00F573A9"/>
    <w:rsid w:val="00F57BAF"/>
    <w:rsid w:val="00F60EB2"/>
    <w:rsid w:val="00F62D03"/>
    <w:rsid w:val="00F636C5"/>
    <w:rsid w:val="00F6502E"/>
    <w:rsid w:val="00F6697B"/>
    <w:rsid w:val="00F672C9"/>
    <w:rsid w:val="00F7048F"/>
    <w:rsid w:val="00F70E01"/>
    <w:rsid w:val="00F72C76"/>
    <w:rsid w:val="00F73033"/>
    <w:rsid w:val="00F750A5"/>
    <w:rsid w:val="00F75607"/>
    <w:rsid w:val="00F80112"/>
    <w:rsid w:val="00F8224E"/>
    <w:rsid w:val="00F82857"/>
    <w:rsid w:val="00F82918"/>
    <w:rsid w:val="00F8336B"/>
    <w:rsid w:val="00F85BDB"/>
    <w:rsid w:val="00F90C0E"/>
    <w:rsid w:val="00F91878"/>
    <w:rsid w:val="00F9602D"/>
    <w:rsid w:val="00F97939"/>
    <w:rsid w:val="00F97B93"/>
    <w:rsid w:val="00F97F4B"/>
    <w:rsid w:val="00FA43A8"/>
    <w:rsid w:val="00FA468A"/>
    <w:rsid w:val="00FA47FD"/>
    <w:rsid w:val="00FB1096"/>
    <w:rsid w:val="00FB3FD0"/>
    <w:rsid w:val="00FB4006"/>
    <w:rsid w:val="00FB447A"/>
    <w:rsid w:val="00FC2131"/>
    <w:rsid w:val="00FC299C"/>
    <w:rsid w:val="00FC41AC"/>
    <w:rsid w:val="00FC431C"/>
    <w:rsid w:val="00FC6AE7"/>
    <w:rsid w:val="00FC72D6"/>
    <w:rsid w:val="00FD1428"/>
    <w:rsid w:val="00FD1C6E"/>
    <w:rsid w:val="00FD2266"/>
    <w:rsid w:val="00FD2C9D"/>
    <w:rsid w:val="00FD40B2"/>
    <w:rsid w:val="00FD4AB6"/>
    <w:rsid w:val="00FD5952"/>
    <w:rsid w:val="00FD7666"/>
    <w:rsid w:val="00FE1BB2"/>
    <w:rsid w:val="00FE2738"/>
    <w:rsid w:val="00FE27CD"/>
    <w:rsid w:val="00FE523B"/>
    <w:rsid w:val="00FE5D24"/>
    <w:rsid w:val="00FF2801"/>
    <w:rsid w:val="00FF34B1"/>
    <w:rsid w:val="00FF4709"/>
    <w:rsid w:val="00FF5776"/>
    <w:rsid w:val="00FF5895"/>
    <w:rsid w:val="00FF70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CAB57"/>
  <w15:docId w15:val="{F8CC5D36-B186-4ACA-B87E-94BCFCE5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2F"/>
    <w:rPr>
      <w:sz w:val="24"/>
      <w:szCs w:val="24"/>
      <w:lang w:val="en-US"/>
    </w:rPr>
  </w:style>
  <w:style w:type="paragraph" w:styleId="Heading1">
    <w:name w:val="heading 1"/>
    <w:basedOn w:val="Normal"/>
    <w:next w:val="Normal"/>
    <w:qFormat/>
    <w:rsid w:val="00614578"/>
    <w:pPr>
      <w:keepNext/>
      <w:outlineLvl w:val="0"/>
    </w:pPr>
    <w:rPr>
      <w:rFonts w:ascii="Calibri" w:hAnsi="Calibri"/>
      <w:b/>
      <w:bCs/>
      <w:i/>
      <w:color w:val="4F81BD"/>
      <w:sz w:val="32"/>
    </w:rPr>
  </w:style>
  <w:style w:type="paragraph" w:styleId="Heading2">
    <w:name w:val="heading 2"/>
    <w:basedOn w:val="Normal"/>
    <w:next w:val="Normal"/>
    <w:link w:val="Heading2Char"/>
    <w:qFormat/>
    <w:rsid w:val="00614578"/>
    <w:pPr>
      <w:keepNext/>
      <w:spacing w:before="240" w:after="60"/>
      <w:outlineLvl w:val="1"/>
    </w:pPr>
    <w:rPr>
      <w:rFonts w:ascii="Calibri" w:eastAsia="MS Gothic" w:hAnsi="Calibri"/>
      <w:b/>
      <w:bCs/>
      <w:i/>
      <w:iCs/>
      <w:color w:val="4F81BD"/>
      <w:sz w:val="28"/>
      <w:szCs w:val="28"/>
    </w:rPr>
  </w:style>
  <w:style w:type="paragraph" w:styleId="Heading3">
    <w:name w:val="heading 3"/>
    <w:basedOn w:val="Normal"/>
    <w:next w:val="Normal"/>
    <w:qFormat/>
    <w:rsid w:val="002A70F4"/>
    <w:pPr>
      <w:keepNext/>
      <w:spacing w:before="240" w:after="60"/>
      <w:outlineLvl w:val="2"/>
    </w:pPr>
    <w:rPr>
      <w:rFonts w:ascii="Arial" w:hAnsi="Arial" w:cs="Arial"/>
      <w:b/>
      <w:bCs/>
      <w:sz w:val="26"/>
      <w:szCs w:val="26"/>
    </w:rPr>
  </w:style>
  <w:style w:type="paragraph" w:styleId="Heading4">
    <w:name w:val="heading 4"/>
    <w:basedOn w:val="Normal"/>
    <w:next w:val="Normal"/>
    <w:qFormat/>
    <w:rsid w:val="00276E4B"/>
    <w:pPr>
      <w:keepNext/>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6E4B"/>
    <w:pPr>
      <w:tabs>
        <w:tab w:val="center" w:pos="4320"/>
        <w:tab w:val="right" w:pos="8640"/>
      </w:tabs>
    </w:pPr>
  </w:style>
  <w:style w:type="paragraph" w:styleId="Footer">
    <w:name w:val="footer"/>
    <w:basedOn w:val="Normal"/>
    <w:link w:val="FooterChar"/>
    <w:uiPriority w:val="99"/>
    <w:rsid w:val="002A70F4"/>
    <w:pPr>
      <w:tabs>
        <w:tab w:val="center" w:pos="4320"/>
        <w:tab w:val="right" w:pos="8640"/>
      </w:tabs>
    </w:pPr>
    <w:rPr>
      <w:rFonts w:cs="Angsana New"/>
    </w:rPr>
  </w:style>
  <w:style w:type="paragraph" w:styleId="BodyText">
    <w:name w:val="Body Text"/>
    <w:basedOn w:val="Normal"/>
    <w:link w:val="BodyTextChar"/>
    <w:rsid w:val="002A70F4"/>
    <w:pPr>
      <w:jc w:val="both"/>
    </w:pPr>
    <w:rPr>
      <w:rFonts w:cs="Angsana New"/>
    </w:rPr>
  </w:style>
  <w:style w:type="paragraph" w:styleId="BodyText2">
    <w:name w:val="Body Text 2"/>
    <w:basedOn w:val="Normal"/>
    <w:rsid w:val="002A70F4"/>
    <w:pPr>
      <w:jc w:val="both"/>
    </w:pPr>
    <w:rPr>
      <w:rFonts w:cs="Angsana New"/>
      <w:color w:val="000000"/>
    </w:rPr>
  </w:style>
  <w:style w:type="paragraph" w:styleId="FootnoteText">
    <w:name w:val="footnote text"/>
    <w:basedOn w:val="Normal"/>
    <w:link w:val="FootnoteTextChar"/>
    <w:uiPriority w:val="99"/>
    <w:rsid w:val="002A70F4"/>
    <w:rPr>
      <w:rFonts w:cs="Angsana New"/>
      <w:sz w:val="20"/>
      <w:szCs w:val="20"/>
    </w:rPr>
  </w:style>
  <w:style w:type="character" w:styleId="FootnoteReference">
    <w:name w:val="footnote reference"/>
    <w:uiPriority w:val="99"/>
    <w:semiHidden/>
    <w:rsid w:val="002A70F4"/>
    <w:rPr>
      <w:vertAlign w:val="superscript"/>
    </w:rPr>
  </w:style>
  <w:style w:type="paragraph" w:customStyle="1" w:styleId="firstpara">
    <w:name w:val="firstpara"/>
    <w:basedOn w:val="BodyTextIndent"/>
    <w:rsid w:val="000E6E52"/>
    <w:pPr>
      <w:spacing w:before="120"/>
      <w:ind w:left="720"/>
      <w:jc w:val="both"/>
    </w:pPr>
    <w:rPr>
      <w:rFonts w:ascii="ZapfHumnst BT" w:hAnsi="ZapfHumnst BT"/>
      <w:sz w:val="22"/>
      <w:szCs w:val="20"/>
      <w:lang w:val="en-GB"/>
    </w:rPr>
  </w:style>
  <w:style w:type="paragraph" w:styleId="List">
    <w:name w:val="List"/>
    <w:basedOn w:val="Normal"/>
    <w:rsid w:val="000E6E52"/>
    <w:pPr>
      <w:numPr>
        <w:ilvl w:val="4"/>
        <w:numId w:val="1"/>
      </w:numPr>
    </w:pPr>
    <w:rPr>
      <w:szCs w:val="20"/>
      <w:lang w:val="en-GB"/>
    </w:rPr>
  </w:style>
  <w:style w:type="paragraph" w:customStyle="1" w:styleId="Listalphabetical5plus3level3">
    <w:name w:val="List alphabetical 5 plus 3 level 3"/>
    <w:basedOn w:val="Normal"/>
    <w:rsid w:val="000E6E52"/>
    <w:pPr>
      <w:numPr>
        <w:ilvl w:val="1"/>
        <w:numId w:val="1"/>
      </w:numPr>
    </w:pPr>
    <w:rPr>
      <w:szCs w:val="20"/>
      <w:lang w:val="en-GB"/>
    </w:rPr>
  </w:style>
  <w:style w:type="paragraph" w:styleId="BodyTextIndent">
    <w:name w:val="Body Text Indent"/>
    <w:basedOn w:val="Normal"/>
    <w:link w:val="BodyTextIndentChar"/>
    <w:rsid w:val="000E6E52"/>
    <w:pPr>
      <w:spacing w:after="120"/>
      <w:ind w:left="360"/>
    </w:pPr>
  </w:style>
  <w:style w:type="character" w:styleId="Strong">
    <w:name w:val="Strong"/>
    <w:qFormat/>
    <w:rsid w:val="00C97710"/>
    <w:rPr>
      <w:b/>
      <w:bCs/>
    </w:rPr>
  </w:style>
  <w:style w:type="paragraph" w:styleId="Caption">
    <w:name w:val="caption"/>
    <w:basedOn w:val="Normal"/>
    <w:next w:val="Normal"/>
    <w:qFormat/>
    <w:rsid w:val="00045D84"/>
    <w:pPr>
      <w:spacing w:before="120" w:after="120"/>
    </w:pPr>
    <w:rPr>
      <w:b/>
      <w:bCs/>
      <w:sz w:val="20"/>
      <w:szCs w:val="20"/>
    </w:rPr>
  </w:style>
  <w:style w:type="paragraph" w:styleId="BalloonText">
    <w:name w:val="Balloon Text"/>
    <w:basedOn w:val="Normal"/>
    <w:semiHidden/>
    <w:rsid w:val="000744F9"/>
    <w:rPr>
      <w:rFonts w:ascii="Tahoma" w:hAnsi="Tahoma" w:cs="Tahoma"/>
      <w:sz w:val="16"/>
      <w:szCs w:val="16"/>
    </w:rPr>
  </w:style>
  <w:style w:type="paragraph" w:customStyle="1" w:styleId="Char">
    <w:name w:val="Char"/>
    <w:basedOn w:val="Normal"/>
    <w:rsid w:val="00044224"/>
    <w:pPr>
      <w:spacing w:after="160" w:line="240" w:lineRule="exact"/>
    </w:pPr>
    <w:rPr>
      <w:rFonts w:ascii="Arial" w:hAnsi="Arial" w:cs="Arial"/>
      <w:sz w:val="20"/>
      <w:szCs w:val="20"/>
    </w:rPr>
  </w:style>
  <w:style w:type="table" w:styleId="TableGrid">
    <w:name w:val="Table Grid"/>
    <w:basedOn w:val="TableNormal"/>
    <w:uiPriority w:val="39"/>
    <w:rsid w:val="000C0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73310"/>
  </w:style>
  <w:style w:type="table" w:customStyle="1" w:styleId="TableGrid1">
    <w:name w:val="Table Grid1"/>
    <w:basedOn w:val="TableNormal"/>
    <w:next w:val="TableGrid"/>
    <w:uiPriority w:val="59"/>
    <w:rsid w:val="000509F1"/>
    <w:rPr>
      <w:rFonts w:ascii="Calibri" w:eastAsia="Calibri" w:hAnsi="Calibri" w:cs="Lath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sid w:val="00574F3F"/>
    <w:rPr>
      <w:rFonts w:cs="Angsana New"/>
      <w:lang w:val="en-US"/>
    </w:rPr>
  </w:style>
  <w:style w:type="character" w:customStyle="1" w:styleId="FooterChar">
    <w:name w:val="Footer Char"/>
    <w:link w:val="Footer"/>
    <w:uiPriority w:val="99"/>
    <w:rsid w:val="00094AC7"/>
    <w:rPr>
      <w:rFonts w:cs="Angsana New"/>
      <w:sz w:val="24"/>
      <w:szCs w:val="24"/>
      <w:lang w:val="en-US"/>
    </w:rPr>
  </w:style>
  <w:style w:type="paragraph" w:styleId="TOCHeading">
    <w:name w:val="TOC Heading"/>
    <w:basedOn w:val="Heading1"/>
    <w:next w:val="Normal"/>
    <w:uiPriority w:val="39"/>
    <w:unhideWhenUsed/>
    <w:qFormat/>
    <w:rsid w:val="00A06CDC"/>
    <w:pPr>
      <w:keepLines/>
      <w:spacing w:before="480" w:line="276" w:lineRule="auto"/>
      <w:outlineLvl w:val="9"/>
    </w:pPr>
    <w:rPr>
      <w:rFonts w:eastAsia="MS Gothic"/>
      <w:color w:val="365F91"/>
      <w:sz w:val="28"/>
      <w:szCs w:val="28"/>
    </w:rPr>
  </w:style>
  <w:style w:type="paragraph" w:styleId="TOC1">
    <w:name w:val="toc 1"/>
    <w:basedOn w:val="Normal"/>
    <w:next w:val="Normal"/>
    <w:autoRedefine/>
    <w:uiPriority w:val="39"/>
    <w:rsid w:val="00A06CDC"/>
    <w:pPr>
      <w:spacing w:before="120"/>
    </w:pPr>
    <w:rPr>
      <w:rFonts w:ascii="Calibri" w:hAnsi="Calibri"/>
      <w:b/>
      <w:color w:val="548DD4"/>
    </w:rPr>
  </w:style>
  <w:style w:type="paragraph" w:styleId="TOC2">
    <w:name w:val="toc 2"/>
    <w:basedOn w:val="Normal"/>
    <w:next w:val="Normal"/>
    <w:autoRedefine/>
    <w:uiPriority w:val="39"/>
    <w:rsid w:val="00A06CDC"/>
    <w:rPr>
      <w:rFonts w:ascii="Cambria" w:hAnsi="Cambria"/>
      <w:sz w:val="22"/>
      <w:szCs w:val="22"/>
    </w:rPr>
  </w:style>
  <w:style w:type="paragraph" w:styleId="TOC3">
    <w:name w:val="toc 3"/>
    <w:basedOn w:val="Normal"/>
    <w:next w:val="Normal"/>
    <w:autoRedefine/>
    <w:uiPriority w:val="39"/>
    <w:rsid w:val="00A06CDC"/>
    <w:pPr>
      <w:ind w:left="240"/>
    </w:pPr>
    <w:rPr>
      <w:rFonts w:ascii="Cambria" w:hAnsi="Cambria"/>
      <w:i/>
      <w:sz w:val="22"/>
      <w:szCs w:val="22"/>
    </w:rPr>
  </w:style>
  <w:style w:type="paragraph" w:styleId="TOC4">
    <w:name w:val="toc 4"/>
    <w:basedOn w:val="Normal"/>
    <w:next w:val="Normal"/>
    <w:autoRedefine/>
    <w:rsid w:val="00A06CDC"/>
    <w:pPr>
      <w:pBdr>
        <w:between w:val="double" w:sz="6" w:space="0" w:color="auto"/>
      </w:pBdr>
      <w:ind w:left="480"/>
    </w:pPr>
    <w:rPr>
      <w:rFonts w:ascii="Cambria" w:hAnsi="Cambria"/>
      <w:sz w:val="20"/>
      <w:szCs w:val="20"/>
    </w:rPr>
  </w:style>
  <w:style w:type="paragraph" w:styleId="TOC5">
    <w:name w:val="toc 5"/>
    <w:basedOn w:val="Normal"/>
    <w:next w:val="Normal"/>
    <w:autoRedefine/>
    <w:rsid w:val="00A06CDC"/>
    <w:pPr>
      <w:pBdr>
        <w:between w:val="double" w:sz="6" w:space="0" w:color="auto"/>
      </w:pBdr>
      <w:ind w:left="720"/>
    </w:pPr>
    <w:rPr>
      <w:rFonts w:ascii="Cambria" w:hAnsi="Cambria"/>
      <w:sz w:val="20"/>
      <w:szCs w:val="20"/>
    </w:rPr>
  </w:style>
  <w:style w:type="paragraph" w:styleId="TOC6">
    <w:name w:val="toc 6"/>
    <w:basedOn w:val="Normal"/>
    <w:next w:val="Normal"/>
    <w:autoRedefine/>
    <w:rsid w:val="00A06CDC"/>
    <w:pPr>
      <w:pBdr>
        <w:between w:val="double" w:sz="6" w:space="0" w:color="auto"/>
      </w:pBdr>
      <w:ind w:left="960"/>
    </w:pPr>
    <w:rPr>
      <w:rFonts w:ascii="Cambria" w:hAnsi="Cambria"/>
      <w:sz w:val="20"/>
      <w:szCs w:val="20"/>
    </w:rPr>
  </w:style>
  <w:style w:type="paragraph" w:styleId="TOC7">
    <w:name w:val="toc 7"/>
    <w:basedOn w:val="Normal"/>
    <w:next w:val="Normal"/>
    <w:autoRedefine/>
    <w:rsid w:val="00A06CDC"/>
    <w:pPr>
      <w:pBdr>
        <w:between w:val="double" w:sz="6" w:space="0" w:color="auto"/>
      </w:pBdr>
      <w:ind w:left="1200"/>
    </w:pPr>
    <w:rPr>
      <w:rFonts w:ascii="Cambria" w:hAnsi="Cambria"/>
      <w:sz w:val="20"/>
      <w:szCs w:val="20"/>
    </w:rPr>
  </w:style>
  <w:style w:type="paragraph" w:styleId="TOC8">
    <w:name w:val="toc 8"/>
    <w:basedOn w:val="Normal"/>
    <w:next w:val="Normal"/>
    <w:autoRedefine/>
    <w:rsid w:val="00A06CDC"/>
    <w:pPr>
      <w:pBdr>
        <w:between w:val="double" w:sz="6" w:space="0" w:color="auto"/>
      </w:pBdr>
      <w:ind w:left="1440"/>
    </w:pPr>
    <w:rPr>
      <w:rFonts w:ascii="Cambria" w:hAnsi="Cambria"/>
      <w:sz w:val="20"/>
      <w:szCs w:val="20"/>
    </w:rPr>
  </w:style>
  <w:style w:type="paragraph" w:styleId="TOC9">
    <w:name w:val="toc 9"/>
    <w:basedOn w:val="Normal"/>
    <w:next w:val="Normal"/>
    <w:autoRedefine/>
    <w:rsid w:val="00A06CDC"/>
    <w:pPr>
      <w:pBdr>
        <w:between w:val="double" w:sz="6" w:space="0" w:color="auto"/>
      </w:pBdr>
      <w:ind w:left="1680"/>
    </w:pPr>
    <w:rPr>
      <w:rFonts w:ascii="Cambria" w:hAnsi="Cambria"/>
      <w:sz w:val="20"/>
      <w:szCs w:val="20"/>
    </w:rPr>
  </w:style>
  <w:style w:type="character" w:customStyle="1" w:styleId="Heading2Char">
    <w:name w:val="Heading 2 Char"/>
    <w:link w:val="Heading2"/>
    <w:rsid w:val="00614578"/>
    <w:rPr>
      <w:rFonts w:ascii="Calibri" w:eastAsia="MS Gothic" w:hAnsi="Calibri"/>
      <w:b/>
      <w:bCs/>
      <w:i/>
      <w:iCs/>
      <w:color w:val="4F81BD"/>
      <w:sz w:val="28"/>
      <w:szCs w:val="28"/>
      <w:lang w:val="en-US"/>
    </w:rPr>
  </w:style>
  <w:style w:type="character" w:customStyle="1" w:styleId="BodyTextChar">
    <w:name w:val="Body Text Char"/>
    <w:link w:val="BodyText"/>
    <w:rsid w:val="00A06CDC"/>
    <w:rPr>
      <w:rFonts w:cs="Angsana New"/>
      <w:sz w:val="24"/>
      <w:szCs w:val="24"/>
      <w:lang w:val="en-US"/>
    </w:rPr>
  </w:style>
  <w:style w:type="character" w:customStyle="1" w:styleId="BodyTextIndentChar">
    <w:name w:val="Body Text Indent Char"/>
    <w:link w:val="BodyTextIndent"/>
    <w:rsid w:val="00A06CDC"/>
    <w:rPr>
      <w:sz w:val="24"/>
      <w:szCs w:val="24"/>
      <w:lang w:val="en-US"/>
    </w:rPr>
  </w:style>
  <w:style w:type="paragraph" w:customStyle="1" w:styleId="Style1">
    <w:name w:val="Style1"/>
    <w:basedOn w:val="Heading1"/>
    <w:next w:val="TOC1"/>
    <w:qFormat/>
    <w:rsid w:val="004F68A1"/>
  </w:style>
  <w:style w:type="paragraph" w:customStyle="1" w:styleId="Heading10">
    <w:name w:val="Heading1"/>
    <w:basedOn w:val="TOCHeading"/>
    <w:qFormat/>
    <w:rsid w:val="004F68A1"/>
  </w:style>
  <w:style w:type="paragraph" w:customStyle="1" w:styleId="Default">
    <w:name w:val="Default"/>
    <w:rsid w:val="00990FA3"/>
    <w:pPr>
      <w:autoSpaceDE w:val="0"/>
      <w:autoSpaceDN w:val="0"/>
      <w:adjustRightInd w:val="0"/>
    </w:pPr>
    <w:rPr>
      <w:rFonts w:ascii="Arial" w:hAnsi="Arial" w:cs="Arial"/>
      <w:color w:val="000000"/>
      <w:sz w:val="24"/>
      <w:szCs w:val="24"/>
      <w:lang w:val="en-US"/>
    </w:rPr>
  </w:style>
  <w:style w:type="character" w:styleId="Hyperlink">
    <w:name w:val="Hyperlink"/>
    <w:rsid w:val="00C3480A"/>
    <w:rPr>
      <w:color w:val="0000FF"/>
      <w:u w:val="single"/>
    </w:rPr>
  </w:style>
  <w:style w:type="character" w:styleId="CommentReference">
    <w:name w:val="annotation reference"/>
    <w:rsid w:val="00EB47E8"/>
    <w:rPr>
      <w:sz w:val="18"/>
      <w:szCs w:val="18"/>
    </w:rPr>
  </w:style>
  <w:style w:type="paragraph" w:styleId="CommentText">
    <w:name w:val="annotation text"/>
    <w:basedOn w:val="Normal"/>
    <w:link w:val="CommentTextChar"/>
    <w:rsid w:val="00EB47E8"/>
  </w:style>
  <w:style w:type="character" w:customStyle="1" w:styleId="CommentTextChar">
    <w:name w:val="Comment Text Char"/>
    <w:link w:val="CommentText"/>
    <w:rsid w:val="00EB47E8"/>
    <w:rPr>
      <w:sz w:val="24"/>
      <w:szCs w:val="24"/>
      <w:lang w:val="en-US"/>
    </w:rPr>
  </w:style>
  <w:style w:type="paragraph" w:styleId="CommentSubject">
    <w:name w:val="annotation subject"/>
    <w:basedOn w:val="CommentText"/>
    <w:next w:val="CommentText"/>
    <w:link w:val="CommentSubjectChar"/>
    <w:rsid w:val="00EB47E8"/>
    <w:rPr>
      <w:b/>
      <w:bCs/>
      <w:sz w:val="20"/>
      <w:szCs w:val="20"/>
    </w:rPr>
  </w:style>
  <w:style w:type="character" w:customStyle="1" w:styleId="CommentSubjectChar">
    <w:name w:val="Comment Subject Char"/>
    <w:link w:val="CommentSubject"/>
    <w:rsid w:val="00EB47E8"/>
    <w:rPr>
      <w:b/>
      <w:bCs/>
      <w:sz w:val="24"/>
      <w:szCs w:val="24"/>
      <w:lang w:val="en-US"/>
    </w:rPr>
  </w:style>
  <w:style w:type="paragraph" w:styleId="ListParagraph">
    <w:name w:val="List Paragraph"/>
    <w:basedOn w:val="Normal"/>
    <w:uiPriority w:val="34"/>
    <w:qFormat/>
    <w:rsid w:val="00D921C6"/>
    <w:pPr>
      <w:ind w:left="720"/>
      <w:contextualSpacing/>
    </w:pPr>
    <w:rPr>
      <w:rFonts w:ascii="Cambria" w:eastAsia="Cambria" w:hAnsi="Cambria" w:cs="Arial"/>
    </w:rPr>
  </w:style>
  <w:style w:type="character" w:styleId="FollowedHyperlink">
    <w:name w:val="FollowedHyperlink"/>
    <w:basedOn w:val="DefaultParagraphFont"/>
    <w:rsid w:val="00031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720">
      <w:bodyDiv w:val="1"/>
      <w:marLeft w:val="0"/>
      <w:marRight w:val="0"/>
      <w:marTop w:val="0"/>
      <w:marBottom w:val="0"/>
      <w:divBdr>
        <w:top w:val="none" w:sz="0" w:space="0" w:color="auto"/>
        <w:left w:val="none" w:sz="0" w:space="0" w:color="auto"/>
        <w:bottom w:val="none" w:sz="0" w:space="0" w:color="auto"/>
        <w:right w:val="none" w:sz="0" w:space="0" w:color="auto"/>
      </w:divBdr>
    </w:div>
    <w:div w:id="59060673">
      <w:bodyDiv w:val="1"/>
      <w:marLeft w:val="0"/>
      <w:marRight w:val="0"/>
      <w:marTop w:val="0"/>
      <w:marBottom w:val="0"/>
      <w:divBdr>
        <w:top w:val="none" w:sz="0" w:space="0" w:color="auto"/>
        <w:left w:val="none" w:sz="0" w:space="0" w:color="auto"/>
        <w:bottom w:val="none" w:sz="0" w:space="0" w:color="auto"/>
        <w:right w:val="none" w:sz="0" w:space="0" w:color="auto"/>
      </w:divBdr>
    </w:div>
    <w:div w:id="94257400">
      <w:bodyDiv w:val="1"/>
      <w:marLeft w:val="0"/>
      <w:marRight w:val="0"/>
      <w:marTop w:val="0"/>
      <w:marBottom w:val="0"/>
      <w:divBdr>
        <w:top w:val="none" w:sz="0" w:space="0" w:color="auto"/>
        <w:left w:val="none" w:sz="0" w:space="0" w:color="auto"/>
        <w:bottom w:val="none" w:sz="0" w:space="0" w:color="auto"/>
        <w:right w:val="none" w:sz="0" w:space="0" w:color="auto"/>
      </w:divBdr>
      <w:divsChild>
        <w:div w:id="1910649159">
          <w:marLeft w:val="0"/>
          <w:marRight w:val="0"/>
          <w:marTop w:val="0"/>
          <w:marBottom w:val="0"/>
          <w:divBdr>
            <w:top w:val="none" w:sz="0" w:space="0" w:color="auto"/>
            <w:left w:val="none" w:sz="0" w:space="0" w:color="auto"/>
            <w:bottom w:val="none" w:sz="0" w:space="0" w:color="auto"/>
            <w:right w:val="none" w:sz="0" w:space="0" w:color="auto"/>
          </w:divBdr>
        </w:div>
      </w:divsChild>
    </w:div>
    <w:div w:id="160970062">
      <w:bodyDiv w:val="1"/>
      <w:marLeft w:val="0"/>
      <w:marRight w:val="0"/>
      <w:marTop w:val="0"/>
      <w:marBottom w:val="0"/>
      <w:divBdr>
        <w:top w:val="none" w:sz="0" w:space="0" w:color="auto"/>
        <w:left w:val="none" w:sz="0" w:space="0" w:color="auto"/>
        <w:bottom w:val="none" w:sz="0" w:space="0" w:color="auto"/>
        <w:right w:val="none" w:sz="0" w:space="0" w:color="auto"/>
      </w:divBdr>
    </w:div>
    <w:div w:id="541602500">
      <w:bodyDiv w:val="1"/>
      <w:marLeft w:val="0"/>
      <w:marRight w:val="0"/>
      <w:marTop w:val="0"/>
      <w:marBottom w:val="0"/>
      <w:divBdr>
        <w:top w:val="none" w:sz="0" w:space="0" w:color="auto"/>
        <w:left w:val="none" w:sz="0" w:space="0" w:color="auto"/>
        <w:bottom w:val="none" w:sz="0" w:space="0" w:color="auto"/>
        <w:right w:val="none" w:sz="0" w:space="0" w:color="auto"/>
      </w:divBdr>
    </w:div>
    <w:div w:id="763839655">
      <w:bodyDiv w:val="1"/>
      <w:marLeft w:val="0"/>
      <w:marRight w:val="0"/>
      <w:marTop w:val="0"/>
      <w:marBottom w:val="0"/>
      <w:divBdr>
        <w:top w:val="none" w:sz="0" w:space="0" w:color="auto"/>
        <w:left w:val="none" w:sz="0" w:space="0" w:color="auto"/>
        <w:bottom w:val="none" w:sz="0" w:space="0" w:color="auto"/>
        <w:right w:val="none" w:sz="0" w:space="0" w:color="auto"/>
      </w:divBdr>
    </w:div>
    <w:div w:id="1000695929">
      <w:bodyDiv w:val="1"/>
      <w:marLeft w:val="0"/>
      <w:marRight w:val="0"/>
      <w:marTop w:val="0"/>
      <w:marBottom w:val="0"/>
      <w:divBdr>
        <w:top w:val="none" w:sz="0" w:space="0" w:color="auto"/>
        <w:left w:val="none" w:sz="0" w:space="0" w:color="auto"/>
        <w:bottom w:val="none" w:sz="0" w:space="0" w:color="auto"/>
        <w:right w:val="none" w:sz="0" w:space="0" w:color="auto"/>
      </w:divBdr>
    </w:div>
    <w:div w:id="1162357236">
      <w:bodyDiv w:val="1"/>
      <w:marLeft w:val="0"/>
      <w:marRight w:val="0"/>
      <w:marTop w:val="0"/>
      <w:marBottom w:val="0"/>
      <w:divBdr>
        <w:top w:val="none" w:sz="0" w:space="0" w:color="auto"/>
        <w:left w:val="none" w:sz="0" w:space="0" w:color="auto"/>
        <w:bottom w:val="none" w:sz="0" w:space="0" w:color="auto"/>
        <w:right w:val="none" w:sz="0" w:space="0" w:color="auto"/>
      </w:divBdr>
    </w:div>
    <w:div w:id="1186750621">
      <w:bodyDiv w:val="1"/>
      <w:marLeft w:val="0"/>
      <w:marRight w:val="0"/>
      <w:marTop w:val="0"/>
      <w:marBottom w:val="0"/>
      <w:divBdr>
        <w:top w:val="none" w:sz="0" w:space="0" w:color="auto"/>
        <w:left w:val="none" w:sz="0" w:space="0" w:color="auto"/>
        <w:bottom w:val="none" w:sz="0" w:space="0" w:color="auto"/>
        <w:right w:val="none" w:sz="0" w:space="0" w:color="auto"/>
      </w:divBdr>
    </w:div>
    <w:div w:id="1202206096">
      <w:bodyDiv w:val="1"/>
      <w:marLeft w:val="0"/>
      <w:marRight w:val="0"/>
      <w:marTop w:val="0"/>
      <w:marBottom w:val="0"/>
      <w:divBdr>
        <w:top w:val="none" w:sz="0" w:space="0" w:color="auto"/>
        <w:left w:val="none" w:sz="0" w:space="0" w:color="auto"/>
        <w:bottom w:val="none" w:sz="0" w:space="0" w:color="auto"/>
        <w:right w:val="none" w:sz="0" w:space="0" w:color="auto"/>
      </w:divBdr>
    </w:div>
    <w:div w:id="1504205475">
      <w:bodyDiv w:val="1"/>
      <w:marLeft w:val="0"/>
      <w:marRight w:val="0"/>
      <w:marTop w:val="0"/>
      <w:marBottom w:val="0"/>
      <w:divBdr>
        <w:top w:val="none" w:sz="0" w:space="0" w:color="auto"/>
        <w:left w:val="none" w:sz="0" w:space="0" w:color="auto"/>
        <w:bottom w:val="none" w:sz="0" w:space="0" w:color="auto"/>
        <w:right w:val="none" w:sz="0" w:space="0" w:color="auto"/>
      </w:divBdr>
      <w:divsChild>
        <w:div w:id="1640529804">
          <w:marLeft w:val="0"/>
          <w:marRight w:val="0"/>
          <w:marTop w:val="0"/>
          <w:marBottom w:val="0"/>
          <w:divBdr>
            <w:top w:val="none" w:sz="0" w:space="0" w:color="auto"/>
            <w:left w:val="none" w:sz="0" w:space="0" w:color="auto"/>
            <w:bottom w:val="none" w:sz="0" w:space="0" w:color="auto"/>
            <w:right w:val="none" w:sz="0" w:space="0" w:color="auto"/>
          </w:divBdr>
          <w:divsChild>
            <w:div w:id="732117986">
              <w:marLeft w:val="0"/>
              <w:marRight w:val="0"/>
              <w:marTop w:val="0"/>
              <w:marBottom w:val="0"/>
              <w:divBdr>
                <w:top w:val="none" w:sz="0" w:space="0" w:color="auto"/>
                <w:left w:val="none" w:sz="0" w:space="0" w:color="auto"/>
                <w:bottom w:val="none" w:sz="0" w:space="0" w:color="auto"/>
                <w:right w:val="none" w:sz="0" w:space="0" w:color="auto"/>
              </w:divBdr>
              <w:divsChild>
                <w:div w:id="1836385124">
                  <w:marLeft w:val="2928"/>
                  <w:marRight w:val="0"/>
                  <w:marTop w:val="720"/>
                  <w:marBottom w:val="0"/>
                  <w:divBdr>
                    <w:top w:val="none" w:sz="0" w:space="0" w:color="auto"/>
                    <w:left w:val="none" w:sz="0" w:space="0" w:color="auto"/>
                    <w:bottom w:val="none" w:sz="0" w:space="0" w:color="auto"/>
                    <w:right w:val="none" w:sz="0" w:space="0" w:color="auto"/>
                  </w:divBdr>
                  <w:divsChild>
                    <w:div w:id="263614701">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97203688">
      <w:bodyDiv w:val="1"/>
      <w:marLeft w:val="0"/>
      <w:marRight w:val="0"/>
      <w:marTop w:val="0"/>
      <w:marBottom w:val="0"/>
      <w:divBdr>
        <w:top w:val="none" w:sz="0" w:space="0" w:color="auto"/>
        <w:left w:val="none" w:sz="0" w:space="0" w:color="auto"/>
        <w:bottom w:val="none" w:sz="0" w:space="0" w:color="auto"/>
        <w:right w:val="none" w:sz="0" w:space="0" w:color="auto"/>
      </w:divBdr>
    </w:div>
    <w:div w:id="1684210246">
      <w:bodyDiv w:val="1"/>
      <w:marLeft w:val="0"/>
      <w:marRight w:val="0"/>
      <w:marTop w:val="0"/>
      <w:marBottom w:val="0"/>
      <w:divBdr>
        <w:top w:val="none" w:sz="0" w:space="0" w:color="auto"/>
        <w:left w:val="none" w:sz="0" w:space="0" w:color="auto"/>
        <w:bottom w:val="none" w:sz="0" w:space="0" w:color="auto"/>
        <w:right w:val="none" w:sz="0" w:space="0" w:color="auto"/>
      </w:divBdr>
      <w:divsChild>
        <w:div w:id="666252851">
          <w:marLeft w:val="0"/>
          <w:marRight w:val="0"/>
          <w:marTop w:val="0"/>
          <w:marBottom w:val="0"/>
          <w:divBdr>
            <w:top w:val="none" w:sz="0" w:space="0" w:color="auto"/>
            <w:left w:val="none" w:sz="0" w:space="0" w:color="auto"/>
            <w:bottom w:val="none" w:sz="0" w:space="0" w:color="auto"/>
            <w:right w:val="none" w:sz="0" w:space="0" w:color="auto"/>
          </w:divBdr>
          <w:divsChild>
            <w:div w:id="622736462">
              <w:marLeft w:val="0"/>
              <w:marRight w:val="0"/>
              <w:marTop w:val="0"/>
              <w:marBottom w:val="0"/>
              <w:divBdr>
                <w:top w:val="none" w:sz="0" w:space="0" w:color="auto"/>
                <w:left w:val="none" w:sz="0" w:space="0" w:color="auto"/>
                <w:bottom w:val="none" w:sz="0" w:space="0" w:color="auto"/>
                <w:right w:val="none" w:sz="0" w:space="0" w:color="auto"/>
              </w:divBdr>
              <w:divsChild>
                <w:div w:id="119958176">
                  <w:marLeft w:val="2928"/>
                  <w:marRight w:val="0"/>
                  <w:marTop w:val="720"/>
                  <w:marBottom w:val="0"/>
                  <w:divBdr>
                    <w:top w:val="none" w:sz="0" w:space="0" w:color="auto"/>
                    <w:left w:val="none" w:sz="0" w:space="0" w:color="auto"/>
                    <w:bottom w:val="none" w:sz="0" w:space="0" w:color="auto"/>
                    <w:right w:val="none" w:sz="0" w:space="0" w:color="auto"/>
                  </w:divBdr>
                  <w:divsChild>
                    <w:div w:id="790320161">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202697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who.int/en/countries/georgia" TargetMode="Externa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dc.ge"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Paatashvili\Documents\country%20assessment%20missions\Georgia%20Assessment\EPI%20review\Notes\table%20and%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ericlaurent:Desktop:Immunization%20coverage%202005-2014%20&amp;%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ericlaurent:Documents:Consultancy%20Work:Consultancy%20Missions:Unicef%20Georgia:Analysis%20&amp;%20data:Vaccines%20stocks%20analysis%20(draft23Aug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ericlaurent:Documents:Consultancy%20Work:Consultancy%20Missions:Unicef%20Georgia:Analysis%20&amp;%20data:Vaccines%20stocks%20analysis%20(draft23Aug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ericlaurent:Documents:Consultancy%20Work:Consultancy%20Missions:Unicef%20Georgia:Analysis%20&amp;%20data:Vaccines%20stocks%20analysis%20(draft23Aug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Government Expenditure on Routine vaccines, USD</a:t>
            </a:r>
          </a:p>
        </c:rich>
      </c:tx>
      <c:overlay val="0"/>
      <c:spPr>
        <a:noFill/>
        <a:ln>
          <a:noFill/>
        </a:ln>
        <a:effectLst/>
      </c:spPr>
    </c:title>
    <c:autoTitleDeleted val="0"/>
    <c:plotArea>
      <c:layout/>
      <c:barChart>
        <c:barDir val="bar"/>
        <c:grouping val="clustered"/>
        <c:varyColors val="0"/>
        <c:ser>
          <c:idx val="0"/>
          <c:order val="0"/>
          <c:tx>
            <c:strRef>
              <c:f>Sheet5!$C$24</c:f>
              <c:strCache>
                <c:ptCount val="1"/>
                <c:pt idx="0">
                  <c:v>Expenditure, USD</c:v>
                </c:pt>
              </c:strCache>
            </c:strRef>
          </c:tx>
          <c:spPr>
            <a:solidFill>
              <a:schemeClr val="accent1"/>
            </a:solidFill>
            <a:ln>
              <a:noFill/>
            </a:ln>
            <a:effectLst/>
          </c:spPr>
          <c:invertIfNegative val="0"/>
          <c:cat>
            <c:numRef>
              <c:f>Sheet5!$B$25:$B$38</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Sheet5!$C$25:$C$38</c:f>
              <c:numCache>
                <c:formatCode>_(* #,##0_);_(* \(#,##0\);_(* "-"??_);_(@_)</c:formatCode>
                <c:ptCount val="14"/>
                <c:pt idx="0">
                  <c:v>342000</c:v>
                </c:pt>
                <c:pt idx="1">
                  <c:v>375000</c:v>
                </c:pt>
                <c:pt idx="2">
                  <c:v>545455</c:v>
                </c:pt>
                <c:pt idx="3">
                  <c:v>951800</c:v>
                </c:pt>
                <c:pt idx="4">
                  <c:v>2059783</c:v>
                </c:pt>
                <c:pt idx="5">
                  <c:v>780300</c:v>
                </c:pt>
                <c:pt idx="6">
                  <c:v>905544</c:v>
                </c:pt>
                <c:pt idx="7">
                  <c:v>2274878</c:v>
                </c:pt>
                <c:pt idx="8">
                  <c:v>1599639</c:v>
                </c:pt>
                <c:pt idx="9">
                  <c:v>4011055</c:v>
                </c:pt>
                <c:pt idx="10">
                  <c:v>4573111</c:v>
                </c:pt>
                <c:pt idx="11">
                  <c:v>4806794</c:v>
                </c:pt>
                <c:pt idx="12">
                  <c:v>4806794</c:v>
                </c:pt>
                <c:pt idx="13">
                  <c:v>4806794</c:v>
                </c:pt>
              </c:numCache>
            </c:numRef>
          </c:val>
        </c:ser>
        <c:dLbls>
          <c:showLegendKey val="0"/>
          <c:showVal val="0"/>
          <c:showCatName val="0"/>
          <c:showSerName val="0"/>
          <c:showPercent val="0"/>
          <c:showBubbleSize val="0"/>
        </c:dLbls>
        <c:gapWidth val="150"/>
        <c:axId val="318551536"/>
        <c:axId val="318552096"/>
      </c:barChart>
      <c:catAx>
        <c:axId val="318551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318552096"/>
        <c:crosses val="autoZero"/>
        <c:auto val="1"/>
        <c:lblAlgn val="ctr"/>
        <c:lblOffset val="100"/>
        <c:noMultiLvlLbl val="0"/>
      </c:catAx>
      <c:valAx>
        <c:axId val="318552096"/>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31855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l">
        <a:defRPr/>
      </a:pPr>
      <a:endParaRPr lang="ka-G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Sheet1!$C$14</c:f>
              <c:strCache>
                <c:ptCount val="1"/>
                <c:pt idx="0">
                  <c:v>DPT3-Penta3</c:v>
                </c:pt>
              </c:strCache>
            </c:strRef>
          </c:tx>
          <c:marker>
            <c:symbol val="none"/>
          </c:marker>
          <c:cat>
            <c:numRef>
              <c:f>Sheet1!$D$13:$M$13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Sheet1!$D$14:$M$14</c:f>
              <c:numCache>
                <c:formatCode>General</c:formatCode>
                <c:ptCount val="10"/>
                <c:pt idx="0">
                  <c:v>82</c:v>
                </c:pt>
                <c:pt idx="1">
                  <c:v>87.8</c:v>
                </c:pt>
                <c:pt idx="2">
                  <c:v>97.6</c:v>
                </c:pt>
                <c:pt idx="3">
                  <c:v>92</c:v>
                </c:pt>
                <c:pt idx="4">
                  <c:v>88</c:v>
                </c:pt>
                <c:pt idx="5">
                  <c:v>92</c:v>
                </c:pt>
                <c:pt idx="6">
                  <c:v>94</c:v>
                </c:pt>
                <c:pt idx="7">
                  <c:v>92</c:v>
                </c:pt>
                <c:pt idx="8">
                  <c:v>93</c:v>
                </c:pt>
                <c:pt idx="9">
                  <c:v>90.6</c:v>
                </c:pt>
              </c:numCache>
            </c:numRef>
          </c:val>
          <c:smooth val="0"/>
        </c:ser>
        <c:ser>
          <c:idx val="1"/>
          <c:order val="1"/>
          <c:tx>
            <c:strRef>
              <c:f>Sheet1!$C$15</c:f>
              <c:strCache>
                <c:ptCount val="1"/>
                <c:pt idx="0">
                  <c:v>OPV3</c:v>
                </c:pt>
              </c:strCache>
            </c:strRef>
          </c:tx>
          <c:marker>
            <c:symbol val="none"/>
          </c:marker>
          <c:cat>
            <c:numRef>
              <c:f>Sheet1!$D$13:$M$13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Sheet1!$D$15:$M$15</c:f>
              <c:numCache>
                <c:formatCode>General</c:formatCode>
                <c:ptCount val="10"/>
                <c:pt idx="0">
                  <c:v>81.5</c:v>
                </c:pt>
                <c:pt idx="1">
                  <c:v>88.5</c:v>
                </c:pt>
                <c:pt idx="2">
                  <c:v>87.5</c:v>
                </c:pt>
                <c:pt idx="3">
                  <c:v>90</c:v>
                </c:pt>
                <c:pt idx="4">
                  <c:v>93.4</c:v>
                </c:pt>
                <c:pt idx="5">
                  <c:v>88.4</c:v>
                </c:pt>
                <c:pt idx="6">
                  <c:v>88</c:v>
                </c:pt>
                <c:pt idx="7">
                  <c:v>92.8</c:v>
                </c:pt>
                <c:pt idx="8">
                  <c:v>93.7</c:v>
                </c:pt>
                <c:pt idx="9">
                  <c:v>91.2</c:v>
                </c:pt>
              </c:numCache>
            </c:numRef>
          </c:val>
          <c:smooth val="0"/>
        </c:ser>
        <c:ser>
          <c:idx val="2"/>
          <c:order val="2"/>
          <c:tx>
            <c:strRef>
              <c:f>Sheet1!$C$16</c:f>
              <c:strCache>
                <c:ptCount val="1"/>
                <c:pt idx="0">
                  <c:v>MMR1</c:v>
                </c:pt>
              </c:strCache>
            </c:strRef>
          </c:tx>
          <c:marker>
            <c:symbol val="none"/>
          </c:marker>
          <c:cat>
            <c:numRef>
              <c:f>Sheet1!$D$13:$M$13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Sheet1!$D$16:$M$16</c:f>
              <c:numCache>
                <c:formatCode>General</c:formatCode>
                <c:ptCount val="10"/>
                <c:pt idx="0">
                  <c:v>90</c:v>
                </c:pt>
                <c:pt idx="1">
                  <c:v>96</c:v>
                </c:pt>
                <c:pt idx="2">
                  <c:v>97</c:v>
                </c:pt>
                <c:pt idx="3">
                  <c:v>96.5</c:v>
                </c:pt>
                <c:pt idx="4">
                  <c:v>82.7</c:v>
                </c:pt>
                <c:pt idx="5">
                  <c:v>94.3</c:v>
                </c:pt>
                <c:pt idx="6">
                  <c:v>91</c:v>
                </c:pt>
                <c:pt idx="7">
                  <c:v>93</c:v>
                </c:pt>
                <c:pt idx="8">
                  <c:v>97</c:v>
                </c:pt>
                <c:pt idx="9">
                  <c:v>92</c:v>
                </c:pt>
              </c:numCache>
            </c:numRef>
          </c:val>
          <c:smooth val="0"/>
        </c:ser>
        <c:ser>
          <c:idx val="3"/>
          <c:order val="3"/>
          <c:tx>
            <c:strRef>
              <c:f>Sheet1!$C$17</c:f>
              <c:strCache>
                <c:ptCount val="1"/>
                <c:pt idx="0">
                  <c:v>MMR2</c:v>
                </c:pt>
              </c:strCache>
            </c:strRef>
          </c:tx>
          <c:marker>
            <c:symbol val="none"/>
          </c:marker>
          <c:cat>
            <c:numRef>
              <c:f>Sheet1!$D$13:$M$13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Sheet1!$D$17:$M$17</c:f>
              <c:numCache>
                <c:formatCode>General</c:formatCode>
                <c:ptCount val="10"/>
                <c:pt idx="0">
                  <c:v>87</c:v>
                </c:pt>
                <c:pt idx="1">
                  <c:v>88</c:v>
                </c:pt>
                <c:pt idx="2">
                  <c:v>92</c:v>
                </c:pt>
                <c:pt idx="3">
                  <c:v>87</c:v>
                </c:pt>
                <c:pt idx="4">
                  <c:v>71.400000000000006</c:v>
                </c:pt>
                <c:pt idx="5">
                  <c:v>83.8</c:v>
                </c:pt>
                <c:pt idx="6">
                  <c:v>77</c:v>
                </c:pt>
                <c:pt idx="7">
                  <c:v>79</c:v>
                </c:pt>
                <c:pt idx="8">
                  <c:v>88.7</c:v>
                </c:pt>
                <c:pt idx="9">
                  <c:v>87</c:v>
                </c:pt>
              </c:numCache>
            </c:numRef>
          </c:val>
          <c:smooth val="0"/>
        </c:ser>
        <c:ser>
          <c:idx val="4"/>
          <c:order val="4"/>
          <c:tx>
            <c:strRef>
              <c:f>Sheet1!$C$18</c:f>
              <c:strCache>
                <c:ptCount val="1"/>
                <c:pt idx="0">
                  <c:v>Rota1</c:v>
                </c:pt>
              </c:strCache>
            </c:strRef>
          </c:tx>
          <c:marker>
            <c:symbol val="none"/>
          </c:marker>
          <c:cat>
            <c:numRef>
              <c:f>Sheet1!$D$13:$M$13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Sheet1!$D$18:$M$18</c:f>
              <c:numCache>
                <c:formatCode>General</c:formatCode>
                <c:ptCount val="10"/>
                <c:pt idx="8">
                  <c:v>74</c:v>
                </c:pt>
                <c:pt idx="9">
                  <c:v>77</c:v>
                </c:pt>
              </c:numCache>
            </c:numRef>
          </c:val>
          <c:smooth val="0"/>
        </c:ser>
        <c:ser>
          <c:idx val="5"/>
          <c:order val="5"/>
          <c:tx>
            <c:strRef>
              <c:f>Sheet1!$C$19</c:f>
              <c:strCache>
                <c:ptCount val="1"/>
                <c:pt idx="0">
                  <c:v>Rota2</c:v>
                </c:pt>
              </c:strCache>
            </c:strRef>
          </c:tx>
          <c:marker>
            <c:symbol val="none"/>
          </c:marker>
          <c:cat>
            <c:numRef>
              <c:f>Sheet1!$D$13:$M$13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Sheet1!$D$19:$M$19</c:f>
              <c:numCache>
                <c:formatCode>General</c:formatCode>
                <c:ptCount val="10"/>
                <c:pt idx="8">
                  <c:v>56</c:v>
                </c:pt>
                <c:pt idx="9">
                  <c:v>69</c:v>
                </c:pt>
              </c:numCache>
            </c:numRef>
          </c:val>
          <c:smooth val="0"/>
        </c:ser>
        <c:dLbls>
          <c:showLegendKey val="0"/>
          <c:showVal val="0"/>
          <c:showCatName val="0"/>
          <c:showSerName val="0"/>
          <c:showPercent val="0"/>
          <c:showBubbleSize val="0"/>
        </c:dLbls>
        <c:smooth val="0"/>
        <c:axId val="317888096"/>
        <c:axId val="317888656"/>
      </c:lineChart>
      <c:catAx>
        <c:axId val="317888096"/>
        <c:scaling>
          <c:orientation val="minMax"/>
        </c:scaling>
        <c:delete val="0"/>
        <c:axPos val="b"/>
        <c:numFmt formatCode="General" sourceLinked="1"/>
        <c:majorTickMark val="out"/>
        <c:minorTickMark val="none"/>
        <c:tickLblPos val="nextTo"/>
        <c:crossAx val="317888656"/>
        <c:crosses val="autoZero"/>
        <c:auto val="1"/>
        <c:lblAlgn val="ctr"/>
        <c:lblOffset val="100"/>
        <c:noMultiLvlLbl val="0"/>
      </c:catAx>
      <c:valAx>
        <c:axId val="317888656"/>
        <c:scaling>
          <c:orientation val="minMax"/>
          <c:max val="100"/>
          <c:min val="50"/>
        </c:scaling>
        <c:delete val="0"/>
        <c:axPos val="l"/>
        <c:majorGridlines/>
        <c:numFmt formatCode="General" sourceLinked="1"/>
        <c:majorTickMark val="out"/>
        <c:minorTickMark val="none"/>
        <c:tickLblPos val="nextTo"/>
        <c:crossAx val="317888096"/>
        <c:crosses val="autoZero"/>
        <c:crossBetween val="between"/>
      </c:valAx>
    </c:plotArea>
    <c:legend>
      <c:legendPos val="r"/>
      <c:overlay val="0"/>
    </c:legend>
    <c:plotVisOnly val="1"/>
    <c:dispBlanksAs val="gap"/>
    <c:showDLblsOverMax val="0"/>
  </c:chart>
  <c:spPr>
    <a:ln w="12700" cmpd="sng"/>
  </c:spPr>
  <c:txPr>
    <a:bodyPr/>
    <a:lstStyle/>
    <a:p>
      <a:pPr>
        <a:defRPr sz="1000">
          <a:latin typeface="Times New Roman"/>
          <a:cs typeface="Times New Roman"/>
        </a:defRPr>
      </a:pPr>
      <a:endParaRPr lang="ka-G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Pentavalent!$B$16</c:f>
              <c:strCache>
                <c:ptCount val="1"/>
                <c:pt idx="0">
                  <c:v>Stock in hand</c:v>
                </c:pt>
              </c:strCache>
            </c:strRef>
          </c:tx>
          <c:spPr>
            <a:ln w="25400"/>
          </c:spPr>
          <c:marker>
            <c:symbol val="circle"/>
            <c:size val="5"/>
          </c:marker>
          <c:cat>
            <c:numRef>
              <c:f>Pentavalent!$A$17:$A$42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Pentavalent!$B$17:$B$42</c:f>
              <c:numCache>
                <c:formatCode>#,##0</c:formatCode>
                <c:ptCount val="26"/>
                <c:pt idx="0">
                  <c:v>100224</c:v>
                </c:pt>
                <c:pt idx="1">
                  <c:v>100224</c:v>
                </c:pt>
                <c:pt idx="2">
                  <c:v>100194</c:v>
                </c:pt>
                <c:pt idx="3">
                  <c:v>100194</c:v>
                </c:pt>
                <c:pt idx="4">
                  <c:v>126922</c:v>
                </c:pt>
                <c:pt idx="5">
                  <c:v>126922</c:v>
                </c:pt>
                <c:pt idx="6">
                  <c:v>129108</c:v>
                </c:pt>
                <c:pt idx="7">
                  <c:v>129108</c:v>
                </c:pt>
                <c:pt idx="8">
                  <c:v>101800</c:v>
                </c:pt>
                <c:pt idx="9">
                  <c:v>101800</c:v>
                </c:pt>
                <c:pt idx="10">
                  <c:v>101000</c:v>
                </c:pt>
                <c:pt idx="11">
                  <c:v>101000</c:v>
                </c:pt>
                <c:pt idx="12">
                  <c:v>11742</c:v>
                </c:pt>
                <c:pt idx="13">
                  <c:v>11742</c:v>
                </c:pt>
                <c:pt idx="14">
                  <c:v>8798</c:v>
                </c:pt>
                <c:pt idx="15">
                  <c:v>8798</c:v>
                </c:pt>
                <c:pt idx="16">
                  <c:v>26464</c:v>
                </c:pt>
                <c:pt idx="17">
                  <c:v>26464</c:v>
                </c:pt>
                <c:pt idx="18">
                  <c:v>13596</c:v>
                </c:pt>
                <c:pt idx="19">
                  <c:v>13596</c:v>
                </c:pt>
                <c:pt idx="20">
                  <c:v>36266</c:v>
                </c:pt>
                <c:pt idx="21">
                  <c:v>36266</c:v>
                </c:pt>
                <c:pt idx="22">
                  <c:v>35766</c:v>
                </c:pt>
                <c:pt idx="23">
                  <c:v>35766</c:v>
                </c:pt>
                <c:pt idx="24">
                  <c:v>7364</c:v>
                </c:pt>
                <c:pt idx="25">
                  <c:v>7364</c:v>
                </c:pt>
              </c:numCache>
            </c:numRef>
          </c:val>
          <c:smooth val="0"/>
        </c:ser>
        <c:ser>
          <c:idx val="1"/>
          <c:order val="1"/>
          <c:tx>
            <c:strRef>
              <c:f>Pentavalent!$C$16</c:f>
              <c:strCache>
                <c:ptCount val="1"/>
                <c:pt idx="0">
                  <c:v>Stock optimal</c:v>
                </c:pt>
              </c:strCache>
            </c:strRef>
          </c:tx>
          <c:spPr>
            <a:ln w="25400">
              <a:solidFill>
                <a:schemeClr val="accent4"/>
              </a:solidFill>
              <a:prstDash val="sysDash"/>
            </a:ln>
          </c:spPr>
          <c:marker>
            <c:symbol val="none"/>
          </c:marker>
          <c:cat>
            <c:numRef>
              <c:f>Pentavalent!$A$17:$A$42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Pentavalent!$C$17:$C$42</c:f>
              <c:numCache>
                <c:formatCode>#,##0</c:formatCode>
                <c:ptCount val="26"/>
                <c:pt idx="0">
                  <c:v>45843.926470588223</c:v>
                </c:pt>
                <c:pt idx="1">
                  <c:v>137531.7794117647</c:v>
                </c:pt>
                <c:pt idx="2">
                  <c:v>122250.4705882353</c:v>
                </c:pt>
                <c:pt idx="3">
                  <c:v>122250.4705882353</c:v>
                </c:pt>
                <c:pt idx="4">
                  <c:v>106969.161764706</c:v>
                </c:pt>
                <c:pt idx="5">
                  <c:v>106969.161764706</c:v>
                </c:pt>
                <c:pt idx="6">
                  <c:v>91687.852941176199</c:v>
                </c:pt>
                <c:pt idx="7">
                  <c:v>91687.852941176199</c:v>
                </c:pt>
                <c:pt idx="8">
                  <c:v>76406.544117647034</c:v>
                </c:pt>
                <c:pt idx="9">
                  <c:v>76406.544117647034</c:v>
                </c:pt>
                <c:pt idx="10">
                  <c:v>61125.235294117578</c:v>
                </c:pt>
                <c:pt idx="11">
                  <c:v>61125.235294117578</c:v>
                </c:pt>
                <c:pt idx="12">
                  <c:v>45843.926470588223</c:v>
                </c:pt>
                <c:pt idx="13">
                  <c:v>137531.7794117647</c:v>
                </c:pt>
                <c:pt idx="14">
                  <c:v>122250.4705882353</c:v>
                </c:pt>
                <c:pt idx="15">
                  <c:v>122250.4705882353</c:v>
                </c:pt>
                <c:pt idx="16">
                  <c:v>106969.161764706</c:v>
                </c:pt>
                <c:pt idx="17">
                  <c:v>106969.161764706</c:v>
                </c:pt>
                <c:pt idx="18">
                  <c:v>91687.852941176199</c:v>
                </c:pt>
                <c:pt idx="19">
                  <c:v>91687.852941176199</c:v>
                </c:pt>
                <c:pt idx="20">
                  <c:v>76406.544117647034</c:v>
                </c:pt>
                <c:pt idx="21">
                  <c:v>76406.544117647034</c:v>
                </c:pt>
                <c:pt idx="22">
                  <c:v>61125.235294117578</c:v>
                </c:pt>
                <c:pt idx="23">
                  <c:v>61125.235294117578</c:v>
                </c:pt>
                <c:pt idx="24">
                  <c:v>45843.926470588223</c:v>
                </c:pt>
                <c:pt idx="25">
                  <c:v>137531.7794117647</c:v>
                </c:pt>
              </c:numCache>
            </c:numRef>
          </c:val>
          <c:smooth val="0"/>
        </c:ser>
        <c:ser>
          <c:idx val="2"/>
          <c:order val="2"/>
          <c:tx>
            <c:strRef>
              <c:f>Pentavalent!$D$16</c:f>
              <c:strCache>
                <c:ptCount val="1"/>
                <c:pt idx="0">
                  <c:v>Stock min</c:v>
                </c:pt>
              </c:strCache>
            </c:strRef>
          </c:tx>
          <c:spPr>
            <a:ln w="25400">
              <a:solidFill>
                <a:srgbClr val="FF0000"/>
              </a:solidFill>
              <a:prstDash val="sysDash"/>
            </a:ln>
          </c:spPr>
          <c:marker>
            <c:symbol val="none"/>
          </c:marker>
          <c:cat>
            <c:numRef>
              <c:f>Pentavalent!$A$17:$A$42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Pentavalent!$D$17:$D$42</c:f>
              <c:numCache>
                <c:formatCode>#,##0</c:formatCode>
                <c:ptCount val="26"/>
                <c:pt idx="0">
                  <c:v>45843.926470588223</c:v>
                </c:pt>
                <c:pt idx="1">
                  <c:v>45843.926470588223</c:v>
                </c:pt>
                <c:pt idx="2">
                  <c:v>45843.926470588223</c:v>
                </c:pt>
                <c:pt idx="3">
                  <c:v>45843.926470588223</c:v>
                </c:pt>
                <c:pt idx="4">
                  <c:v>45843.926470588223</c:v>
                </c:pt>
                <c:pt idx="5">
                  <c:v>45843.926470588223</c:v>
                </c:pt>
                <c:pt idx="6">
                  <c:v>45843.926470588223</c:v>
                </c:pt>
                <c:pt idx="7">
                  <c:v>45843.926470588223</c:v>
                </c:pt>
                <c:pt idx="8">
                  <c:v>45843.926470588223</c:v>
                </c:pt>
                <c:pt idx="9">
                  <c:v>45843.926470588223</c:v>
                </c:pt>
                <c:pt idx="10">
                  <c:v>45843.926470588223</c:v>
                </c:pt>
                <c:pt idx="11">
                  <c:v>45843.926470588223</c:v>
                </c:pt>
                <c:pt idx="12">
                  <c:v>45843.926470588223</c:v>
                </c:pt>
                <c:pt idx="13">
                  <c:v>45843.926470588223</c:v>
                </c:pt>
                <c:pt idx="14">
                  <c:v>45843.926470588223</c:v>
                </c:pt>
                <c:pt idx="15">
                  <c:v>45843.926470588223</c:v>
                </c:pt>
                <c:pt idx="16">
                  <c:v>45843.926470588223</c:v>
                </c:pt>
                <c:pt idx="17">
                  <c:v>45843.926470588223</c:v>
                </c:pt>
                <c:pt idx="18">
                  <c:v>45843.926470588223</c:v>
                </c:pt>
                <c:pt idx="19">
                  <c:v>45843.926470588223</c:v>
                </c:pt>
                <c:pt idx="20">
                  <c:v>45843.926470588223</c:v>
                </c:pt>
                <c:pt idx="21">
                  <c:v>45843.926470588223</c:v>
                </c:pt>
                <c:pt idx="22">
                  <c:v>45843.926470588223</c:v>
                </c:pt>
                <c:pt idx="23">
                  <c:v>45843.926470588223</c:v>
                </c:pt>
                <c:pt idx="24">
                  <c:v>45843.926470588223</c:v>
                </c:pt>
                <c:pt idx="25">
                  <c:v>45843.926470588223</c:v>
                </c:pt>
              </c:numCache>
            </c:numRef>
          </c:val>
          <c:smooth val="0"/>
        </c:ser>
        <c:ser>
          <c:idx val="3"/>
          <c:order val="3"/>
          <c:tx>
            <c:strRef>
              <c:f>Pentavalent!$E$16</c:f>
              <c:strCache>
                <c:ptCount val="1"/>
                <c:pt idx="0">
                  <c:v>Stock max</c:v>
                </c:pt>
              </c:strCache>
            </c:strRef>
          </c:tx>
          <c:spPr>
            <a:ln w="25400">
              <a:solidFill>
                <a:schemeClr val="accent3"/>
              </a:solidFill>
              <a:prstDash val="sysDash"/>
            </a:ln>
          </c:spPr>
          <c:marker>
            <c:symbol val="none"/>
          </c:marker>
          <c:cat>
            <c:numRef>
              <c:f>Pentavalent!$A$17:$A$42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Pentavalent!$E$17:$E$42</c:f>
              <c:numCache>
                <c:formatCode>#,##0</c:formatCode>
                <c:ptCount val="26"/>
                <c:pt idx="0">
                  <c:v>137531.7794117647</c:v>
                </c:pt>
                <c:pt idx="1">
                  <c:v>137531.7794117647</c:v>
                </c:pt>
                <c:pt idx="2">
                  <c:v>137531.7794117647</c:v>
                </c:pt>
                <c:pt idx="3">
                  <c:v>137531.7794117647</c:v>
                </c:pt>
                <c:pt idx="4">
                  <c:v>137531.7794117647</c:v>
                </c:pt>
                <c:pt idx="5">
                  <c:v>137531.7794117647</c:v>
                </c:pt>
                <c:pt idx="6">
                  <c:v>137531.7794117647</c:v>
                </c:pt>
                <c:pt idx="7">
                  <c:v>137531.7794117647</c:v>
                </c:pt>
                <c:pt idx="8">
                  <c:v>137531.7794117647</c:v>
                </c:pt>
                <c:pt idx="9">
                  <c:v>137531.7794117647</c:v>
                </c:pt>
                <c:pt idx="10">
                  <c:v>137531.7794117647</c:v>
                </c:pt>
                <c:pt idx="11">
                  <c:v>137531.7794117647</c:v>
                </c:pt>
                <c:pt idx="12">
                  <c:v>137531.7794117647</c:v>
                </c:pt>
                <c:pt idx="13">
                  <c:v>137531.7794117647</c:v>
                </c:pt>
                <c:pt idx="14">
                  <c:v>137531.7794117647</c:v>
                </c:pt>
                <c:pt idx="15">
                  <c:v>137531.7794117647</c:v>
                </c:pt>
                <c:pt idx="16">
                  <c:v>137531.7794117647</c:v>
                </c:pt>
                <c:pt idx="17">
                  <c:v>137531.7794117647</c:v>
                </c:pt>
                <c:pt idx="18">
                  <c:v>137531.7794117647</c:v>
                </c:pt>
                <c:pt idx="19">
                  <c:v>137531.7794117647</c:v>
                </c:pt>
                <c:pt idx="20">
                  <c:v>137531.7794117647</c:v>
                </c:pt>
                <c:pt idx="21">
                  <c:v>137531.7794117647</c:v>
                </c:pt>
                <c:pt idx="22">
                  <c:v>137531.7794117647</c:v>
                </c:pt>
                <c:pt idx="23">
                  <c:v>137531.7794117647</c:v>
                </c:pt>
                <c:pt idx="24">
                  <c:v>137531.7794117647</c:v>
                </c:pt>
                <c:pt idx="25">
                  <c:v>137531.7794117647</c:v>
                </c:pt>
              </c:numCache>
            </c:numRef>
          </c:val>
          <c:smooth val="0"/>
        </c:ser>
        <c:dLbls>
          <c:showLegendKey val="0"/>
          <c:showVal val="0"/>
          <c:showCatName val="0"/>
          <c:showSerName val="0"/>
          <c:showPercent val="0"/>
          <c:showBubbleSize val="0"/>
        </c:dLbls>
        <c:marker val="1"/>
        <c:smooth val="0"/>
        <c:axId val="317683856"/>
        <c:axId val="314308048"/>
      </c:lineChart>
      <c:dateAx>
        <c:axId val="317683856"/>
        <c:scaling>
          <c:orientation val="minMax"/>
        </c:scaling>
        <c:delete val="0"/>
        <c:axPos val="b"/>
        <c:numFmt formatCode="d\-mmm" sourceLinked="1"/>
        <c:majorTickMark val="out"/>
        <c:minorTickMark val="none"/>
        <c:tickLblPos val="nextTo"/>
        <c:txPr>
          <a:bodyPr rot="-2700000"/>
          <a:lstStyle/>
          <a:p>
            <a:pPr>
              <a:defRPr/>
            </a:pPr>
            <a:endParaRPr lang="ka-GE"/>
          </a:p>
        </c:txPr>
        <c:crossAx val="314308048"/>
        <c:crosses val="autoZero"/>
        <c:auto val="1"/>
        <c:lblOffset val="100"/>
        <c:baseTimeUnit val="days"/>
      </c:dateAx>
      <c:valAx>
        <c:axId val="314308048"/>
        <c:scaling>
          <c:orientation val="minMax"/>
        </c:scaling>
        <c:delete val="0"/>
        <c:axPos val="l"/>
        <c:majorGridlines/>
        <c:numFmt formatCode="#,##0" sourceLinked="1"/>
        <c:majorTickMark val="out"/>
        <c:minorTickMark val="none"/>
        <c:tickLblPos val="nextTo"/>
        <c:crossAx val="317683856"/>
        <c:crosses val="autoZero"/>
        <c:crossBetween val="between"/>
      </c:valAx>
    </c:plotArea>
    <c:legend>
      <c:legendPos val="t"/>
      <c:overlay val="0"/>
      <c:txPr>
        <a:bodyPr/>
        <a:lstStyle/>
        <a:p>
          <a:pPr>
            <a:defRPr sz="1200"/>
          </a:pPr>
          <a:endParaRPr lang="ka-GE"/>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OPV!$B$16</c:f>
              <c:strCache>
                <c:ptCount val="1"/>
                <c:pt idx="0">
                  <c:v>Stock in hand</c:v>
                </c:pt>
              </c:strCache>
            </c:strRef>
          </c:tx>
          <c:spPr>
            <a:ln w="25400"/>
          </c:spPr>
          <c:marker>
            <c:symbol val="circle"/>
            <c:size val="5"/>
          </c:marker>
          <c:cat>
            <c:numRef>
              <c:f>OPV!$A$17:$A$42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OPV!$B$17:$B$42</c:f>
              <c:numCache>
                <c:formatCode>#,##0</c:formatCode>
                <c:ptCount val="26"/>
                <c:pt idx="0">
                  <c:v>164820</c:v>
                </c:pt>
                <c:pt idx="1">
                  <c:v>164820</c:v>
                </c:pt>
                <c:pt idx="2">
                  <c:v>163550</c:v>
                </c:pt>
                <c:pt idx="3">
                  <c:v>163550</c:v>
                </c:pt>
                <c:pt idx="4">
                  <c:v>276020</c:v>
                </c:pt>
                <c:pt idx="5">
                  <c:v>276020</c:v>
                </c:pt>
                <c:pt idx="6">
                  <c:v>270900</c:v>
                </c:pt>
                <c:pt idx="7">
                  <c:v>270900</c:v>
                </c:pt>
                <c:pt idx="8">
                  <c:v>221290</c:v>
                </c:pt>
                <c:pt idx="9">
                  <c:v>221290</c:v>
                </c:pt>
                <c:pt idx="10">
                  <c:v>218890</c:v>
                </c:pt>
                <c:pt idx="11">
                  <c:v>218890</c:v>
                </c:pt>
                <c:pt idx="12">
                  <c:v>168370</c:v>
                </c:pt>
                <c:pt idx="13">
                  <c:v>168370</c:v>
                </c:pt>
                <c:pt idx="14">
                  <c:v>162770</c:v>
                </c:pt>
                <c:pt idx="15">
                  <c:v>162770</c:v>
                </c:pt>
                <c:pt idx="16">
                  <c:v>99150</c:v>
                </c:pt>
                <c:pt idx="17">
                  <c:v>99150</c:v>
                </c:pt>
                <c:pt idx="18">
                  <c:v>45400</c:v>
                </c:pt>
                <c:pt idx="19">
                  <c:v>45400</c:v>
                </c:pt>
                <c:pt idx="20">
                  <c:v>16270</c:v>
                </c:pt>
                <c:pt idx="21">
                  <c:v>16270</c:v>
                </c:pt>
                <c:pt idx="22">
                  <c:v>3640</c:v>
                </c:pt>
                <c:pt idx="23">
                  <c:v>3640</c:v>
                </c:pt>
                <c:pt idx="24">
                  <c:v>112770</c:v>
                </c:pt>
                <c:pt idx="25">
                  <c:v>112770</c:v>
                </c:pt>
              </c:numCache>
            </c:numRef>
          </c:val>
          <c:smooth val="0"/>
        </c:ser>
        <c:ser>
          <c:idx val="1"/>
          <c:order val="1"/>
          <c:tx>
            <c:strRef>
              <c:f>OPV!$C$16</c:f>
              <c:strCache>
                <c:ptCount val="1"/>
                <c:pt idx="0">
                  <c:v>Stock optimal</c:v>
                </c:pt>
              </c:strCache>
            </c:strRef>
          </c:tx>
          <c:spPr>
            <a:ln w="25400">
              <a:solidFill>
                <a:schemeClr val="accent4"/>
              </a:solidFill>
              <a:prstDash val="sysDash"/>
            </a:ln>
          </c:spPr>
          <c:marker>
            <c:symbol val="none"/>
          </c:marker>
          <c:cat>
            <c:numRef>
              <c:f>OPV!$A$17:$A$42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OPV!$C$17:$C$42</c:f>
              <c:numCache>
                <c:formatCode>#,##0</c:formatCode>
                <c:ptCount val="26"/>
                <c:pt idx="0">
                  <c:v>76406.544117647063</c:v>
                </c:pt>
                <c:pt idx="1">
                  <c:v>229219.6323529412</c:v>
                </c:pt>
                <c:pt idx="2">
                  <c:v>203750.78431372551</c:v>
                </c:pt>
                <c:pt idx="3">
                  <c:v>203750.78431372551</c:v>
                </c:pt>
                <c:pt idx="4">
                  <c:v>178281.93627450979</c:v>
                </c:pt>
                <c:pt idx="5">
                  <c:v>178281.93627450979</c:v>
                </c:pt>
                <c:pt idx="6">
                  <c:v>152813.0882352941</c:v>
                </c:pt>
                <c:pt idx="7">
                  <c:v>152813.0882352941</c:v>
                </c:pt>
                <c:pt idx="8">
                  <c:v>127344.2401960784</c:v>
                </c:pt>
                <c:pt idx="9">
                  <c:v>127344.2401960784</c:v>
                </c:pt>
                <c:pt idx="10">
                  <c:v>101875.3921568627</c:v>
                </c:pt>
                <c:pt idx="11">
                  <c:v>101875.3921568627</c:v>
                </c:pt>
                <c:pt idx="12">
                  <c:v>76406.544117647063</c:v>
                </c:pt>
                <c:pt idx="13">
                  <c:v>229219.6323529412</c:v>
                </c:pt>
                <c:pt idx="14">
                  <c:v>203750.78431372551</c:v>
                </c:pt>
                <c:pt idx="15">
                  <c:v>203750.78431372551</c:v>
                </c:pt>
                <c:pt idx="16">
                  <c:v>178281.93627450979</c:v>
                </c:pt>
                <c:pt idx="17">
                  <c:v>178281.93627450979</c:v>
                </c:pt>
                <c:pt idx="18">
                  <c:v>152813.0882352941</c:v>
                </c:pt>
                <c:pt idx="19">
                  <c:v>152813.0882352941</c:v>
                </c:pt>
                <c:pt idx="20">
                  <c:v>127344.2401960784</c:v>
                </c:pt>
                <c:pt idx="21">
                  <c:v>127344.2401960784</c:v>
                </c:pt>
                <c:pt idx="22">
                  <c:v>101875.3921568627</c:v>
                </c:pt>
                <c:pt idx="23">
                  <c:v>101875.3921568627</c:v>
                </c:pt>
                <c:pt idx="24">
                  <c:v>76406.544117647063</c:v>
                </c:pt>
                <c:pt idx="25">
                  <c:v>229219.6323529412</c:v>
                </c:pt>
              </c:numCache>
            </c:numRef>
          </c:val>
          <c:smooth val="0"/>
        </c:ser>
        <c:ser>
          <c:idx val="2"/>
          <c:order val="2"/>
          <c:tx>
            <c:strRef>
              <c:f>OPV!$D$16</c:f>
              <c:strCache>
                <c:ptCount val="1"/>
                <c:pt idx="0">
                  <c:v>Stock min</c:v>
                </c:pt>
              </c:strCache>
            </c:strRef>
          </c:tx>
          <c:spPr>
            <a:ln w="25400">
              <a:solidFill>
                <a:srgbClr val="FF0000"/>
              </a:solidFill>
              <a:prstDash val="sysDash"/>
            </a:ln>
          </c:spPr>
          <c:marker>
            <c:symbol val="none"/>
          </c:marker>
          <c:cat>
            <c:numRef>
              <c:f>OPV!$A$17:$A$42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OPV!$D$17:$D$42</c:f>
              <c:numCache>
                <c:formatCode>#,##0</c:formatCode>
                <c:ptCount val="26"/>
                <c:pt idx="0">
                  <c:v>76406.544117647063</c:v>
                </c:pt>
                <c:pt idx="1">
                  <c:v>76406.544117647063</c:v>
                </c:pt>
                <c:pt idx="2">
                  <c:v>76406.544117647063</c:v>
                </c:pt>
                <c:pt idx="3">
                  <c:v>76406.544117647063</c:v>
                </c:pt>
                <c:pt idx="4">
                  <c:v>76406.544117647063</c:v>
                </c:pt>
                <c:pt idx="5">
                  <c:v>76406.544117647063</c:v>
                </c:pt>
                <c:pt idx="6">
                  <c:v>76406.544117647063</c:v>
                </c:pt>
                <c:pt idx="7">
                  <c:v>76406.544117647063</c:v>
                </c:pt>
                <c:pt idx="8">
                  <c:v>76406.544117647063</c:v>
                </c:pt>
                <c:pt idx="9">
                  <c:v>76406.544117647063</c:v>
                </c:pt>
                <c:pt idx="10">
                  <c:v>76406.544117647063</c:v>
                </c:pt>
                <c:pt idx="11">
                  <c:v>76406.544117647063</c:v>
                </c:pt>
                <c:pt idx="12">
                  <c:v>76406.544117647063</c:v>
                </c:pt>
                <c:pt idx="13">
                  <c:v>76406.544117647063</c:v>
                </c:pt>
                <c:pt idx="14">
                  <c:v>76406.544117647063</c:v>
                </c:pt>
                <c:pt idx="15">
                  <c:v>76406.544117647063</c:v>
                </c:pt>
                <c:pt idx="16">
                  <c:v>76406.544117647063</c:v>
                </c:pt>
                <c:pt idx="17">
                  <c:v>76406.544117647063</c:v>
                </c:pt>
                <c:pt idx="18">
                  <c:v>76406.544117647063</c:v>
                </c:pt>
                <c:pt idx="19">
                  <c:v>76406.544117647063</c:v>
                </c:pt>
                <c:pt idx="20">
                  <c:v>76406.544117647063</c:v>
                </c:pt>
                <c:pt idx="21">
                  <c:v>76406.544117647063</c:v>
                </c:pt>
                <c:pt idx="22">
                  <c:v>76406.544117647063</c:v>
                </c:pt>
                <c:pt idx="23">
                  <c:v>76406.544117647063</c:v>
                </c:pt>
                <c:pt idx="24">
                  <c:v>76406.544117647063</c:v>
                </c:pt>
                <c:pt idx="25">
                  <c:v>76406.544117647063</c:v>
                </c:pt>
              </c:numCache>
            </c:numRef>
          </c:val>
          <c:smooth val="0"/>
        </c:ser>
        <c:ser>
          <c:idx val="3"/>
          <c:order val="3"/>
          <c:tx>
            <c:strRef>
              <c:f>OPV!$E$16</c:f>
              <c:strCache>
                <c:ptCount val="1"/>
                <c:pt idx="0">
                  <c:v>Stock max</c:v>
                </c:pt>
              </c:strCache>
            </c:strRef>
          </c:tx>
          <c:spPr>
            <a:ln w="25400">
              <a:solidFill>
                <a:schemeClr val="accent3"/>
              </a:solidFill>
              <a:prstDash val="sysDash"/>
            </a:ln>
          </c:spPr>
          <c:marker>
            <c:symbol val="none"/>
          </c:marker>
          <c:cat>
            <c:numRef>
              <c:f>OPV!$A$17:$A$42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OPV!$E$17:$E$42</c:f>
              <c:numCache>
                <c:formatCode>#,##0</c:formatCode>
                <c:ptCount val="26"/>
                <c:pt idx="0">
                  <c:v>229219.6323529412</c:v>
                </c:pt>
                <c:pt idx="1">
                  <c:v>229219.6323529412</c:v>
                </c:pt>
                <c:pt idx="2">
                  <c:v>229219.6323529412</c:v>
                </c:pt>
                <c:pt idx="3">
                  <c:v>229219.6323529412</c:v>
                </c:pt>
                <c:pt idx="4">
                  <c:v>229219.6323529412</c:v>
                </c:pt>
                <c:pt idx="5">
                  <c:v>229219.6323529412</c:v>
                </c:pt>
                <c:pt idx="6">
                  <c:v>229219.6323529412</c:v>
                </c:pt>
                <c:pt idx="7">
                  <c:v>229219.6323529412</c:v>
                </c:pt>
                <c:pt idx="8">
                  <c:v>229219.6323529412</c:v>
                </c:pt>
                <c:pt idx="9">
                  <c:v>229219.6323529412</c:v>
                </c:pt>
                <c:pt idx="10">
                  <c:v>229219.6323529412</c:v>
                </c:pt>
                <c:pt idx="11">
                  <c:v>229219.6323529412</c:v>
                </c:pt>
                <c:pt idx="12">
                  <c:v>229219.6323529412</c:v>
                </c:pt>
                <c:pt idx="13">
                  <c:v>229219.6323529412</c:v>
                </c:pt>
                <c:pt idx="14">
                  <c:v>229219.6323529412</c:v>
                </c:pt>
                <c:pt idx="15">
                  <c:v>229219.6323529412</c:v>
                </c:pt>
                <c:pt idx="16">
                  <c:v>229219.6323529412</c:v>
                </c:pt>
                <c:pt idx="17">
                  <c:v>229219.6323529412</c:v>
                </c:pt>
                <c:pt idx="18">
                  <c:v>229219.6323529412</c:v>
                </c:pt>
                <c:pt idx="19">
                  <c:v>229219.6323529412</c:v>
                </c:pt>
                <c:pt idx="20">
                  <c:v>229219.6323529412</c:v>
                </c:pt>
                <c:pt idx="21">
                  <c:v>229219.6323529412</c:v>
                </c:pt>
                <c:pt idx="22">
                  <c:v>229219.6323529412</c:v>
                </c:pt>
                <c:pt idx="23">
                  <c:v>229219.6323529412</c:v>
                </c:pt>
                <c:pt idx="24">
                  <c:v>229219.6323529412</c:v>
                </c:pt>
                <c:pt idx="25">
                  <c:v>229219.6323529412</c:v>
                </c:pt>
              </c:numCache>
            </c:numRef>
          </c:val>
          <c:smooth val="0"/>
        </c:ser>
        <c:dLbls>
          <c:showLegendKey val="0"/>
          <c:showVal val="0"/>
          <c:showCatName val="0"/>
          <c:showSerName val="0"/>
          <c:showPercent val="0"/>
          <c:showBubbleSize val="0"/>
        </c:dLbls>
        <c:marker val="1"/>
        <c:smooth val="0"/>
        <c:axId val="317243120"/>
        <c:axId val="317243680"/>
      </c:lineChart>
      <c:dateAx>
        <c:axId val="317243120"/>
        <c:scaling>
          <c:orientation val="minMax"/>
        </c:scaling>
        <c:delete val="0"/>
        <c:axPos val="b"/>
        <c:numFmt formatCode="d\-mmm" sourceLinked="1"/>
        <c:majorTickMark val="out"/>
        <c:minorTickMark val="none"/>
        <c:tickLblPos val="nextTo"/>
        <c:txPr>
          <a:bodyPr rot="-2700000"/>
          <a:lstStyle/>
          <a:p>
            <a:pPr>
              <a:defRPr/>
            </a:pPr>
            <a:endParaRPr lang="ka-GE"/>
          </a:p>
        </c:txPr>
        <c:crossAx val="317243680"/>
        <c:crosses val="autoZero"/>
        <c:auto val="1"/>
        <c:lblOffset val="100"/>
        <c:baseTimeUnit val="days"/>
      </c:dateAx>
      <c:valAx>
        <c:axId val="317243680"/>
        <c:scaling>
          <c:orientation val="minMax"/>
        </c:scaling>
        <c:delete val="0"/>
        <c:axPos val="l"/>
        <c:majorGridlines/>
        <c:numFmt formatCode="#,##0" sourceLinked="1"/>
        <c:majorTickMark val="out"/>
        <c:minorTickMark val="none"/>
        <c:tickLblPos val="nextTo"/>
        <c:crossAx val="317243120"/>
        <c:crosses val="autoZero"/>
        <c:crossBetween val="between"/>
      </c:valAx>
    </c:plotArea>
    <c:legend>
      <c:legendPos val="t"/>
      <c:overlay val="0"/>
      <c:txPr>
        <a:bodyPr/>
        <a:lstStyle/>
        <a:p>
          <a:pPr>
            <a:defRPr sz="1200"/>
          </a:pPr>
          <a:endParaRPr lang="ka-GE"/>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MMR!$B$16</c:f>
              <c:strCache>
                <c:ptCount val="1"/>
                <c:pt idx="0">
                  <c:v>Stock in hand</c:v>
                </c:pt>
              </c:strCache>
            </c:strRef>
          </c:tx>
          <c:spPr>
            <a:ln w="25400"/>
          </c:spPr>
          <c:marker>
            <c:symbol val="circle"/>
            <c:size val="5"/>
          </c:marker>
          <c:cat>
            <c:numRef>
              <c:f>MMR!$A$17:$A$42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MMR!$B$17:$B$42</c:f>
              <c:numCache>
                <c:formatCode>#,##0</c:formatCode>
                <c:ptCount val="26"/>
                <c:pt idx="0">
                  <c:v>2127</c:v>
                </c:pt>
                <c:pt idx="1">
                  <c:v>2127</c:v>
                </c:pt>
                <c:pt idx="2">
                  <c:v>2072</c:v>
                </c:pt>
                <c:pt idx="3">
                  <c:v>2072</c:v>
                </c:pt>
                <c:pt idx="4">
                  <c:v>27636</c:v>
                </c:pt>
                <c:pt idx="5">
                  <c:v>27636</c:v>
                </c:pt>
                <c:pt idx="6">
                  <c:v>18948</c:v>
                </c:pt>
                <c:pt idx="7">
                  <c:v>18948</c:v>
                </c:pt>
                <c:pt idx="8">
                  <c:v>67732</c:v>
                </c:pt>
                <c:pt idx="9">
                  <c:v>67732</c:v>
                </c:pt>
                <c:pt idx="10">
                  <c:v>65616</c:v>
                </c:pt>
                <c:pt idx="11">
                  <c:v>65616</c:v>
                </c:pt>
                <c:pt idx="12">
                  <c:v>151662</c:v>
                </c:pt>
                <c:pt idx="13">
                  <c:v>151662</c:v>
                </c:pt>
                <c:pt idx="14">
                  <c:v>147008</c:v>
                </c:pt>
                <c:pt idx="15">
                  <c:v>147008</c:v>
                </c:pt>
                <c:pt idx="16">
                  <c:v>74268</c:v>
                </c:pt>
                <c:pt idx="17">
                  <c:v>74268</c:v>
                </c:pt>
                <c:pt idx="18">
                  <c:v>87498</c:v>
                </c:pt>
                <c:pt idx="19">
                  <c:v>87498</c:v>
                </c:pt>
                <c:pt idx="20">
                  <c:v>38752</c:v>
                </c:pt>
                <c:pt idx="21">
                  <c:v>38752</c:v>
                </c:pt>
                <c:pt idx="22">
                  <c:v>20972</c:v>
                </c:pt>
                <c:pt idx="23">
                  <c:v>20972</c:v>
                </c:pt>
                <c:pt idx="24">
                  <c:v>7394</c:v>
                </c:pt>
                <c:pt idx="25">
                  <c:v>7394</c:v>
                </c:pt>
              </c:numCache>
            </c:numRef>
          </c:val>
          <c:smooth val="0"/>
        </c:ser>
        <c:ser>
          <c:idx val="1"/>
          <c:order val="1"/>
          <c:tx>
            <c:strRef>
              <c:f>MMR!$C$16</c:f>
              <c:strCache>
                <c:ptCount val="1"/>
                <c:pt idx="0">
                  <c:v>Stock optimal</c:v>
                </c:pt>
              </c:strCache>
            </c:strRef>
          </c:tx>
          <c:spPr>
            <a:ln w="25400">
              <a:solidFill>
                <a:schemeClr val="accent4"/>
              </a:solidFill>
              <a:prstDash val="sysDash"/>
            </a:ln>
          </c:spPr>
          <c:marker>
            <c:symbol val="none"/>
          </c:marker>
          <c:cat>
            <c:numRef>
              <c:f>MMR!$A$17:$A$42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MMR!$C$17:$C$42</c:f>
              <c:numCache>
                <c:formatCode>#,##0</c:formatCode>
                <c:ptCount val="26"/>
                <c:pt idx="0">
                  <c:v>30724.676470588231</c:v>
                </c:pt>
                <c:pt idx="1">
                  <c:v>92174.029411764699</c:v>
                </c:pt>
                <c:pt idx="2">
                  <c:v>81932.470588235286</c:v>
                </c:pt>
                <c:pt idx="3">
                  <c:v>81932.470588235286</c:v>
                </c:pt>
                <c:pt idx="4">
                  <c:v>71690.911764705874</c:v>
                </c:pt>
                <c:pt idx="5">
                  <c:v>71690.911764705874</c:v>
                </c:pt>
                <c:pt idx="6">
                  <c:v>61449.352941176461</c:v>
                </c:pt>
                <c:pt idx="7">
                  <c:v>61449.352941176461</c:v>
                </c:pt>
                <c:pt idx="8">
                  <c:v>51207.794117647063</c:v>
                </c:pt>
                <c:pt idx="9">
                  <c:v>51207.794117647063</c:v>
                </c:pt>
                <c:pt idx="10">
                  <c:v>40966.235294117578</c:v>
                </c:pt>
                <c:pt idx="11">
                  <c:v>40966.235294117578</c:v>
                </c:pt>
                <c:pt idx="12">
                  <c:v>30724.676470588231</c:v>
                </c:pt>
                <c:pt idx="13">
                  <c:v>92174.029411764699</c:v>
                </c:pt>
                <c:pt idx="14">
                  <c:v>81932.470588235286</c:v>
                </c:pt>
                <c:pt idx="15">
                  <c:v>81932.470588235286</c:v>
                </c:pt>
                <c:pt idx="16">
                  <c:v>71690.911764705874</c:v>
                </c:pt>
                <c:pt idx="17">
                  <c:v>71690.911764705874</c:v>
                </c:pt>
                <c:pt idx="18">
                  <c:v>61449.352941176461</c:v>
                </c:pt>
                <c:pt idx="19">
                  <c:v>61449.352941176461</c:v>
                </c:pt>
                <c:pt idx="20">
                  <c:v>51207.794117647063</c:v>
                </c:pt>
                <c:pt idx="21">
                  <c:v>51207.794117647063</c:v>
                </c:pt>
                <c:pt idx="22">
                  <c:v>40966.235294117578</c:v>
                </c:pt>
                <c:pt idx="23">
                  <c:v>40966.235294117578</c:v>
                </c:pt>
                <c:pt idx="24">
                  <c:v>30724.676470588231</c:v>
                </c:pt>
                <c:pt idx="25">
                  <c:v>92174.029411764699</c:v>
                </c:pt>
              </c:numCache>
            </c:numRef>
          </c:val>
          <c:smooth val="0"/>
        </c:ser>
        <c:ser>
          <c:idx val="2"/>
          <c:order val="2"/>
          <c:tx>
            <c:strRef>
              <c:f>MMR!$D$16</c:f>
              <c:strCache>
                <c:ptCount val="1"/>
                <c:pt idx="0">
                  <c:v>Stock min</c:v>
                </c:pt>
              </c:strCache>
            </c:strRef>
          </c:tx>
          <c:spPr>
            <a:ln w="25400">
              <a:solidFill>
                <a:srgbClr val="FF0000"/>
              </a:solidFill>
              <a:prstDash val="sysDash"/>
            </a:ln>
          </c:spPr>
          <c:marker>
            <c:symbol val="none"/>
          </c:marker>
          <c:cat>
            <c:numRef>
              <c:f>MMR!$A$17:$A$42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MMR!$D$17:$D$42</c:f>
              <c:numCache>
                <c:formatCode>#,##0</c:formatCode>
                <c:ptCount val="26"/>
                <c:pt idx="0">
                  <c:v>30724.676470588231</c:v>
                </c:pt>
                <c:pt idx="1">
                  <c:v>30724.676470588231</c:v>
                </c:pt>
                <c:pt idx="2">
                  <c:v>30724.676470588231</c:v>
                </c:pt>
                <c:pt idx="3">
                  <c:v>30724.676470588231</c:v>
                </c:pt>
                <c:pt idx="4">
                  <c:v>30724.676470588231</c:v>
                </c:pt>
                <c:pt idx="5">
                  <c:v>30724.676470588231</c:v>
                </c:pt>
                <c:pt idx="6">
                  <c:v>30724.676470588231</c:v>
                </c:pt>
                <c:pt idx="7">
                  <c:v>30724.676470588231</c:v>
                </c:pt>
                <c:pt idx="8">
                  <c:v>30724.676470588231</c:v>
                </c:pt>
                <c:pt idx="9">
                  <c:v>30724.676470588231</c:v>
                </c:pt>
                <c:pt idx="10">
                  <c:v>30724.676470588231</c:v>
                </c:pt>
                <c:pt idx="11">
                  <c:v>30724.676470588231</c:v>
                </c:pt>
                <c:pt idx="12">
                  <c:v>30724.676470588231</c:v>
                </c:pt>
                <c:pt idx="13">
                  <c:v>30724.676470588231</c:v>
                </c:pt>
                <c:pt idx="14">
                  <c:v>30724.676470588231</c:v>
                </c:pt>
                <c:pt idx="15">
                  <c:v>30724.676470588231</c:v>
                </c:pt>
                <c:pt idx="16">
                  <c:v>30724.676470588231</c:v>
                </c:pt>
                <c:pt idx="17">
                  <c:v>30724.676470588231</c:v>
                </c:pt>
                <c:pt idx="18">
                  <c:v>30724.676470588231</c:v>
                </c:pt>
                <c:pt idx="19">
                  <c:v>30724.676470588231</c:v>
                </c:pt>
                <c:pt idx="20">
                  <c:v>30724.676470588231</c:v>
                </c:pt>
                <c:pt idx="21">
                  <c:v>30724.676470588231</c:v>
                </c:pt>
                <c:pt idx="22">
                  <c:v>30724.676470588231</c:v>
                </c:pt>
                <c:pt idx="23">
                  <c:v>30724.676470588231</c:v>
                </c:pt>
                <c:pt idx="24">
                  <c:v>30724.676470588231</c:v>
                </c:pt>
                <c:pt idx="25">
                  <c:v>30724.676470588231</c:v>
                </c:pt>
              </c:numCache>
            </c:numRef>
          </c:val>
          <c:smooth val="0"/>
        </c:ser>
        <c:ser>
          <c:idx val="3"/>
          <c:order val="3"/>
          <c:tx>
            <c:strRef>
              <c:f>MMR!$E$16</c:f>
              <c:strCache>
                <c:ptCount val="1"/>
                <c:pt idx="0">
                  <c:v>Stock max</c:v>
                </c:pt>
              </c:strCache>
            </c:strRef>
          </c:tx>
          <c:spPr>
            <a:ln w="25400">
              <a:solidFill>
                <a:schemeClr val="accent3"/>
              </a:solidFill>
              <a:prstDash val="sysDash"/>
            </a:ln>
          </c:spPr>
          <c:marker>
            <c:symbol val="none"/>
          </c:marker>
          <c:cat>
            <c:numRef>
              <c:f>MMR!$A$17:$A$42</c:f>
              <c:numCache>
                <c:formatCode>d\-mmm</c:formatCode>
                <c:ptCount val="26"/>
                <c:pt idx="0">
                  <c:v>40178</c:v>
                </c:pt>
                <c:pt idx="1">
                  <c:v>40178</c:v>
                </c:pt>
                <c:pt idx="2">
                  <c:v>40209</c:v>
                </c:pt>
                <c:pt idx="3">
                  <c:v>40209</c:v>
                </c:pt>
                <c:pt idx="4">
                  <c:v>40237</c:v>
                </c:pt>
                <c:pt idx="5">
                  <c:v>40237</c:v>
                </c:pt>
                <c:pt idx="6">
                  <c:v>40268</c:v>
                </c:pt>
                <c:pt idx="7">
                  <c:v>40268</c:v>
                </c:pt>
                <c:pt idx="8">
                  <c:v>40298</c:v>
                </c:pt>
                <c:pt idx="9">
                  <c:v>40298</c:v>
                </c:pt>
                <c:pt idx="10">
                  <c:v>40329</c:v>
                </c:pt>
                <c:pt idx="11">
                  <c:v>40329</c:v>
                </c:pt>
                <c:pt idx="12">
                  <c:v>40359</c:v>
                </c:pt>
                <c:pt idx="13">
                  <c:v>40359</c:v>
                </c:pt>
                <c:pt idx="14">
                  <c:v>40390</c:v>
                </c:pt>
                <c:pt idx="15">
                  <c:v>40390</c:v>
                </c:pt>
                <c:pt idx="16">
                  <c:v>40421</c:v>
                </c:pt>
                <c:pt idx="17">
                  <c:v>40421</c:v>
                </c:pt>
                <c:pt idx="18">
                  <c:v>40451</c:v>
                </c:pt>
                <c:pt idx="19">
                  <c:v>40451</c:v>
                </c:pt>
                <c:pt idx="20">
                  <c:v>40482</c:v>
                </c:pt>
                <c:pt idx="21">
                  <c:v>40482</c:v>
                </c:pt>
                <c:pt idx="22">
                  <c:v>40512</c:v>
                </c:pt>
                <c:pt idx="23">
                  <c:v>40512</c:v>
                </c:pt>
                <c:pt idx="24">
                  <c:v>40543</c:v>
                </c:pt>
                <c:pt idx="25">
                  <c:v>40543</c:v>
                </c:pt>
              </c:numCache>
            </c:numRef>
          </c:cat>
          <c:val>
            <c:numRef>
              <c:f>MMR!$E$17:$E$42</c:f>
              <c:numCache>
                <c:formatCode>#,##0</c:formatCode>
                <c:ptCount val="26"/>
                <c:pt idx="0">
                  <c:v>92174.029411764699</c:v>
                </c:pt>
                <c:pt idx="1">
                  <c:v>92174.029411764699</c:v>
                </c:pt>
                <c:pt idx="2">
                  <c:v>92174.029411764699</c:v>
                </c:pt>
                <c:pt idx="3">
                  <c:v>92174.029411764699</c:v>
                </c:pt>
                <c:pt idx="4">
                  <c:v>92174.029411764699</c:v>
                </c:pt>
                <c:pt idx="5">
                  <c:v>92174.029411764699</c:v>
                </c:pt>
                <c:pt idx="6">
                  <c:v>92174.029411764699</c:v>
                </c:pt>
                <c:pt idx="7">
                  <c:v>92174.029411764699</c:v>
                </c:pt>
                <c:pt idx="8">
                  <c:v>92174.029411764699</c:v>
                </c:pt>
                <c:pt idx="9">
                  <c:v>92174.029411764699</c:v>
                </c:pt>
                <c:pt idx="10">
                  <c:v>92174.029411764699</c:v>
                </c:pt>
                <c:pt idx="11">
                  <c:v>92174.029411764699</c:v>
                </c:pt>
                <c:pt idx="12">
                  <c:v>92174.029411764699</c:v>
                </c:pt>
                <c:pt idx="13">
                  <c:v>92174.029411764699</c:v>
                </c:pt>
                <c:pt idx="14">
                  <c:v>92174.029411764699</c:v>
                </c:pt>
                <c:pt idx="15">
                  <c:v>92174.029411764699</c:v>
                </c:pt>
                <c:pt idx="16">
                  <c:v>92174.029411764699</c:v>
                </c:pt>
                <c:pt idx="17">
                  <c:v>92174.029411764699</c:v>
                </c:pt>
                <c:pt idx="18">
                  <c:v>92174.029411764699</c:v>
                </c:pt>
                <c:pt idx="19">
                  <c:v>92174.029411764699</c:v>
                </c:pt>
                <c:pt idx="20">
                  <c:v>92174.029411764699</c:v>
                </c:pt>
                <c:pt idx="21">
                  <c:v>92174.029411764699</c:v>
                </c:pt>
                <c:pt idx="22">
                  <c:v>92174.029411764699</c:v>
                </c:pt>
                <c:pt idx="23">
                  <c:v>92174.029411764699</c:v>
                </c:pt>
                <c:pt idx="24">
                  <c:v>92174.029411764699</c:v>
                </c:pt>
                <c:pt idx="25">
                  <c:v>92174.029411764699</c:v>
                </c:pt>
              </c:numCache>
            </c:numRef>
          </c:val>
          <c:smooth val="0"/>
        </c:ser>
        <c:dLbls>
          <c:showLegendKey val="0"/>
          <c:showVal val="0"/>
          <c:showCatName val="0"/>
          <c:showSerName val="0"/>
          <c:showPercent val="0"/>
          <c:showBubbleSize val="0"/>
        </c:dLbls>
        <c:marker val="1"/>
        <c:smooth val="0"/>
        <c:axId val="316835904"/>
        <c:axId val="316836464"/>
      </c:lineChart>
      <c:dateAx>
        <c:axId val="316835904"/>
        <c:scaling>
          <c:orientation val="minMax"/>
        </c:scaling>
        <c:delete val="0"/>
        <c:axPos val="b"/>
        <c:numFmt formatCode="d\-mmm" sourceLinked="1"/>
        <c:majorTickMark val="out"/>
        <c:minorTickMark val="none"/>
        <c:tickLblPos val="nextTo"/>
        <c:txPr>
          <a:bodyPr rot="-2700000"/>
          <a:lstStyle/>
          <a:p>
            <a:pPr>
              <a:defRPr/>
            </a:pPr>
            <a:endParaRPr lang="ka-GE"/>
          </a:p>
        </c:txPr>
        <c:crossAx val="316836464"/>
        <c:crosses val="autoZero"/>
        <c:auto val="1"/>
        <c:lblOffset val="100"/>
        <c:baseTimeUnit val="days"/>
      </c:dateAx>
      <c:valAx>
        <c:axId val="316836464"/>
        <c:scaling>
          <c:orientation val="minMax"/>
        </c:scaling>
        <c:delete val="0"/>
        <c:axPos val="l"/>
        <c:majorGridlines/>
        <c:numFmt formatCode="#,##0" sourceLinked="1"/>
        <c:majorTickMark val="out"/>
        <c:minorTickMark val="none"/>
        <c:tickLblPos val="nextTo"/>
        <c:crossAx val="316835904"/>
        <c:crosses val="autoZero"/>
        <c:crossBetween val="between"/>
      </c:valAx>
    </c:plotArea>
    <c:legend>
      <c:legendPos val="t"/>
      <c:overlay val="0"/>
      <c:txPr>
        <a:bodyPr/>
        <a:lstStyle/>
        <a:p>
          <a:pPr>
            <a:defRPr sz="1200"/>
          </a:pPr>
          <a:endParaRPr lang="ka-GE"/>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5353E-3DEB-4557-A101-28557312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12582</Words>
  <Characters>71720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84134</CharactersWithSpaces>
  <SharedDoc>false</SharedDoc>
  <HyperlinkBase/>
  <HLinks>
    <vt:vector size="18" baseType="variant">
      <vt:variant>
        <vt:i4>5898262</vt:i4>
      </vt:variant>
      <vt:variant>
        <vt:i4>60</vt:i4>
      </vt:variant>
      <vt:variant>
        <vt:i4>0</vt:i4>
      </vt:variant>
      <vt:variant>
        <vt:i4>5</vt:i4>
      </vt:variant>
      <vt:variant>
        <vt:lpwstr>http://www.unicef.ge//lngeng</vt:lpwstr>
      </vt:variant>
      <vt:variant>
        <vt:lpwstr/>
      </vt:variant>
      <vt:variant>
        <vt:i4>852034</vt:i4>
      </vt:variant>
      <vt:variant>
        <vt:i4>57</vt:i4>
      </vt:variant>
      <vt:variant>
        <vt:i4>0</vt:i4>
      </vt:variant>
      <vt:variant>
        <vt:i4>5</vt:i4>
      </vt:variant>
      <vt:variant>
        <vt:lpwstr>http://www.euro.who.int/en/countries/georgia</vt:lpwstr>
      </vt:variant>
      <vt:variant>
        <vt:lpwstr/>
      </vt:variant>
      <vt:variant>
        <vt:i4>5767221</vt:i4>
      </vt:variant>
      <vt:variant>
        <vt:i4>54</vt:i4>
      </vt:variant>
      <vt:variant>
        <vt:i4>0</vt:i4>
      </vt:variant>
      <vt:variant>
        <vt:i4>5</vt:i4>
      </vt:variant>
      <vt:variant>
        <vt:lpwstr>http://www.moh.gov.ge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Laurent</dc:creator>
  <cp:keywords/>
  <dc:description/>
  <cp:lastModifiedBy>User</cp:lastModifiedBy>
  <cp:revision>2</cp:revision>
  <cp:lastPrinted>2008-09-05T11:48:00Z</cp:lastPrinted>
  <dcterms:created xsi:type="dcterms:W3CDTF">2015-09-19T08:07:00Z</dcterms:created>
  <dcterms:modified xsi:type="dcterms:W3CDTF">2015-09-19T08:07:00Z</dcterms:modified>
  <cp:category/>
</cp:coreProperties>
</file>