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CC6" w:rsidRPr="00C0719A" w:rsidRDefault="003D6E1F" w:rsidP="004432F8">
      <w:pPr>
        <w:spacing w:after="100" w:afterAutospacing="1" w:line="825" w:lineRule="atLeast"/>
        <w:jc w:val="center"/>
        <w:outlineLvl w:val="0"/>
        <w:rPr>
          <w:rFonts w:eastAsia="Times New Roman" w:cstheme="minorHAnsi"/>
          <w:b/>
          <w:bCs/>
          <w:color w:val="3C4245"/>
          <w:kern w:val="36"/>
          <w:sz w:val="28"/>
          <w:szCs w:val="24"/>
        </w:rPr>
      </w:pPr>
      <w:r w:rsidRPr="00C0719A">
        <w:rPr>
          <w:rFonts w:eastAsia="Times New Roman" w:cstheme="minorHAnsi"/>
          <w:b/>
          <w:bCs/>
          <w:color w:val="3C4245"/>
          <w:kern w:val="36"/>
          <w:sz w:val="28"/>
          <w:szCs w:val="24"/>
        </w:rPr>
        <w:t xml:space="preserve">Global Response to </w:t>
      </w:r>
      <w:r w:rsidR="00936CC6" w:rsidRPr="00C0719A">
        <w:rPr>
          <w:rFonts w:eastAsia="Times New Roman" w:cstheme="minorHAnsi"/>
          <w:b/>
          <w:bCs/>
          <w:color w:val="3C4245"/>
          <w:kern w:val="36"/>
          <w:sz w:val="28"/>
          <w:szCs w:val="24"/>
        </w:rPr>
        <w:t>Tuberculosis</w:t>
      </w:r>
      <w:r w:rsidRPr="00C0719A">
        <w:rPr>
          <w:rFonts w:eastAsia="Times New Roman" w:cstheme="minorHAnsi"/>
          <w:b/>
          <w:bCs/>
          <w:color w:val="3C4245"/>
          <w:kern w:val="36"/>
          <w:sz w:val="28"/>
          <w:szCs w:val="24"/>
        </w:rPr>
        <w:t xml:space="preserve"> Epidemic</w:t>
      </w:r>
    </w:p>
    <w:p w:rsidR="00827660" w:rsidRPr="00C0719A" w:rsidRDefault="00827660" w:rsidP="00827660">
      <w:pPr>
        <w:spacing w:before="100" w:beforeAutospacing="1" w:after="75" w:line="240" w:lineRule="auto"/>
        <w:ind w:left="135"/>
        <w:jc w:val="both"/>
        <w:rPr>
          <w:rStyle w:val="Strong"/>
          <w:rFonts w:cstheme="minorHAnsi"/>
          <w:color w:val="555555"/>
          <w:sz w:val="24"/>
          <w:szCs w:val="24"/>
          <w:bdr w:val="none" w:sz="0" w:space="0" w:color="auto" w:frame="1"/>
          <w:shd w:val="clear" w:color="auto" w:fill="FFFFFF"/>
          <w:lang w:val="ka-GE"/>
        </w:rPr>
      </w:pPr>
    </w:p>
    <w:p w:rsidR="00827660" w:rsidRPr="00C0719A" w:rsidRDefault="00827660" w:rsidP="00827660">
      <w:pPr>
        <w:spacing w:before="100" w:beforeAutospacing="1" w:after="75" w:line="240" w:lineRule="auto"/>
        <w:ind w:left="135"/>
        <w:jc w:val="both"/>
        <w:rPr>
          <w:rStyle w:val="Strong"/>
          <w:rFonts w:eastAsia="Times New Roman" w:cstheme="minorHAnsi"/>
          <w:color w:val="3C4245"/>
          <w:sz w:val="24"/>
          <w:szCs w:val="24"/>
        </w:rPr>
      </w:pPr>
      <w:r w:rsidRPr="00C0719A">
        <w:rPr>
          <w:rStyle w:val="Strong"/>
          <w:rFonts w:cstheme="minorHAnsi"/>
          <w:color w:val="555555"/>
          <w:sz w:val="24"/>
          <w:szCs w:val="24"/>
          <w:bdr w:val="none" w:sz="0" w:space="0" w:color="auto" w:frame="1"/>
          <w:shd w:val="clear" w:color="auto" w:fill="FFFFFF"/>
        </w:rPr>
        <w:t>High global burden of disease and death</w:t>
      </w:r>
    </w:p>
    <w:p w:rsidR="00953B80" w:rsidRPr="00C0719A" w:rsidRDefault="00953B80" w:rsidP="00953B80">
      <w:pPr>
        <w:numPr>
          <w:ilvl w:val="0"/>
          <w:numId w:val="2"/>
        </w:numPr>
        <w:spacing w:before="100" w:beforeAutospacing="1" w:after="75" w:line="240" w:lineRule="auto"/>
        <w:ind w:left="495"/>
        <w:jc w:val="both"/>
        <w:rPr>
          <w:rFonts w:eastAsia="Times New Roman" w:cstheme="minorHAnsi"/>
          <w:b/>
          <w:bCs/>
          <w:color w:val="3C4245"/>
          <w:sz w:val="24"/>
          <w:szCs w:val="24"/>
        </w:rPr>
      </w:pPr>
      <w:r w:rsidRPr="00C0719A">
        <w:rPr>
          <w:rFonts w:cstheme="minorHAnsi"/>
          <w:sz w:val="24"/>
          <w:szCs w:val="24"/>
        </w:rPr>
        <w:t>TB is one of the top 10 causes of death and top infectious killer worldwide. It is also the main cause of deaths related to antimicrobial resistance and the leading killer of people with HIV, in 2016, 40% of HIV</w:t>
      </w:r>
      <w:r w:rsidRPr="00C0719A">
        <w:rPr>
          <w:rFonts w:eastAsia="Times New Roman" w:cstheme="minorHAnsi"/>
          <w:b/>
          <w:bCs/>
          <w:color w:val="3C4245"/>
          <w:sz w:val="24"/>
          <w:szCs w:val="24"/>
        </w:rPr>
        <w:t xml:space="preserve"> </w:t>
      </w:r>
      <w:r w:rsidRPr="00C0719A">
        <w:rPr>
          <w:rFonts w:cstheme="minorHAnsi"/>
          <w:sz w:val="24"/>
          <w:szCs w:val="24"/>
        </w:rPr>
        <w:t>deaths were due to TB.</w:t>
      </w:r>
    </w:p>
    <w:p w:rsidR="00936CC6" w:rsidRPr="00C0719A" w:rsidRDefault="00936CC6" w:rsidP="001048F7">
      <w:pPr>
        <w:numPr>
          <w:ilvl w:val="0"/>
          <w:numId w:val="2"/>
        </w:numPr>
        <w:spacing w:before="100" w:beforeAutospacing="1" w:after="75" w:line="240" w:lineRule="auto"/>
        <w:ind w:left="495"/>
        <w:jc w:val="both"/>
        <w:rPr>
          <w:rFonts w:cstheme="minorHAnsi"/>
          <w:sz w:val="24"/>
          <w:szCs w:val="24"/>
        </w:rPr>
      </w:pPr>
      <w:r w:rsidRPr="00C0719A">
        <w:rPr>
          <w:rFonts w:cstheme="minorHAnsi"/>
          <w:sz w:val="24"/>
          <w:szCs w:val="24"/>
        </w:rPr>
        <w:t>In 2016, 10.4 million people fell ill with TB, and 1.7 million died from the disease (including 0.4 million among people with HIV). Over 95% of TB deaths occur in low- and middle-income countries.</w:t>
      </w:r>
    </w:p>
    <w:p w:rsidR="004432F8" w:rsidRPr="00C0719A" w:rsidRDefault="00936CC6" w:rsidP="004432F8">
      <w:pPr>
        <w:numPr>
          <w:ilvl w:val="0"/>
          <w:numId w:val="2"/>
        </w:numPr>
        <w:spacing w:before="100" w:beforeAutospacing="1" w:after="75" w:line="240" w:lineRule="auto"/>
        <w:ind w:left="495"/>
        <w:jc w:val="both"/>
        <w:rPr>
          <w:rFonts w:cstheme="minorHAnsi"/>
          <w:sz w:val="24"/>
          <w:szCs w:val="24"/>
        </w:rPr>
      </w:pPr>
      <w:r w:rsidRPr="00C0719A">
        <w:rPr>
          <w:rFonts w:cstheme="minorHAnsi"/>
          <w:sz w:val="24"/>
          <w:szCs w:val="24"/>
        </w:rPr>
        <w:t>In 2016, an estimated 1 million children became ill with TB and 250 000 children died of TB (including children with HIV associated TB).</w:t>
      </w:r>
      <w:r w:rsidR="004432F8" w:rsidRPr="00C0719A">
        <w:rPr>
          <w:rFonts w:cstheme="minorHAnsi"/>
          <w:sz w:val="24"/>
          <w:szCs w:val="24"/>
        </w:rPr>
        <w:t xml:space="preserve"> </w:t>
      </w:r>
    </w:p>
    <w:p w:rsidR="00936CC6" w:rsidRPr="00C0719A" w:rsidRDefault="004432F8" w:rsidP="001048F7">
      <w:pPr>
        <w:numPr>
          <w:ilvl w:val="0"/>
          <w:numId w:val="2"/>
        </w:numPr>
        <w:spacing w:before="100" w:beforeAutospacing="1" w:after="75" w:line="240" w:lineRule="auto"/>
        <w:ind w:left="495"/>
        <w:jc w:val="both"/>
        <w:rPr>
          <w:rFonts w:eastAsia="Times New Roman" w:cstheme="minorHAnsi"/>
          <w:bCs/>
          <w:color w:val="3C4245"/>
          <w:sz w:val="24"/>
          <w:szCs w:val="24"/>
        </w:rPr>
      </w:pPr>
      <w:r w:rsidRPr="00C0719A">
        <w:rPr>
          <w:rFonts w:cstheme="minorHAnsi"/>
          <w:sz w:val="24"/>
          <w:szCs w:val="24"/>
        </w:rPr>
        <w:t>During the period 2007–2016, the WHO European Region faced an unprecedented increase in HIV prevalence in incident TB cases from 3% to 12%. This is higher than both the global average and the dynamic, which declined from 13% in 2007 to 10% in 2016.</w:t>
      </w:r>
    </w:p>
    <w:p w:rsidR="00F8059A" w:rsidRPr="00C0719A" w:rsidRDefault="00F8059A" w:rsidP="00F8059A">
      <w:pPr>
        <w:spacing w:before="100" w:beforeAutospacing="1" w:after="75" w:line="240" w:lineRule="auto"/>
        <w:ind w:left="495"/>
        <w:jc w:val="both"/>
        <w:rPr>
          <w:rFonts w:eastAsia="Times New Roman" w:cstheme="minorHAnsi"/>
          <w:bCs/>
          <w:color w:val="3C4245"/>
          <w:sz w:val="24"/>
          <w:szCs w:val="24"/>
        </w:rPr>
      </w:pPr>
      <w:r w:rsidRPr="00C0719A">
        <w:rPr>
          <w:rFonts w:eastAsia="Times New Roman" w:cstheme="minorHAnsi"/>
          <w:bCs/>
          <w:color w:val="3C4245"/>
          <w:sz w:val="24"/>
          <w:szCs w:val="24"/>
        </w:rPr>
        <w:t>Estimated Tuberculosis Cases per 100,000 population 2016</w:t>
      </w:r>
    </w:p>
    <w:p w:rsidR="00EF647D" w:rsidRPr="00C0719A" w:rsidRDefault="00233078" w:rsidP="00EF647D">
      <w:pPr>
        <w:spacing w:before="100" w:beforeAutospacing="1" w:after="75" w:line="240" w:lineRule="auto"/>
        <w:ind w:left="495"/>
        <w:jc w:val="both"/>
        <w:rPr>
          <w:rFonts w:eastAsia="Times New Roman" w:cstheme="minorHAnsi"/>
          <w:b/>
          <w:bCs/>
          <w:color w:val="3C4245"/>
          <w:sz w:val="24"/>
          <w:szCs w:val="24"/>
          <w:lang w:val="ka-GE"/>
        </w:rPr>
      </w:pPr>
      <w:r w:rsidRPr="00C0719A">
        <w:rPr>
          <w:rFonts w:eastAsia="Times New Roman" w:cstheme="minorHAnsi"/>
          <w:b/>
          <w:bCs/>
          <w:noProof/>
          <w:color w:val="3C4245"/>
          <w:sz w:val="24"/>
          <w:szCs w:val="24"/>
        </w:rPr>
        <w:drawing>
          <wp:inline distT="0" distB="0" distL="0" distR="0">
            <wp:extent cx="5410200" cy="2686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0200" cy="2686050"/>
                    </a:xfrm>
                    <a:prstGeom prst="rect">
                      <a:avLst/>
                    </a:prstGeom>
                    <a:noFill/>
                    <a:ln>
                      <a:noFill/>
                    </a:ln>
                  </pic:spPr>
                </pic:pic>
              </a:graphicData>
            </a:graphic>
          </wp:inline>
        </w:drawing>
      </w:r>
    </w:p>
    <w:p w:rsidR="00B830FD" w:rsidRPr="00C0719A" w:rsidRDefault="00936CC6" w:rsidP="00B830FD">
      <w:pPr>
        <w:numPr>
          <w:ilvl w:val="0"/>
          <w:numId w:val="2"/>
        </w:numPr>
        <w:spacing w:before="100" w:beforeAutospacing="1" w:after="75" w:line="240" w:lineRule="auto"/>
        <w:ind w:left="495"/>
        <w:jc w:val="both"/>
        <w:rPr>
          <w:rFonts w:cstheme="minorHAnsi"/>
          <w:sz w:val="24"/>
          <w:szCs w:val="24"/>
        </w:rPr>
      </w:pPr>
      <w:r w:rsidRPr="00C0719A">
        <w:rPr>
          <w:rFonts w:cstheme="minorHAnsi"/>
          <w:sz w:val="24"/>
          <w:szCs w:val="24"/>
        </w:rPr>
        <w:t xml:space="preserve">Multidrug-resistant TB (MDR-TB) remains a public health crisis and a health security threat. WHO estimates that there were 600 000 new cases with resistance to rifampicin – the most effective first-line drug, of which 490 000 had MDR-TB. </w:t>
      </w:r>
      <w:r w:rsidR="00B830FD" w:rsidRPr="00C0719A">
        <w:rPr>
          <w:rFonts w:cstheme="minorHAnsi"/>
          <w:sz w:val="24"/>
          <w:szCs w:val="24"/>
        </w:rPr>
        <w:t xml:space="preserve"> About 6.2% of MDR-TB cases had XDR-TB in 2016.</w:t>
      </w:r>
    </w:p>
    <w:p w:rsidR="00B830FD" w:rsidRPr="00C0719A" w:rsidRDefault="00B830FD" w:rsidP="001048F7">
      <w:pPr>
        <w:numPr>
          <w:ilvl w:val="0"/>
          <w:numId w:val="2"/>
        </w:numPr>
        <w:spacing w:before="100" w:beforeAutospacing="1" w:after="75" w:line="240" w:lineRule="auto"/>
        <w:ind w:left="495"/>
        <w:jc w:val="both"/>
        <w:rPr>
          <w:rFonts w:cstheme="minorHAnsi"/>
          <w:sz w:val="24"/>
          <w:szCs w:val="24"/>
        </w:rPr>
      </w:pPr>
      <w:r w:rsidRPr="00C0719A">
        <w:rPr>
          <w:rFonts w:cstheme="minorHAnsi"/>
          <w:sz w:val="24"/>
          <w:szCs w:val="24"/>
        </w:rPr>
        <w:t>Nine out of 30 countries with the highest multidrug-resistant (MDR) TB burden in the world are in the WHO European Region. The proportion of RR/MDR-TB among new and previously treated TB cases in the Region is also significantly above the global average, with 19% in new and 55% in previously treated cases compared to 4.1% and 19% respectively.</w:t>
      </w:r>
    </w:p>
    <w:p w:rsidR="00D1484C" w:rsidRPr="00C0719A" w:rsidRDefault="00B830FD" w:rsidP="00D1484C">
      <w:pPr>
        <w:numPr>
          <w:ilvl w:val="0"/>
          <w:numId w:val="2"/>
        </w:numPr>
        <w:spacing w:before="100" w:beforeAutospacing="1" w:after="75" w:line="240" w:lineRule="auto"/>
        <w:ind w:left="495"/>
        <w:jc w:val="both"/>
        <w:rPr>
          <w:rFonts w:cstheme="minorHAnsi"/>
          <w:sz w:val="24"/>
          <w:szCs w:val="24"/>
        </w:rPr>
      </w:pPr>
      <w:r w:rsidRPr="00C0719A">
        <w:rPr>
          <w:rFonts w:cstheme="minorHAnsi"/>
          <w:sz w:val="24"/>
          <w:szCs w:val="24"/>
        </w:rPr>
        <w:lastRenderedPageBreak/>
        <w:t>About one-quarter of the world's population has latent TB, which means people have been infected by TB bacteria but are not (yet) ill with the disease and cannot transmit the disease.</w:t>
      </w:r>
    </w:p>
    <w:p w:rsidR="001E7A0D" w:rsidRPr="00C0719A" w:rsidRDefault="001E7A0D" w:rsidP="00D1484C">
      <w:pPr>
        <w:numPr>
          <w:ilvl w:val="0"/>
          <w:numId w:val="2"/>
        </w:numPr>
        <w:spacing w:before="100" w:beforeAutospacing="1" w:after="75" w:line="240" w:lineRule="auto"/>
        <w:ind w:left="495"/>
        <w:jc w:val="both"/>
        <w:rPr>
          <w:rFonts w:cstheme="minorHAnsi"/>
          <w:sz w:val="24"/>
          <w:szCs w:val="24"/>
        </w:rPr>
      </w:pPr>
      <w:r w:rsidRPr="00C0719A">
        <w:rPr>
          <w:rFonts w:cstheme="minorHAnsi"/>
          <w:sz w:val="24"/>
          <w:szCs w:val="24"/>
        </w:rPr>
        <w:t>Tuberculosis affects populations inequitably, contributes to the cycle of ill-health and poverty, that malnutrition and inadequate living conditions all contribute to the spread of tuberculosis and its impact upon the community, and that tuberculosis is fundamentally linked to a majority of the leading development challenges addressed by the 2030 Agenda for Sustainable Development</w:t>
      </w:r>
    </w:p>
    <w:p w:rsidR="00D1484C" w:rsidRPr="00C0719A" w:rsidRDefault="00D1484C" w:rsidP="00D1484C">
      <w:pPr>
        <w:spacing w:before="100" w:beforeAutospacing="1" w:after="75" w:line="240" w:lineRule="auto"/>
        <w:ind w:left="135"/>
        <w:jc w:val="both"/>
        <w:rPr>
          <w:rStyle w:val="Strong"/>
          <w:rFonts w:cstheme="minorHAnsi"/>
          <w:bCs w:val="0"/>
          <w:color w:val="555555"/>
          <w:sz w:val="24"/>
          <w:szCs w:val="24"/>
          <w:bdr w:val="none" w:sz="0" w:space="0" w:color="auto" w:frame="1"/>
          <w:shd w:val="clear" w:color="auto" w:fill="FFFFFF"/>
        </w:rPr>
      </w:pPr>
      <w:r w:rsidRPr="00C0719A">
        <w:rPr>
          <w:rStyle w:val="Strong"/>
          <w:rFonts w:cstheme="minorHAnsi"/>
          <w:bCs w:val="0"/>
          <w:color w:val="555555"/>
          <w:sz w:val="24"/>
          <w:szCs w:val="24"/>
          <w:bdr w:val="none" w:sz="0" w:space="0" w:color="auto" w:frame="1"/>
          <w:shd w:val="clear" w:color="auto" w:fill="FFFFFF"/>
        </w:rPr>
        <w:t xml:space="preserve">Impact of </w:t>
      </w:r>
      <w:r w:rsidR="00953B80">
        <w:rPr>
          <w:rStyle w:val="Strong"/>
          <w:rFonts w:cstheme="minorHAnsi"/>
          <w:bCs w:val="0"/>
          <w:color w:val="555555"/>
          <w:sz w:val="24"/>
          <w:szCs w:val="24"/>
          <w:bdr w:val="none" w:sz="0" w:space="0" w:color="auto" w:frame="1"/>
          <w:shd w:val="clear" w:color="auto" w:fill="FFFFFF"/>
        </w:rPr>
        <w:t xml:space="preserve">global </w:t>
      </w:r>
      <w:r w:rsidRPr="00C0719A">
        <w:rPr>
          <w:rStyle w:val="Strong"/>
          <w:rFonts w:cstheme="minorHAnsi"/>
          <w:bCs w:val="0"/>
          <w:color w:val="555555"/>
          <w:sz w:val="24"/>
          <w:szCs w:val="24"/>
          <w:bdr w:val="none" w:sz="0" w:space="0" w:color="auto" w:frame="1"/>
          <w:shd w:val="clear" w:color="auto" w:fill="FFFFFF"/>
        </w:rPr>
        <w:t>response</w:t>
      </w:r>
    </w:p>
    <w:p w:rsidR="00D1484C" w:rsidRPr="00C0719A" w:rsidRDefault="00D1484C" w:rsidP="00D1484C">
      <w:pPr>
        <w:numPr>
          <w:ilvl w:val="0"/>
          <w:numId w:val="2"/>
        </w:numPr>
        <w:spacing w:before="100" w:beforeAutospacing="1" w:after="75" w:line="240" w:lineRule="auto"/>
        <w:ind w:left="495"/>
        <w:jc w:val="both"/>
        <w:rPr>
          <w:rFonts w:cstheme="minorHAnsi"/>
          <w:sz w:val="24"/>
          <w:szCs w:val="24"/>
        </w:rPr>
      </w:pPr>
      <w:r w:rsidRPr="00C0719A">
        <w:rPr>
          <w:rFonts w:cstheme="minorHAnsi"/>
          <w:sz w:val="24"/>
          <w:szCs w:val="24"/>
        </w:rPr>
        <w:t xml:space="preserve">An estimated 53 million lives were saved through TB diagnosis and treatment between 2000 and 2016. </w:t>
      </w:r>
    </w:p>
    <w:p w:rsidR="00D1484C" w:rsidRPr="00C0719A" w:rsidRDefault="00D1484C" w:rsidP="00D1484C">
      <w:pPr>
        <w:numPr>
          <w:ilvl w:val="0"/>
          <w:numId w:val="2"/>
        </w:numPr>
        <w:spacing w:before="100" w:beforeAutospacing="1" w:after="75" w:line="240" w:lineRule="auto"/>
        <w:ind w:left="495"/>
        <w:jc w:val="both"/>
        <w:rPr>
          <w:rFonts w:cstheme="minorHAnsi"/>
          <w:sz w:val="24"/>
          <w:szCs w:val="24"/>
        </w:rPr>
      </w:pPr>
      <w:r w:rsidRPr="00C0719A">
        <w:rPr>
          <w:rFonts w:cstheme="minorHAnsi"/>
          <w:sz w:val="24"/>
          <w:szCs w:val="24"/>
        </w:rPr>
        <w:t xml:space="preserve">Globally, TB </w:t>
      </w:r>
      <w:r w:rsidR="00C7228C" w:rsidRPr="00C0719A">
        <w:rPr>
          <w:rFonts w:cstheme="minorHAnsi"/>
          <w:sz w:val="24"/>
          <w:szCs w:val="24"/>
        </w:rPr>
        <w:t>mortality rate</w:t>
      </w:r>
      <w:r w:rsidRPr="00C0719A">
        <w:rPr>
          <w:rFonts w:cstheme="minorHAnsi"/>
          <w:sz w:val="24"/>
          <w:szCs w:val="24"/>
        </w:rPr>
        <w:t xml:space="preserve"> fell by </w:t>
      </w:r>
      <w:r w:rsidR="00C7228C" w:rsidRPr="00C0719A">
        <w:rPr>
          <w:rFonts w:cstheme="minorHAnsi"/>
          <w:sz w:val="24"/>
          <w:szCs w:val="24"/>
        </w:rPr>
        <w:t>37</w:t>
      </w:r>
      <w:r w:rsidRPr="00C0719A">
        <w:rPr>
          <w:rFonts w:cstheme="minorHAnsi"/>
          <w:sz w:val="24"/>
          <w:szCs w:val="24"/>
        </w:rPr>
        <w:t>% between 2000 and 2016.</w:t>
      </w:r>
      <w:r w:rsidR="00355CB6" w:rsidRPr="00C0719A">
        <w:rPr>
          <w:rFonts w:cstheme="minorHAnsi"/>
          <w:sz w:val="24"/>
          <w:szCs w:val="24"/>
        </w:rPr>
        <w:t xml:space="preserve"> Regionally, the fastest declines in the TB mortality rate are in the WHO European Region and the WHO Western Pacific Region (6.0% and 4.6% per year, respectively, since 2010).</w:t>
      </w:r>
    </w:p>
    <w:p w:rsidR="00355CB6" w:rsidRPr="00C0719A" w:rsidRDefault="00355CB6" w:rsidP="00D1484C">
      <w:pPr>
        <w:numPr>
          <w:ilvl w:val="0"/>
          <w:numId w:val="2"/>
        </w:numPr>
        <w:spacing w:before="100" w:beforeAutospacing="1" w:after="75" w:line="240" w:lineRule="auto"/>
        <w:ind w:left="495"/>
        <w:jc w:val="both"/>
        <w:rPr>
          <w:rFonts w:cstheme="minorHAnsi"/>
          <w:sz w:val="24"/>
          <w:szCs w:val="24"/>
        </w:rPr>
      </w:pPr>
      <w:r w:rsidRPr="00C0719A">
        <w:rPr>
          <w:rFonts w:cstheme="minorHAnsi"/>
          <w:sz w:val="24"/>
          <w:szCs w:val="24"/>
        </w:rPr>
        <w:t xml:space="preserve">The pipelines for new diagnostics, drugs, treatment regimens and vaccines are progressing, but slowly. </w:t>
      </w:r>
      <w:r w:rsidR="00106896">
        <w:t>Rapid molecular diagnostic test for detection of TB and rifampicin resistance</w:t>
      </w:r>
      <w:r w:rsidR="005E7B5B">
        <w:t xml:space="preserve"> w</w:t>
      </w:r>
      <w:r w:rsidR="00953B80">
        <w:t>as</w:t>
      </w:r>
      <w:r w:rsidR="005E7B5B">
        <w:t xml:space="preserve"> deve</w:t>
      </w:r>
      <w:r w:rsidR="00953B80">
        <w:t>lo</w:t>
      </w:r>
      <w:r w:rsidR="005E7B5B">
        <w:t>ped.</w:t>
      </w:r>
      <w:r w:rsidR="00106896">
        <w:t xml:space="preserve"> </w:t>
      </w:r>
      <w:r w:rsidR="00781445">
        <w:rPr>
          <w:rFonts w:cstheme="minorHAnsi"/>
          <w:sz w:val="24"/>
          <w:szCs w:val="24"/>
        </w:rPr>
        <w:t>New TB drugs with novel mechanism of action were approved for first time in 40 years and a</w:t>
      </w:r>
      <w:r w:rsidRPr="00C0719A">
        <w:rPr>
          <w:rFonts w:cstheme="minorHAnsi"/>
          <w:sz w:val="24"/>
          <w:szCs w:val="24"/>
        </w:rPr>
        <w:t>s part of efforts to improve outcomes for MDR/XDR-TB, 89 countries and territories had started using</w:t>
      </w:r>
      <w:r w:rsidR="005E33B1" w:rsidRPr="00C0719A">
        <w:rPr>
          <w:rFonts w:cstheme="minorHAnsi"/>
          <w:sz w:val="24"/>
          <w:szCs w:val="24"/>
        </w:rPr>
        <w:t xml:space="preserve"> new drug</w:t>
      </w:r>
      <w:r w:rsidRPr="00C0719A">
        <w:rPr>
          <w:rFonts w:cstheme="minorHAnsi"/>
          <w:sz w:val="24"/>
          <w:szCs w:val="24"/>
        </w:rPr>
        <w:t xml:space="preserve"> </w:t>
      </w:r>
      <w:proofErr w:type="spellStart"/>
      <w:r w:rsidRPr="00C0719A">
        <w:rPr>
          <w:rFonts w:cstheme="minorHAnsi"/>
          <w:sz w:val="24"/>
          <w:szCs w:val="24"/>
        </w:rPr>
        <w:t>bedaquiline</w:t>
      </w:r>
      <w:proofErr w:type="spellEnd"/>
      <w:r w:rsidRPr="00C0719A">
        <w:rPr>
          <w:rFonts w:cstheme="minorHAnsi"/>
          <w:sz w:val="24"/>
          <w:szCs w:val="24"/>
        </w:rPr>
        <w:t xml:space="preserve"> and 54 had used</w:t>
      </w:r>
      <w:r w:rsidR="005E33B1" w:rsidRPr="00C0719A">
        <w:rPr>
          <w:rFonts w:cstheme="minorHAnsi"/>
          <w:sz w:val="24"/>
          <w:szCs w:val="24"/>
        </w:rPr>
        <w:t xml:space="preserve"> -</w:t>
      </w:r>
      <w:r w:rsidRPr="00C0719A">
        <w:rPr>
          <w:rFonts w:cstheme="minorHAnsi"/>
          <w:sz w:val="24"/>
          <w:szCs w:val="24"/>
        </w:rPr>
        <w:t xml:space="preserve"> </w:t>
      </w:r>
      <w:proofErr w:type="spellStart"/>
      <w:r w:rsidRPr="00C0719A">
        <w:rPr>
          <w:rFonts w:cstheme="minorHAnsi"/>
          <w:sz w:val="24"/>
          <w:szCs w:val="24"/>
        </w:rPr>
        <w:t>delamanid</w:t>
      </w:r>
      <w:proofErr w:type="spellEnd"/>
      <w:r w:rsidRPr="00C0719A">
        <w:rPr>
          <w:rFonts w:cstheme="minorHAnsi"/>
          <w:sz w:val="24"/>
          <w:szCs w:val="24"/>
        </w:rPr>
        <w:t xml:space="preserve"> by June 2017.</w:t>
      </w:r>
    </w:p>
    <w:p w:rsidR="000557D4" w:rsidRPr="00C0719A" w:rsidRDefault="000557D4" w:rsidP="00D1484C">
      <w:pPr>
        <w:numPr>
          <w:ilvl w:val="0"/>
          <w:numId w:val="2"/>
        </w:numPr>
        <w:spacing w:before="100" w:beforeAutospacing="1" w:after="75" w:line="240" w:lineRule="auto"/>
        <w:ind w:left="495"/>
        <w:jc w:val="both"/>
        <w:rPr>
          <w:rFonts w:cstheme="minorHAnsi"/>
          <w:sz w:val="24"/>
          <w:szCs w:val="24"/>
        </w:rPr>
      </w:pPr>
      <w:r w:rsidRPr="00C0719A">
        <w:rPr>
          <w:rFonts w:cstheme="minorHAnsi"/>
          <w:sz w:val="24"/>
          <w:szCs w:val="24"/>
        </w:rPr>
        <w:t>Stop TB Partnership/Global Drug Facility has, since its creation in 2001, increased access to high quality and affordable TB treatment and diagnostics to populations in need.</w:t>
      </w:r>
    </w:p>
    <w:p w:rsidR="00D1484C" w:rsidRDefault="00D1484C" w:rsidP="00D1484C">
      <w:pPr>
        <w:numPr>
          <w:ilvl w:val="0"/>
          <w:numId w:val="2"/>
        </w:numPr>
        <w:spacing w:before="100" w:beforeAutospacing="1" w:after="75" w:line="240" w:lineRule="auto"/>
        <w:ind w:left="495"/>
        <w:jc w:val="both"/>
        <w:rPr>
          <w:rFonts w:cstheme="minorHAnsi"/>
          <w:sz w:val="24"/>
          <w:szCs w:val="24"/>
        </w:rPr>
      </w:pPr>
      <w:r w:rsidRPr="00C0719A">
        <w:rPr>
          <w:rFonts w:cstheme="minorHAnsi"/>
          <w:sz w:val="24"/>
          <w:szCs w:val="24"/>
        </w:rPr>
        <w:t xml:space="preserve">The number of people falling ill with TB each year is declining, but too slowly. </w:t>
      </w:r>
      <w:r w:rsidR="00233078" w:rsidRPr="00C0719A">
        <w:rPr>
          <w:rFonts w:cstheme="minorHAnsi"/>
          <w:sz w:val="24"/>
          <w:szCs w:val="24"/>
        </w:rPr>
        <w:t xml:space="preserve">Regionally, the fastest decline in TB incidence is in the WHO European Region (4.6% from 2015 to 2016). </w:t>
      </w:r>
      <w:r w:rsidRPr="00C0719A">
        <w:rPr>
          <w:rFonts w:cstheme="minorHAnsi"/>
          <w:sz w:val="24"/>
          <w:szCs w:val="24"/>
        </w:rPr>
        <w:t>Globally, TB incidence is falling at about 2% per year. This needs to accelerate to a 4–5% annual decline to reach the 2020 milestones of the End TB Strategy.</w:t>
      </w:r>
    </w:p>
    <w:p w:rsidR="00953B80" w:rsidRDefault="00953B80" w:rsidP="00953B80">
      <w:pPr>
        <w:spacing w:before="100" w:beforeAutospacing="1" w:after="75" w:line="240" w:lineRule="auto"/>
        <w:jc w:val="center"/>
        <w:rPr>
          <w:rFonts w:cstheme="minorHAnsi"/>
          <w:sz w:val="24"/>
          <w:szCs w:val="24"/>
        </w:rPr>
      </w:pPr>
      <w:r w:rsidRPr="00C0719A">
        <w:rPr>
          <w:rFonts w:cstheme="minorHAnsi"/>
          <w:noProof/>
          <w:color w:val="660099"/>
          <w:sz w:val="24"/>
          <w:szCs w:val="24"/>
          <w:bdr w:val="none" w:sz="0" w:space="0" w:color="auto" w:frame="1"/>
          <w:shd w:val="clear" w:color="auto" w:fill="222222"/>
        </w:rPr>
        <w:drawing>
          <wp:inline distT="0" distB="0" distL="0" distR="0" wp14:anchorId="6E70A574" wp14:editId="728838AA">
            <wp:extent cx="4601061" cy="3228975"/>
            <wp:effectExtent l="0" t="0" r="9525" b="0"/>
            <wp:docPr id="4" name="Picture 4" descr="Image result for current global trend in tuberculosis WH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current global trend in tuberculosis WHO">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3790" cy="3237908"/>
                    </a:xfrm>
                    <a:prstGeom prst="rect">
                      <a:avLst/>
                    </a:prstGeom>
                    <a:noFill/>
                    <a:ln>
                      <a:noFill/>
                    </a:ln>
                  </pic:spPr>
                </pic:pic>
              </a:graphicData>
            </a:graphic>
          </wp:inline>
        </w:drawing>
      </w:r>
    </w:p>
    <w:p w:rsidR="00AF1DEB" w:rsidRDefault="00AF1DEB" w:rsidP="00AF1DEB">
      <w:pPr>
        <w:spacing w:before="100" w:beforeAutospacing="1" w:after="75" w:line="240" w:lineRule="auto"/>
        <w:ind w:left="135"/>
        <w:jc w:val="both"/>
        <w:rPr>
          <w:rStyle w:val="Strong"/>
          <w:rFonts w:cstheme="minorHAnsi"/>
          <w:color w:val="555555"/>
          <w:sz w:val="24"/>
          <w:szCs w:val="24"/>
          <w:bdr w:val="none" w:sz="0" w:space="0" w:color="auto" w:frame="1"/>
          <w:shd w:val="clear" w:color="auto" w:fill="FFFFFF"/>
        </w:rPr>
      </w:pPr>
      <w:r w:rsidRPr="00C0719A">
        <w:rPr>
          <w:rStyle w:val="Strong"/>
          <w:rFonts w:cstheme="minorHAnsi"/>
          <w:color w:val="555555"/>
          <w:sz w:val="24"/>
          <w:szCs w:val="24"/>
          <w:bdr w:val="none" w:sz="0" w:space="0" w:color="auto" w:frame="1"/>
          <w:shd w:val="clear" w:color="auto" w:fill="FFFFFF"/>
        </w:rPr>
        <w:lastRenderedPageBreak/>
        <w:t>Persistent gaps in care and financing</w:t>
      </w:r>
    </w:p>
    <w:p w:rsidR="009926C5" w:rsidRDefault="009926C5" w:rsidP="00AF1DEB">
      <w:pPr>
        <w:spacing w:before="100" w:beforeAutospacing="1" w:after="75" w:line="240" w:lineRule="auto"/>
        <w:ind w:left="135"/>
        <w:jc w:val="both"/>
        <w:rPr>
          <w:rStyle w:val="Strong"/>
          <w:rFonts w:cstheme="minorHAnsi"/>
          <w:color w:val="555555"/>
          <w:sz w:val="24"/>
          <w:szCs w:val="24"/>
          <w:bdr w:val="none" w:sz="0" w:space="0" w:color="auto" w:frame="1"/>
          <w:shd w:val="clear" w:color="auto" w:fill="FFFFFF"/>
        </w:rPr>
      </w:pP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566"/>
      </w:tblGrid>
      <w:tr w:rsidR="009926C5" w:rsidTr="00953B80">
        <w:tc>
          <w:tcPr>
            <w:tcW w:w="4962" w:type="dxa"/>
          </w:tcPr>
          <w:p w:rsidR="009926C5" w:rsidRDefault="009926C5" w:rsidP="009926C5">
            <w:pPr>
              <w:numPr>
                <w:ilvl w:val="0"/>
                <w:numId w:val="2"/>
              </w:numPr>
              <w:spacing w:before="100" w:beforeAutospacing="1" w:after="75"/>
              <w:ind w:left="495"/>
              <w:jc w:val="both"/>
              <w:rPr>
                <w:rFonts w:cstheme="minorHAnsi"/>
                <w:sz w:val="24"/>
                <w:szCs w:val="24"/>
              </w:rPr>
            </w:pPr>
            <w:r w:rsidRPr="00C0719A">
              <w:rPr>
                <w:rFonts w:cstheme="minorHAnsi"/>
                <w:sz w:val="24"/>
                <w:szCs w:val="24"/>
              </w:rPr>
              <w:t xml:space="preserve">Underreporting and </w:t>
            </w:r>
            <w:proofErr w:type="spellStart"/>
            <w:r w:rsidRPr="00C0719A">
              <w:rPr>
                <w:rFonts w:cstheme="minorHAnsi"/>
                <w:sz w:val="24"/>
                <w:szCs w:val="24"/>
              </w:rPr>
              <w:t>underdiagnosis</w:t>
            </w:r>
            <w:proofErr w:type="spellEnd"/>
            <w:r w:rsidRPr="00C0719A">
              <w:rPr>
                <w:rFonts w:cstheme="minorHAnsi"/>
                <w:sz w:val="24"/>
                <w:szCs w:val="24"/>
              </w:rPr>
              <w:t xml:space="preserve"> of TB cases continues to be a challenge, especially in countries with large unregulated private sectors and weak health systems. Of the estimated 10.4 million new cases, only 6.3 million were detected and officially notified in 2016, leaving a gap of 4.1 million. </w:t>
            </w:r>
          </w:p>
          <w:p w:rsidR="009926C5" w:rsidRPr="009926C5" w:rsidRDefault="009926C5" w:rsidP="00AF1DEB">
            <w:pPr>
              <w:numPr>
                <w:ilvl w:val="0"/>
                <w:numId w:val="2"/>
              </w:numPr>
              <w:spacing w:before="100" w:beforeAutospacing="1" w:after="75"/>
              <w:ind w:left="495"/>
              <w:jc w:val="both"/>
              <w:rPr>
                <w:rStyle w:val="Strong"/>
                <w:rFonts w:cstheme="minorHAnsi"/>
                <w:b w:val="0"/>
                <w:bCs w:val="0"/>
                <w:sz w:val="24"/>
                <w:szCs w:val="24"/>
              </w:rPr>
            </w:pPr>
            <w:r w:rsidRPr="00C0719A">
              <w:rPr>
                <w:rFonts w:cstheme="minorHAnsi"/>
                <w:sz w:val="24"/>
                <w:szCs w:val="24"/>
              </w:rPr>
              <w:t>Only one in five MDR-TB cases were started on treatment. India and China accounted for 39% of the global gap. Treatment success remains low, at 54% globally.</w:t>
            </w:r>
          </w:p>
        </w:tc>
        <w:tc>
          <w:tcPr>
            <w:tcW w:w="4536" w:type="dxa"/>
          </w:tcPr>
          <w:p w:rsidR="009926C5" w:rsidRDefault="009926C5" w:rsidP="009926C5">
            <w:pPr>
              <w:spacing w:before="100" w:beforeAutospacing="1" w:after="75"/>
              <w:jc w:val="right"/>
              <w:rPr>
                <w:rStyle w:val="Strong"/>
                <w:rFonts w:cstheme="minorHAnsi"/>
                <w:color w:val="555555"/>
                <w:sz w:val="24"/>
                <w:szCs w:val="24"/>
                <w:bdr w:val="none" w:sz="0" w:space="0" w:color="auto" w:frame="1"/>
                <w:shd w:val="clear" w:color="auto" w:fill="FFFFFF"/>
              </w:rPr>
            </w:pPr>
            <w:r w:rsidRPr="009926C5">
              <w:rPr>
                <w:rStyle w:val="Strong"/>
                <w:rFonts w:cstheme="minorHAnsi"/>
                <w:noProof/>
                <w:color w:val="555555"/>
                <w:sz w:val="24"/>
                <w:szCs w:val="24"/>
                <w:bdr w:val="none" w:sz="0" w:space="0" w:color="auto" w:frame="1"/>
                <w:shd w:val="clear" w:color="auto" w:fill="FFFFFF"/>
              </w:rPr>
              <w:drawing>
                <wp:inline distT="0" distB="0" distL="0" distR="0">
                  <wp:extent cx="2760846" cy="233362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248" cy="2350024"/>
                          </a:xfrm>
                          <a:prstGeom prst="rect">
                            <a:avLst/>
                          </a:prstGeom>
                          <a:noFill/>
                          <a:ln>
                            <a:noFill/>
                          </a:ln>
                        </pic:spPr>
                      </pic:pic>
                    </a:graphicData>
                  </a:graphic>
                </wp:inline>
              </w:drawing>
            </w:r>
          </w:p>
        </w:tc>
      </w:tr>
    </w:tbl>
    <w:p w:rsidR="00AF1DEB" w:rsidRPr="00C0719A" w:rsidRDefault="00A90DD4" w:rsidP="00AF1DEB">
      <w:pPr>
        <w:numPr>
          <w:ilvl w:val="0"/>
          <w:numId w:val="2"/>
        </w:numPr>
        <w:spacing w:before="100" w:beforeAutospacing="1" w:after="75" w:line="240" w:lineRule="auto"/>
        <w:ind w:left="495"/>
        <w:jc w:val="both"/>
        <w:rPr>
          <w:rFonts w:cstheme="minorHAnsi"/>
          <w:sz w:val="24"/>
          <w:szCs w:val="24"/>
        </w:rPr>
      </w:pPr>
      <w:r w:rsidRPr="00C0719A">
        <w:rPr>
          <w:rFonts w:cstheme="minorHAnsi"/>
          <w:sz w:val="24"/>
          <w:szCs w:val="24"/>
        </w:rPr>
        <w:t>In 2016 less than half of the estimated cases of tuberculosis in people living with HIV and AIDS were found and notified, and less than 60 per cent of known tuberculosis patients were tested for HIV, precluding treatment and resulting in preventable deaths;</w:t>
      </w:r>
    </w:p>
    <w:p w:rsidR="00AF1DEB" w:rsidRPr="00C0719A" w:rsidRDefault="00AF1DEB" w:rsidP="00AF1DEB">
      <w:pPr>
        <w:numPr>
          <w:ilvl w:val="0"/>
          <w:numId w:val="2"/>
        </w:numPr>
        <w:spacing w:before="100" w:beforeAutospacing="1" w:after="75" w:line="240" w:lineRule="auto"/>
        <w:ind w:left="495"/>
        <w:jc w:val="both"/>
        <w:rPr>
          <w:rFonts w:cstheme="minorHAnsi"/>
          <w:sz w:val="24"/>
          <w:szCs w:val="24"/>
        </w:rPr>
      </w:pPr>
      <w:r w:rsidRPr="00C0719A">
        <w:rPr>
          <w:rFonts w:cstheme="minorHAnsi"/>
          <w:sz w:val="24"/>
          <w:szCs w:val="24"/>
        </w:rPr>
        <w:t>Most people eligible for TB preventive treatment are not accessing it.</w:t>
      </w:r>
    </w:p>
    <w:p w:rsidR="00AF1DEB" w:rsidRPr="00C0719A" w:rsidRDefault="00AF1DEB" w:rsidP="00AF1DEB">
      <w:pPr>
        <w:numPr>
          <w:ilvl w:val="0"/>
          <w:numId w:val="2"/>
        </w:numPr>
        <w:spacing w:before="100" w:beforeAutospacing="1" w:after="75" w:line="240" w:lineRule="auto"/>
        <w:ind w:left="495"/>
        <w:jc w:val="both"/>
        <w:rPr>
          <w:rFonts w:cstheme="minorHAnsi"/>
          <w:sz w:val="24"/>
          <w:szCs w:val="24"/>
        </w:rPr>
      </w:pPr>
      <w:r w:rsidRPr="00C0719A">
        <w:rPr>
          <w:rFonts w:cstheme="minorHAnsi"/>
          <w:sz w:val="24"/>
          <w:szCs w:val="24"/>
        </w:rPr>
        <w:t>For TB care and prevention, investments in low- and middle-income countries fall almost US$ 2.3 billion short of the US$ 9.2 billion needed in 2017. In addition, at least an extra US$ 1.2 billion per year is required to accelerate the development of new vaccines, diagnostics, and medicines.</w:t>
      </w:r>
    </w:p>
    <w:p w:rsidR="00936CC6" w:rsidRPr="00C0719A" w:rsidRDefault="00C7228C" w:rsidP="004432F8">
      <w:pPr>
        <w:spacing w:before="100" w:beforeAutospacing="1" w:after="100" w:afterAutospacing="1" w:line="705" w:lineRule="atLeast"/>
        <w:jc w:val="both"/>
        <w:outlineLvl w:val="1"/>
        <w:rPr>
          <w:rFonts w:eastAsia="Times New Roman" w:cstheme="minorHAnsi"/>
          <w:b/>
          <w:bCs/>
          <w:color w:val="3C4245"/>
          <w:sz w:val="24"/>
          <w:szCs w:val="24"/>
        </w:rPr>
      </w:pPr>
      <w:r w:rsidRPr="00C0719A">
        <w:rPr>
          <w:rFonts w:eastAsia="Times New Roman" w:cstheme="minorHAnsi"/>
          <w:b/>
          <w:bCs/>
          <w:color w:val="3C4245"/>
          <w:sz w:val="24"/>
          <w:szCs w:val="24"/>
        </w:rPr>
        <w:t>End TB Strategy</w:t>
      </w:r>
    </w:p>
    <w:p w:rsidR="00F34A7C" w:rsidRDefault="00F34A7C" w:rsidP="00F34A7C">
      <w:pPr>
        <w:spacing w:before="100" w:beforeAutospacing="1" w:after="100" w:afterAutospacing="1" w:line="240" w:lineRule="auto"/>
        <w:jc w:val="both"/>
        <w:rPr>
          <w:rFonts w:eastAsia="Times New Roman" w:cstheme="minorHAnsi"/>
          <w:color w:val="3C4245"/>
          <w:sz w:val="24"/>
          <w:szCs w:val="24"/>
        </w:rPr>
      </w:pPr>
      <w:r w:rsidRPr="00C0719A">
        <w:rPr>
          <w:rFonts w:eastAsia="Times New Roman" w:cstheme="minorHAnsi"/>
          <w:color w:val="3C4245"/>
          <w:sz w:val="24"/>
          <w:szCs w:val="24"/>
        </w:rPr>
        <w:t>The WHO </w:t>
      </w:r>
      <w:r w:rsidRPr="00C0719A">
        <w:rPr>
          <w:rFonts w:eastAsia="Times New Roman" w:cstheme="minorHAnsi"/>
          <w:i/>
          <w:iCs/>
          <w:color w:val="3C4245"/>
          <w:sz w:val="24"/>
          <w:szCs w:val="24"/>
        </w:rPr>
        <w:t>End TB Strategy</w:t>
      </w:r>
      <w:r w:rsidRPr="00C0719A">
        <w:rPr>
          <w:rFonts w:eastAsia="Times New Roman" w:cstheme="minorHAnsi"/>
          <w:color w:val="3C4245"/>
          <w:sz w:val="24"/>
          <w:szCs w:val="24"/>
        </w:rPr>
        <w:t>, adopted by the World Health Assembly in May 2014, is a blueprint for countries to end the TB epidemic by driving down TB deaths, incidence and eliminating catastrophic costs. It outlines global impact targets to reduce TB deaths by 90%, to cut new cases by 80% between 2015 and 2030, and to ensure that no family is burdened with catastrophic costs due to TB.</w:t>
      </w:r>
    </w:p>
    <w:tbl>
      <w:tblPr>
        <w:tblStyle w:val="TableGrid"/>
        <w:tblW w:w="9085" w:type="dxa"/>
        <w:tblLayout w:type="fixed"/>
        <w:tblLook w:val="04A0" w:firstRow="1" w:lastRow="0" w:firstColumn="1" w:lastColumn="0" w:noHBand="0" w:noVBand="1"/>
      </w:tblPr>
      <w:tblGrid>
        <w:gridCol w:w="4248"/>
        <w:gridCol w:w="4837"/>
      </w:tblGrid>
      <w:tr w:rsidR="00233078" w:rsidRPr="00C0719A" w:rsidTr="00C65E2A">
        <w:tc>
          <w:tcPr>
            <w:tcW w:w="4248" w:type="dxa"/>
            <w:shd w:val="clear" w:color="auto" w:fill="DEEAF6" w:themeFill="accent1" w:themeFillTint="33"/>
            <w:vAlign w:val="center"/>
          </w:tcPr>
          <w:p w:rsidR="00233078" w:rsidRPr="00C0719A" w:rsidRDefault="00233078" w:rsidP="00233078">
            <w:pPr>
              <w:jc w:val="both"/>
              <w:outlineLvl w:val="1"/>
              <w:rPr>
                <w:rFonts w:eastAsia="Times New Roman" w:cstheme="minorHAnsi"/>
                <w:b/>
                <w:bCs/>
                <w:color w:val="3C4245"/>
                <w:sz w:val="24"/>
                <w:szCs w:val="24"/>
              </w:rPr>
            </w:pPr>
            <w:r w:rsidRPr="00C0719A">
              <w:rPr>
                <w:rFonts w:eastAsia="Times New Roman" w:cstheme="minorHAnsi"/>
                <w:b/>
                <w:bCs/>
                <w:color w:val="3C4245"/>
                <w:sz w:val="24"/>
                <w:szCs w:val="24"/>
              </w:rPr>
              <w:t>Vision</w:t>
            </w:r>
          </w:p>
        </w:tc>
        <w:tc>
          <w:tcPr>
            <w:tcW w:w="4837" w:type="dxa"/>
            <w:shd w:val="clear" w:color="auto" w:fill="DEEAF6" w:themeFill="accent1" w:themeFillTint="33"/>
          </w:tcPr>
          <w:p w:rsidR="00233078" w:rsidRPr="00C0719A" w:rsidRDefault="00233078" w:rsidP="00233078">
            <w:pPr>
              <w:jc w:val="both"/>
              <w:outlineLvl w:val="1"/>
              <w:rPr>
                <w:rFonts w:eastAsia="Times New Roman" w:cstheme="minorHAnsi"/>
                <w:b/>
                <w:bCs/>
                <w:color w:val="3C4245"/>
                <w:sz w:val="24"/>
                <w:szCs w:val="24"/>
              </w:rPr>
            </w:pPr>
            <w:r w:rsidRPr="00C0719A">
              <w:rPr>
                <w:rFonts w:eastAsia="Times New Roman" w:cstheme="minorHAnsi"/>
                <w:b/>
                <w:bCs/>
                <w:color w:val="3C4245"/>
                <w:sz w:val="24"/>
                <w:szCs w:val="24"/>
              </w:rPr>
              <w:t>A WORLD FREE OF TB</w:t>
            </w:r>
          </w:p>
          <w:p w:rsidR="00233078" w:rsidRPr="00C0719A" w:rsidRDefault="00233078" w:rsidP="00233078">
            <w:pPr>
              <w:jc w:val="both"/>
              <w:outlineLvl w:val="1"/>
              <w:rPr>
                <w:rFonts w:eastAsia="Times New Roman" w:cstheme="minorHAnsi"/>
                <w:b/>
                <w:bCs/>
                <w:color w:val="3C4245"/>
                <w:sz w:val="24"/>
                <w:szCs w:val="24"/>
              </w:rPr>
            </w:pPr>
            <w:r w:rsidRPr="00C0719A">
              <w:rPr>
                <w:rFonts w:eastAsia="Times New Roman" w:cstheme="minorHAnsi"/>
                <w:b/>
                <w:bCs/>
                <w:color w:val="3C4245"/>
                <w:sz w:val="24"/>
                <w:szCs w:val="24"/>
              </w:rPr>
              <w:t>-Zero deaths, disease and suffering due to TB</w:t>
            </w:r>
          </w:p>
        </w:tc>
      </w:tr>
      <w:tr w:rsidR="00233078" w:rsidRPr="00C0719A" w:rsidTr="00C65E2A">
        <w:tc>
          <w:tcPr>
            <w:tcW w:w="4248" w:type="dxa"/>
          </w:tcPr>
          <w:p w:rsidR="00233078" w:rsidRPr="00C0719A" w:rsidRDefault="00233078" w:rsidP="00233078">
            <w:pPr>
              <w:jc w:val="both"/>
              <w:outlineLvl w:val="1"/>
              <w:rPr>
                <w:rFonts w:eastAsia="Times New Roman" w:cstheme="minorHAnsi"/>
                <w:b/>
                <w:bCs/>
                <w:color w:val="3C4245"/>
                <w:sz w:val="24"/>
                <w:szCs w:val="24"/>
              </w:rPr>
            </w:pPr>
            <w:r w:rsidRPr="00C0719A">
              <w:rPr>
                <w:rFonts w:eastAsia="Times New Roman" w:cstheme="minorHAnsi"/>
                <w:b/>
                <w:bCs/>
                <w:color w:val="3C4245"/>
                <w:sz w:val="24"/>
                <w:szCs w:val="24"/>
              </w:rPr>
              <w:t>Goal</w:t>
            </w:r>
          </w:p>
        </w:tc>
        <w:tc>
          <w:tcPr>
            <w:tcW w:w="4837" w:type="dxa"/>
          </w:tcPr>
          <w:p w:rsidR="00233078" w:rsidRDefault="00233078" w:rsidP="00233078">
            <w:pPr>
              <w:jc w:val="both"/>
              <w:outlineLvl w:val="1"/>
              <w:rPr>
                <w:rFonts w:eastAsia="Times New Roman" w:cstheme="minorHAnsi"/>
                <w:b/>
                <w:bCs/>
                <w:color w:val="3C4245"/>
                <w:sz w:val="24"/>
                <w:szCs w:val="24"/>
              </w:rPr>
            </w:pPr>
            <w:r w:rsidRPr="00C0719A">
              <w:rPr>
                <w:rFonts w:eastAsia="Times New Roman" w:cstheme="minorHAnsi"/>
                <w:b/>
                <w:bCs/>
                <w:color w:val="3C4245"/>
                <w:sz w:val="24"/>
                <w:szCs w:val="24"/>
              </w:rPr>
              <w:t>END THE GLOBAL TB EPIDEMIC</w:t>
            </w:r>
          </w:p>
          <w:p w:rsidR="00F17524" w:rsidRPr="00C0719A" w:rsidRDefault="00F17524" w:rsidP="00233078">
            <w:pPr>
              <w:jc w:val="both"/>
              <w:outlineLvl w:val="1"/>
              <w:rPr>
                <w:rFonts w:eastAsia="Times New Roman" w:cstheme="minorHAnsi"/>
                <w:b/>
                <w:bCs/>
                <w:color w:val="3C4245"/>
                <w:sz w:val="24"/>
                <w:szCs w:val="24"/>
              </w:rPr>
            </w:pPr>
          </w:p>
        </w:tc>
      </w:tr>
    </w:tbl>
    <w:p w:rsidR="00C65E2A" w:rsidRDefault="00C65E2A"/>
    <w:p w:rsidR="00C65E2A" w:rsidRDefault="00C65E2A" w:rsidP="00C65E2A">
      <w:pPr>
        <w:spacing w:before="100" w:beforeAutospacing="1" w:after="100" w:afterAutospacing="1" w:line="240" w:lineRule="auto"/>
        <w:jc w:val="both"/>
        <w:rPr>
          <w:rFonts w:eastAsia="Times New Roman" w:cstheme="minorHAnsi"/>
          <w:color w:val="3C4245"/>
          <w:sz w:val="24"/>
          <w:szCs w:val="24"/>
        </w:rPr>
      </w:pPr>
      <w:r w:rsidRPr="00C0719A">
        <w:rPr>
          <w:rFonts w:eastAsia="Times New Roman" w:cstheme="minorHAnsi"/>
          <w:color w:val="3C4245"/>
          <w:sz w:val="24"/>
          <w:szCs w:val="24"/>
        </w:rPr>
        <w:t>Ending the TB epidemic by 2030 is among the health targets of the newly adopted Sustainable Development Goals. WHO has gone one step further and set a 2035 target of 95% reduction in deaths and a 90% decline in TB incidence – similar to current levels in low TB incidence countries today.</w:t>
      </w:r>
    </w:p>
    <w:tbl>
      <w:tblPr>
        <w:tblStyle w:val="TableGrid"/>
        <w:tblW w:w="9493" w:type="dxa"/>
        <w:tblLayout w:type="fixed"/>
        <w:tblLook w:val="04A0" w:firstRow="1" w:lastRow="0" w:firstColumn="1" w:lastColumn="0" w:noHBand="0" w:noVBand="1"/>
      </w:tblPr>
      <w:tblGrid>
        <w:gridCol w:w="4248"/>
        <w:gridCol w:w="1134"/>
        <w:gridCol w:w="1276"/>
        <w:gridCol w:w="1275"/>
        <w:gridCol w:w="1560"/>
      </w:tblGrid>
      <w:tr w:rsidR="00520730" w:rsidRPr="00C0719A" w:rsidTr="002571C1">
        <w:tc>
          <w:tcPr>
            <w:tcW w:w="4248" w:type="dxa"/>
            <w:vMerge w:val="restart"/>
            <w:vAlign w:val="center"/>
          </w:tcPr>
          <w:p w:rsidR="00520730" w:rsidRPr="00C0719A" w:rsidRDefault="00520730" w:rsidP="00233078">
            <w:pPr>
              <w:jc w:val="both"/>
              <w:outlineLvl w:val="1"/>
              <w:rPr>
                <w:rFonts w:eastAsia="Times New Roman" w:cstheme="minorHAnsi"/>
                <w:b/>
                <w:bCs/>
                <w:color w:val="3C4245"/>
                <w:sz w:val="24"/>
                <w:szCs w:val="24"/>
              </w:rPr>
            </w:pPr>
            <w:r w:rsidRPr="00C0719A">
              <w:rPr>
                <w:rFonts w:eastAsia="Times New Roman" w:cstheme="minorHAnsi"/>
                <w:b/>
                <w:bCs/>
                <w:color w:val="3C4245"/>
                <w:sz w:val="24"/>
                <w:szCs w:val="24"/>
              </w:rPr>
              <w:lastRenderedPageBreak/>
              <w:t>Indicators</w:t>
            </w:r>
          </w:p>
        </w:tc>
        <w:tc>
          <w:tcPr>
            <w:tcW w:w="2410" w:type="dxa"/>
            <w:gridSpan w:val="2"/>
          </w:tcPr>
          <w:p w:rsidR="00520730" w:rsidRPr="00C0719A" w:rsidRDefault="00520730" w:rsidP="00233078">
            <w:pPr>
              <w:jc w:val="both"/>
              <w:outlineLvl w:val="1"/>
              <w:rPr>
                <w:rFonts w:eastAsia="Times New Roman" w:cstheme="minorHAnsi"/>
                <w:b/>
                <w:bCs/>
                <w:color w:val="3C4245"/>
                <w:sz w:val="24"/>
                <w:szCs w:val="24"/>
              </w:rPr>
            </w:pPr>
            <w:r w:rsidRPr="00C0719A">
              <w:rPr>
                <w:rFonts w:eastAsia="Times New Roman" w:cstheme="minorHAnsi"/>
                <w:b/>
                <w:bCs/>
                <w:color w:val="3C4245"/>
                <w:sz w:val="24"/>
                <w:szCs w:val="24"/>
              </w:rPr>
              <w:t>MILESTONES</w:t>
            </w:r>
          </w:p>
        </w:tc>
        <w:tc>
          <w:tcPr>
            <w:tcW w:w="2835" w:type="dxa"/>
            <w:gridSpan w:val="2"/>
          </w:tcPr>
          <w:p w:rsidR="00520730" w:rsidRPr="00C0719A" w:rsidRDefault="00520730" w:rsidP="00233078">
            <w:pPr>
              <w:jc w:val="both"/>
              <w:outlineLvl w:val="1"/>
              <w:rPr>
                <w:rFonts w:eastAsia="Times New Roman" w:cstheme="minorHAnsi"/>
                <w:b/>
                <w:bCs/>
                <w:color w:val="3C4245"/>
                <w:sz w:val="24"/>
                <w:szCs w:val="24"/>
              </w:rPr>
            </w:pPr>
            <w:r w:rsidRPr="00C0719A">
              <w:rPr>
                <w:rFonts w:eastAsia="Times New Roman" w:cstheme="minorHAnsi"/>
                <w:b/>
                <w:bCs/>
                <w:color w:val="3C4245"/>
                <w:sz w:val="24"/>
                <w:szCs w:val="24"/>
              </w:rPr>
              <w:t>TARGETS</w:t>
            </w:r>
          </w:p>
        </w:tc>
      </w:tr>
      <w:tr w:rsidR="00520730" w:rsidRPr="00C0719A" w:rsidTr="002571C1">
        <w:tc>
          <w:tcPr>
            <w:tcW w:w="4248" w:type="dxa"/>
            <w:vMerge/>
          </w:tcPr>
          <w:p w:rsidR="00520730" w:rsidRPr="00C0719A" w:rsidRDefault="00520730" w:rsidP="00233078">
            <w:pPr>
              <w:jc w:val="both"/>
              <w:outlineLvl w:val="1"/>
              <w:rPr>
                <w:rFonts w:eastAsia="Times New Roman" w:cstheme="minorHAnsi"/>
                <w:b/>
                <w:bCs/>
                <w:color w:val="3C4245"/>
                <w:sz w:val="24"/>
                <w:szCs w:val="24"/>
              </w:rPr>
            </w:pPr>
          </w:p>
        </w:tc>
        <w:tc>
          <w:tcPr>
            <w:tcW w:w="1134" w:type="dxa"/>
          </w:tcPr>
          <w:p w:rsidR="00520730" w:rsidRPr="00C0719A" w:rsidRDefault="00520730"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2020</w:t>
            </w:r>
          </w:p>
        </w:tc>
        <w:tc>
          <w:tcPr>
            <w:tcW w:w="1276" w:type="dxa"/>
          </w:tcPr>
          <w:p w:rsidR="00520730" w:rsidRPr="00C0719A" w:rsidRDefault="00520730"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2025</w:t>
            </w:r>
          </w:p>
        </w:tc>
        <w:tc>
          <w:tcPr>
            <w:tcW w:w="1275" w:type="dxa"/>
          </w:tcPr>
          <w:p w:rsidR="00520730" w:rsidRPr="00C0719A" w:rsidRDefault="00520730"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SDG 2030</w:t>
            </w:r>
          </w:p>
        </w:tc>
        <w:tc>
          <w:tcPr>
            <w:tcW w:w="1560" w:type="dxa"/>
          </w:tcPr>
          <w:p w:rsidR="00520730" w:rsidRPr="00C0719A" w:rsidRDefault="00520730"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END TB 2025</w:t>
            </w:r>
          </w:p>
        </w:tc>
      </w:tr>
      <w:tr w:rsidR="00520730" w:rsidRPr="00C0719A" w:rsidTr="002571C1">
        <w:tc>
          <w:tcPr>
            <w:tcW w:w="4248" w:type="dxa"/>
          </w:tcPr>
          <w:p w:rsidR="00520730" w:rsidRPr="00C0719A" w:rsidRDefault="006840AE" w:rsidP="00233078">
            <w:pPr>
              <w:jc w:val="both"/>
              <w:outlineLvl w:val="1"/>
              <w:rPr>
                <w:rFonts w:eastAsia="Times New Roman" w:cstheme="minorHAnsi"/>
                <w:b/>
                <w:bCs/>
                <w:color w:val="3C4245"/>
                <w:sz w:val="24"/>
                <w:szCs w:val="24"/>
              </w:rPr>
            </w:pPr>
            <w:r w:rsidRPr="00C0719A">
              <w:rPr>
                <w:rFonts w:eastAsia="Times New Roman" w:cstheme="minorHAnsi"/>
                <w:b/>
                <w:bCs/>
                <w:color w:val="3C4245"/>
                <w:sz w:val="24"/>
                <w:szCs w:val="24"/>
              </w:rPr>
              <w:t>Percentage reduction in the absolute number of TB deaths (compared with 2015)</w:t>
            </w:r>
          </w:p>
        </w:tc>
        <w:tc>
          <w:tcPr>
            <w:tcW w:w="1134" w:type="dxa"/>
          </w:tcPr>
          <w:p w:rsidR="00520730" w:rsidRPr="00C0719A" w:rsidRDefault="006840AE"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35%</w:t>
            </w:r>
          </w:p>
        </w:tc>
        <w:tc>
          <w:tcPr>
            <w:tcW w:w="1276" w:type="dxa"/>
          </w:tcPr>
          <w:p w:rsidR="00520730" w:rsidRPr="00C0719A" w:rsidRDefault="006840AE"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75%</w:t>
            </w:r>
          </w:p>
        </w:tc>
        <w:tc>
          <w:tcPr>
            <w:tcW w:w="1275" w:type="dxa"/>
          </w:tcPr>
          <w:p w:rsidR="00520730" w:rsidRPr="00C0719A" w:rsidRDefault="006840AE"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90%</w:t>
            </w:r>
          </w:p>
        </w:tc>
        <w:tc>
          <w:tcPr>
            <w:tcW w:w="1560" w:type="dxa"/>
          </w:tcPr>
          <w:p w:rsidR="00520730" w:rsidRPr="00C0719A" w:rsidRDefault="006840AE"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95%</w:t>
            </w:r>
          </w:p>
        </w:tc>
      </w:tr>
      <w:tr w:rsidR="006840AE" w:rsidRPr="00C0719A" w:rsidTr="002571C1">
        <w:tc>
          <w:tcPr>
            <w:tcW w:w="4248" w:type="dxa"/>
          </w:tcPr>
          <w:p w:rsidR="006840AE" w:rsidRPr="00C0719A" w:rsidRDefault="006840AE" w:rsidP="00233078">
            <w:pPr>
              <w:jc w:val="both"/>
              <w:outlineLvl w:val="1"/>
              <w:rPr>
                <w:rFonts w:eastAsia="Times New Roman" w:cstheme="minorHAnsi"/>
                <w:b/>
                <w:bCs/>
                <w:color w:val="3C4245"/>
                <w:sz w:val="24"/>
                <w:szCs w:val="24"/>
              </w:rPr>
            </w:pPr>
            <w:r w:rsidRPr="00C0719A">
              <w:rPr>
                <w:rFonts w:eastAsia="Times New Roman" w:cstheme="minorHAnsi"/>
                <w:b/>
                <w:bCs/>
                <w:color w:val="3C4245"/>
                <w:sz w:val="24"/>
                <w:szCs w:val="24"/>
              </w:rPr>
              <w:t xml:space="preserve">Percentage reduction in the TB incidence rate (compared with 2015)  </w:t>
            </w:r>
          </w:p>
        </w:tc>
        <w:tc>
          <w:tcPr>
            <w:tcW w:w="1134" w:type="dxa"/>
          </w:tcPr>
          <w:p w:rsidR="006840AE" w:rsidRPr="00C0719A" w:rsidRDefault="006840AE"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20%</w:t>
            </w:r>
          </w:p>
        </w:tc>
        <w:tc>
          <w:tcPr>
            <w:tcW w:w="1276" w:type="dxa"/>
          </w:tcPr>
          <w:p w:rsidR="006840AE" w:rsidRPr="00C0719A" w:rsidRDefault="006840AE"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50%</w:t>
            </w:r>
          </w:p>
        </w:tc>
        <w:tc>
          <w:tcPr>
            <w:tcW w:w="1275" w:type="dxa"/>
          </w:tcPr>
          <w:p w:rsidR="006840AE" w:rsidRPr="00C0719A" w:rsidRDefault="006840AE"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80%</w:t>
            </w:r>
          </w:p>
        </w:tc>
        <w:tc>
          <w:tcPr>
            <w:tcW w:w="1560" w:type="dxa"/>
          </w:tcPr>
          <w:p w:rsidR="006840AE" w:rsidRPr="00C0719A" w:rsidRDefault="006840AE"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90%</w:t>
            </w:r>
          </w:p>
        </w:tc>
      </w:tr>
      <w:tr w:rsidR="006840AE" w:rsidRPr="00C0719A" w:rsidTr="002571C1">
        <w:tc>
          <w:tcPr>
            <w:tcW w:w="4248" w:type="dxa"/>
          </w:tcPr>
          <w:p w:rsidR="006840AE" w:rsidRPr="00C0719A" w:rsidRDefault="006840AE" w:rsidP="006840AE">
            <w:pPr>
              <w:jc w:val="both"/>
              <w:outlineLvl w:val="1"/>
              <w:rPr>
                <w:rFonts w:eastAsia="Times New Roman" w:cstheme="minorHAnsi"/>
                <w:b/>
                <w:bCs/>
                <w:color w:val="3C4245"/>
                <w:sz w:val="24"/>
                <w:szCs w:val="24"/>
              </w:rPr>
            </w:pPr>
            <w:r w:rsidRPr="00C0719A">
              <w:rPr>
                <w:rFonts w:eastAsia="Times New Roman" w:cstheme="minorHAnsi"/>
                <w:b/>
                <w:bCs/>
                <w:color w:val="3C4245"/>
                <w:sz w:val="24"/>
                <w:szCs w:val="24"/>
              </w:rPr>
              <w:t xml:space="preserve">Percentage of TB affected households experiencing catastrophic costs due to TB </w:t>
            </w:r>
          </w:p>
        </w:tc>
        <w:tc>
          <w:tcPr>
            <w:tcW w:w="1134" w:type="dxa"/>
          </w:tcPr>
          <w:p w:rsidR="006840AE" w:rsidRPr="00C0719A" w:rsidRDefault="006840AE"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0%</w:t>
            </w:r>
          </w:p>
        </w:tc>
        <w:tc>
          <w:tcPr>
            <w:tcW w:w="1276" w:type="dxa"/>
          </w:tcPr>
          <w:p w:rsidR="006840AE" w:rsidRPr="00C0719A" w:rsidRDefault="006840AE"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0%</w:t>
            </w:r>
          </w:p>
        </w:tc>
        <w:tc>
          <w:tcPr>
            <w:tcW w:w="1275" w:type="dxa"/>
          </w:tcPr>
          <w:p w:rsidR="006840AE" w:rsidRPr="00C0719A" w:rsidRDefault="006840AE"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0%</w:t>
            </w:r>
          </w:p>
        </w:tc>
        <w:tc>
          <w:tcPr>
            <w:tcW w:w="1560" w:type="dxa"/>
          </w:tcPr>
          <w:p w:rsidR="006840AE" w:rsidRPr="00C0719A" w:rsidRDefault="006840AE" w:rsidP="00233078">
            <w:pPr>
              <w:jc w:val="center"/>
              <w:outlineLvl w:val="1"/>
              <w:rPr>
                <w:rFonts w:eastAsia="Times New Roman" w:cstheme="minorHAnsi"/>
                <w:b/>
                <w:bCs/>
                <w:color w:val="3C4245"/>
                <w:sz w:val="24"/>
                <w:szCs w:val="24"/>
              </w:rPr>
            </w:pPr>
            <w:r w:rsidRPr="00C0719A">
              <w:rPr>
                <w:rFonts w:eastAsia="Times New Roman" w:cstheme="minorHAnsi"/>
                <w:b/>
                <w:bCs/>
                <w:color w:val="3C4245"/>
                <w:sz w:val="24"/>
                <w:szCs w:val="24"/>
              </w:rPr>
              <w:t>0%</w:t>
            </w:r>
          </w:p>
        </w:tc>
      </w:tr>
    </w:tbl>
    <w:p w:rsidR="0033127E" w:rsidRPr="00C0719A" w:rsidRDefault="0033127E" w:rsidP="001048F7">
      <w:pPr>
        <w:spacing w:before="100" w:beforeAutospacing="1" w:after="100" w:afterAutospacing="1" w:line="240" w:lineRule="auto"/>
        <w:jc w:val="both"/>
        <w:rPr>
          <w:rFonts w:eastAsia="Times New Roman" w:cstheme="minorHAnsi"/>
          <w:color w:val="3C4245"/>
          <w:sz w:val="24"/>
          <w:szCs w:val="24"/>
        </w:rPr>
      </w:pPr>
      <w:r w:rsidRPr="00C0719A">
        <w:rPr>
          <w:rFonts w:eastAsia="Times New Roman" w:cstheme="minorHAnsi"/>
          <w:color w:val="3C4245"/>
          <w:sz w:val="24"/>
          <w:szCs w:val="24"/>
        </w:rPr>
        <w:t xml:space="preserve">Achievement of the above targets from 2018 to 2022 will require: </w:t>
      </w:r>
    </w:p>
    <w:p w:rsidR="0033127E" w:rsidRPr="00781445" w:rsidRDefault="0033127E" w:rsidP="0033127E">
      <w:pPr>
        <w:pStyle w:val="ListParagraph"/>
        <w:numPr>
          <w:ilvl w:val="0"/>
          <w:numId w:val="9"/>
        </w:numPr>
        <w:spacing w:before="100" w:beforeAutospacing="1" w:after="100" w:afterAutospacing="1" w:line="240" w:lineRule="auto"/>
        <w:jc w:val="both"/>
        <w:rPr>
          <w:rFonts w:cstheme="minorHAnsi"/>
          <w:sz w:val="24"/>
          <w:szCs w:val="24"/>
        </w:rPr>
      </w:pPr>
      <w:r w:rsidRPr="00781445">
        <w:rPr>
          <w:rFonts w:cstheme="minorHAnsi"/>
          <w:sz w:val="24"/>
          <w:szCs w:val="24"/>
        </w:rPr>
        <w:t xml:space="preserve">Successful treatment of 40 million people with tuberculosis, including 3.5 million children, and 1.5 million people with drug-resistant tuberculosis including 115,000 children with drug-resistant tuberculosis, with special focus on reaching those who are vulnerable and marginalized populations and communities included among the 4 million each year who have been most likely to miss out on quality care. </w:t>
      </w:r>
    </w:p>
    <w:p w:rsidR="0033127E" w:rsidRPr="00C0719A" w:rsidRDefault="0033127E" w:rsidP="0033127E">
      <w:pPr>
        <w:pStyle w:val="ListParagraph"/>
        <w:numPr>
          <w:ilvl w:val="0"/>
          <w:numId w:val="9"/>
        </w:numPr>
        <w:spacing w:before="100" w:beforeAutospacing="1" w:after="100" w:afterAutospacing="1" w:line="240" w:lineRule="auto"/>
        <w:jc w:val="both"/>
        <w:rPr>
          <w:rFonts w:cstheme="minorHAnsi"/>
          <w:sz w:val="24"/>
          <w:szCs w:val="24"/>
        </w:rPr>
      </w:pPr>
      <w:r w:rsidRPr="00C0719A">
        <w:rPr>
          <w:rFonts w:cstheme="minorHAnsi"/>
          <w:sz w:val="24"/>
          <w:szCs w:val="24"/>
        </w:rPr>
        <w:t>Provide 30 million people with preventive treatment.</w:t>
      </w:r>
    </w:p>
    <w:p w:rsidR="0033127E" w:rsidRPr="00C0719A" w:rsidRDefault="0033127E" w:rsidP="0033127E">
      <w:pPr>
        <w:pStyle w:val="ListParagraph"/>
        <w:numPr>
          <w:ilvl w:val="0"/>
          <w:numId w:val="9"/>
        </w:numPr>
        <w:spacing w:before="100" w:beforeAutospacing="1" w:after="100" w:afterAutospacing="1" w:line="240" w:lineRule="auto"/>
        <w:jc w:val="both"/>
        <w:rPr>
          <w:rFonts w:cstheme="minorHAnsi"/>
          <w:sz w:val="24"/>
          <w:szCs w:val="24"/>
        </w:rPr>
      </w:pPr>
      <w:r w:rsidRPr="00C0719A">
        <w:rPr>
          <w:rFonts w:cstheme="minorHAnsi"/>
          <w:sz w:val="24"/>
          <w:szCs w:val="24"/>
        </w:rPr>
        <w:t>Integrated response to address TB/HIV, NCDs, UHC, health systems.</w:t>
      </w:r>
    </w:p>
    <w:p w:rsidR="0033127E" w:rsidRPr="00C0719A" w:rsidRDefault="0033127E" w:rsidP="0033127E">
      <w:pPr>
        <w:pStyle w:val="ListParagraph"/>
        <w:numPr>
          <w:ilvl w:val="0"/>
          <w:numId w:val="9"/>
        </w:numPr>
        <w:spacing w:before="100" w:beforeAutospacing="1" w:after="100" w:afterAutospacing="1" w:line="240" w:lineRule="auto"/>
        <w:jc w:val="both"/>
        <w:rPr>
          <w:rFonts w:cstheme="minorHAnsi"/>
          <w:sz w:val="24"/>
          <w:szCs w:val="24"/>
        </w:rPr>
      </w:pPr>
      <w:r w:rsidRPr="00C0719A">
        <w:rPr>
          <w:rFonts w:cstheme="minorHAnsi"/>
          <w:sz w:val="24"/>
          <w:szCs w:val="24"/>
        </w:rPr>
        <w:t>Research and innovation</w:t>
      </w:r>
      <w:r w:rsidR="00F17524">
        <w:rPr>
          <w:rFonts w:cstheme="minorHAnsi"/>
          <w:sz w:val="24"/>
          <w:szCs w:val="24"/>
        </w:rPr>
        <w:t>.</w:t>
      </w:r>
      <w:r w:rsidRPr="00C0719A">
        <w:rPr>
          <w:rFonts w:cstheme="minorHAnsi"/>
          <w:sz w:val="24"/>
          <w:szCs w:val="24"/>
        </w:rPr>
        <w:t xml:space="preserve"> </w:t>
      </w:r>
    </w:p>
    <w:p w:rsidR="0033127E" w:rsidRPr="00C0719A" w:rsidRDefault="0033127E" w:rsidP="0033127E">
      <w:pPr>
        <w:pStyle w:val="ListParagraph"/>
        <w:numPr>
          <w:ilvl w:val="0"/>
          <w:numId w:val="9"/>
        </w:numPr>
        <w:spacing w:before="100" w:beforeAutospacing="1" w:after="100" w:afterAutospacing="1" w:line="240" w:lineRule="auto"/>
        <w:jc w:val="both"/>
        <w:rPr>
          <w:rFonts w:cstheme="minorHAnsi"/>
          <w:sz w:val="24"/>
          <w:szCs w:val="24"/>
        </w:rPr>
      </w:pPr>
      <w:r w:rsidRPr="00C0719A">
        <w:rPr>
          <w:rFonts w:cstheme="minorHAnsi"/>
          <w:sz w:val="24"/>
          <w:szCs w:val="24"/>
        </w:rPr>
        <w:t>Mobilize financing: $13 billion annually by 2022 for implementation; $2 billion annually for research</w:t>
      </w:r>
      <w:r w:rsidR="00F17524">
        <w:rPr>
          <w:rFonts w:cstheme="minorHAnsi"/>
          <w:sz w:val="24"/>
          <w:szCs w:val="24"/>
        </w:rPr>
        <w:t>.</w:t>
      </w:r>
      <w:r w:rsidRPr="00C0719A">
        <w:rPr>
          <w:rFonts w:cstheme="minorHAnsi"/>
          <w:sz w:val="24"/>
          <w:szCs w:val="24"/>
        </w:rPr>
        <w:t xml:space="preserve"> </w:t>
      </w:r>
    </w:p>
    <w:p w:rsidR="0033127E" w:rsidRPr="00C0719A" w:rsidRDefault="0033127E" w:rsidP="0033127E">
      <w:pPr>
        <w:pStyle w:val="ListParagraph"/>
        <w:numPr>
          <w:ilvl w:val="0"/>
          <w:numId w:val="9"/>
        </w:numPr>
        <w:spacing w:before="100" w:beforeAutospacing="1" w:after="100" w:afterAutospacing="1" w:line="240" w:lineRule="auto"/>
        <w:jc w:val="both"/>
        <w:rPr>
          <w:rFonts w:cstheme="minorHAnsi"/>
          <w:sz w:val="24"/>
          <w:szCs w:val="24"/>
        </w:rPr>
      </w:pPr>
      <w:r w:rsidRPr="00C0719A">
        <w:rPr>
          <w:rFonts w:cstheme="minorHAnsi"/>
          <w:sz w:val="24"/>
          <w:szCs w:val="24"/>
        </w:rPr>
        <w:t>Accountability mechanisms at country level</w:t>
      </w:r>
      <w:r w:rsidR="00F17524">
        <w:rPr>
          <w:rFonts w:cstheme="minorHAnsi"/>
          <w:sz w:val="24"/>
          <w:szCs w:val="24"/>
        </w:rPr>
        <w:t>.</w:t>
      </w:r>
    </w:p>
    <w:p w:rsidR="00D96D88" w:rsidRPr="00781445" w:rsidRDefault="00AF1DEB" w:rsidP="00427D99">
      <w:pPr>
        <w:spacing w:before="100" w:beforeAutospacing="1" w:after="100" w:afterAutospacing="1" w:line="240" w:lineRule="auto"/>
        <w:jc w:val="both"/>
        <w:rPr>
          <w:rFonts w:cstheme="minorHAnsi"/>
          <w:sz w:val="24"/>
          <w:szCs w:val="24"/>
        </w:rPr>
      </w:pPr>
      <w:r w:rsidRPr="00781445">
        <w:rPr>
          <w:rFonts w:cstheme="minorHAnsi"/>
          <w:sz w:val="24"/>
          <w:szCs w:val="24"/>
        </w:rPr>
        <w:t>Ending the TB epidemic requires action beyond the health sector to address the risk factors and determinants of the disease.</w:t>
      </w:r>
      <w:r w:rsidR="00427D99" w:rsidRPr="00781445">
        <w:rPr>
          <w:rFonts w:cstheme="minorHAnsi"/>
          <w:sz w:val="24"/>
          <w:szCs w:val="24"/>
        </w:rPr>
        <w:t xml:space="preserve"> It requires a comprehensive response, including towards achieving Universal Health Coverage, and one that addresses the social and economic determinants of the epidemic and that protects and fulfils the human rights and dignity of all people.</w:t>
      </w:r>
    </w:p>
    <w:p w:rsidR="00355CB6" w:rsidRPr="00C0719A" w:rsidRDefault="00355CB6" w:rsidP="00427D99">
      <w:pPr>
        <w:spacing w:before="100" w:beforeAutospacing="1" w:after="100" w:afterAutospacing="1" w:line="240" w:lineRule="auto"/>
        <w:jc w:val="both"/>
        <w:rPr>
          <w:rFonts w:eastAsia="Times New Roman" w:cstheme="minorHAnsi"/>
          <w:color w:val="3C4245"/>
          <w:sz w:val="24"/>
          <w:szCs w:val="24"/>
        </w:rPr>
      </w:pPr>
      <w:r w:rsidRPr="00C0719A">
        <w:rPr>
          <w:rFonts w:cstheme="minorHAnsi"/>
          <w:sz w:val="24"/>
          <w:szCs w:val="24"/>
        </w:rPr>
        <w:t xml:space="preserve">The WHO Global Ministerial Conference on ending TB </w:t>
      </w:r>
      <w:r w:rsidR="00225196">
        <w:rPr>
          <w:rFonts w:cstheme="minorHAnsi"/>
          <w:sz w:val="24"/>
          <w:szCs w:val="24"/>
        </w:rPr>
        <w:t xml:space="preserve">and the </w:t>
      </w:r>
      <w:r w:rsidR="00820E5C">
        <w:rPr>
          <w:rFonts w:cstheme="minorHAnsi"/>
          <w:sz w:val="24"/>
          <w:szCs w:val="24"/>
        </w:rPr>
        <w:t>UN</w:t>
      </w:r>
      <w:r w:rsidRPr="00C0719A">
        <w:rPr>
          <w:rFonts w:cstheme="minorHAnsi"/>
          <w:sz w:val="24"/>
          <w:szCs w:val="24"/>
        </w:rPr>
        <w:t>GA high-level meeting on TB provide a historic opportunity to galvanize the political commitment needed to step up the battle against TB and put the world on the path to ending the TB epidemic.</w:t>
      </w:r>
    </w:p>
    <w:p w:rsidR="00781445" w:rsidRPr="00C0719A" w:rsidRDefault="001E7A0D" w:rsidP="00820E5C">
      <w:pPr>
        <w:spacing w:before="100" w:beforeAutospacing="1" w:after="100" w:afterAutospacing="1" w:line="240" w:lineRule="auto"/>
        <w:jc w:val="both"/>
        <w:rPr>
          <w:rFonts w:cstheme="minorHAnsi"/>
          <w:sz w:val="24"/>
          <w:szCs w:val="24"/>
        </w:rPr>
      </w:pPr>
      <w:r w:rsidRPr="00C0719A">
        <w:rPr>
          <w:rFonts w:cstheme="minorHAnsi"/>
          <w:sz w:val="24"/>
          <w:szCs w:val="24"/>
        </w:rPr>
        <w:t>The first WHO Global Ministerial Conference on Ending TB in the SD</w:t>
      </w:r>
      <w:r w:rsidR="00C65E2A">
        <w:rPr>
          <w:rFonts w:cstheme="minorHAnsi"/>
          <w:sz w:val="24"/>
          <w:szCs w:val="24"/>
        </w:rPr>
        <w:t>G</w:t>
      </w:r>
      <w:r w:rsidRPr="00C0719A">
        <w:rPr>
          <w:rFonts w:cstheme="minorHAnsi"/>
          <w:sz w:val="24"/>
          <w:szCs w:val="24"/>
        </w:rPr>
        <w:t xml:space="preserve"> Era: A </w:t>
      </w:r>
      <w:proofErr w:type="spellStart"/>
      <w:r w:rsidRPr="00C0719A">
        <w:rPr>
          <w:rFonts w:cstheme="minorHAnsi"/>
          <w:sz w:val="24"/>
          <w:szCs w:val="24"/>
        </w:rPr>
        <w:t>Multisectoral</w:t>
      </w:r>
      <w:proofErr w:type="spellEnd"/>
      <w:r w:rsidRPr="00C0719A">
        <w:rPr>
          <w:rFonts w:cstheme="minorHAnsi"/>
          <w:sz w:val="24"/>
          <w:szCs w:val="24"/>
        </w:rPr>
        <w:t xml:space="preserve"> Response, held in Moscow in 2017 calls for urgent action regarding notably: advancing the response to tuberculosis within the SDG Agenda; ensuring sufficient and sustainable financing; pursuing science, research and innovation; and developing a </w:t>
      </w:r>
      <w:proofErr w:type="spellStart"/>
      <w:r w:rsidRPr="00C0719A">
        <w:rPr>
          <w:rFonts w:cstheme="minorHAnsi"/>
          <w:sz w:val="24"/>
          <w:szCs w:val="24"/>
        </w:rPr>
        <w:t>multisectoral</w:t>
      </w:r>
      <w:proofErr w:type="spellEnd"/>
      <w:r w:rsidRPr="00C0719A">
        <w:rPr>
          <w:rFonts w:cstheme="minorHAnsi"/>
          <w:sz w:val="24"/>
          <w:szCs w:val="24"/>
        </w:rPr>
        <w:t xml:space="preserve"> accountability framework.</w:t>
      </w:r>
      <w:r w:rsidR="00225196">
        <w:rPr>
          <w:rFonts w:cstheme="minorHAnsi"/>
          <w:sz w:val="24"/>
          <w:szCs w:val="24"/>
        </w:rPr>
        <w:t xml:space="preserve"> </w:t>
      </w:r>
      <w:r w:rsidR="00C65E2A">
        <w:rPr>
          <w:rFonts w:cstheme="minorHAnsi"/>
          <w:sz w:val="24"/>
          <w:szCs w:val="24"/>
        </w:rPr>
        <w:t>The C</w:t>
      </w:r>
      <w:r w:rsidR="00F17524">
        <w:rPr>
          <w:rFonts w:cstheme="minorHAnsi"/>
          <w:sz w:val="24"/>
          <w:szCs w:val="24"/>
        </w:rPr>
        <w:t xml:space="preserve">onference </w:t>
      </w:r>
      <w:r w:rsidR="00F17524" w:rsidRPr="00F17524">
        <w:rPr>
          <w:rFonts w:cstheme="minorHAnsi"/>
          <w:sz w:val="24"/>
          <w:szCs w:val="24"/>
        </w:rPr>
        <w:t>resulted in high-level commitments from Ministers and other leaders from 120 countries to accelerate progress to end TB.</w:t>
      </w:r>
      <w:r w:rsidR="00C65E2A">
        <w:rPr>
          <w:rFonts w:cstheme="minorHAnsi"/>
          <w:sz w:val="24"/>
          <w:szCs w:val="24"/>
        </w:rPr>
        <w:t xml:space="preserve"> </w:t>
      </w:r>
      <w:r w:rsidR="00225196" w:rsidRPr="00225196">
        <w:rPr>
          <w:rFonts w:cstheme="minorHAnsi"/>
          <w:sz w:val="24"/>
          <w:szCs w:val="24"/>
        </w:rPr>
        <w:t>Heads of State will gather in New York at the United Nations General Assembly first-ever high-level meeting on tuberculosis (TB) to accelerate efforts in ending TB and reach all affected people with prevention and care. </w:t>
      </w:r>
      <w:r w:rsidR="00F17524" w:rsidRPr="00F17524">
        <w:rPr>
          <w:rFonts w:cstheme="minorHAnsi"/>
          <w:sz w:val="24"/>
          <w:szCs w:val="24"/>
        </w:rPr>
        <w:t xml:space="preserve">The theme of the meeting is “United to end tuberculosis: an urgent global response to a global </w:t>
      </w:r>
      <w:r w:rsidR="00F17524" w:rsidRPr="00820E5C">
        <w:rPr>
          <w:rFonts w:cstheme="minorHAnsi"/>
          <w:sz w:val="24"/>
          <w:szCs w:val="24"/>
        </w:rPr>
        <w:t>epidemic”.</w:t>
      </w:r>
      <w:r w:rsidR="00CE068C">
        <w:rPr>
          <w:rFonts w:cstheme="minorHAnsi"/>
          <w:sz w:val="24"/>
          <w:szCs w:val="24"/>
        </w:rPr>
        <w:t xml:space="preserve"> </w:t>
      </w:r>
      <w:r w:rsidR="00CE068C" w:rsidRPr="00820E5C">
        <w:rPr>
          <w:rFonts w:cstheme="minorHAnsi"/>
          <w:sz w:val="24"/>
          <w:szCs w:val="24"/>
        </w:rPr>
        <w:t>The high-level meeting should result in an ambitious Political Declaration on TB endorsed by Heads of State that will strengthen action and investments for the end TB response, saving millions of lives.</w:t>
      </w:r>
      <w:bookmarkStart w:id="0" w:name="_GoBack"/>
      <w:bookmarkEnd w:id="0"/>
    </w:p>
    <w:sectPr w:rsidR="00781445" w:rsidRPr="00C0719A" w:rsidSect="004432F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D02C2"/>
    <w:multiLevelType w:val="multilevel"/>
    <w:tmpl w:val="DB22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42D4D"/>
    <w:multiLevelType w:val="multilevel"/>
    <w:tmpl w:val="5C12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CC31EB"/>
    <w:multiLevelType w:val="multilevel"/>
    <w:tmpl w:val="A8F4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6B0FEC"/>
    <w:multiLevelType w:val="multilevel"/>
    <w:tmpl w:val="FAB0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E36775"/>
    <w:multiLevelType w:val="hybridMultilevel"/>
    <w:tmpl w:val="D1240296"/>
    <w:lvl w:ilvl="0" w:tplc="4CD62452">
      <w:start w:val="5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B07AD"/>
    <w:multiLevelType w:val="multilevel"/>
    <w:tmpl w:val="2BB0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721E9A"/>
    <w:multiLevelType w:val="multilevel"/>
    <w:tmpl w:val="512A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EF2496"/>
    <w:multiLevelType w:val="hybridMultilevel"/>
    <w:tmpl w:val="73A0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D81DC6"/>
    <w:multiLevelType w:val="multilevel"/>
    <w:tmpl w:val="FB6A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0"/>
  </w:num>
  <w:num w:numId="5">
    <w:abstractNumId w:val="1"/>
  </w:num>
  <w:num w:numId="6">
    <w:abstractNumId w:val="4"/>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C6"/>
    <w:rsid w:val="000557D4"/>
    <w:rsid w:val="001033DD"/>
    <w:rsid w:val="001048F7"/>
    <w:rsid w:val="00106896"/>
    <w:rsid w:val="001E7A0D"/>
    <w:rsid w:val="00225196"/>
    <w:rsid w:val="00233078"/>
    <w:rsid w:val="00246A55"/>
    <w:rsid w:val="002571C1"/>
    <w:rsid w:val="0033127E"/>
    <w:rsid w:val="00355CB6"/>
    <w:rsid w:val="003D6E1F"/>
    <w:rsid w:val="003F06CE"/>
    <w:rsid w:val="00427D99"/>
    <w:rsid w:val="004432F8"/>
    <w:rsid w:val="00520730"/>
    <w:rsid w:val="005E33B1"/>
    <w:rsid w:val="005E7B5B"/>
    <w:rsid w:val="006840AE"/>
    <w:rsid w:val="007646BA"/>
    <w:rsid w:val="00781445"/>
    <w:rsid w:val="007860D3"/>
    <w:rsid w:val="00820E5C"/>
    <w:rsid w:val="00827660"/>
    <w:rsid w:val="00853697"/>
    <w:rsid w:val="008B2ECA"/>
    <w:rsid w:val="00936CC6"/>
    <w:rsid w:val="00953B80"/>
    <w:rsid w:val="009926C5"/>
    <w:rsid w:val="00A048E3"/>
    <w:rsid w:val="00A16DCD"/>
    <w:rsid w:val="00A90DD4"/>
    <w:rsid w:val="00AF1DEB"/>
    <w:rsid w:val="00B00EB6"/>
    <w:rsid w:val="00B830FD"/>
    <w:rsid w:val="00B83B00"/>
    <w:rsid w:val="00C0719A"/>
    <w:rsid w:val="00C65E2A"/>
    <w:rsid w:val="00C7228C"/>
    <w:rsid w:val="00CE068C"/>
    <w:rsid w:val="00D1484C"/>
    <w:rsid w:val="00D96D88"/>
    <w:rsid w:val="00EC4B86"/>
    <w:rsid w:val="00EF647D"/>
    <w:rsid w:val="00F17524"/>
    <w:rsid w:val="00F34A7C"/>
    <w:rsid w:val="00F70DD7"/>
    <w:rsid w:val="00F8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BDAB6-B639-4E4D-B515-E6AE3D1C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1D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7660"/>
    <w:rPr>
      <w:b/>
      <w:bCs/>
    </w:rPr>
  </w:style>
  <w:style w:type="paragraph" w:styleId="ListParagraph">
    <w:name w:val="List Paragraph"/>
    <w:basedOn w:val="Normal"/>
    <w:uiPriority w:val="34"/>
    <w:qFormat/>
    <w:rsid w:val="00B830FD"/>
    <w:pPr>
      <w:ind w:left="720"/>
      <w:contextualSpacing/>
    </w:pPr>
  </w:style>
  <w:style w:type="table" w:styleId="TableGrid">
    <w:name w:val="Table Grid"/>
    <w:basedOn w:val="TableNormal"/>
    <w:uiPriority w:val="39"/>
    <w:rsid w:val="00233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F1DE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06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6039">
      <w:bodyDiv w:val="1"/>
      <w:marLeft w:val="0"/>
      <w:marRight w:val="0"/>
      <w:marTop w:val="0"/>
      <w:marBottom w:val="0"/>
      <w:divBdr>
        <w:top w:val="none" w:sz="0" w:space="0" w:color="auto"/>
        <w:left w:val="none" w:sz="0" w:space="0" w:color="auto"/>
        <w:bottom w:val="none" w:sz="0" w:space="0" w:color="auto"/>
        <w:right w:val="none" w:sz="0" w:space="0" w:color="auto"/>
      </w:divBdr>
      <w:divsChild>
        <w:div w:id="490633723">
          <w:marLeft w:val="-225"/>
          <w:marRight w:val="-225"/>
          <w:marTop w:val="0"/>
          <w:marBottom w:val="0"/>
          <w:divBdr>
            <w:top w:val="none" w:sz="0" w:space="0" w:color="auto"/>
            <w:left w:val="none" w:sz="0" w:space="0" w:color="auto"/>
            <w:bottom w:val="none" w:sz="0" w:space="0" w:color="auto"/>
            <w:right w:val="none" w:sz="0" w:space="0" w:color="auto"/>
          </w:divBdr>
          <w:divsChild>
            <w:div w:id="462233834">
              <w:marLeft w:val="0"/>
              <w:marRight w:val="0"/>
              <w:marTop w:val="0"/>
              <w:marBottom w:val="0"/>
              <w:divBdr>
                <w:top w:val="none" w:sz="0" w:space="0" w:color="auto"/>
                <w:left w:val="none" w:sz="0" w:space="0" w:color="auto"/>
                <w:bottom w:val="none" w:sz="0" w:space="0" w:color="auto"/>
                <w:right w:val="none" w:sz="0" w:space="0" w:color="auto"/>
              </w:divBdr>
              <w:divsChild>
                <w:div w:id="271668304">
                  <w:marLeft w:val="0"/>
                  <w:marRight w:val="0"/>
                  <w:marTop w:val="0"/>
                  <w:marBottom w:val="0"/>
                  <w:divBdr>
                    <w:top w:val="none" w:sz="0" w:space="0" w:color="auto"/>
                    <w:left w:val="none" w:sz="0" w:space="0" w:color="auto"/>
                    <w:bottom w:val="single" w:sz="12" w:space="4" w:color="F5F5F5"/>
                    <w:right w:val="none" w:sz="0" w:space="0" w:color="auto"/>
                  </w:divBdr>
                  <w:divsChild>
                    <w:div w:id="11592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73627">
              <w:marLeft w:val="0"/>
              <w:marRight w:val="0"/>
              <w:marTop w:val="0"/>
              <w:marBottom w:val="0"/>
              <w:divBdr>
                <w:top w:val="none" w:sz="0" w:space="0" w:color="auto"/>
                <w:left w:val="none" w:sz="0" w:space="0" w:color="auto"/>
                <w:bottom w:val="none" w:sz="0" w:space="0" w:color="auto"/>
                <w:right w:val="none" w:sz="0" w:space="0" w:color="auto"/>
              </w:divBdr>
              <w:divsChild>
                <w:div w:id="195508927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77929855">
          <w:marLeft w:val="-225"/>
          <w:marRight w:val="-225"/>
          <w:marTop w:val="0"/>
          <w:marBottom w:val="0"/>
          <w:divBdr>
            <w:top w:val="none" w:sz="0" w:space="0" w:color="auto"/>
            <w:left w:val="none" w:sz="0" w:space="0" w:color="auto"/>
            <w:bottom w:val="none" w:sz="0" w:space="0" w:color="auto"/>
            <w:right w:val="none" w:sz="0" w:space="0" w:color="auto"/>
          </w:divBdr>
          <w:divsChild>
            <w:div w:id="36011345">
              <w:marLeft w:val="0"/>
              <w:marRight w:val="0"/>
              <w:marTop w:val="0"/>
              <w:marBottom w:val="0"/>
              <w:divBdr>
                <w:top w:val="none" w:sz="0" w:space="0" w:color="auto"/>
                <w:left w:val="none" w:sz="0" w:space="0" w:color="auto"/>
                <w:bottom w:val="none" w:sz="0" w:space="0" w:color="auto"/>
                <w:right w:val="none" w:sz="0" w:space="0" w:color="auto"/>
              </w:divBdr>
              <w:divsChild>
                <w:div w:id="1646735651">
                  <w:marLeft w:val="0"/>
                  <w:marRight w:val="0"/>
                  <w:marTop w:val="0"/>
                  <w:marBottom w:val="0"/>
                  <w:divBdr>
                    <w:top w:val="none" w:sz="0" w:space="0" w:color="auto"/>
                    <w:left w:val="none" w:sz="0" w:space="0" w:color="auto"/>
                    <w:bottom w:val="single" w:sz="12" w:space="0" w:color="F5F5F5"/>
                    <w:right w:val="none" w:sz="0" w:space="0" w:color="auto"/>
                  </w:divBdr>
                </w:div>
                <w:div w:id="1918009326">
                  <w:marLeft w:val="0"/>
                  <w:marRight w:val="0"/>
                  <w:marTop w:val="0"/>
                  <w:marBottom w:val="0"/>
                  <w:divBdr>
                    <w:top w:val="none" w:sz="0" w:space="0" w:color="auto"/>
                    <w:left w:val="none" w:sz="0" w:space="0" w:color="auto"/>
                    <w:bottom w:val="none" w:sz="0" w:space="0" w:color="auto"/>
                    <w:right w:val="none" w:sz="0" w:space="0" w:color="auto"/>
                  </w:divBdr>
                  <w:divsChild>
                    <w:div w:id="5083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8165">
      <w:bodyDiv w:val="1"/>
      <w:marLeft w:val="0"/>
      <w:marRight w:val="0"/>
      <w:marTop w:val="0"/>
      <w:marBottom w:val="0"/>
      <w:divBdr>
        <w:top w:val="none" w:sz="0" w:space="0" w:color="auto"/>
        <w:left w:val="none" w:sz="0" w:space="0" w:color="auto"/>
        <w:bottom w:val="none" w:sz="0" w:space="0" w:color="auto"/>
        <w:right w:val="none" w:sz="0" w:space="0" w:color="auto"/>
      </w:divBdr>
    </w:div>
    <w:div w:id="892497056">
      <w:bodyDiv w:val="1"/>
      <w:marLeft w:val="0"/>
      <w:marRight w:val="0"/>
      <w:marTop w:val="0"/>
      <w:marBottom w:val="0"/>
      <w:divBdr>
        <w:top w:val="none" w:sz="0" w:space="0" w:color="auto"/>
        <w:left w:val="none" w:sz="0" w:space="0" w:color="auto"/>
        <w:bottom w:val="none" w:sz="0" w:space="0" w:color="auto"/>
        <w:right w:val="none" w:sz="0" w:space="0" w:color="auto"/>
      </w:divBdr>
    </w:div>
    <w:div w:id="937755863">
      <w:bodyDiv w:val="1"/>
      <w:marLeft w:val="0"/>
      <w:marRight w:val="0"/>
      <w:marTop w:val="0"/>
      <w:marBottom w:val="0"/>
      <w:divBdr>
        <w:top w:val="none" w:sz="0" w:space="0" w:color="auto"/>
        <w:left w:val="none" w:sz="0" w:space="0" w:color="auto"/>
        <w:bottom w:val="none" w:sz="0" w:space="0" w:color="auto"/>
        <w:right w:val="none" w:sz="0" w:space="0" w:color="auto"/>
      </w:divBdr>
    </w:div>
    <w:div w:id="977762275">
      <w:bodyDiv w:val="1"/>
      <w:marLeft w:val="0"/>
      <w:marRight w:val="0"/>
      <w:marTop w:val="0"/>
      <w:marBottom w:val="0"/>
      <w:divBdr>
        <w:top w:val="none" w:sz="0" w:space="0" w:color="auto"/>
        <w:left w:val="none" w:sz="0" w:space="0" w:color="auto"/>
        <w:bottom w:val="none" w:sz="0" w:space="0" w:color="auto"/>
        <w:right w:val="none" w:sz="0" w:space="0" w:color="auto"/>
      </w:divBdr>
    </w:div>
    <w:div w:id="107211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ge/url?sa=i&amp;rct=j&amp;q=&amp;esrc=s&amp;source=images&amp;cd=&amp;ved=2ahUKEwiS66rduZfdAhUKzIUKHYrZBbUQjRx6BAgBEAU&amp;url=https://slideplayer.com/slide/8225784/&amp;psig=AOvVaw27ekiIHrSd6quZcN1ng1Qm&amp;ust=1535810392082788"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Maka Danelia</cp:lastModifiedBy>
  <cp:revision>5</cp:revision>
  <dcterms:created xsi:type="dcterms:W3CDTF">2018-09-11T07:11:00Z</dcterms:created>
  <dcterms:modified xsi:type="dcterms:W3CDTF">2018-09-11T07:18:00Z</dcterms:modified>
</cp:coreProperties>
</file>