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F20" w:rsidRPr="00910C67" w:rsidRDefault="004D0F20" w:rsidP="00E96C53">
      <w:pPr>
        <w:pStyle w:val="PlainText"/>
        <w:spacing w:after="240" w:line="276" w:lineRule="auto"/>
        <w:jc w:val="both"/>
        <w:rPr>
          <w:rFonts w:ascii="Sylfaen" w:hAnsi="Sylfaen" w:cs="Arial"/>
          <w:b/>
          <w:sz w:val="24"/>
          <w:szCs w:val="24"/>
        </w:rPr>
      </w:pPr>
      <w:r w:rsidRPr="00910C67">
        <w:rPr>
          <w:rFonts w:ascii="Sylfaen" w:hAnsi="Sylfaen" w:cs="Arial"/>
          <w:b/>
          <w:sz w:val="24"/>
          <w:szCs w:val="24"/>
        </w:rPr>
        <w:t>Slowing spread and emergence of AMR through new laws prohibiting over the counter sale of antibiotics and development and implementation of new guidelines on infection prevention and control in healthcare settings- National AMR Strategy implementation – current status</w:t>
      </w:r>
      <w:bookmarkStart w:id="0" w:name="_GoBack"/>
      <w:bookmarkEnd w:id="0"/>
    </w:p>
    <w:p w:rsidR="004D0F20" w:rsidRPr="00910C67" w:rsidRDefault="004D0F20" w:rsidP="00E96C53">
      <w:pPr>
        <w:pStyle w:val="PlainText"/>
        <w:spacing w:after="240" w:line="276" w:lineRule="auto"/>
        <w:jc w:val="both"/>
        <w:rPr>
          <w:rFonts w:ascii="Sylfaen" w:hAnsi="Sylfaen" w:cs="Arial"/>
          <w:b/>
          <w:color w:val="FF0000"/>
          <w:sz w:val="24"/>
          <w:szCs w:val="24"/>
        </w:rPr>
      </w:pPr>
    </w:p>
    <w:p w:rsidR="004D0F20" w:rsidRPr="001D6F09" w:rsidRDefault="004D0F20" w:rsidP="00E96C53">
      <w:pPr>
        <w:pStyle w:val="PlainText"/>
        <w:spacing w:after="240" w:line="276" w:lineRule="auto"/>
        <w:jc w:val="both"/>
        <w:rPr>
          <w:rFonts w:ascii="Sylfaen" w:hAnsi="Sylfaen" w:cs="Arial"/>
          <w:sz w:val="24"/>
          <w:szCs w:val="24"/>
          <w:lang w:val="ka-GE"/>
        </w:rPr>
      </w:pPr>
      <w:r w:rsidRPr="001D6F09">
        <w:rPr>
          <w:rFonts w:ascii="Sylfaen" w:hAnsi="Sylfaen" w:cs="Arial"/>
          <w:sz w:val="24"/>
          <w:szCs w:val="24"/>
        </w:rPr>
        <w:t xml:space="preserve">From September 1, 2014 in pharmacy system </w:t>
      </w:r>
      <w:r w:rsidRPr="001D6F09">
        <w:rPr>
          <w:rFonts w:ascii="Sylfaen" w:hAnsi="Sylfaen" w:cs="Arial"/>
          <w:sz w:val="24"/>
          <w:szCs w:val="24"/>
          <w:lang w:val="ka-GE"/>
        </w:rPr>
        <w:t>antibiotics</w:t>
      </w:r>
      <w:r w:rsidRPr="001D6F09">
        <w:rPr>
          <w:rFonts w:ascii="Sylfaen" w:hAnsi="Sylfaen" w:cs="Arial"/>
          <w:sz w:val="24"/>
          <w:szCs w:val="24"/>
        </w:rPr>
        <w:t xml:space="preserve"> were issued only by prescription. </w:t>
      </w:r>
      <w:r w:rsidRPr="001D6F09">
        <w:rPr>
          <w:rFonts w:ascii="Sylfaen" w:hAnsi="Sylfaen" w:cs="Arial"/>
          <w:sz w:val="24"/>
          <w:szCs w:val="24"/>
          <w:lang w:val="ka-GE"/>
        </w:rPr>
        <w:t>Currently, system of electronic prescription</w:t>
      </w:r>
      <w:r w:rsidRPr="001D6F09">
        <w:rPr>
          <w:rFonts w:ascii="Sylfaen" w:hAnsi="Sylfaen" w:cs="Arial"/>
          <w:sz w:val="24"/>
          <w:szCs w:val="24"/>
        </w:rPr>
        <w:t>s</w:t>
      </w:r>
      <w:r w:rsidRPr="001D6F09">
        <w:rPr>
          <w:rFonts w:ascii="Sylfaen" w:hAnsi="Sylfaen" w:cs="Arial"/>
          <w:sz w:val="24"/>
          <w:szCs w:val="24"/>
          <w:lang w:val="ka-GE"/>
        </w:rPr>
        <w:t xml:space="preserve"> is under the pilot, which will become mandatory in two years time and will provide full control of antibiotics check</w:t>
      </w:r>
      <w:r w:rsidRPr="001D6F09">
        <w:rPr>
          <w:rFonts w:ascii="Sylfaen" w:hAnsi="Sylfaen" w:cs="Arial"/>
          <w:sz w:val="24"/>
          <w:szCs w:val="24"/>
        </w:rPr>
        <w:t>-</w:t>
      </w:r>
      <w:r w:rsidRPr="001D6F09">
        <w:rPr>
          <w:rFonts w:ascii="Sylfaen" w:hAnsi="Sylfaen" w:cs="Arial"/>
          <w:sz w:val="24"/>
          <w:szCs w:val="24"/>
          <w:lang w:val="ka-GE"/>
        </w:rPr>
        <w:t xml:space="preserve">in and </w:t>
      </w:r>
      <w:r w:rsidRPr="001D6F09">
        <w:rPr>
          <w:rFonts w:ascii="Sylfaen" w:hAnsi="Sylfaen" w:cs="Arial"/>
          <w:sz w:val="24"/>
          <w:szCs w:val="24"/>
        </w:rPr>
        <w:t>realization.</w:t>
      </w:r>
      <w:r w:rsidRPr="001D6F09">
        <w:rPr>
          <w:rFonts w:ascii="Sylfaen" w:hAnsi="Sylfaen" w:cs="Arial"/>
          <w:sz w:val="24"/>
          <w:szCs w:val="24"/>
          <w:lang w:val="ka-GE"/>
        </w:rPr>
        <w:t xml:space="preserve">  </w:t>
      </w:r>
    </w:p>
    <w:p w:rsidR="004D0F20" w:rsidRPr="001D6F09" w:rsidRDefault="00BE109D" w:rsidP="00E96C53">
      <w:pPr>
        <w:pStyle w:val="PlainText"/>
        <w:spacing w:after="240" w:line="276" w:lineRule="auto"/>
        <w:jc w:val="both"/>
        <w:rPr>
          <w:rFonts w:ascii="Sylfaen" w:hAnsi="Sylfaen"/>
          <w:sz w:val="24"/>
          <w:szCs w:val="24"/>
        </w:rPr>
      </w:pPr>
      <w:r w:rsidRPr="001D6F09">
        <w:rPr>
          <w:rFonts w:ascii="Sylfaen" w:hAnsi="Sylfaen"/>
          <w:sz w:val="24"/>
          <w:szCs w:val="24"/>
        </w:rPr>
        <w:t>National Antimicrobial Resistance Strategy was developed and it will be approved by government in the nearest future.</w:t>
      </w:r>
    </w:p>
    <w:p w:rsidR="004D0F20" w:rsidRPr="001D6F09" w:rsidRDefault="004D0F20" w:rsidP="00E96C53">
      <w:pPr>
        <w:pStyle w:val="PlainText"/>
        <w:spacing w:after="240" w:line="276" w:lineRule="auto"/>
        <w:jc w:val="both"/>
        <w:rPr>
          <w:rFonts w:ascii="Sylfaen" w:hAnsi="Sylfaen"/>
          <w:sz w:val="24"/>
          <w:szCs w:val="24"/>
        </w:rPr>
      </w:pPr>
      <w:r w:rsidRPr="001D6F09">
        <w:rPr>
          <w:rFonts w:ascii="Sylfaen" w:hAnsi="Sylfaen"/>
          <w:sz w:val="24"/>
          <w:szCs w:val="24"/>
        </w:rPr>
        <w:t>Legislation on infection control and prevention-related issues has been renewed and issued special decrees.</w:t>
      </w:r>
    </w:p>
    <w:p w:rsidR="004D0F20" w:rsidRPr="001D6F09" w:rsidRDefault="004D0F20" w:rsidP="00E96C53">
      <w:pPr>
        <w:pStyle w:val="PlainText"/>
        <w:spacing w:after="240" w:line="276" w:lineRule="auto"/>
        <w:jc w:val="both"/>
        <w:rPr>
          <w:rFonts w:ascii="Sylfaen" w:hAnsi="Sylfaen"/>
          <w:sz w:val="24"/>
          <w:szCs w:val="24"/>
          <w:lang w:val="ka-GE"/>
        </w:rPr>
      </w:pPr>
      <w:r w:rsidRPr="001D6F09">
        <w:rPr>
          <w:rFonts w:ascii="Sylfaen" w:hAnsi="Sylfaen"/>
          <w:sz w:val="24"/>
          <w:szCs w:val="24"/>
        </w:rPr>
        <w:t>For example:</w:t>
      </w:r>
    </w:p>
    <w:p w:rsidR="004D0F20" w:rsidRPr="001D6F09" w:rsidRDefault="004D0F20" w:rsidP="00E96C53">
      <w:pPr>
        <w:pStyle w:val="PlainText"/>
        <w:numPr>
          <w:ilvl w:val="0"/>
          <w:numId w:val="1"/>
        </w:numPr>
        <w:spacing w:after="240" w:line="276" w:lineRule="auto"/>
        <w:jc w:val="both"/>
        <w:rPr>
          <w:rFonts w:ascii="Sylfaen" w:hAnsi="Sylfaen" w:cs="Arial"/>
          <w:bCs/>
          <w:sz w:val="24"/>
          <w:szCs w:val="24"/>
          <w:lang w:val="ka-GE"/>
        </w:rPr>
      </w:pPr>
      <w:r w:rsidRPr="001D6F09">
        <w:rPr>
          <w:rFonts w:ascii="Sylfaen" w:hAnsi="Sylfaen" w:cs="Arial"/>
          <w:bCs/>
          <w:sz w:val="24"/>
          <w:szCs w:val="24"/>
        </w:rPr>
        <w:t>“Approval of nosocomial infection surveillance, prevention, and control regulations”</w:t>
      </w:r>
      <w:r w:rsidRPr="001D6F09">
        <w:rPr>
          <w:rFonts w:ascii="Sylfaen" w:hAnsi="Sylfaen" w:cs="Arial"/>
          <w:bCs/>
          <w:sz w:val="24"/>
          <w:szCs w:val="24"/>
        </w:rPr>
        <w:br/>
        <w:t xml:space="preserve">Ministerial order №01-38/N of September 7, 2015 </w:t>
      </w:r>
    </w:p>
    <w:p w:rsidR="004D0F20" w:rsidRPr="001D6F09" w:rsidRDefault="004D0F20" w:rsidP="00E96C53">
      <w:pPr>
        <w:pStyle w:val="PlainText"/>
        <w:numPr>
          <w:ilvl w:val="0"/>
          <w:numId w:val="1"/>
        </w:numPr>
        <w:spacing w:after="240" w:line="276" w:lineRule="auto"/>
        <w:jc w:val="both"/>
        <w:rPr>
          <w:rFonts w:ascii="Sylfaen" w:hAnsi="Sylfaen" w:cs="Arial"/>
          <w:bCs/>
          <w:sz w:val="24"/>
          <w:szCs w:val="24"/>
          <w:lang w:val="ka-GE"/>
        </w:rPr>
      </w:pPr>
      <w:r w:rsidRPr="001D6F09">
        <w:rPr>
          <w:rFonts w:ascii="Sylfaen" w:hAnsi="Sylfaen" w:cs="Arial"/>
          <w:bCs/>
          <w:sz w:val="24"/>
          <w:szCs w:val="24"/>
        </w:rPr>
        <w:t>“Approval of technical regulations on disinfection and sterilization in medical, public health, and public facilities” Governmental decree №185 of April 24, 2015</w:t>
      </w:r>
    </w:p>
    <w:p w:rsidR="001D6F09" w:rsidRPr="001D6F09" w:rsidRDefault="001D6F09" w:rsidP="001D6F09">
      <w:pPr>
        <w:pStyle w:val="PlainText"/>
        <w:spacing w:after="240" w:line="276" w:lineRule="auto"/>
        <w:jc w:val="both"/>
        <w:rPr>
          <w:rFonts w:ascii="Sylfaen" w:hAnsi="Sylfaen" w:cs="Arial"/>
          <w:bCs/>
          <w:sz w:val="24"/>
          <w:szCs w:val="24"/>
          <w:lang w:val="ka-GE"/>
        </w:rPr>
      </w:pPr>
      <w:r w:rsidRPr="001D6F09">
        <w:rPr>
          <w:rFonts w:ascii="Sylfaen" w:hAnsi="Sylfaen" w:cs="Arial"/>
          <w:bCs/>
          <w:sz w:val="24"/>
          <w:szCs w:val="24"/>
          <w:lang w:val="ka-GE"/>
        </w:rPr>
        <w:t>Important improvement was achieved in infection control and prevention within Hepatitis C elimination program in hospitals and dental clinics.</w:t>
      </w:r>
    </w:p>
    <w:p w:rsidR="004D0F20" w:rsidRPr="001D6F09" w:rsidRDefault="004D0F20" w:rsidP="00E96C53">
      <w:pPr>
        <w:pStyle w:val="PlainText"/>
        <w:spacing w:after="240" w:line="276" w:lineRule="auto"/>
        <w:jc w:val="both"/>
        <w:rPr>
          <w:rFonts w:ascii="Sylfaen" w:hAnsi="Sylfaen" w:cs="Arial"/>
          <w:b/>
          <w:bCs/>
          <w:sz w:val="24"/>
          <w:szCs w:val="24"/>
        </w:rPr>
      </w:pPr>
      <w:r w:rsidRPr="001D6F09">
        <w:rPr>
          <w:rFonts w:ascii="Sylfaen" w:hAnsi="Sylfaen" w:cs="Arial"/>
          <w:bCs/>
          <w:sz w:val="24"/>
          <w:szCs w:val="24"/>
        </w:rPr>
        <w:t xml:space="preserve">In 2017 it is planned to develop the </w:t>
      </w:r>
      <w:r w:rsidRPr="001D6F09">
        <w:rPr>
          <w:rFonts w:ascii="Sylfaen" w:hAnsi="Sylfaen" w:cs="Arial"/>
          <w:sz w:val="24"/>
          <w:szCs w:val="24"/>
        </w:rPr>
        <w:t>new guidelines on infection prevention and control and their implementation in healthcare settings.</w:t>
      </w:r>
    </w:p>
    <w:p w:rsidR="004D0F20" w:rsidRPr="001D6F09" w:rsidRDefault="004D0F20" w:rsidP="00E96C53">
      <w:pPr>
        <w:spacing w:after="240"/>
        <w:jc w:val="both"/>
        <w:rPr>
          <w:rFonts w:ascii="Sylfaen" w:hAnsi="Sylfaen" w:cs="Times New Roman"/>
          <w:sz w:val="24"/>
          <w:szCs w:val="24"/>
        </w:rPr>
      </w:pPr>
      <w:r w:rsidRPr="001D6F09">
        <w:rPr>
          <w:rFonts w:ascii="Sylfaen" w:hAnsi="Sylfaen" w:cs="Times New Roman"/>
          <w:sz w:val="24"/>
          <w:szCs w:val="24"/>
        </w:rPr>
        <w:t xml:space="preserve">Over the past few years, important steps were taken in Georgia in regards of antimicrobial resistance: </w:t>
      </w:r>
    </w:p>
    <w:p w:rsidR="004D0F20" w:rsidRPr="001D6F09" w:rsidRDefault="004D0F20" w:rsidP="00E96C53">
      <w:pPr>
        <w:pStyle w:val="ListParagraph"/>
        <w:numPr>
          <w:ilvl w:val="0"/>
          <w:numId w:val="2"/>
        </w:numPr>
        <w:spacing w:after="240"/>
        <w:jc w:val="both"/>
        <w:rPr>
          <w:rFonts w:ascii="Sylfaen" w:hAnsi="Sylfaen" w:cs="Times New Roman"/>
          <w:sz w:val="24"/>
          <w:szCs w:val="24"/>
        </w:rPr>
      </w:pPr>
      <w:r w:rsidRPr="001D6F09">
        <w:rPr>
          <w:rFonts w:ascii="Sylfaen" w:hAnsi="Sylfaen" w:cs="Times New Roman"/>
          <w:sz w:val="24"/>
          <w:szCs w:val="24"/>
          <w:lang w:val="ka-GE"/>
        </w:rPr>
        <w:t xml:space="preserve">National </w:t>
      </w:r>
      <w:r w:rsidRPr="001D6F09">
        <w:rPr>
          <w:rFonts w:ascii="Sylfaen" w:hAnsi="Sylfaen" w:cs="Times New Roman"/>
          <w:sz w:val="24"/>
          <w:szCs w:val="24"/>
        </w:rPr>
        <w:t>antimicrobial resistance committee was formed</w:t>
      </w:r>
    </w:p>
    <w:p w:rsidR="004D0F20" w:rsidRPr="001D6F09" w:rsidRDefault="004D0F20" w:rsidP="00E96C53">
      <w:pPr>
        <w:pStyle w:val="ListParagraph"/>
        <w:numPr>
          <w:ilvl w:val="0"/>
          <w:numId w:val="2"/>
        </w:numPr>
        <w:spacing w:after="240"/>
        <w:jc w:val="both"/>
        <w:rPr>
          <w:rFonts w:ascii="Sylfaen" w:hAnsi="Sylfaen" w:cs="Times New Roman"/>
          <w:sz w:val="24"/>
          <w:szCs w:val="24"/>
        </w:rPr>
      </w:pPr>
      <w:r w:rsidRPr="001D6F09">
        <w:rPr>
          <w:rFonts w:ascii="Sylfaen" w:hAnsi="Sylfaen" w:cs="Times New Roman"/>
          <w:sz w:val="24"/>
          <w:szCs w:val="24"/>
        </w:rPr>
        <w:t xml:space="preserve">Georgia has joined the </w:t>
      </w:r>
      <w:r w:rsidR="006F7DFB" w:rsidRPr="001D6F09">
        <w:rPr>
          <w:sz w:val="24"/>
          <w:szCs w:val="24"/>
        </w:rPr>
        <w:t>Central Asian and Eastern European Surveillance of Antimicrobial Resistance</w:t>
      </w:r>
      <w:r w:rsidR="006F7DFB" w:rsidRPr="001D6F09">
        <w:rPr>
          <w:rFonts w:ascii="Sylfaen" w:hAnsi="Sylfaen" w:cs="Times New Roman"/>
          <w:sz w:val="24"/>
          <w:szCs w:val="24"/>
        </w:rPr>
        <w:t xml:space="preserve"> (</w:t>
      </w:r>
      <w:r w:rsidRPr="001D6F09">
        <w:rPr>
          <w:rFonts w:ascii="Sylfaen" w:hAnsi="Sylfaen" w:cs="Times New Roman"/>
          <w:sz w:val="24"/>
          <w:szCs w:val="24"/>
        </w:rPr>
        <w:t>CAESAR</w:t>
      </w:r>
      <w:r w:rsidR="006F7DFB" w:rsidRPr="001D6F09">
        <w:rPr>
          <w:rFonts w:ascii="Sylfaen" w:hAnsi="Sylfaen" w:cs="Times New Roman"/>
          <w:sz w:val="24"/>
          <w:szCs w:val="24"/>
        </w:rPr>
        <w:t>)</w:t>
      </w:r>
      <w:r w:rsidRPr="001D6F09">
        <w:rPr>
          <w:rFonts w:ascii="Sylfaen" w:hAnsi="Sylfaen" w:cs="Times New Roman"/>
          <w:sz w:val="24"/>
          <w:szCs w:val="24"/>
        </w:rPr>
        <w:t xml:space="preserve"> and Baltic Antibiotic Resistance collaborative Network (BARN)</w:t>
      </w:r>
    </w:p>
    <w:p w:rsidR="004D0F20" w:rsidRPr="001D6F09" w:rsidRDefault="004D0F20" w:rsidP="00E96C53">
      <w:pPr>
        <w:pStyle w:val="ListParagraph"/>
        <w:numPr>
          <w:ilvl w:val="0"/>
          <w:numId w:val="2"/>
        </w:numPr>
        <w:spacing w:after="240"/>
        <w:jc w:val="both"/>
        <w:rPr>
          <w:rFonts w:ascii="Sylfaen" w:hAnsi="Sylfaen" w:cs="Times New Roman"/>
          <w:sz w:val="24"/>
          <w:szCs w:val="24"/>
        </w:rPr>
      </w:pPr>
      <w:r w:rsidRPr="001D6F09">
        <w:rPr>
          <w:rFonts w:ascii="Sylfaen" w:hAnsi="Sylfaen" w:cs="Times New Roman"/>
          <w:sz w:val="24"/>
          <w:szCs w:val="24"/>
        </w:rPr>
        <w:t>The European Committee on Antimicrobial Susceptibility Testing (EUCAST) standards were implemented in microbiologic laboratories</w:t>
      </w:r>
    </w:p>
    <w:p w:rsidR="004D0F20" w:rsidRPr="001D6F09" w:rsidRDefault="004D0F20" w:rsidP="00E96C53">
      <w:pPr>
        <w:pStyle w:val="ListParagraph"/>
        <w:numPr>
          <w:ilvl w:val="0"/>
          <w:numId w:val="2"/>
        </w:numPr>
        <w:spacing w:after="240"/>
        <w:jc w:val="both"/>
        <w:rPr>
          <w:rFonts w:ascii="Sylfaen" w:hAnsi="Sylfaen" w:cs="Times New Roman"/>
          <w:sz w:val="24"/>
          <w:szCs w:val="24"/>
        </w:rPr>
      </w:pPr>
      <w:r w:rsidRPr="001D6F09">
        <w:rPr>
          <w:rFonts w:ascii="Sylfaen" w:hAnsi="Sylfaen" w:cs="Times New Roman"/>
          <w:sz w:val="24"/>
          <w:szCs w:val="24"/>
        </w:rPr>
        <w:t>The Sanford Guide to Antimicrobial Therapy has been translated and pu</w:t>
      </w:r>
      <w:r w:rsidR="007809F9" w:rsidRPr="001D6F09">
        <w:rPr>
          <w:rFonts w:ascii="Sylfaen" w:hAnsi="Sylfaen" w:cs="Times New Roman"/>
          <w:sz w:val="24"/>
          <w:szCs w:val="24"/>
        </w:rPr>
        <w:t>blished into Georgian language</w:t>
      </w:r>
    </w:p>
    <w:p w:rsidR="00B255D5" w:rsidRPr="001D6F09" w:rsidRDefault="004D0F20" w:rsidP="00891EA8">
      <w:pPr>
        <w:pStyle w:val="ListParagraph"/>
        <w:numPr>
          <w:ilvl w:val="0"/>
          <w:numId w:val="2"/>
        </w:numPr>
        <w:spacing w:after="240"/>
        <w:jc w:val="both"/>
        <w:rPr>
          <w:sz w:val="24"/>
          <w:szCs w:val="24"/>
        </w:rPr>
      </w:pPr>
      <w:r w:rsidRPr="001D6F09">
        <w:rPr>
          <w:rFonts w:ascii="Sylfaen" w:hAnsi="Sylfaen" w:cs="Times New Roman"/>
          <w:sz w:val="24"/>
          <w:szCs w:val="24"/>
        </w:rPr>
        <w:t>Postgraduate training modules on rational use of antibiotics and infection control and prevention have been elaborated.</w:t>
      </w:r>
    </w:p>
    <w:sectPr w:rsidR="00B255D5" w:rsidRPr="001D6F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D04F95"/>
    <w:multiLevelType w:val="hybridMultilevel"/>
    <w:tmpl w:val="BC745FE2"/>
    <w:lvl w:ilvl="0" w:tplc="47C84D62">
      <w:start w:val="1"/>
      <w:numFmt w:val="bullet"/>
      <w:lvlText w:val="•"/>
      <w:lvlJc w:val="left"/>
      <w:pPr>
        <w:tabs>
          <w:tab w:val="num" w:pos="720"/>
        </w:tabs>
        <w:ind w:left="720" w:hanging="360"/>
      </w:pPr>
      <w:rPr>
        <w:rFonts w:ascii="Arial" w:hAnsi="Aria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578A1F33"/>
    <w:multiLevelType w:val="hybridMultilevel"/>
    <w:tmpl w:val="2AD244D8"/>
    <w:lvl w:ilvl="0" w:tplc="47C84D62">
      <w:start w:val="1"/>
      <w:numFmt w:val="bullet"/>
      <w:lvlText w:val="•"/>
      <w:lvlJc w:val="left"/>
      <w:pPr>
        <w:tabs>
          <w:tab w:val="num" w:pos="720"/>
        </w:tabs>
        <w:ind w:left="720" w:hanging="360"/>
      </w:pPr>
      <w:rPr>
        <w:rFonts w:ascii="Arial" w:hAnsi="Arial" w:hint="default"/>
      </w:rPr>
    </w:lvl>
    <w:lvl w:ilvl="1" w:tplc="20D2A098">
      <w:start w:val="1"/>
      <w:numFmt w:val="bullet"/>
      <w:lvlText w:val="•"/>
      <w:lvlJc w:val="left"/>
      <w:pPr>
        <w:tabs>
          <w:tab w:val="num" w:pos="1440"/>
        </w:tabs>
        <w:ind w:left="1440" w:hanging="360"/>
      </w:pPr>
      <w:rPr>
        <w:rFonts w:ascii="Arial" w:hAnsi="Arial" w:hint="default"/>
      </w:rPr>
    </w:lvl>
    <w:lvl w:ilvl="2" w:tplc="804C76CE" w:tentative="1">
      <w:start w:val="1"/>
      <w:numFmt w:val="bullet"/>
      <w:lvlText w:val="•"/>
      <w:lvlJc w:val="left"/>
      <w:pPr>
        <w:tabs>
          <w:tab w:val="num" w:pos="2160"/>
        </w:tabs>
        <w:ind w:left="2160" w:hanging="360"/>
      </w:pPr>
      <w:rPr>
        <w:rFonts w:ascii="Arial" w:hAnsi="Arial" w:hint="default"/>
      </w:rPr>
    </w:lvl>
    <w:lvl w:ilvl="3" w:tplc="5384703C" w:tentative="1">
      <w:start w:val="1"/>
      <w:numFmt w:val="bullet"/>
      <w:lvlText w:val="•"/>
      <w:lvlJc w:val="left"/>
      <w:pPr>
        <w:tabs>
          <w:tab w:val="num" w:pos="2880"/>
        </w:tabs>
        <w:ind w:left="2880" w:hanging="360"/>
      </w:pPr>
      <w:rPr>
        <w:rFonts w:ascii="Arial" w:hAnsi="Arial" w:hint="default"/>
      </w:rPr>
    </w:lvl>
    <w:lvl w:ilvl="4" w:tplc="470E374A" w:tentative="1">
      <w:start w:val="1"/>
      <w:numFmt w:val="bullet"/>
      <w:lvlText w:val="•"/>
      <w:lvlJc w:val="left"/>
      <w:pPr>
        <w:tabs>
          <w:tab w:val="num" w:pos="3600"/>
        </w:tabs>
        <w:ind w:left="3600" w:hanging="360"/>
      </w:pPr>
      <w:rPr>
        <w:rFonts w:ascii="Arial" w:hAnsi="Arial" w:hint="default"/>
      </w:rPr>
    </w:lvl>
    <w:lvl w:ilvl="5" w:tplc="6E62485E" w:tentative="1">
      <w:start w:val="1"/>
      <w:numFmt w:val="bullet"/>
      <w:lvlText w:val="•"/>
      <w:lvlJc w:val="left"/>
      <w:pPr>
        <w:tabs>
          <w:tab w:val="num" w:pos="4320"/>
        </w:tabs>
        <w:ind w:left="4320" w:hanging="360"/>
      </w:pPr>
      <w:rPr>
        <w:rFonts w:ascii="Arial" w:hAnsi="Arial" w:hint="default"/>
      </w:rPr>
    </w:lvl>
    <w:lvl w:ilvl="6" w:tplc="9CA055DE" w:tentative="1">
      <w:start w:val="1"/>
      <w:numFmt w:val="bullet"/>
      <w:lvlText w:val="•"/>
      <w:lvlJc w:val="left"/>
      <w:pPr>
        <w:tabs>
          <w:tab w:val="num" w:pos="5040"/>
        </w:tabs>
        <w:ind w:left="5040" w:hanging="360"/>
      </w:pPr>
      <w:rPr>
        <w:rFonts w:ascii="Arial" w:hAnsi="Arial" w:hint="default"/>
      </w:rPr>
    </w:lvl>
    <w:lvl w:ilvl="7" w:tplc="C010B100" w:tentative="1">
      <w:start w:val="1"/>
      <w:numFmt w:val="bullet"/>
      <w:lvlText w:val="•"/>
      <w:lvlJc w:val="left"/>
      <w:pPr>
        <w:tabs>
          <w:tab w:val="num" w:pos="5760"/>
        </w:tabs>
        <w:ind w:left="5760" w:hanging="360"/>
      </w:pPr>
      <w:rPr>
        <w:rFonts w:ascii="Arial" w:hAnsi="Arial" w:hint="default"/>
      </w:rPr>
    </w:lvl>
    <w:lvl w:ilvl="8" w:tplc="D32E216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20"/>
    <w:rsid w:val="001D6F09"/>
    <w:rsid w:val="004D0F20"/>
    <w:rsid w:val="006F7DFB"/>
    <w:rsid w:val="007809F9"/>
    <w:rsid w:val="00910C67"/>
    <w:rsid w:val="009D2BBA"/>
    <w:rsid w:val="00A811B9"/>
    <w:rsid w:val="00B255D5"/>
    <w:rsid w:val="00BE109D"/>
    <w:rsid w:val="00D21CC3"/>
    <w:rsid w:val="00E96C53"/>
    <w:rsid w:val="00F614C7"/>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C818C-2D2C-4B58-A1B6-64158A70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F20"/>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F20"/>
    <w:pPr>
      <w:ind w:left="720"/>
      <w:contextualSpacing/>
    </w:pPr>
  </w:style>
  <w:style w:type="paragraph" w:styleId="PlainText">
    <w:name w:val="Plain Text"/>
    <w:basedOn w:val="Normal"/>
    <w:link w:val="PlainTextChar"/>
    <w:uiPriority w:val="99"/>
    <w:semiHidden/>
    <w:unhideWhenUsed/>
    <w:rsid w:val="004D0F20"/>
    <w:pPr>
      <w:spacing w:after="0" w:line="240" w:lineRule="auto"/>
    </w:pPr>
    <w:rPr>
      <w:rFonts w:ascii="Calibri" w:eastAsiaTheme="minorHAnsi" w:hAnsi="Calibri" w:cs="Times New Roman"/>
    </w:rPr>
  </w:style>
  <w:style w:type="character" w:customStyle="1" w:styleId="PlainTextChar">
    <w:name w:val="Plain Text Char"/>
    <w:basedOn w:val="DefaultParagraphFont"/>
    <w:link w:val="PlainText"/>
    <w:uiPriority w:val="99"/>
    <w:semiHidden/>
    <w:rsid w:val="004D0F20"/>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Tsereteli</dc:creator>
  <cp:keywords/>
  <dc:description/>
  <cp:lastModifiedBy>user</cp:lastModifiedBy>
  <cp:revision>2</cp:revision>
  <dcterms:created xsi:type="dcterms:W3CDTF">2016-11-14T17:41:00Z</dcterms:created>
  <dcterms:modified xsi:type="dcterms:W3CDTF">2016-11-14T17:41:00Z</dcterms:modified>
</cp:coreProperties>
</file>