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89" w:rsidRPr="00E76546" w:rsidRDefault="00453789" w:rsidP="00453789">
      <w:pPr>
        <w:autoSpaceDE w:val="0"/>
        <w:autoSpaceDN w:val="0"/>
        <w:adjustRightInd w:val="0"/>
        <w:spacing w:after="120"/>
        <w:jc w:val="both"/>
        <w:rPr>
          <w:rFonts w:ascii="Sylfaen" w:hAnsi="Sylfaen"/>
          <w:color w:val="222A35" w:themeColor="text2" w:themeShade="80"/>
          <w:sz w:val="20"/>
          <w:szCs w:val="20"/>
        </w:rPr>
      </w:pPr>
      <w:r w:rsidRPr="00E76546">
        <w:rPr>
          <w:rFonts w:ascii="Sylfaen" w:hAnsi="Sylfaen" w:cs="Sylfaen"/>
          <w:color w:val="222A35" w:themeColor="text2" w:themeShade="80"/>
          <w:sz w:val="20"/>
          <w:szCs w:val="20"/>
        </w:rPr>
        <w:t>არაგადამდები</w:t>
      </w:r>
      <w:r w:rsidRPr="00E76546">
        <w:rPr>
          <w:rFonts w:ascii="Sylfaen" w:hAnsi="Sylfaen" w:cstheme="minorHAnsi"/>
          <w:color w:val="222A35" w:themeColor="text2" w:themeShade="80"/>
          <w:sz w:val="20"/>
          <w:szCs w:val="20"/>
        </w:rPr>
        <w:t xml:space="preserve"> </w:t>
      </w:r>
      <w:r w:rsidRPr="00E76546">
        <w:rPr>
          <w:rFonts w:ascii="Sylfaen" w:hAnsi="Sylfaen" w:cs="Sylfaen"/>
          <w:color w:val="222A35" w:themeColor="text2" w:themeShade="80"/>
          <w:sz w:val="20"/>
          <w:szCs w:val="20"/>
        </w:rPr>
        <w:t>დაავადებები</w:t>
      </w:r>
      <w:r w:rsidRPr="00E76546">
        <w:rPr>
          <w:rFonts w:ascii="Sylfaen" w:hAnsi="Sylfaen" w:cstheme="minorHAnsi"/>
          <w:color w:val="222A35" w:themeColor="text2" w:themeShade="80"/>
          <w:sz w:val="20"/>
          <w:szCs w:val="20"/>
        </w:rPr>
        <w:t xml:space="preserve"> 21-ე საუკუნის გლობალური ჯანმრთლეობის უმნიშვნელოვანესი გამოწვევააა, </w:t>
      </w:r>
      <w:r w:rsidRPr="00E76546">
        <w:rPr>
          <w:rFonts w:ascii="Sylfaen" w:hAnsi="Sylfaen" w:cs="Sylfaen"/>
          <w:color w:val="222A35" w:themeColor="text2" w:themeShade="80"/>
          <w:sz w:val="20"/>
          <w:szCs w:val="20"/>
        </w:rPr>
        <w:t>ამ</w:t>
      </w:r>
      <w:r w:rsidRPr="00E76546">
        <w:rPr>
          <w:rFonts w:ascii="Sylfaen" w:hAnsi="Sylfaen" w:cstheme="minorHAnsi"/>
          <w:color w:val="222A35" w:themeColor="text2" w:themeShade="80"/>
          <w:sz w:val="20"/>
          <w:szCs w:val="20"/>
        </w:rPr>
        <w:t xml:space="preserve"> </w:t>
      </w:r>
      <w:r w:rsidRPr="00E76546">
        <w:rPr>
          <w:rFonts w:ascii="Sylfaen" w:hAnsi="Sylfaen" w:cs="Sylfaen"/>
          <w:color w:val="222A35" w:themeColor="text2" w:themeShade="80"/>
          <w:sz w:val="20"/>
          <w:szCs w:val="20"/>
        </w:rPr>
        <w:t>დაავადებებით</w:t>
      </w:r>
      <w:r w:rsidRPr="00E76546">
        <w:rPr>
          <w:rFonts w:ascii="Sylfaen" w:hAnsi="Sylfaen" w:cstheme="minorHAnsi"/>
          <w:color w:val="222A35" w:themeColor="text2" w:themeShade="80"/>
          <w:sz w:val="20"/>
          <w:szCs w:val="20"/>
        </w:rPr>
        <w:t xml:space="preserve"> გამოწვეული სიკვდილიანობა და ავადობის ტვირთის </w:t>
      </w:r>
      <w:r w:rsidRPr="00E76546">
        <w:rPr>
          <w:rFonts w:ascii="Sylfaen" w:hAnsi="Sylfaen" w:cs="Sylfaen"/>
          <w:color w:val="222A35" w:themeColor="text2" w:themeShade="80"/>
          <w:sz w:val="20"/>
          <w:szCs w:val="20"/>
        </w:rPr>
        <w:t>მზარდი</w:t>
      </w:r>
      <w:r w:rsidRPr="00E76546">
        <w:rPr>
          <w:rFonts w:ascii="Sylfaen" w:hAnsi="Sylfaen" w:cstheme="minorHAnsi"/>
          <w:color w:val="222A35" w:themeColor="text2" w:themeShade="80"/>
          <w:sz w:val="20"/>
          <w:szCs w:val="20"/>
        </w:rPr>
        <w:t xml:space="preserve"> </w:t>
      </w:r>
      <w:r w:rsidRPr="00E76546">
        <w:rPr>
          <w:rFonts w:ascii="Sylfaen" w:hAnsi="Sylfaen" w:cs="Sylfaen"/>
          <w:color w:val="222A35" w:themeColor="text2" w:themeShade="80"/>
          <w:sz w:val="20"/>
          <w:szCs w:val="20"/>
        </w:rPr>
        <w:t>ტენდენცია</w:t>
      </w:r>
      <w:r w:rsidRPr="00E76546">
        <w:rPr>
          <w:rFonts w:ascii="Sylfaen" w:hAnsi="Sylfaen" w:cstheme="minorHAnsi"/>
          <w:color w:val="222A35" w:themeColor="text2" w:themeShade="80"/>
          <w:sz w:val="20"/>
          <w:szCs w:val="20"/>
        </w:rPr>
        <w:t xml:space="preserve"> წარმოადგენს</w:t>
      </w:r>
      <w:r w:rsidRPr="00E76546">
        <w:rPr>
          <w:rFonts w:ascii="Sylfaen" w:hAnsi="Sylfaen" w:cs="Sylfaen"/>
          <w:color w:val="222A35" w:themeColor="text2" w:themeShade="80"/>
          <w:sz w:val="20"/>
          <w:szCs w:val="20"/>
        </w:rPr>
        <w:t xml:space="preserve"> ქვეყნების სოციალურ-ეკონომიკური</w:t>
      </w:r>
      <w:r w:rsidRPr="00E76546">
        <w:rPr>
          <w:rFonts w:ascii="Sylfaen" w:hAnsi="Sylfaen" w:cstheme="minorHAnsi"/>
          <w:color w:val="222A35" w:themeColor="text2" w:themeShade="80"/>
          <w:sz w:val="20"/>
          <w:szCs w:val="20"/>
        </w:rPr>
        <w:t xml:space="preserve"> </w:t>
      </w:r>
      <w:r w:rsidRPr="00E76546">
        <w:rPr>
          <w:rFonts w:ascii="Sylfaen" w:hAnsi="Sylfaen" w:cs="Sylfaen"/>
          <w:color w:val="222A35" w:themeColor="text2" w:themeShade="80"/>
          <w:sz w:val="20"/>
          <w:szCs w:val="20"/>
        </w:rPr>
        <w:t>განვითარების მთავარი ბარიერს</w:t>
      </w:r>
      <w:r w:rsidRPr="00E76546">
        <w:rPr>
          <w:rFonts w:ascii="Sylfaen" w:hAnsi="Sylfaen" w:cstheme="minorHAnsi"/>
          <w:color w:val="222A35" w:themeColor="text2" w:themeShade="80"/>
          <w:sz w:val="20"/>
          <w:szCs w:val="20"/>
        </w:rPr>
        <w:t xml:space="preserve">, </w:t>
      </w:r>
      <w:r w:rsidRPr="00E76546">
        <w:rPr>
          <w:rFonts w:ascii="Sylfaen" w:hAnsi="Sylfaen" w:cs="Sylfaen"/>
          <w:color w:val="222A35" w:themeColor="text2" w:themeShade="80"/>
          <w:sz w:val="20"/>
          <w:szCs w:val="20"/>
        </w:rPr>
        <w:t>მათ</w:t>
      </w:r>
      <w:r w:rsidRPr="00E76546">
        <w:rPr>
          <w:rFonts w:ascii="Sylfaen" w:hAnsi="Sylfaen" w:cstheme="minorHAnsi"/>
          <w:color w:val="222A35" w:themeColor="text2" w:themeShade="80"/>
          <w:sz w:val="20"/>
          <w:szCs w:val="20"/>
        </w:rPr>
        <w:t xml:space="preserve"> </w:t>
      </w:r>
      <w:r w:rsidRPr="00E76546">
        <w:rPr>
          <w:rFonts w:ascii="Sylfaen" w:hAnsi="Sylfaen" w:cs="Sylfaen"/>
          <w:color w:val="222A35" w:themeColor="text2" w:themeShade="80"/>
          <w:sz w:val="20"/>
          <w:szCs w:val="20"/>
        </w:rPr>
        <w:t>შორის</w:t>
      </w:r>
      <w:r w:rsidRPr="00E76546">
        <w:rPr>
          <w:rFonts w:ascii="Sylfaen" w:hAnsi="Sylfaen" w:cstheme="minorHAnsi"/>
          <w:color w:val="222A35" w:themeColor="text2" w:themeShade="80"/>
          <w:sz w:val="20"/>
          <w:szCs w:val="20"/>
        </w:rPr>
        <w:t xml:space="preserve"> </w:t>
      </w:r>
      <w:r w:rsidRPr="00E76546">
        <w:rPr>
          <w:rFonts w:ascii="Sylfaen" w:hAnsi="Sylfaen" w:cs="Sylfaen"/>
          <w:color w:val="222A35" w:themeColor="text2" w:themeShade="80"/>
          <w:sz w:val="20"/>
          <w:szCs w:val="20"/>
        </w:rPr>
        <w:t>საქართველოსთვისაც</w:t>
      </w:r>
      <w:r w:rsidRPr="00E76546">
        <w:rPr>
          <w:rFonts w:ascii="Sylfaen" w:hAnsi="Sylfaen" w:cstheme="minorHAnsi"/>
          <w:color w:val="222A35" w:themeColor="text2" w:themeShade="80"/>
          <w:sz w:val="20"/>
          <w:szCs w:val="20"/>
        </w:rPr>
        <w:t xml:space="preserve">. </w:t>
      </w:r>
    </w:p>
    <w:p w:rsidR="00453789" w:rsidRPr="00E76546" w:rsidRDefault="00453789" w:rsidP="00453789">
      <w:pPr>
        <w:spacing w:after="120"/>
        <w:jc w:val="both"/>
        <w:rPr>
          <w:rFonts w:ascii="Sylfaen" w:hAnsi="Sylfaen"/>
          <w:color w:val="222A35" w:themeColor="text2" w:themeShade="80"/>
          <w:sz w:val="20"/>
          <w:szCs w:val="20"/>
        </w:rPr>
      </w:pPr>
      <w:r w:rsidRPr="00E76546">
        <w:rPr>
          <w:rFonts w:ascii="Sylfaen" w:hAnsi="Sylfaen"/>
          <w:color w:val="222A35" w:themeColor="text2" w:themeShade="80"/>
          <w:sz w:val="20"/>
          <w:szCs w:val="20"/>
        </w:rPr>
        <w:t>არაგადამდებ დაავადებათა ეპიდზედამხედველობა ხორციელდება ჯანმო-ს სტანდარტული ინსტრუმენტის არაგადამდებ დაავადებათა რისკ-ფაქტორების კვლევის (STEPs მეთოდოლოგია) გამოყენებით. STEPs კვლევა სამ ეტაპიანია. პირველ ეტაპზე ხდება ინფორმაციის შეგროვებ</w:t>
      </w:r>
      <w:r w:rsidRPr="00E76546">
        <w:rPr>
          <w:rFonts w:ascii="Sylfaen" w:hAnsi="Sylfaen"/>
          <w:color w:val="222A35" w:themeColor="text2" w:themeShade="80"/>
          <w:sz w:val="20"/>
          <w:szCs w:val="20"/>
        </w:rPr>
        <w:t xml:space="preserve">ა </w:t>
      </w:r>
      <w:r w:rsidRPr="00E76546">
        <w:rPr>
          <w:rFonts w:ascii="Sylfaen" w:hAnsi="Sylfaen"/>
          <w:color w:val="222A35" w:themeColor="text2" w:themeShade="80"/>
          <w:sz w:val="20"/>
          <w:szCs w:val="20"/>
        </w:rPr>
        <w:t>სოციო-დემოგრაფიულ მონაცემებ</w:t>
      </w:r>
      <w:r w:rsidRPr="00E76546">
        <w:rPr>
          <w:rFonts w:ascii="Sylfaen" w:hAnsi="Sylfaen"/>
          <w:color w:val="222A35" w:themeColor="text2" w:themeShade="80"/>
          <w:sz w:val="20"/>
          <w:szCs w:val="20"/>
        </w:rPr>
        <w:t>ისა და</w:t>
      </w:r>
      <w:r w:rsidRPr="00E76546">
        <w:rPr>
          <w:rFonts w:ascii="Sylfaen" w:hAnsi="Sylfaen"/>
          <w:color w:val="222A35" w:themeColor="text2" w:themeShade="80"/>
          <w:sz w:val="20"/>
          <w:szCs w:val="20"/>
        </w:rPr>
        <w:t xml:space="preserve"> ჩვევით რისკ-ფაქტორებთან დაკავშირებით</w:t>
      </w:r>
      <w:r w:rsidRPr="00E76546">
        <w:rPr>
          <w:rFonts w:ascii="Sylfaen" w:hAnsi="Sylfaen"/>
          <w:color w:val="222A35" w:themeColor="text2" w:themeShade="80"/>
          <w:sz w:val="20"/>
          <w:szCs w:val="20"/>
        </w:rPr>
        <w:t>;</w:t>
      </w:r>
      <w:r w:rsidRPr="00E76546">
        <w:rPr>
          <w:rFonts w:ascii="Sylfaen" w:hAnsi="Sylfaen"/>
          <w:color w:val="222A35" w:themeColor="text2" w:themeShade="80"/>
          <w:sz w:val="20"/>
          <w:szCs w:val="20"/>
        </w:rPr>
        <w:t xml:space="preserve"> მეორე ეტაპზე ტარება ფიზიკური გაზომვები</w:t>
      </w:r>
      <w:r w:rsidRPr="00E76546">
        <w:rPr>
          <w:rFonts w:ascii="Sylfaen" w:hAnsi="Sylfaen"/>
          <w:color w:val="222A35" w:themeColor="text2" w:themeShade="80"/>
          <w:sz w:val="20"/>
          <w:szCs w:val="20"/>
        </w:rPr>
        <w:t xml:space="preserve"> და</w:t>
      </w:r>
      <w:r w:rsidRPr="00E76546">
        <w:rPr>
          <w:rFonts w:ascii="Sylfaen" w:hAnsi="Sylfaen"/>
          <w:color w:val="222A35" w:themeColor="text2" w:themeShade="80"/>
          <w:sz w:val="20"/>
          <w:szCs w:val="20"/>
        </w:rPr>
        <w:t xml:space="preserve">  მესამე ეტაპზე </w:t>
      </w:r>
      <w:r w:rsidRPr="00E76546">
        <w:rPr>
          <w:rFonts w:ascii="Sylfaen" w:hAnsi="Sylfaen"/>
          <w:color w:val="222A35" w:themeColor="text2" w:themeShade="80"/>
          <w:sz w:val="20"/>
          <w:szCs w:val="20"/>
        </w:rPr>
        <w:t>კი</w:t>
      </w:r>
      <w:r w:rsidRPr="00E76546">
        <w:rPr>
          <w:rFonts w:ascii="Sylfaen" w:hAnsi="Sylfaen"/>
          <w:color w:val="222A35" w:themeColor="text2" w:themeShade="80"/>
          <w:sz w:val="20"/>
          <w:szCs w:val="20"/>
        </w:rPr>
        <w:t xml:space="preserve"> ბიოლოგიური რ</w:t>
      </w:r>
      <w:bookmarkStart w:id="0" w:name="_GoBack"/>
      <w:bookmarkEnd w:id="0"/>
      <w:r w:rsidRPr="00E76546">
        <w:rPr>
          <w:rFonts w:ascii="Sylfaen" w:hAnsi="Sylfaen"/>
          <w:color w:val="222A35" w:themeColor="text2" w:themeShade="80"/>
          <w:sz w:val="20"/>
          <w:szCs w:val="20"/>
        </w:rPr>
        <w:t>ისკ-ფაქტორების შესწავლა</w:t>
      </w:r>
      <w:r w:rsidRPr="00E76546">
        <w:rPr>
          <w:rFonts w:ascii="Sylfaen" w:hAnsi="Sylfaen"/>
          <w:color w:val="222A35" w:themeColor="text2" w:themeShade="80"/>
          <w:sz w:val="20"/>
          <w:szCs w:val="20"/>
        </w:rPr>
        <w:t>.</w:t>
      </w:r>
      <w:r w:rsidRPr="00E76546">
        <w:rPr>
          <w:rFonts w:ascii="Sylfaen" w:hAnsi="Sylfaen"/>
          <w:color w:val="222A35" w:themeColor="text2" w:themeShade="80"/>
          <w:sz w:val="20"/>
          <w:szCs w:val="20"/>
        </w:rPr>
        <w:t xml:space="preserve"> </w:t>
      </w:r>
    </w:p>
    <w:p w:rsidR="00453789" w:rsidRPr="00E76546" w:rsidRDefault="00453789" w:rsidP="00453789">
      <w:pPr>
        <w:spacing w:after="120"/>
        <w:jc w:val="both"/>
        <w:rPr>
          <w:rFonts w:ascii="Sylfaen" w:hAnsi="Sylfaen"/>
          <w:color w:val="222A35" w:themeColor="text2" w:themeShade="80"/>
          <w:sz w:val="20"/>
          <w:szCs w:val="20"/>
        </w:rPr>
      </w:pPr>
      <w:r w:rsidRPr="00E76546">
        <w:rPr>
          <w:rFonts w:ascii="Sylfaen" w:hAnsi="Sylfaen"/>
          <w:color w:val="222A35" w:themeColor="text2" w:themeShade="80"/>
          <w:sz w:val="20"/>
          <w:szCs w:val="20"/>
        </w:rPr>
        <w:t>კვლევა საქართველოს მასშტაბით განახორციელა დაავადებათა კონტროლისა და საზოგადოებრივი ჯანმრთელობის ეროვნულმა ცენტრმა ჯანმრთელობის მსოფლიო ორგანიზაციის ტექნიკური და ფინანსური მხარდაჭერით.</w:t>
      </w:r>
    </w:p>
    <w:p w:rsidR="00C94026" w:rsidRPr="00E76546" w:rsidRDefault="00C94026" w:rsidP="00C94026">
      <w:pPr>
        <w:jc w:val="both"/>
        <w:rPr>
          <w:color w:val="222A35" w:themeColor="text2" w:themeShade="80"/>
          <w:sz w:val="20"/>
          <w:shd w:val="clear" w:color="auto" w:fill="FFFFFF"/>
        </w:rPr>
      </w:pPr>
      <w:r w:rsidRPr="00E76546">
        <w:rPr>
          <w:color w:val="222A35" w:themeColor="text2" w:themeShade="80"/>
          <w:sz w:val="20"/>
        </w:rPr>
        <w:t>პერსონალური კარდიოვასკულური რისკის შეფასება განსაკუთრებით მნიშვნელოვანია გამოსაკვლევი პირის რისკ-ფაქტორების ან პაციენტის კლინიკური მდგომარეობის მართვის ტაქტიკის შემუშავებისათვის</w:t>
      </w:r>
      <w:r w:rsidRPr="00E76546">
        <w:rPr>
          <w:color w:val="222A35" w:themeColor="text2" w:themeShade="80"/>
          <w:sz w:val="20"/>
        </w:rPr>
        <w:t xml:space="preserve">. </w:t>
      </w:r>
      <w:r w:rsidRPr="00E76546">
        <w:rPr>
          <w:color w:val="222A35" w:themeColor="text2" w:themeShade="80"/>
          <w:sz w:val="20"/>
        </w:rPr>
        <w:t>რისკის განსაზღვრის სქემათა უმრავლესობა არტერიული წნევის ციფრების,</w:t>
      </w:r>
      <w:r w:rsidRPr="00E76546">
        <w:rPr>
          <w:color w:val="222A35" w:themeColor="text2" w:themeShade="80"/>
          <w:sz w:val="20"/>
          <w:lang w:val="en-US"/>
        </w:rPr>
        <w:t xml:space="preserve"> </w:t>
      </w:r>
      <w:r w:rsidRPr="00E76546">
        <w:rPr>
          <w:color w:val="222A35" w:themeColor="text2" w:themeShade="80"/>
          <w:sz w:val="20"/>
        </w:rPr>
        <w:t>მწეველობის სტატუსის შეფასებასთან ერთად ითვალისწინებს ლიპიდური ცვლის მონაცემებს,</w:t>
      </w:r>
      <w:r w:rsidRPr="00E76546">
        <w:rPr>
          <w:color w:val="222A35" w:themeColor="text2" w:themeShade="80"/>
          <w:sz w:val="20"/>
          <w:lang w:val="en-US"/>
        </w:rPr>
        <w:t xml:space="preserve"> </w:t>
      </w:r>
      <w:r w:rsidRPr="00E76546">
        <w:rPr>
          <w:color w:val="222A35" w:themeColor="text2" w:themeShade="80"/>
          <w:sz w:val="20"/>
        </w:rPr>
        <w:t xml:space="preserve">უხშირესად </w:t>
      </w:r>
      <w:r w:rsidRPr="00E76546">
        <w:rPr>
          <w:color w:val="222A35" w:themeColor="text2" w:themeShade="80"/>
          <w:sz w:val="20"/>
        </w:rPr>
        <w:t xml:space="preserve">კი </w:t>
      </w:r>
      <w:r w:rsidRPr="00E76546">
        <w:rPr>
          <w:color w:val="222A35" w:themeColor="text2" w:themeShade="80"/>
          <w:sz w:val="20"/>
        </w:rPr>
        <w:t>საერთო ქოლესტეროლის სახით.</w:t>
      </w:r>
      <w:r w:rsidRPr="00E76546">
        <w:rPr>
          <w:color w:val="222A35" w:themeColor="text2" w:themeShade="80"/>
          <w:sz w:val="20"/>
        </w:rPr>
        <w:t xml:space="preserve"> </w:t>
      </w:r>
      <w:r w:rsidRPr="00E76546">
        <w:rPr>
          <w:color w:val="222A35" w:themeColor="text2" w:themeShade="80"/>
          <w:sz w:val="20"/>
        </w:rPr>
        <w:t>მაღალი სიმკვრივის ლიპოპროტეი</w:t>
      </w:r>
      <w:r w:rsidRPr="00E76546">
        <w:rPr>
          <w:color w:val="222A35" w:themeColor="text2" w:themeShade="80"/>
          <w:sz w:val="20"/>
        </w:rPr>
        <w:t>ნებ</w:t>
      </w:r>
      <w:r w:rsidRPr="00E76546">
        <w:rPr>
          <w:color w:val="222A35" w:themeColor="text2" w:themeShade="80"/>
          <w:sz w:val="20"/>
        </w:rPr>
        <w:t xml:space="preserve">ი </w:t>
      </w:r>
      <w:r w:rsidRPr="00E76546">
        <w:rPr>
          <w:rFonts w:cs="Sylfaen"/>
          <w:color w:val="222A35" w:themeColor="text2" w:themeShade="80"/>
          <w:sz w:val="20"/>
          <w:shd w:val="clear" w:color="auto" w:fill="FFFFFF"/>
        </w:rPr>
        <w:t>არ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 </w:t>
      </w:r>
      <w:r w:rsidRPr="00E76546">
        <w:rPr>
          <w:rFonts w:cs="Sylfaen"/>
          <w:color w:val="222A35" w:themeColor="text2" w:themeShade="80"/>
          <w:sz w:val="20"/>
          <w:shd w:val="clear" w:color="auto" w:fill="FFFFFF"/>
        </w:rPr>
        <w:t>მონაწილეობენ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 </w:t>
      </w:r>
      <w:r w:rsidRPr="00E76546">
        <w:rPr>
          <w:rFonts w:cs="Sylfaen"/>
          <w:color w:val="222A35" w:themeColor="text2" w:themeShade="80"/>
          <w:sz w:val="20"/>
          <w:shd w:val="clear" w:color="auto" w:fill="FFFFFF"/>
        </w:rPr>
        <w:t>ცხიმოვანი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 </w:t>
      </w:r>
      <w:r w:rsidRPr="00E76546">
        <w:rPr>
          <w:rFonts w:cs="Sylfaen"/>
          <w:color w:val="222A35" w:themeColor="text2" w:themeShade="80"/>
          <w:sz w:val="20"/>
          <w:shd w:val="clear" w:color="auto" w:fill="FFFFFF"/>
        </w:rPr>
        <w:t>ბალთების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 </w:t>
      </w:r>
      <w:r w:rsidRPr="00E76546">
        <w:rPr>
          <w:rFonts w:cs="Sylfaen"/>
          <w:color w:val="222A35" w:themeColor="text2" w:themeShade="80"/>
          <w:sz w:val="20"/>
          <w:shd w:val="clear" w:color="auto" w:fill="FFFFFF"/>
        </w:rPr>
        <w:t>ფორმირებაში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 </w:t>
      </w:r>
      <w:r w:rsidRPr="00E76546">
        <w:rPr>
          <w:rFonts w:cs="Sylfaen"/>
          <w:color w:val="222A35" w:themeColor="text2" w:themeShade="80"/>
          <w:sz w:val="20"/>
          <w:shd w:val="clear" w:color="auto" w:fill="FFFFFF"/>
        </w:rPr>
        <w:t>და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, </w:t>
      </w:r>
      <w:r w:rsidRPr="00E76546">
        <w:rPr>
          <w:rFonts w:cs="Sylfaen"/>
          <w:color w:val="222A35" w:themeColor="text2" w:themeShade="80"/>
          <w:sz w:val="20"/>
          <w:shd w:val="clear" w:color="auto" w:fill="FFFFFF"/>
        </w:rPr>
        <w:t>პირიქით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, </w:t>
      </w:r>
      <w:r w:rsidRPr="00E76546">
        <w:rPr>
          <w:rFonts w:cs="Sylfaen"/>
          <w:color w:val="222A35" w:themeColor="text2" w:themeShade="80"/>
          <w:sz w:val="20"/>
          <w:shd w:val="clear" w:color="auto" w:fill="FFFFFF"/>
        </w:rPr>
        <w:t>იცავენ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 </w:t>
      </w:r>
      <w:r w:rsidRPr="00E76546">
        <w:rPr>
          <w:rFonts w:cs="Sylfaen"/>
          <w:color w:val="222A35" w:themeColor="text2" w:themeShade="80"/>
          <w:sz w:val="20"/>
          <w:shd w:val="clear" w:color="auto" w:fill="FFFFFF"/>
        </w:rPr>
        <w:t>სისხლძარღვებს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 </w:t>
      </w:r>
      <w:r w:rsidRPr="00E76546">
        <w:rPr>
          <w:rFonts w:cs="Sylfaen"/>
          <w:color w:val="222A35" w:themeColor="text2" w:themeShade="80"/>
          <w:sz w:val="20"/>
          <w:shd w:val="clear" w:color="auto" w:fill="FFFFFF"/>
        </w:rPr>
        <w:t>დაზიანებისაგან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. </w:t>
      </w:r>
      <w:r w:rsidRPr="00E76546">
        <w:rPr>
          <w:rFonts w:cs="Sylfaen"/>
          <w:color w:val="222A35" w:themeColor="text2" w:themeShade="80"/>
          <w:sz w:val="20"/>
          <w:shd w:val="clear" w:color="auto" w:fill="FFFFFF"/>
        </w:rPr>
        <w:t>ეს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 ,,</w:t>
      </w:r>
      <w:r w:rsidRPr="00E76546">
        <w:rPr>
          <w:rFonts w:cs="Sylfaen"/>
          <w:color w:val="222A35" w:themeColor="text2" w:themeShade="80"/>
          <w:sz w:val="20"/>
          <w:shd w:val="clear" w:color="auto" w:fill="FFFFFF"/>
        </w:rPr>
        <w:t>სასარგებლო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“  </w:t>
      </w:r>
      <w:r w:rsidRPr="00E76546">
        <w:rPr>
          <w:rFonts w:cs="Sylfaen"/>
          <w:color w:val="222A35" w:themeColor="text2" w:themeShade="80"/>
          <w:sz w:val="20"/>
          <w:shd w:val="clear" w:color="auto" w:fill="FFFFFF"/>
        </w:rPr>
        <w:t>ქოლესტეროლის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 </w:t>
      </w:r>
      <w:r w:rsidRPr="00E76546">
        <w:rPr>
          <w:rFonts w:cs="Sylfaen"/>
          <w:color w:val="222A35" w:themeColor="text2" w:themeShade="80"/>
          <w:sz w:val="20"/>
          <w:shd w:val="clear" w:color="auto" w:fill="FFFFFF"/>
        </w:rPr>
        <w:t>ერთგვარი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  </w:t>
      </w:r>
      <w:r w:rsidRPr="00E76546">
        <w:rPr>
          <w:rFonts w:cs="Sylfaen"/>
          <w:color w:val="222A35" w:themeColor="text2" w:themeShade="80"/>
          <w:sz w:val="20"/>
          <w:shd w:val="clear" w:color="auto" w:fill="FFFFFF"/>
        </w:rPr>
        <w:t>ვარიანტია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. აქედან გამომდინარე, მისი მაჩვენებელი 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ასევე </w:t>
      </w:r>
      <w:r w:rsidRPr="00E76546">
        <w:rPr>
          <w:color w:val="222A35" w:themeColor="text2" w:themeShade="80"/>
          <w:sz w:val="20"/>
          <w:shd w:val="clear" w:color="auto" w:fill="FFFFFF"/>
        </w:rPr>
        <w:t>განსაკუთრებით მნიშვნელოვანია რისკის სტრატიფიცირებისას.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 </w:t>
      </w:r>
      <w:r w:rsidRPr="00E76546">
        <w:rPr>
          <w:color w:val="222A35" w:themeColor="text2" w:themeShade="80"/>
          <w:sz w:val="20"/>
          <w:shd w:val="clear" w:color="auto" w:fill="FFFFFF"/>
        </w:rPr>
        <w:t>ასევე  მნიშვნელოვანი მაჩვენებელია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 </w:t>
      </w:r>
      <w:r w:rsidRPr="00E76546">
        <w:rPr>
          <w:color w:val="222A35" w:themeColor="text2" w:themeShade="80"/>
          <w:sz w:val="20"/>
          <w:shd w:val="clear" w:color="auto" w:fill="FFFFFF"/>
        </w:rPr>
        <w:t>სისხლში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 </w:t>
      </w:r>
      <w:r w:rsidRPr="00E76546">
        <w:rPr>
          <w:color w:val="222A35" w:themeColor="text2" w:themeShade="80"/>
          <w:sz w:val="20"/>
          <w:shd w:val="clear" w:color="auto" w:fill="FFFFFF"/>
        </w:rPr>
        <w:t>გლუკოზ</w:t>
      </w:r>
      <w:r w:rsidRPr="00E76546">
        <w:rPr>
          <w:color w:val="222A35" w:themeColor="text2" w:themeShade="80"/>
          <w:sz w:val="20"/>
          <w:shd w:val="clear" w:color="auto" w:fill="FFFFFF"/>
        </w:rPr>
        <w:t>ის დონე</w:t>
      </w:r>
      <w:r w:rsidRPr="00E76546">
        <w:rPr>
          <w:color w:val="222A35" w:themeColor="text2" w:themeShade="80"/>
          <w:sz w:val="20"/>
          <w:shd w:val="clear" w:color="auto" w:fill="FFFFFF"/>
        </w:rPr>
        <w:t xml:space="preserve">, განსაკუთრებით ასიმპტომურ პირთა შორის, ვინაიდან შაქრიანი დიაბეტი ნაადრევი სიკვდილიანობის ერთერთი მთავარი მიზეზი გახდა, ძირითადად კარდიოვასკულური დაავადებების გაზრდილი რისკის გამო. </w:t>
      </w:r>
    </w:p>
    <w:p w:rsidR="00453789" w:rsidRPr="00E76546" w:rsidRDefault="00C94026" w:rsidP="00C94026">
      <w:pPr>
        <w:spacing w:after="120"/>
        <w:jc w:val="both"/>
        <w:rPr>
          <w:color w:val="222A35" w:themeColor="text2" w:themeShade="80"/>
          <w:sz w:val="20"/>
          <w:szCs w:val="20"/>
        </w:rPr>
      </w:pPr>
      <w:r w:rsidRPr="00E76546">
        <w:rPr>
          <w:rFonts w:ascii="Sylfaen" w:hAnsi="Sylfaen"/>
          <w:color w:val="222A35" w:themeColor="text2" w:themeShade="80"/>
          <w:sz w:val="20"/>
          <w:szCs w:val="20"/>
        </w:rPr>
        <w:t xml:space="preserve">აქედან გამომდინარე, </w:t>
      </w:r>
      <w:r w:rsidR="00453789" w:rsidRPr="00E76546">
        <w:rPr>
          <w:rFonts w:ascii="Sylfaen" w:hAnsi="Sylfaen"/>
          <w:color w:val="222A35" w:themeColor="text2" w:themeShade="80"/>
          <w:sz w:val="20"/>
          <w:szCs w:val="20"/>
        </w:rPr>
        <w:t xml:space="preserve">STEPs კვლევის </w:t>
      </w:r>
      <w:r w:rsidR="00453789" w:rsidRPr="00E76546">
        <w:rPr>
          <w:rFonts w:ascii="Sylfaen" w:hAnsi="Sylfaen" w:cs="Sylfaen"/>
          <w:color w:val="222A35" w:themeColor="text2" w:themeShade="80"/>
          <w:sz w:val="20"/>
          <w:szCs w:val="20"/>
        </w:rPr>
        <w:t>საკოორდინაციო</w:t>
      </w:r>
      <w:r w:rsidR="00453789" w:rsidRPr="00E76546">
        <w:rPr>
          <w:rFonts w:ascii="Sylfaen" w:hAnsi="Sylfaen"/>
          <w:color w:val="222A35" w:themeColor="text2" w:themeShade="80"/>
          <w:sz w:val="20"/>
          <w:szCs w:val="20"/>
        </w:rPr>
        <w:t xml:space="preserve"> </w:t>
      </w:r>
      <w:r w:rsidR="00453789" w:rsidRPr="00E76546">
        <w:rPr>
          <w:rFonts w:ascii="Sylfaen" w:hAnsi="Sylfaen"/>
          <w:color w:val="222A35" w:themeColor="text2" w:themeShade="80"/>
          <w:sz w:val="20"/>
          <w:szCs w:val="20"/>
        </w:rPr>
        <w:t xml:space="preserve">საბჭომ, რომელსაც ქ-ნი ნინო ბერძული ხელმძღვანელობს, </w:t>
      </w:r>
      <w:r w:rsidRPr="00E76546">
        <w:rPr>
          <w:rFonts w:ascii="Sylfaen" w:hAnsi="Sylfaen"/>
          <w:color w:val="222A35" w:themeColor="text2" w:themeShade="80"/>
          <w:sz w:val="20"/>
          <w:szCs w:val="20"/>
        </w:rPr>
        <w:t>მიიღო გადაწყვეტილება -</w:t>
      </w:r>
      <w:r w:rsidR="00453789" w:rsidRPr="00E76546">
        <w:rPr>
          <w:color w:val="222A35" w:themeColor="text2" w:themeShade="80"/>
          <w:sz w:val="20"/>
          <w:szCs w:val="20"/>
        </w:rPr>
        <w:t xml:space="preserve"> სისხლში გლუკოზის</w:t>
      </w:r>
      <w:r w:rsidRPr="00E76546">
        <w:rPr>
          <w:color w:val="222A35" w:themeColor="text2" w:themeShade="80"/>
          <w:sz w:val="20"/>
          <w:szCs w:val="20"/>
        </w:rPr>
        <w:t>, საერთო</w:t>
      </w:r>
      <w:r w:rsidR="00453789" w:rsidRPr="00E76546">
        <w:rPr>
          <w:color w:val="222A35" w:themeColor="text2" w:themeShade="80"/>
          <w:sz w:val="20"/>
          <w:szCs w:val="20"/>
        </w:rPr>
        <w:t xml:space="preserve"> ქოლესტეროლის</w:t>
      </w:r>
      <w:r w:rsidRPr="00E76546">
        <w:rPr>
          <w:color w:val="222A35" w:themeColor="text2" w:themeShade="80"/>
          <w:sz w:val="20"/>
          <w:szCs w:val="20"/>
        </w:rPr>
        <w:t xml:space="preserve">ა და </w:t>
      </w:r>
      <w:r w:rsidRPr="00E76546">
        <w:rPr>
          <w:color w:val="222A35" w:themeColor="text2" w:themeShade="80"/>
          <w:sz w:val="20"/>
          <w:szCs w:val="20"/>
          <w:lang w:val="en-US"/>
        </w:rPr>
        <w:t>HDL</w:t>
      </w:r>
      <w:r w:rsidRPr="00E76546">
        <w:rPr>
          <w:color w:val="222A35" w:themeColor="text2" w:themeShade="80"/>
          <w:sz w:val="20"/>
          <w:szCs w:val="20"/>
        </w:rPr>
        <w:t xml:space="preserve"> ქოლესტეროლის</w:t>
      </w:r>
      <w:r w:rsidR="00453789" w:rsidRPr="00E76546">
        <w:rPr>
          <w:color w:val="222A35" w:themeColor="text2" w:themeShade="80"/>
          <w:sz w:val="20"/>
          <w:szCs w:val="20"/>
        </w:rPr>
        <w:t xml:space="preserve"> მაჩვენებლების განმსაზღვრელი სწრაფი მარტივი ტესტი ჩაუტაროს </w:t>
      </w:r>
      <w:r w:rsidRPr="00E76546">
        <w:rPr>
          <w:color w:val="222A35" w:themeColor="text2" w:themeShade="80"/>
          <w:sz w:val="20"/>
          <w:szCs w:val="20"/>
        </w:rPr>
        <w:t>საქართველოს შრომის, ჯანმრთელობისა და სოციალური დაცვის სამინისტროს</w:t>
      </w:r>
      <w:r w:rsidR="00453789" w:rsidRPr="00E76546">
        <w:rPr>
          <w:color w:val="222A35" w:themeColor="text2" w:themeShade="80"/>
          <w:sz w:val="20"/>
          <w:szCs w:val="20"/>
        </w:rPr>
        <w:t xml:space="preserve"> თანამშრომლებს.</w:t>
      </w:r>
    </w:p>
    <w:p w:rsidR="00C94026" w:rsidRPr="00E76546" w:rsidRDefault="00C94026" w:rsidP="00C94026">
      <w:pPr>
        <w:spacing w:after="120"/>
        <w:jc w:val="both"/>
        <w:rPr>
          <w:color w:val="222A35" w:themeColor="text2" w:themeShade="80"/>
          <w:sz w:val="20"/>
          <w:szCs w:val="20"/>
        </w:rPr>
      </w:pPr>
      <w:r w:rsidRPr="00E76546">
        <w:rPr>
          <w:color w:val="222A35" w:themeColor="text2" w:themeShade="80"/>
          <w:sz w:val="20"/>
          <w:szCs w:val="20"/>
        </w:rPr>
        <w:t xml:space="preserve">გელოდებით </w:t>
      </w:r>
      <w:r w:rsidRPr="00E76546">
        <w:rPr>
          <w:color w:val="222A35" w:themeColor="text2" w:themeShade="80"/>
          <w:sz w:val="20"/>
          <w:szCs w:val="20"/>
        </w:rPr>
        <w:t>ორშ</w:t>
      </w:r>
      <w:r w:rsidRPr="00E76546">
        <w:rPr>
          <w:color w:val="222A35" w:themeColor="text2" w:themeShade="80"/>
          <w:sz w:val="20"/>
          <w:szCs w:val="20"/>
        </w:rPr>
        <w:t xml:space="preserve">აბათს, </w:t>
      </w:r>
      <w:r w:rsidRPr="00E76546">
        <w:rPr>
          <w:color w:val="222A35" w:themeColor="text2" w:themeShade="80"/>
          <w:sz w:val="20"/>
          <w:szCs w:val="20"/>
        </w:rPr>
        <w:t>1</w:t>
      </w:r>
      <w:r w:rsidRPr="00E76546">
        <w:rPr>
          <w:color w:val="222A35" w:themeColor="text2" w:themeShade="80"/>
          <w:sz w:val="20"/>
          <w:szCs w:val="20"/>
        </w:rPr>
        <w:t xml:space="preserve">4 ნოემბერს, დილის 9:30-დან </w:t>
      </w:r>
      <w:r w:rsidRPr="00E76546">
        <w:rPr>
          <w:color w:val="222A35" w:themeColor="text2" w:themeShade="80"/>
          <w:sz w:val="20"/>
          <w:szCs w:val="20"/>
        </w:rPr>
        <w:t>---</w:t>
      </w:r>
      <w:r w:rsidRPr="00E76546">
        <w:rPr>
          <w:color w:val="222A35" w:themeColor="text2" w:themeShade="80"/>
          <w:sz w:val="20"/>
          <w:szCs w:val="20"/>
        </w:rPr>
        <w:t>. გაითვალისწინეთ, რომ აუცილებლად უნდა იყოთ უზმო.</w:t>
      </w:r>
    </w:p>
    <w:sectPr w:rsidR="00C94026" w:rsidRPr="00E76546" w:rsidSect="00C9402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0A"/>
    <w:rsid w:val="001C5C10"/>
    <w:rsid w:val="001E03DE"/>
    <w:rsid w:val="00453789"/>
    <w:rsid w:val="0045670A"/>
    <w:rsid w:val="008E63B6"/>
    <w:rsid w:val="008F2932"/>
    <w:rsid w:val="00917D11"/>
    <w:rsid w:val="00C94026"/>
    <w:rsid w:val="00E7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218E6-6D9E-4A63-B096-C8CFCE2F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7D11"/>
  </w:style>
  <w:style w:type="character" w:styleId="Hyperlink">
    <w:name w:val="Hyperlink"/>
    <w:basedOn w:val="DefaultParagraphFont"/>
    <w:uiPriority w:val="99"/>
    <w:semiHidden/>
    <w:unhideWhenUsed/>
    <w:rsid w:val="00917D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Lela Sturua</cp:lastModifiedBy>
  <cp:revision>3</cp:revision>
  <dcterms:created xsi:type="dcterms:W3CDTF">2016-11-10T15:16:00Z</dcterms:created>
  <dcterms:modified xsi:type="dcterms:W3CDTF">2016-11-10T15:16:00Z</dcterms:modified>
</cp:coreProperties>
</file>