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011B4" w14:textId="6E0774B2" w:rsidR="001239FE" w:rsidRPr="007F6CA8" w:rsidRDefault="00824307" w:rsidP="00731B1D">
      <w:pPr>
        <w:pStyle w:val="Title"/>
        <w:spacing w:beforeLines="60" w:before="144" w:afterLines="60" w:after="144" w:line="276" w:lineRule="auto"/>
        <w:rPr>
          <w:rFonts w:ascii="Sylfaen" w:hAnsi="Sylfaen"/>
        </w:rPr>
      </w:pPr>
      <w:sdt>
        <w:sdtPr>
          <w:rPr>
            <w:rFonts w:ascii="Sylfaen" w:hAnsi="Sylfaen"/>
            <w:iCs/>
            <w:color w:val="002060"/>
            <w:sz w:val="56"/>
            <w:lang w:eastAsia="en-GB"/>
          </w:rPr>
          <w:tag w:val="Title"/>
          <w:id w:val="-1825495669"/>
          <w:lock w:val="sdtLocked"/>
          <w:placeholder>
            <w:docPart w:val="540B4B5CF8294CECA6924368DEFCD96C"/>
          </w:placeholder>
          <w:text/>
        </w:sdtPr>
        <w:sdtContent>
          <w:r w:rsidR="00CF562A" w:rsidRPr="007F6CA8">
            <w:rPr>
              <w:rFonts w:ascii="Sylfaen" w:hAnsi="Sylfaen"/>
              <w:iCs/>
              <w:color w:val="002060"/>
              <w:sz w:val="56"/>
              <w:lang w:val="ka-GE" w:eastAsia="en-GB"/>
            </w:rPr>
            <w:t xml:space="preserve">უნარების შეუსაბამობის გაზომვა </w:t>
          </w:r>
          <w:r w:rsidR="00CF562A" w:rsidRPr="007F6CA8">
            <w:rPr>
              <w:rFonts w:ascii="Sylfaen" w:hAnsi="Sylfaen"/>
              <w:iCs/>
              <w:color w:val="002060"/>
              <w:sz w:val="56"/>
              <w:lang w:eastAsia="en-GB"/>
            </w:rPr>
            <w:t xml:space="preserve">ETF </w:t>
          </w:r>
          <w:r w:rsidR="00CF562A" w:rsidRPr="007F6CA8">
            <w:rPr>
              <w:rFonts w:ascii="Sylfaen" w:hAnsi="Sylfaen"/>
              <w:iCs/>
              <w:color w:val="002060"/>
              <w:sz w:val="56"/>
              <w:lang w:val="ka-GE" w:eastAsia="en-GB"/>
            </w:rPr>
            <w:t>პარტნიორ ქვეყნებში</w:t>
          </w:r>
          <w:r w:rsidR="00CF562A" w:rsidRPr="007F6CA8">
            <w:rPr>
              <w:rFonts w:ascii="Sylfaen" w:hAnsi="Sylfaen"/>
              <w:iCs/>
              <w:color w:val="002060"/>
              <w:sz w:val="56"/>
              <w:lang w:eastAsia="en-GB"/>
            </w:rPr>
            <w:t xml:space="preserve"> </w:t>
          </w:r>
        </w:sdtContent>
      </w:sdt>
    </w:p>
    <w:p w14:paraId="06C3FF56" w14:textId="77777777" w:rsidR="00416AC1" w:rsidRPr="007F6CA8" w:rsidRDefault="00416AC1" w:rsidP="00731B1D">
      <w:pPr>
        <w:spacing w:beforeLines="60" w:before="144" w:afterLines="60" w:after="144" w:line="276" w:lineRule="auto"/>
        <w:rPr>
          <w:rFonts w:ascii="Sylfaen" w:hAnsi="Sylfaen"/>
        </w:rPr>
      </w:pPr>
    </w:p>
    <w:p w14:paraId="28272AA9" w14:textId="589AD7E3" w:rsidR="00F505C0" w:rsidRPr="007F6CA8" w:rsidRDefault="00824307" w:rsidP="00731B1D">
      <w:pPr>
        <w:pStyle w:val="Title"/>
        <w:spacing w:beforeLines="60" w:before="144" w:afterLines="60" w:after="144" w:line="276" w:lineRule="auto"/>
        <w:rPr>
          <w:rFonts w:ascii="Sylfaen" w:hAnsi="Sylfaen"/>
          <w:iCs/>
          <w:caps w:val="0"/>
          <w:color w:val="002060"/>
          <w:spacing w:val="0"/>
          <w:sz w:val="40"/>
          <w:lang w:eastAsia="en-GB"/>
        </w:rPr>
      </w:pPr>
      <w:sdt>
        <w:sdtPr>
          <w:rPr>
            <w:rFonts w:ascii="Sylfaen" w:hAnsi="Sylfaen"/>
            <w:iCs/>
            <w:caps w:val="0"/>
            <w:color w:val="002060"/>
            <w:spacing w:val="0"/>
            <w:sz w:val="40"/>
            <w:lang w:eastAsia="en-GB"/>
          </w:rPr>
          <w:tag w:val="Title"/>
          <w:id w:val="935869529"/>
          <w:placeholder>
            <w:docPart w:val="144B9FBF85514307882812AF49F3427C"/>
          </w:placeholder>
          <w:text/>
        </w:sdtPr>
        <w:sdtContent>
          <w:r w:rsidR="00CF562A" w:rsidRPr="007F6CA8">
            <w:rPr>
              <w:rFonts w:ascii="Sylfaen" w:hAnsi="Sylfaen"/>
              <w:iCs/>
              <w:caps w:val="0"/>
              <w:color w:val="002060"/>
              <w:spacing w:val="0"/>
              <w:sz w:val="40"/>
              <w:lang w:val="ka-GE" w:eastAsia="en-GB"/>
            </w:rPr>
            <w:t>საქართველოს ანგარიში</w:t>
          </w:r>
          <w:r w:rsidR="00FD6034" w:rsidRPr="007F6CA8">
            <w:rPr>
              <w:rFonts w:ascii="Sylfaen" w:hAnsi="Sylfaen"/>
              <w:iCs/>
              <w:caps w:val="0"/>
              <w:color w:val="002060"/>
              <w:spacing w:val="0"/>
              <w:sz w:val="40"/>
              <w:lang w:eastAsia="en-GB"/>
            </w:rPr>
            <w:t xml:space="preserve"> </w:t>
          </w:r>
        </w:sdtContent>
      </w:sdt>
    </w:p>
    <w:p w14:paraId="019C5384" w14:textId="77777777" w:rsidR="00F505C0" w:rsidRPr="007F6CA8" w:rsidRDefault="00F505C0" w:rsidP="00731B1D">
      <w:pPr>
        <w:pStyle w:val="Title"/>
        <w:spacing w:beforeLines="60" w:before="144" w:afterLines="60" w:after="144" w:line="276" w:lineRule="auto"/>
        <w:rPr>
          <w:rFonts w:ascii="Sylfaen" w:hAnsi="Sylfaen"/>
          <w:iCs/>
          <w:caps w:val="0"/>
          <w:color w:val="002060"/>
          <w:spacing w:val="0"/>
          <w:sz w:val="28"/>
          <w:lang w:eastAsia="en-GB"/>
        </w:rPr>
      </w:pPr>
    </w:p>
    <w:p w14:paraId="653C9251" w14:textId="77777777" w:rsidR="00F505C0" w:rsidRPr="007F6CA8" w:rsidRDefault="00F505C0" w:rsidP="00731B1D">
      <w:pPr>
        <w:pStyle w:val="Title"/>
        <w:spacing w:beforeLines="60" w:before="144" w:afterLines="60" w:after="144" w:line="276" w:lineRule="auto"/>
        <w:rPr>
          <w:rFonts w:ascii="Sylfaen" w:hAnsi="Sylfaen"/>
          <w:iCs/>
          <w:caps w:val="0"/>
          <w:color w:val="002060"/>
          <w:spacing w:val="0"/>
          <w:sz w:val="28"/>
          <w:lang w:eastAsia="en-GB"/>
        </w:rPr>
      </w:pPr>
    </w:p>
    <w:p w14:paraId="5FC62370" w14:textId="77777777" w:rsidR="00F505C0" w:rsidRPr="007F6CA8" w:rsidRDefault="00F505C0" w:rsidP="00731B1D">
      <w:pPr>
        <w:pStyle w:val="Title"/>
        <w:spacing w:beforeLines="60" w:before="144" w:afterLines="60" w:after="144" w:line="276" w:lineRule="auto"/>
        <w:rPr>
          <w:rFonts w:ascii="Sylfaen" w:hAnsi="Sylfaen"/>
          <w:iCs/>
          <w:caps w:val="0"/>
          <w:color w:val="002060"/>
          <w:spacing w:val="0"/>
          <w:sz w:val="28"/>
          <w:lang w:eastAsia="en-GB"/>
        </w:rPr>
      </w:pPr>
    </w:p>
    <w:p w14:paraId="4F4A6836" w14:textId="3F3CD8DF" w:rsidR="00F505C0" w:rsidRPr="007F6CA8" w:rsidRDefault="00CF562A" w:rsidP="00731B1D">
      <w:pPr>
        <w:pStyle w:val="Title"/>
        <w:spacing w:beforeLines="60" w:before="144" w:afterLines="60" w:after="144" w:line="276" w:lineRule="auto"/>
        <w:rPr>
          <w:rFonts w:ascii="Sylfaen" w:hAnsi="Sylfaen"/>
          <w:iCs/>
          <w:caps w:val="0"/>
          <w:color w:val="002060"/>
          <w:spacing w:val="0"/>
          <w:sz w:val="28"/>
          <w:lang w:val="ka-GE" w:eastAsia="en-GB"/>
        </w:rPr>
      </w:pPr>
      <w:r w:rsidRPr="007F6CA8">
        <w:rPr>
          <w:rFonts w:ascii="Sylfaen" w:hAnsi="Sylfaen"/>
          <w:iCs/>
          <w:caps w:val="0"/>
          <w:color w:val="002060"/>
          <w:spacing w:val="0"/>
          <w:sz w:val="28"/>
          <w:lang w:val="ka-GE" w:eastAsia="en-GB"/>
        </w:rPr>
        <w:t>ირინა ბადურაშვილი</w:t>
      </w:r>
    </w:p>
    <w:p w14:paraId="748CC85D" w14:textId="355231CE" w:rsidR="00F505C0" w:rsidRPr="007F6CA8" w:rsidRDefault="00CF562A" w:rsidP="00731B1D">
      <w:pPr>
        <w:pStyle w:val="Title"/>
        <w:spacing w:beforeLines="60" w:before="144" w:afterLines="60" w:after="144" w:line="276" w:lineRule="auto"/>
        <w:rPr>
          <w:rFonts w:ascii="Sylfaen" w:hAnsi="Sylfaen"/>
          <w:iCs/>
          <w:caps w:val="0"/>
          <w:color w:val="002060"/>
          <w:spacing w:val="0"/>
          <w:sz w:val="24"/>
          <w:lang w:eastAsia="en-GB"/>
        </w:rPr>
      </w:pPr>
      <w:r w:rsidRPr="007F6CA8">
        <w:rPr>
          <w:rFonts w:ascii="Sylfaen" w:hAnsi="Sylfaen"/>
          <w:iCs/>
          <w:caps w:val="0"/>
          <w:color w:val="002060"/>
          <w:spacing w:val="0"/>
          <w:sz w:val="24"/>
          <w:lang w:val="ka-GE" w:eastAsia="en-GB"/>
        </w:rPr>
        <w:t>საქართველოს მოსახლეობის კვლევის ცენტრი</w:t>
      </w:r>
    </w:p>
    <w:p w14:paraId="57EF9570" w14:textId="77777777" w:rsidR="00E84D9A" w:rsidRPr="007F6CA8" w:rsidRDefault="00E84D9A" w:rsidP="00731B1D">
      <w:pPr>
        <w:pStyle w:val="Title"/>
        <w:spacing w:beforeLines="60" w:before="144" w:afterLines="60" w:after="144" w:line="276" w:lineRule="auto"/>
        <w:rPr>
          <w:rFonts w:ascii="Sylfaen" w:hAnsi="Sylfaen"/>
          <w:iCs/>
          <w:caps w:val="0"/>
          <w:color w:val="002060"/>
          <w:spacing w:val="0"/>
          <w:sz w:val="28"/>
          <w:lang w:eastAsia="en-GB"/>
        </w:rPr>
      </w:pPr>
    </w:p>
    <w:p w14:paraId="75947B1B" w14:textId="3BDA463E" w:rsidR="00E84D9A" w:rsidRPr="007F6CA8" w:rsidRDefault="00CF562A" w:rsidP="00731B1D">
      <w:pPr>
        <w:pStyle w:val="Title"/>
        <w:spacing w:beforeLines="60" w:before="144" w:afterLines="60" w:after="144" w:line="276" w:lineRule="auto"/>
        <w:rPr>
          <w:rFonts w:ascii="Sylfaen" w:hAnsi="Sylfaen"/>
          <w:iCs/>
          <w:caps w:val="0"/>
          <w:color w:val="002060"/>
          <w:spacing w:val="0"/>
          <w:sz w:val="28"/>
          <w:lang w:eastAsia="en-GB"/>
        </w:rPr>
      </w:pPr>
      <w:r w:rsidRPr="007F6CA8">
        <w:rPr>
          <w:rFonts w:ascii="Sylfaen" w:hAnsi="Sylfaen"/>
          <w:iCs/>
          <w:caps w:val="0"/>
          <w:color w:val="002060"/>
          <w:spacing w:val="0"/>
          <w:sz w:val="28"/>
          <w:lang w:val="ka-GE" w:eastAsia="en-GB"/>
        </w:rPr>
        <w:t>ბენ კრიხელი და ტიმ ვეტერი</w:t>
      </w:r>
    </w:p>
    <w:p w14:paraId="5C439E89" w14:textId="77777777" w:rsidR="00E84D9A" w:rsidRPr="007F6CA8" w:rsidRDefault="00E84D9A" w:rsidP="00731B1D">
      <w:pPr>
        <w:pStyle w:val="Title"/>
        <w:spacing w:beforeLines="60" w:before="144" w:afterLines="60" w:after="144" w:line="276" w:lineRule="auto"/>
        <w:rPr>
          <w:rFonts w:ascii="Sylfaen" w:hAnsi="Sylfaen"/>
          <w:iCs/>
          <w:caps w:val="0"/>
          <w:color w:val="002060"/>
          <w:spacing w:val="0"/>
          <w:sz w:val="24"/>
          <w:lang w:eastAsia="en-GB"/>
        </w:rPr>
      </w:pPr>
      <w:r w:rsidRPr="007F6CA8">
        <w:rPr>
          <w:rFonts w:ascii="Sylfaen" w:hAnsi="Sylfaen"/>
          <w:iCs/>
          <w:caps w:val="0"/>
          <w:color w:val="002060"/>
          <w:spacing w:val="0"/>
          <w:sz w:val="24"/>
          <w:lang w:eastAsia="en-GB"/>
        </w:rPr>
        <w:t>Economix Research &amp; Consulting</w:t>
      </w:r>
    </w:p>
    <w:p w14:paraId="2925E4FB" w14:textId="77777777" w:rsidR="00E84D9A" w:rsidRPr="007F6CA8" w:rsidRDefault="00E84D9A" w:rsidP="00731B1D">
      <w:pPr>
        <w:pStyle w:val="Title"/>
        <w:spacing w:beforeLines="60" w:before="144" w:afterLines="60" w:after="144" w:line="276" w:lineRule="auto"/>
        <w:rPr>
          <w:rFonts w:ascii="Sylfaen" w:hAnsi="Sylfaen"/>
          <w:iCs/>
          <w:caps w:val="0"/>
          <w:color w:val="002060"/>
          <w:spacing w:val="0"/>
          <w:sz w:val="28"/>
          <w:lang w:eastAsia="en-GB"/>
        </w:rPr>
      </w:pPr>
    </w:p>
    <w:p w14:paraId="2DCE4AA6" w14:textId="77777777" w:rsidR="00E84D9A" w:rsidRPr="007F6CA8" w:rsidRDefault="00E84D9A" w:rsidP="00731B1D">
      <w:pPr>
        <w:pStyle w:val="Title"/>
        <w:spacing w:beforeLines="60" w:before="144" w:afterLines="60" w:after="144" w:line="276" w:lineRule="auto"/>
        <w:rPr>
          <w:rFonts w:ascii="Sylfaen" w:hAnsi="Sylfaen"/>
          <w:iCs/>
          <w:caps w:val="0"/>
          <w:color w:val="002060"/>
          <w:spacing w:val="0"/>
          <w:sz w:val="28"/>
          <w:lang w:eastAsia="en-GB"/>
        </w:rPr>
      </w:pPr>
    </w:p>
    <w:p w14:paraId="5E12977F" w14:textId="4783A52A" w:rsidR="00F505C0" w:rsidRPr="007F6CA8" w:rsidRDefault="00E733D7" w:rsidP="00731B1D">
      <w:pPr>
        <w:pStyle w:val="Title"/>
        <w:spacing w:beforeLines="60" w:before="144" w:afterLines="60" w:after="144" w:line="276" w:lineRule="auto"/>
        <w:rPr>
          <w:rFonts w:ascii="Sylfaen" w:hAnsi="Sylfaen"/>
          <w:iCs/>
          <w:caps w:val="0"/>
          <w:color w:val="002060"/>
          <w:spacing w:val="0"/>
          <w:sz w:val="28"/>
          <w:lang w:val="ka-GE" w:eastAsia="en-GB"/>
        </w:rPr>
      </w:pPr>
      <w:r w:rsidRPr="007F6CA8">
        <w:rPr>
          <w:rFonts w:ascii="Sylfaen" w:hAnsi="Sylfaen"/>
          <w:iCs/>
          <w:caps w:val="0"/>
          <w:color w:val="002060"/>
          <w:spacing w:val="0"/>
          <w:sz w:val="28"/>
          <w:lang w:eastAsia="en-GB"/>
        </w:rPr>
        <w:t>201</w:t>
      </w:r>
      <w:r w:rsidR="00FD5E42" w:rsidRPr="007F6CA8">
        <w:rPr>
          <w:rFonts w:ascii="Sylfaen" w:hAnsi="Sylfaen"/>
          <w:iCs/>
          <w:caps w:val="0"/>
          <w:color w:val="002060"/>
          <w:spacing w:val="0"/>
          <w:sz w:val="28"/>
          <w:lang w:eastAsia="en-GB"/>
        </w:rPr>
        <w:t>8</w:t>
      </w:r>
      <w:r w:rsidR="00CF562A" w:rsidRPr="007F6CA8">
        <w:rPr>
          <w:rFonts w:ascii="Sylfaen" w:hAnsi="Sylfaen"/>
          <w:iCs/>
          <w:caps w:val="0"/>
          <w:color w:val="002060"/>
          <w:spacing w:val="0"/>
          <w:sz w:val="28"/>
          <w:lang w:val="ka-GE" w:eastAsia="en-GB"/>
        </w:rPr>
        <w:t xml:space="preserve"> წლის მარტი</w:t>
      </w:r>
    </w:p>
    <w:p w14:paraId="0A4AD123" w14:textId="77777777" w:rsidR="00F505C0" w:rsidRPr="007F6CA8" w:rsidRDefault="00F505C0" w:rsidP="00731B1D">
      <w:pPr>
        <w:spacing w:beforeLines="60" w:before="144" w:afterLines="60" w:after="144" w:line="276" w:lineRule="auto"/>
        <w:rPr>
          <w:rFonts w:ascii="Sylfaen" w:hAnsi="Sylfaen"/>
        </w:rPr>
      </w:pPr>
    </w:p>
    <w:p w14:paraId="7345D1B3" w14:textId="77777777" w:rsidR="002715C4" w:rsidRPr="007F6CA8" w:rsidRDefault="002715C4" w:rsidP="00731B1D">
      <w:pPr>
        <w:spacing w:beforeLines="60" w:before="144" w:afterLines="60" w:after="144" w:line="276" w:lineRule="auto"/>
        <w:rPr>
          <w:rFonts w:ascii="Sylfaen" w:hAnsi="Sylfaen"/>
        </w:rPr>
      </w:pPr>
    </w:p>
    <w:p w14:paraId="588AC3C0" w14:textId="77777777" w:rsidR="002C7928" w:rsidRPr="007F6CA8" w:rsidRDefault="002C7928" w:rsidP="00731B1D">
      <w:pPr>
        <w:spacing w:beforeLines="60" w:before="144" w:afterLines="60" w:after="144" w:line="276" w:lineRule="auto"/>
        <w:rPr>
          <w:rFonts w:ascii="Sylfaen" w:hAnsi="Sylfaen"/>
        </w:rPr>
      </w:pPr>
    </w:p>
    <w:p w14:paraId="5E84832D" w14:textId="77777777" w:rsidR="00E733D7" w:rsidRPr="007F6CA8" w:rsidRDefault="00E733D7" w:rsidP="00731B1D">
      <w:pPr>
        <w:spacing w:beforeLines="60" w:before="144" w:afterLines="60" w:after="144" w:line="276" w:lineRule="auto"/>
        <w:rPr>
          <w:rFonts w:ascii="Sylfaen" w:hAnsi="Sylfaen"/>
        </w:rPr>
        <w:sectPr w:rsidR="00E733D7" w:rsidRPr="007F6CA8" w:rsidSect="00416AC1">
          <w:headerReference w:type="default" r:id="rId12"/>
          <w:footerReference w:type="default" r:id="rId13"/>
          <w:headerReference w:type="first" r:id="rId14"/>
          <w:footerReference w:type="first" r:id="rId15"/>
          <w:pgSz w:w="11906" w:h="16838" w:code="9"/>
          <w:pgMar w:top="1440" w:right="992" w:bottom="1440" w:left="1814" w:header="851" w:footer="284" w:gutter="0"/>
          <w:cols w:space="708"/>
          <w:docGrid w:linePitch="360"/>
        </w:sectPr>
      </w:pPr>
    </w:p>
    <w:sdt>
      <w:sdtPr>
        <w:rPr>
          <w:rFonts w:ascii="Sylfaen" w:eastAsiaTheme="minorHAnsi" w:hAnsi="Sylfaen"/>
          <w:b w:val="0"/>
          <w:bCs w:val="0"/>
          <w:color w:val="auto"/>
          <w:sz w:val="20"/>
          <w:szCs w:val="20"/>
          <w:lang w:val="en-GB"/>
        </w:rPr>
        <w:id w:val="1511182107"/>
        <w:docPartObj>
          <w:docPartGallery w:val="Table of Contents"/>
          <w:docPartUnique/>
        </w:docPartObj>
      </w:sdtPr>
      <w:sdtEndPr>
        <w:rPr>
          <w:rFonts w:eastAsia="Times New Roman" w:cs="Times New Roman"/>
          <w:sz w:val="24"/>
          <w:szCs w:val="24"/>
          <w:lang w:val="en-US"/>
        </w:rPr>
      </w:sdtEndPr>
      <w:sdtContent>
        <w:p w14:paraId="1CA93ACE" w14:textId="11C83CEB" w:rsidR="0067124C" w:rsidRPr="007F6CA8" w:rsidRDefault="00CF562A" w:rsidP="00731B1D">
          <w:pPr>
            <w:pStyle w:val="TOCHeading"/>
            <w:spacing w:beforeLines="60" w:before="144" w:afterLines="60" w:after="144"/>
            <w:rPr>
              <w:rFonts w:ascii="Sylfaen" w:hAnsi="Sylfaen"/>
              <w:lang w:val="ka-GE"/>
            </w:rPr>
          </w:pPr>
          <w:r w:rsidRPr="007F6CA8">
            <w:rPr>
              <w:rFonts w:ascii="Sylfaen" w:hAnsi="Sylfaen"/>
              <w:lang w:val="ka-GE"/>
            </w:rPr>
            <w:t>შინაარსი</w:t>
          </w:r>
        </w:p>
        <w:p w14:paraId="7CE82D6D" w14:textId="404748E8" w:rsidR="007F6CA8" w:rsidRDefault="00E566D1">
          <w:pPr>
            <w:pStyle w:val="TOC1"/>
            <w:rPr>
              <w:rFonts w:asciiTheme="minorHAnsi" w:eastAsiaTheme="minorEastAsia" w:hAnsiTheme="minorHAnsi" w:cstheme="minorBidi"/>
              <w:color w:val="auto"/>
            </w:rPr>
          </w:pPr>
          <w:r w:rsidRPr="007F6CA8">
            <w:rPr>
              <w:rFonts w:ascii="Sylfaen" w:hAnsi="Sylfaen"/>
              <w:noProof w:val="0"/>
            </w:rPr>
            <w:fldChar w:fldCharType="begin"/>
          </w:r>
          <w:r w:rsidR="0067124C" w:rsidRPr="007F6CA8">
            <w:rPr>
              <w:rFonts w:ascii="Sylfaen" w:hAnsi="Sylfaen"/>
              <w:noProof w:val="0"/>
            </w:rPr>
            <w:instrText xml:space="preserve"> TOC \o "1-3" \h \z \u </w:instrText>
          </w:r>
          <w:r w:rsidRPr="007F6CA8">
            <w:rPr>
              <w:rFonts w:ascii="Sylfaen" w:hAnsi="Sylfaen"/>
              <w:noProof w:val="0"/>
            </w:rPr>
            <w:fldChar w:fldCharType="separate"/>
          </w:r>
          <w:hyperlink w:anchor="_Toc513596823" w:history="1">
            <w:r w:rsidR="007F6CA8" w:rsidRPr="00D6029B">
              <w:rPr>
                <w:rStyle w:val="Hyperlink"/>
                <w:rFonts w:ascii="Sylfaen" w:hAnsi="Sylfaen"/>
                <w:lang w:val="ka-GE"/>
              </w:rPr>
              <w:t>შესავალი</w:t>
            </w:r>
            <w:r w:rsidR="007F6CA8">
              <w:rPr>
                <w:webHidden/>
              </w:rPr>
              <w:tab/>
            </w:r>
            <w:r w:rsidR="007F6CA8">
              <w:rPr>
                <w:webHidden/>
              </w:rPr>
              <w:fldChar w:fldCharType="begin"/>
            </w:r>
            <w:r w:rsidR="007F6CA8">
              <w:rPr>
                <w:webHidden/>
              </w:rPr>
              <w:instrText xml:space="preserve"> PAGEREF _Toc513596823 \h </w:instrText>
            </w:r>
            <w:r w:rsidR="007F6CA8">
              <w:rPr>
                <w:webHidden/>
              </w:rPr>
            </w:r>
            <w:r w:rsidR="007F6CA8">
              <w:rPr>
                <w:webHidden/>
              </w:rPr>
              <w:fldChar w:fldCharType="separate"/>
            </w:r>
            <w:r w:rsidR="007F6CA8">
              <w:rPr>
                <w:webHidden/>
              </w:rPr>
              <w:t>3</w:t>
            </w:r>
            <w:r w:rsidR="007F6CA8">
              <w:rPr>
                <w:webHidden/>
              </w:rPr>
              <w:fldChar w:fldCharType="end"/>
            </w:r>
          </w:hyperlink>
        </w:p>
        <w:p w14:paraId="72239B04" w14:textId="4988FCBD" w:rsidR="007F6CA8" w:rsidRDefault="007F6CA8">
          <w:pPr>
            <w:pStyle w:val="TOC1"/>
            <w:rPr>
              <w:rFonts w:asciiTheme="minorHAnsi" w:eastAsiaTheme="minorEastAsia" w:hAnsiTheme="minorHAnsi" w:cstheme="minorBidi"/>
              <w:color w:val="auto"/>
            </w:rPr>
          </w:pPr>
          <w:hyperlink w:anchor="_Toc513596824" w:history="1">
            <w:r w:rsidRPr="00D6029B">
              <w:rPr>
                <w:rStyle w:val="Hyperlink"/>
                <w:rFonts w:ascii="Sylfaen" w:hAnsi="Sylfaen"/>
                <w:lang w:val="ka-GE"/>
              </w:rPr>
              <w:t>კონტექსტი</w:t>
            </w:r>
            <w:r>
              <w:rPr>
                <w:webHidden/>
              </w:rPr>
              <w:tab/>
            </w:r>
            <w:r>
              <w:rPr>
                <w:webHidden/>
              </w:rPr>
              <w:fldChar w:fldCharType="begin"/>
            </w:r>
            <w:r>
              <w:rPr>
                <w:webHidden/>
              </w:rPr>
              <w:instrText xml:space="preserve"> PAGEREF _Toc513596824 \h </w:instrText>
            </w:r>
            <w:r>
              <w:rPr>
                <w:webHidden/>
              </w:rPr>
            </w:r>
            <w:r>
              <w:rPr>
                <w:webHidden/>
              </w:rPr>
              <w:fldChar w:fldCharType="separate"/>
            </w:r>
            <w:r>
              <w:rPr>
                <w:webHidden/>
              </w:rPr>
              <w:t>4</w:t>
            </w:r>
            <w:r>
              <w:rPr>
                <w:webHidden/>
              </w:rPr>
              <w:fldChar w:fldCharType="end"/>
            </w:r>
          </w:hyperlink>
        </w:p>
        <w:p w14:paraId="5AFEE25C" w14:textId="7D7BF21D" w:rsidR="007F6CA8" w:rsidRDefault="007F6CA8">
          <w:pPr>
            <w:pStyle w:val="TOC2"/>
            <w:tabs>
              <w:tab w:val="right" w:leader="dot" w:pos="9061"/>
            </w:tabs>
            <w:rPr>
              <w:rFonts w:asciiTheme="minorHAnsi" w:eastAsiaTheme="minorEastAsia" w:hAnsiTheme="minorHAnsi" w:cstheme="minorBidi"/>
              <w:noProof/>
            </w:rPr>
          </w:pPr>
          <w:hyperlink w:anchor="_Toc513596825" w:history="1">
            <w:r w:rsidRPr="00D6029B">
              <w:rPr>
                <w:rStyle w:val="Hyperlink"/>
                <w:rFonts w:ascii="Sylfaen" w:hAnsi="Sylfaen"/>
                <w:noProof/>
                <w:lang w:val="ka-GE"/>
              </w:rPr>
              <w:t>ქვეყნის კონტექსტი და ინსტიტუციური ინფორმაცია</w:t>
            </w:r>
            <w:r>
              <w:rPr>
                <w:noProof/>
                <w:webHidden/>
              </w:rPr>
              <w:tab/>
            </w:r>
            <w:r>
              <w:rPr>
                <w:noProof/>
                <w:webHidden/>
              </w:rPr>
              <w:fldChar w:fldCharType="begin"/>
            </w:r>
            <w:r>
              <w:rPr>
                <w:noProof/>
                <w:webHidden/>
              </w:rPr>
              <w:instrText xml:space="preserve"> PAGEREF _Toc513596825 \h </w:instrText>
            </w:r>
            <w:r>
              <w:rPr>
                <w:noProof/>
                <w:webHidden/>
              </w:rPr>
            </w:r>
            <w:r>
              <w:rPr>
                <w:noProof/>
                <w:webHidden/>
              </w:rPr>
              <w:fldChar w:fldCharType="separate"/>
            </w:r>
            <w:r>
              <w:rPr>
                <w:noProof/>
                <w:webHidden/>
              </w:rPr>
              <w:t>4</w:t>
            </w:r>
            <w:r>
              <w:rPr>
                <w:noProof/>
                <w:webHidden/>
              </w:rPr>
              <w:fldChar w:fldCharType="end"/>
            </w:r>
          </w:hyperlink>
        </w:p>
        <w:p w14:paraId="7F3ED1A3" w14:textId="16539761" w:rsidR="007F6CA8" w:rsidRDefault="007F6CA8">
          <w:pPr>
            <w:pStyle w:val="TOC3"/>
            <w:tabs>
              <w:tab w:val="right" w:leader="dot" w:pos="9061"/>
            </w:tabs>
            <w:rPr>
              <w:rFonts w:asciiTheme="minorHAnsi" w:eastAsiaTheme="minorEastAsia" w:hAnsiTheme="minorHAnsi" w:cstheme="minorBidi"/>
              <w:noProof/>
            </w:rPr>
          </w:pPr>
          <w:hyperlink w:anchor="_Toc513596826" w:history="1">
            <w:r w:rsidRPr="00D6029B">
              <w:rPr>
                <w:rStyle w:val="Hyperlink"/>
                <w:rFonts w:ascii="Sylfaen" w:hAnsi="Sylfaen"/>
                <w:noProof/>
                <w:lang w:val="ka-GE"/>
              </w:rPr>
              <w:t>დემოგრაფიული განვითარება</w:t>
            </w:r>
            <w:r>
              <w:rPr>
                <w:noProof/>
                <w:webHidden/>
              </w:rPr>
              <w:tab/>
            </w:r>
            <w:r>
              <w:rPr>
                <w:noProof/>
                <w:webHidden/>
              </w:rPr>
              <w:fldChar w:fldCharType="begin"/>
            </w:r>
            <w:r>
              <w:rPr>
                <w:noProof/>
                <w:webHidden/>
              </w:rPr>
              <w:instrText xml:space="preserve"> PAGEREF _Toc513596826 \h </w:instrText>
            </w:r>
            <w:r>
              <w:rPr>
                <w:noProof/>
                <w:webHidden/>
              </w:rPr>
            </w:r>
            <w:r>
              <w:rPr>
                <w:noProof/>
                <w:webHidden/>
              </w:rPr>
              <w:fldChar w:fldCharType="separate"/>
            </w:r>
            <w:r>
              <w:rPr>
                <w:noProof/>
                <w:webHidden/>
              </w:rPr>
              <w:t>5</w:t>
            </w:r>
            <w:r>
              <w:rPr>
                <w:noProof/>
                <w:webHidden/>
              </w:rPr>
              <w:fldChar w:fldCharType="end"/>
            </w:r>
          </w:hyperlink>
        </w:p>
        <w:p w14:paraId="27FD61D6" w14:textId="0717B64A" w:rsidR="007F6CA8" w:rsidRDefault="007F6CA8">
          <w:pPr>
            <w:pStyle w:val="TOC3"/>
            <w:tabs>
              <w:tab w:val="right" w:leader="dot" w:pos="9061"/>
            </w:tabs>
            <w:rPr>
              <w:rFonts w:asciiTheme="minorHAnsi" w:eastAsiaTheme="minorEastAsia" w:hAnsiTheme="minorHAnsi" w:cstheme="minorBidi"/>
              <w:noProof/>
            </w:rPr>
          </w:pPr>
          <w:hyperlink w:anchor="_Toc513596827" w:history="1">
            <w:r w:rsidRPr="00D6029B">
              <w:rPr>
                <w:rStyle w:val="Hyperlink"/>
                <w:rFonts w:ascii="Sylfaen" w:hAnsi="Sylfaen"/>
                <w:noProof/>
                <w:lang w:val="ka-GE"/>
              </w:rPr>
              <w:t>განთლების სისტემა</w:t>
            </w:r>
            <w:r>
              <w:rPr>
                <w:noProof/>
                <w:webHidden/>
              </w:rPr>
              <w:tab/>
            </w:r>
            <w:r>
              <w:rPr>
                <w:noProof/>
                <w:webHidden/>
              </w:rPr>
              <w:fldChar w:fldCharType="begin"/>
            </w:r>
            <w:r>
              <w:rPr>
                <w:noProof/>
                <w:webHidden/>
              </w:rPr>
              <w:instrText xml:space="preserve"> PAGEREF _Toc513596827 \h </w:instrText>
            </w:r>
            <w:r>
              <w:rPr>
                <w:noProof/>
                <w:webHidden/>
              </w:rPr>
            </w:r>
            <w:r>
              <w:rPr>
                <w:noProof/>
                <w:webHidden/>
              </w:rPr>
              <w:fldChar w:fldCharType="separate"/>
            </w:r>
            <w:r>
              <w:rPr>
                <w:noProof/>
                <w:webHidden/>
              </w:rPr>
              <w:t>6</w:t>
            </w:r>
            <w:r>
              <w:rPr>
                <w:noProof/>
                <w:webHidden/>
              </w:rPr>
              <w:fldChar w:fldCharType="end"/>
            </w:r>
          </w:hyperlink>
        </w:p>
        <w:p w14:paraId="3E9F1FE4" w14:textId="2FF731B0" w:rsidR="007F6CA8" w:rsidRDefault="007F6CA8">
          <w:pPr>
            <w:pStyle w:val="TOC2"/>
            <w:tabs>
              <w:tab w:val="right" w:leader="dot" w:pos="9061"/>
            </w:tabs>
            <w:rPr>
              <w:rFonts w:asciiTheme="minorHAnsi" w:eastAsiaTheme="minorEastAsia" w:hAnsiTheme="minorHAnsi" w:cstheme="minorBidi"/>
              <w:noProof/>
            </w:rPr>
          </w:pPr>
          <w:hyperlink w:anchor="_Toc513596828" w:history="1">
            <w:r w:rsidRPr="00D6029B">
              <w:rPr>
                <w:rStyle w:val="Hyperlink"/>
                <w:rFonts w:ascii="Sylfaen" w:hAnsi="Sylfaen"/>
                <w:noProof/>
                <w:lang w:val="ka-GE"/>
              </w:rPr>
              <w:t>საქართველოს შრომითი ბაზარი</w:t>
            </w:r>
            <w:r>
              <w:rPr>
                <w:noProof/>
                <w:webHidden/>
              </w:rPr>
              <w:tab/>
            </w:r>
            <w:r>
              <w:rPr>
                <w:noProof/>
                <w:webHidden/>
              </w:rPr>
              <w:fldChar w:fldCharType="begin"/>
            </w:r>
            <w:r>
              <w:rPr>
                <w:noProof/>
                <w:webHidden/>
              </w:rPr>
              <w:instrText xml:space="preserve"> PAGEREF _Toc513596828 \h </w:instrText>
            </w:r>
            <w:r>
              <w:rPr>
                <w:noProof/>
                <w:webHidden/>
              </w:rPr>
            </w:r>
            <w:r>
              <w:rPr>
                <w:noProof/>
                <w:webHidden/>
              </w:rPr>
              <w:fldChar w:fldCharType="separate"/>
            </w:r>
            <w:r>
              <w:rPr>
                <w:noProof/>
                <w:webHidden/>
              </w:rPr>
              <w:t>6</w:t>
            </w:r>
            <w:r>
              <w:rPr>
                <w:noProof/>
                <w:webHidden/>
              </w:rPr>
              <w:fldChar w:fldCharType="end"/>
            </w:r>
          </w:hyperlink>
        </w:p>
        <w:p w14:paraId="79973CCD" w14:textId="3D22347A" w:rsidR="007F6CA8" w:rsidRDefault="007F6CA8">
          <w:pPr>
            <w:pStyle w:val="TOC2"/>
            <w:tabs>
              <w:tab w:val="right" w:leader="dot" w:pos="9061"/>
            </w:tabs>
            <w:rPr>
              <w:rFonts w:asciiTheme="minorHAnsi" w:eastAsiaTheme="minorEastAsia" w:hAnsiTheme="minorHAnsi" w:cstheme="minorBidi"/>
              <w:noProof/>
            </w:rPr>
          </w:pPr>
          <w:hyperlink w:anchor="_Toc513596829" w:history="1">
            <w:r w:rsidRPr="00D6029B">
              <w:rPr>
                <w:rStyle w:val="Hyperlink"/>
                <w:rFonts w:ascii="Sylfaen" w:hAnsi="Sylfaen"/>
                <w:noProof/>
                <w:lang w:val="ka-GE"/>
              </w:rPr>
              <w:t>შრომის კანონმდებლობა საქართველოში</w:t>
            </w:r>
            <w:r>
              <w:rPr>
                <w:noProof/>
                <w:webHidden/>
              </w:rPr>
              <w:tab/>
            </w:r>
            <w:r>
              <w:rPr>
                <w:noProof/>
                <w:webHidden/>
              </w:rPr>
              <w:fldChar w:fldCharType="begin"/>
            </w:r>
            <w:r>
              <w:rPr>
                <w:noProof/>
                <w:webHidden/>
              </w:rPr>
              <w:instrText xml:space="preserve"> PAGEREF _Toc513596829 \h </w:instrText>
            </w:r>
            <w:r>
              <w:rPr>
                <w:noProof/>
                <w:webHidden/>
              </w:rPr>
            </w:r>
            <w:r>
              <w:rPr>
                <w:noProof/>
                <w:webHidden/>
              </w:rPr>
              <w:fldChar w:fldCharType="separate"/>
            </w:r>
            <w:r>
              <w:rPr>
                <w:noProof/>
                <w:webHidden/>
              </w:rPr>
              <w:t>8</w:t>
            </w:r>
            <w:r>
              <w:rPr>
                <w:noProof/>
                <w:webHidden/>
              </w:rPr>
              <w:fldChar w:fldCharType="end"/>
            </w:r>
          </w:hyperlink>
        </w:p>
        <w:p w14:paraId="3A046F8C" w14:textId="214C3929" w:rsidR="007F6CA8" w:rsidRDefault="007F6CA8">
          <w:pPr>
            <w:pStyle w:val="TOC2"/>
            <w:tabs>
              <w:tab w:val="right" w:leader="dot" w:pos="9061"/>
            </w:tabs>
            <w:rPr>
              <w:rFonts w:asciiTheme="minorHAnsi" w:eastAsiaTheme="minorEastAsia" w:hAnsiTheme="minorHAnsi" w:cstheme="minorBidi"/>
              <w:noProof/>
            </w:rPr>
          </w:pPr>
          <w:hyperlink w:anchor="_Toc513596830" w:history="1">
            <w:r w:rsidRPr="00D6029B">
              <w:rPr>
                <w:rStyle w:val="Hyperlink"/>
                <w:rFonts w:ascii="Sylfaen" w:hAnsi="Sylfaen"/>
                <w:noProof/>
                <w:lang w:val="ka-GE"/>
              </w:rPr>
              <w:t>შრომითი ბაზრის პოლიტიკა საქართველოში</w:t>
            </w:r>
            <w:r>
              <w:rPr>
                <w:noProof/>
                <w:webHidden/>
              </w:rPr>
              <w:tab/>
            </w:r>
            <w:r>
              <w:rPr>
                <w:noProof/>
                <w:webHidden/>
              </w:rPr>
              <w:fldChar w:fldCharType="begin"/>
            </w:r>
            <w:r>
              <w:rPr>
                <w:noProof/>
                <w:webHidden/>
              </w:rPr>
              <w:instrText xml:space="preserve"> PAGEREF _Toc513596830 \h </w:instrText>
            </w:r>
            <w:r>
              <w:rPr>
                <w:noProof/>
                <w:webHidden/>
              </w:rPr>
            </w:r>
            <w:r>
              <w:rPr>
                <w:noProof/>
                <w:webHidden/>
              </w:rPr>
              <w:fldChar w:fldCharType="separate"/>
            </w:r>
            <w:r>
              <w:rPr>
                <w:noProof/>
                <w:webHidden/>
              </w:rPr>
              <w:t>9</w:t>
            </w:r>
            <w:r>
              <w:rPr>
                <w:noProof/>
                <w:webHidden/>
              </w:rPr>
              <w:fldChar w:fldCharType="end"/>
            </w:r>
          </w:hyperlink>
        </w:p>
        <w:p w14:paraId="57381710" w14:textId="2BED5DAD" w:rsidR="007F6CA8" w:rsidRDefault="007F6CA8">
          <w:pPr>
            <w:pStyle w:val="TOC2"/>
            <w:tabs>
              <w:tab w:val="right" w:leader="dot" w:pos="9061"/>
            </w:tabs>
            <w:rPr>
              <w:rFonts w:asciiTheme="minorHAnsi" w:eastAsiaTheme="minorEastAsia" w:hAnsiTheme="minorHAnsi" w:cstheme="minorBidi"/>
              <w:noProof/>
            </w:rPr>
          </w:pPr>
          <w:hyperlink w:anchor="_Toc513596831" w:history="1">
            <w:r w:rsidRPr="00D6029B">
              <w:rPr>
                <w:rStyle w:val="Hyperlink"/>
                <w:rFonts w:ascii="Sylfaen" w:hAnsi="Sylfaen"/>
                <w:noProof/>
                <w:lang w:val="ka-GE"/>
              </w:rPr>
              <w:t>უნარების შეუსაბამობის განვითარება</w:t>
            </w:r>
            <w:r>
              <w:rPr>
                <w:noProof/>
                <w:webHidden/>
              </w:rPr>
              <w:tab/>
            </w:r>
            <w:r>
              <w:rPr>
                <w:noProof/>
                <w:webHidden/>
              </w:rPr>
              <w:fldChar w:fldCharType="begin"/>
            </w:r>
            <w:r>
              <w:rPr>
                <w:noProof/>
                <w:webHidden/>
              </w:rPr>
              <w:instrText xml:space="preserve"> PAGEREF _Toc513596831 \h </w:instrText>
            </w:r>
            <w:r>
              <w:rPr>
                <w:noProof/>
                <w:webHidden/>
              </w:rPr>
            </w:r>
            <w:r>
              <w:rPr>
                <w:noProof/>
                <w:webHidden/>
              </w:rPr>
              <w:fldChar w:fldCharType="separate"/>
            </w:r>
            <w:r>
              <w:rPr>
                <w:noProof/>
                <w:webHidden/>
              </w:rPr>
              <w:t>12</w:t>
            </w:r>
            <w:r>
              <w:rPr>
                <w:noProof/>
                <w:webHidden/>
              </w:rPr>
              <w:fldChar w:fldCharType="end"/>
            </w:r>
          </w:hyperlink>
        </w:p>
        <w:p w14:paraId="1DD9AC69" w14:textId="57B6FE79" w:rsidR="007F6CA8" w:rsidRDefault="007F6CA8">
          <w:pPr>
            <w:pStyle w:val="TOC1"/>
            <w:rPr>
              <w:rFonts w:asciiTheme="minorHAnsi" w:eastAsiaTheme="minorEastAsia" w:hAnsiTheme="minorHAnsi" w:cstheme="minorBidi"/>
              <w:color w:val="auto"/>
            </w:rPr>
          </w:pPr>
          <w:hyperlink w:anchor="_Toc513596832" w:history="1">
            <w:r w:rsidRPr="00D6029B">
              <w:rPr>
                <w:rStyle w:val="Hyperlink"/>
                <w:rFonts w:ascii="Sylfaen" w:hAnsi="Sylfaen"/>
                <w:lang w:val="ka-GE"/>
              </w:rPr>
              <w:t>მონაცემების ვითარება</w:t>
            </w:r>
            <w:r>
              <w:rPr>
                <w:webHidden/>
              </w:rPr>
              <w:tab/>
            </w:r>
            <w:r>
              <w:rPr>
                <w:webHidden/>
              </w:rPr>
              <w:fldChar w:fldCharType="begin"/>
            </w:r>
            <w:r>
              <w:rPr>
                <w:webHidden/>
              </w:rPr>
              <w:instrText xml:space="preserve"> PAGEREF _Toc513596832 \h </w:instrText>
            </w:r>
            <w:r>
              <w:rPr>
                <w:webHidden/>
              </w:rPr>
            </w:r>
            <w:r>
              <w:rPr>
                <w:webHidden/>
              </w:rPr>
              <w:fldChar w:fldCharType="separate"/>
            </w:r>
            <w:r>
              <w:rPr>
                <w:webHidden/>
              </w:rPr>
              <w:t>17</w:t>
            </w:r>
            <w:r>
              <w:rPr>
                <w:webHidden/>
              </w:rPr>
              <w:fldChar w:fldCharType="end"/>
            </w:r>
          </w:hyperlink>
        </w:p>
        <w:p w14:paraId="42B80BB1" w14:textId="627D9423" w:rsidR="007F6CA8" w:rsidRDefault="007F6CA8">
          <w:pPr>
            <w:pStyle w:val="TOC3"/>
            <w:tabs>
              <w:tab w:val="right" w:leader="dot" w:pos="9061"/>
            </w:tabs>
            <w:rPr>
              <w:rFonts w:asciiTheme="minorHAnsi" w:eastAsiaTheme="minorEastAsia" w:hAnsiTheme="minorHAnsi" w:cstheme="minorBidi"/>
              <w:noProof/>
            </w:rPr>
          </w:pPr>
          <w:hyperlink w:anchor="_Toc513596833" w:history="1">
            <w:r w:rsidRPr="00D6029B">
              <w:rPr>
                <w:rStyle w:val="Hyperlink"/>
                <w:rFonts w:ascii="Sylfaen" w:hAnsi="Sylfaen"/>
                <w:noProof/>
                <w:lang w:val="ka-GE"/>
              </w:rPr>
              <w:t>სამუშაო ძალის კვლევა</w:t>
            </w:r>
            <w:r>
              <w:rPr>
                <w:noProof/>
                <w:webHidden/>
              </w:rPr>
              <w:tab/>
            </w:r>
            <w:r>
              <w:rPr>
                <w:noProof/>
                <w:webHidden/>
              </w:rPr>
              <w:fldChar w:fldCharType="begin"/>
            </w:r>
            <w:r>
              <w:rPr>
                <w:noProof/>
                <w:webHidden/>
              </w:rPr>
              <w:instrText xml:space="preserve"> PAGEREF _Toc513596833 \h </w:instrText>
            </w:r>
            <w:r>
              <w:rPr>
                <w:noProof/>
                <w:webHidden/>
              </w:rPr>
            </w:r>
            <w:r>
              <w:rPr>
                <w:noProof/>
                <w:webHidden/>
              </w:rPr>
              <w:fldChar w:fldCharType="separate"/>
            </w:r>
            <w:r>
              <w:rPr>
                <w:noProof/>
                <w:webHidden/>
              </w:rPr>
              <w:t>19</w:t>
            </w:r>
            <w:r>
              <w:rPr>
                <w:noProof/>
                <w:webHidden/>
              </w:rPr>
              <w:fldChar w:fldCharType="end"/>
            </w:r>
          </w:hyperlink>
        </w:p>
        <w:p w14:paraId="29A54D15" w14:textId="7A192FDB" w:rsidR="007F6CA8" w:rsidRDefault="007F6CA8">
          <w:pPr>
            <w:pStyle w:val="TOC3"/>
            <w:tabs>
              <w:tab w:val="right" w:leader="dot" w:pos="9061"/>
            </w:tabs>
            <w:rPr>
              <w:rFonts w:asciiTheme="minorHAnsi" w:eastAsiaTheme="minorEastAsia" w:hAnsiTheme="minorHAnsi" w:cstheme="minorBidi"/>
              <w:noProof/>
            </w:rPr>
          </w:pPr>
          <w:hyperlink w:anchor="_Toc513596834" w:history="1">
            <w:r w:rsidRPr="00D6029B">
              <w:rPr>
                <w:rStyle w:val="Hyperlink"/>
                <w:rFonts w:ascii="Sylfaen" w:hAnsi="Sylfaen"/>
                <w:noProof/>
                <w:lang w:val="ka-GE"/>
              </w:rPr>
              <w:t>მონაცემთა შეგროვების სხვა რეგულარული ხერხები</w:t>
            </w:r>
            <w:r>
              <w:rPr>
                <w:noProof/>
                <w:webHidden/>
              </w:rPr>
              <w:tab/>
            </w:r>
            <w:r>
              <w:rPr>
                <w:noProof/>
                <w:webHidden/>
              </w:rPr>
              <w:fldChar w:fldCharType="begin"/>
            </w:r>
            <w:r>
              <w:rPr>
                <w:noProof/>
                <w:webHidden/>
              </w:rPr>
              <w:instrText xml:space="preserve"> PAGEREF _Toc513596834 \h </w:instrText>
            </w:r>
            <w:r>
              <w:rPr>
                <w:noProof/>
                <w:webHidden/>
              </w:rPr>
            </w:r>
            <w:r>
              <w:rPr>
                <w:noProof/>
                <w:webHidden/>
              </w:rPr>
              <w:fldChar w:fldCharType="separate"/>
            </w:r>
            <w:r>
              <w:rPr>
                <w:noProof/>
                <w:webHidden/>
              </w:rPr>
              <w:t>20</w:t>
            </w:r>
            <w:r>
              <w:rPr>
                <w:noProof/>
                <w:webHidden/>
              </w:rPr>
              <w:fldChar w:fldCharType="end"/>
            </w:r>
          </w:hyperlink>
        </w:p>
        <w:p w14:paraId="458AF8EB" w14:textId="2BF3BA83" w:rsidR="007F6CA8" w:rsidRDefault="007F6CA8">
          <w:pPr>
            <w:pStyle w:val="TOC3"/>
            <w:tabs>
              <w:tab w:val="right" w:leader="dot" w:pos="9061"/>
            </w:tabs>
            <w:rPr>
              <w:rFonts w:asciiTheme="minorHAnsi" w:eastAsiaTheme="minorEastAsia" w:hAnsiTheme="minorHAnsi" w:cstheme="minorBidi"/>
              <w:noProof/>
            </w:rPr>
          </w:pPr>
          <w:hyperlink w:anchor="_Toc513596835" w:history="1">
            <w:r w:rsidRPr="00D6029B">
              <w:rPr>
                <w:rStyle w:val="Hyperlink"/>
                <w:rFonts w:ascii="Sylfaen" w:hAnsi="Sylfaen"/>
                <w:noProof/>
                <w:lang w:val="ka-GE"/>
              </w:rPr>
              <w:t>ადმინისტრაციული მონაცემები</w:t>
            </w:r>
            <w:r>
              <w:rPr>
                <w:noProof/>
                <w:webHidden/>
              </w:rPr>
              <w:tab/>
            </w:r>
            <w:r>
              <w:rPr>
                <w:noProof/>
                <w:webHidden/>
              </w:rPr>
              <w:fldChar w:fldCharType="begin"/>
            </w:r>
            <w:r>
              <w:rPr>
                <w:noProof/>
                <w:webHidden/>
              </w:rPr>
              <w:instrText xml:space="preserve"> PAGEREF _Toc513596835 \h </w:instrText>
            </w:r>
            <w:r>
              <w:rPr>
                <w:noProof/>
                <w:webHidden/>
              </w:rPr>
            </w:r>
            <w:r>
              <w:rPr>
                <w:noProof/>
                <w:webHidden/>
              </w:rPr>
              <w:fldChar w:fldCharType="separate"/>
            </w:r>
            <w:r>
              <w:rPr>
                <w:noProof/>
                <w:webHidden/>
              </w:rPr>
              <w:t>22</w:t>
            </w:r>
            <w:r>
              <w:rPr>
                <w:noProof/>
                <w:webHidden/>
              </w:rPr>
              <w:fldChar w:fldCharType="end"/>
            </w:r>
          </w:hyperlink>
        </w:p>
        <w:p w14:paraId="7F7C247C" w14:textId="554FFDB6" w:rsidR="007F6CA8" w:rsidRDefault="007F6CA8">
          <w:pPr>
            <w:pStyle w:val="TOC3"/>
            <w:tabs>
              <w:tab w:val="right" w:leader="dot" w:pos="9061"/>
            </w:tabs>
            <w:rPr>
              <w:rFonts w:asciiTheme="minorHAnsi" w:eastAsiaTheme="minorEastAsia" w:hAnsiTheme="minorHAnsi" w:cstheme="minorBidi"/>
              <w:noProof/>
            </w:rPr>
          </w:pPr>
          <w:hyperlink w:anchor="_Toc513596836" w:history="1">
            <w:r w:rsidRPr="00D6029B">
              <w:rPr>
                <w:rStyle w:val="Hyperlink"/>
                <w:rFonts w:ascii="Sylfaen" w:hAnsi="Sylfaen"/>
                <w:noProof/>
                <w:lang w:val="ka-GE"/>
              </w:rPr>
              <w:t>მონაცემთა ვითარების ზოგადი შეფასება</w:t>
            </w:r>
            <w:r>
              <w:rPr>
                <w:noProof/>
                <w:webHidden/>
              </w:rPr>
              <w:tab/>
            </w:r>
            <w:r>
              <w:rPr>
                <w:noProof/>
                <w:webHidden/>
              </w:rPr>
              <w:fldChar w:fldCharType="begin"/>
            </w:r>
            <w:r>
              <w:rPr>
                <w:noProof/>
                <w:webHidden/>
              </w:rPr>
              <w:instrText xml:space="preserve"> PAGEREF _Toc513596836 \h </w:instrText>
            </w:r>
            <w:r>
              <w:rPr>
                <w:noProof/>
                <w:webHidden/>
              </w:rPr>
            </w:r>
            <w:r>
              <w:rPr>
                <w:noProof/>
                <w:webHidden/>
              </w:rPr>
              <w:fldChar w:fldCharType="separate"/>
            </w:r>
            <w:r>
              <w:rPr>
                <w:noProof/>
                <w:webHidden/>
              </w:rPr>
              <w:t>22</w:t>
            </w:r>
            <w:r>
              <w:rPr>
                <w:noProof/>
                <w:webHidden/>
              </w:rPr>
              <w:fldChar w:fldCharType="end"/>
            </w:r>
          </w:hyperlink>
        </w:p>
        <w:p w14:paraId="5890B66F" w14:textId="7D2CA0A0" w:rsidR="007F6CA8" w:rsidRDefault="007F6CA8">
          <w:pPr>
            <w:pStyle w:val="TOC1"/>
            <w:rPr>
              <w:rFonts w:asciiTheme="minorHAnsi" w:eastAsiaTheme="minorEastAsia" w:hAnsiTheme="minorHAnsi" w:cstheme="minorBidi"/>
              <w:color w:val="auto"/>
            </w:rPr>
          </w:pPr>
          <w:hyperlink w:anchor="_Toc513596837" w:history="1">
            <w:r w:rsidRPr="00D6029B">
              <w:rPr>
                <w:rStyle w:val="Hyperlink"/>
                <w:rFonts w:ascii="Sylfaen" w:hAnsi="Sylfaen"/>
                <w:lang w:val="ka-GE"/>
              </w:rPr>
              <w:t>უნარების შეუსაბამობის ინდიკატორების ინტერპრეტაცია და დისკუსია</w:t>
            </w:r>
            <w:r>
              <w:rPr>
                <w:webHidden/>
              </w:rPr>
              <w:tab/>
            </w:r>
            <w:r>
              <w:rPr>
                <w:webHidden/>
              </w:rPr>
              <w:fldChar w:fldCharType="begin"/>
            </w:r>
            <w:r>
              <w:rPr>
                <w:webHidden/>
              </w:rPr>
              <w:instrText xml:space="preserve"> PAGEREF _Toc513596837 \h </w:instrText>
            </w:r>
            <w:r>
              <w:rPr>
                <w:webHidden/>
              </w:rPr>
            </w:r>
            <w:r>
              <w:rPr>
                <w:webHidden/>
              </w:rPr>
              <w:fldChar w:fldCharType="separate"/>
            </w:r>
            <w:r>
              <w:rPr>
                <w:webHidden/>
              </w:rPr>
              <w:t>23</w:t>
            </w:r>
            <w:r>
              <w:rPr>
                <w:webHidden/>
              </w:rPr>
              <w:fldChar w:fldCharType="end"/>
            </w:r>
          </w:hyperlink>
        </w:p>
        <w:p w14:paraId="42B3B73C" w14:textId="3193BD6E" w:rsidR="007F6CA8" w:rsidRDefault="007F6CA8">
          <w:pPr>
            <w:pStyle w:val="TOC3"/>
            <w:tabs>
              <w:tab w:val="right" w:leader="dot" w:pos="9061"/>
            </w:tabs>
            <w:rPr>
              <w:rFonts w:asciiTheme="minorHAnsi" w:eastAsiaTheme="minorEastAsia" w:hAnsiTheme="minorHAnsi" w:cstheme="minorBidi"/>
              <w:noProof/>
            </w:rPr>
          </w:pPr>
          <w:hyperlink w:anchor="_Toc513596838" w:history="1">
            <w:r w:rsidRPr="00D6029B">
              <w:rPr>
                <w:rStyle w:val="Hyperlink"/>
                <w:rFonts w:ascii="Sylfaen" w:hAnsi="Sylfaen"/>
                <w:noProof/>
                <w:lang w:val="ka-GE"/>
              </w:rPr>
              <w:t>დასაქმების შეფარდება მოსახლეობასთან: აქტივობის მაჩვენებელი</w:t>
            </w:r>
            <w:r>
              <w:rPr>
                <w:noProof/>
                <w:webHidden/>
              </w:rPr>
              <w:tab/>
            </w:r>
            <w:r>
              <w:rPr>
                <w:noProof/>
                <w:webHidden/>
              </w:rPr>
              <w:fldChar w:fldCharType="begin"/>
            </w:r>
            <w:r>
              <w:rPr>
                <w:noProof/>
                <w:webHidden/>
              </w:rPr>
              <w:instrText xml:space="preserve"> PAGEREF _Toc513596838 \h </w:instrText>
            </w:r>
            <w:r>
              <w:rPr>
                <w:noProof/>
                <w:webHidden/>
              </w:rPr>
            </w:r>
            <w:r>
              <w:rPr>
                <w:noProof/>
                <w:webHidden/>
              </w:rPr>
              <w:fldChar w:fldCharType="separate"/>
            </w:r>
            <w:r>
              <w:rPr>
                <w:noProof/>
                <w:webHidden/>
              </w:rPr>
              <w:t>33</w:t>
            </w:r>
            <w:r>
              <w:rPr>
                <w:noProof/>
                <w:webHidden/>
              </w:rPr>
              <w:fldChar w:fldCharType="end"/>
            </w:r>
          </w:hyperlink>
        </w:p>
        <w:p w14:paraId="03895CC1" w14:textId="2656AD2D" w:rsidR="007F6CA8" w:rsidRDefault="007F6CA8">
          <w:pPr>
            <w:pStyle w:val="TOC1"/>
            <w:rPr>
              <w:rFonts w:asciiTheme="minorHAnsi" w:eastAsiaTheme="minorEastAsia" w:hAnsiTheme="minorHAnsi" w:cstheme="minorBidi"/>
              <w:color w:val="auto"/>
            </w:rPr>
          </w:pPr>
          <w:hyperlink w:anchor="_Toc513596839" w:history="1">
            <w:r w:rsidRPr="00D6029B">
              <w:rPr>
                <w:rStyle w:val="Hyperlink"/>
                <w:rFonts w:ascii="Sylfaen" w:hAnsi="Sylfaen"/>
                <w:lang w:val="ka-GE"/>
              </w:rPr>
              <w:t>დასკვნა</w:t>
            </w:r>
            <w:r>
              <w:rPr>
                <w:webHidden/>
              </w:rPr>
              <w:tab/>
            </w:r>
            <w:r>
              <w:rPr>
                <w:webHidden/>
              </w:rPr>
              <w:fldChar w:fldCharType="begin"/>
            </w:r>
            <w:r>
              <w:rPr>
                <w:webHidden/>
              </w:rPr>
              <w:instrText xml:space="preserve"> PAGEREF _Toc513596839 \h </w:instrText>
            </w:r>
            <w:r>
              <w:rPr>
                <w:webHidden/>
              </w:rPr>
            </w:r>
            <w:r>
              <w:rPr>
                <w:webHidden/>
              </w:rPr>
              <w:fldChar w:fldCharType="separate"/>
            </w:r>
            <w:r>
              <w:rPr>
                <w:webHidden/>
              </w:rPr>
              <w:t>48</w:t>
            </w:r>
            <w:r>
              <w:rPr>
                <w:webHidden/>
              </w:rPr>
              <w:fldChar w:fldCharType="end"/>
            </w:r>
          </w:hyperlink>
        </w:p>
        <w:p w14:paraId="47B8176D" w14:textId="00B86670" w:rsidR="007F6CA8" w:rsidRDefault="007F6CA8">
          <w:pPr>
            <w:pStyle w:val="TOC1"/>
            <w:rPr>
              <w:rFonts w:asciiTheme="minorHAnsi" w:eastAsiaTheme="minorEastAsia" w:hAnsiTheme="minorHAnsi" w:cstheme="minorBidi"/>
              <w:color w:val="auto"/>
            </w:rPr>
          </w:pPr>
          <w:hyperlink w:anchor="_Toc513596840" w:history="1">
            <w:r w:rsidRPr="00D6029B">
              <w:rPr>
                <w:rStyle w:val="Hyperlink"/>
                <w:rFonts w:ascii="Sylfaen" w:hAnsi="Sylfaen"/>
                <w:lang w:val="ka-GE"/>
              </w:rPr>
              <w:t>ლიტერატურა</w:t>
            </w:r>
            <w:r>
              <w:rPr>
                <w:webHidden/>
              </w:rPr>
              <w:tab/>
            </w:r>
            <w:r>
              <w:rPr>
                <w:webHidden/>
              </w:rPr>
              <w:fldChar w:fldCharType="begin"/>
            </w:r>
            <w:r>
              <w:rPr>
                <w:webHidden/>
              </w:rPr>
              <w:instrText xml:space="preserve"> PAGEREF _Toc513596840 \h </w:instrText>
            </w:r>
            <w:r>
              <w:rPr>
                <w:webHidden/>
              </w:rPr>
            </w:r>
            <w:r>
              <w:rPr>
                <w:webHidden/>
              </w:rPr>
              <w:fldChar w:fldCharType="separate"/>
            </w:r>
            <w:r>
              <w:rPr>
                <w:webHidden/>
              </w:rPr>
              <w:t>51</w:t>
            </w:r>
            <w:r>
              <w:rPr>
                <w:webHidden/>
              </w:rPr>
              <w:fldChar w:fldCharType="end"/>
            </w:r>
          </w:hyperlink>
        </w:p>
        <w:p w14:paraId="3418AF83" w14:textId="7D3888E1" w:rsidR="0067124C" w:rsidRPr="007F6CA8" w:rsidRDefault="00E566D1" w:rsidP="00731B1D">
          <w:pPr>
            <w:spacing w:beforeLines="60" w:before="144" w:afterLines="60" w:after="144" w:line="276" w:lineRule="auto"/>
            <w:rPr>
              <w:rFonts w:ascii="Sylfaen" w:hAnsi="Sylfaen"/>
            </w:rPr>
          </w:pPr>
          <w:r w:rsidRPr="007F6CA8">
            <w:rPr>
              <w:rFonts w:ascii="Sylfaen" w:hAnsi="Sylfaen"/>
            </w:rPr>
            <w:fldChar w:fldCharType="end"/>
          </w:r>
        </w:p>
      </w:sdtContent>
    </w:sdt>
    <w:p w14:paraId="3212049D" w14:textId="77777777" w:rsidR="0067124C" w:rsidRPr="007F6CA8" w:rsidRDefault="0067124C" w:rsidP="00731B1D">
      <w:pPr>
        <w:spacing w:beforeLines="60" w:before="144" w:afterLines="60" w:after="144" w:line="276" w:lineRule="auto"/>
        <w:ind w:left="-567"/>
        <w:rPr>
          <w:rFonts w:ascii="Sylfaen" w:hAnsi="Sylfaen"/>
        </w:rPr>
      </w:pPr>
    </w:p>
    <w:p w14:paraId="7847D492" w14:textId="77777777" w:rsidR="00D712A0" w:rsidRPr="007F6CA8" w:rsidRDefault="00D712A0" w:rsidP="00731B1D">
      <w:pPr>
        <w:spacing w:beforeLines="60" w:before="144" w:afterLines="60" w:after="144" w:line="276" w:lineRule="auto"/>
        <w:rPr>
          <w:rFonts w:ascii="Sylfaen" w:hAnsi="Sylfaen"/>
        </w:rPr>
        <w:sectPr w:rsidR="00D712A0" w:rsidRPr="007F6CA8" w:rsidSect="004C7F79">
          <w:headerReference w:type="default" r:id="rId16"/>
          <w:footerReference w:type="default" r:id="rId17"/>
          <w:pgSz w:w="11906" w:h="16838"/>
          <w:pgMar w:top="1134" w:right="1021" w:bottom="1440" w:left="1814" w:header="709" w:footer="567" w:gutter="0"/>
          <w:cols w:space="708"/>
          <w:docGrid w:linePitch="360"/>
        </w:sectPr>
      </w:pPr>
    </w:p>
    <w:p w14:paraId="76B2E790" w14:textId="5EE74125" w:rsidR="0079461C" w:rsidRPr="007F6CA8" w:rsidRDefault="00CF562A" w:rsidP="00731B1D">
      <w:pPr>
        <w:pStyle w:val="Heading1"/>
        <w:spacing w:beforeLines="60" w:before="144" w:afterLines="60" w:after="144" w:line="276" w:lineRule="auto"/>
        <w:rPr>
          <w:rFonts w:ascii="Sylfaen" w:hAnsi="Sylfaen"/>
          <w:lang w:val="ka-GE"/>
        </w:rPr>
      </w:pPr>
      <w:bookmarkStart w:id="0" w:name="_Toc513596823"/>
      <w:r w:rsidRPr="007F6CA8">
        <w:rPr>
          <w:rFonts w:ascii="Sylfaen" w:hAnsi="Sylfaen"/>
          <w:lang w:val="ka-GE"/>
        </w:rPr>
        <w:lastRenderedPageBreak/>
        <w:t>შესავალი</w:t>
      </w:r>
      <w:bookmarkEnd w:id="0"/>
    </w:p>
    <w:p w14:paraId="3465BDD6" w14:textId="688883F4" w:rsidR="00CF562A" w:rsidRPr="007F6CA8" w:rsidRDefault="00CF562A" w:rsidP="00731B1D">
      <w:pPr>
        <w:spacing w:beforeLines="60" w:before="144" w:afterLines="60" w:after="144" w:line="276" w:lineRule="auto"/>
        <w:ind w:firstLine="709"/>
        <w:jc w:val="both"/>
        <w:rPr>
          <w:rFonts w:ascii="Sylfaen" w:hAnsi="Sylfaen"/>
          <w:sz w:val="22"/>
          <w:szCs w:val="22"/>
          <w:lang w:val="ka-GE"/>
        </w:rPr>
      </w:pPr>
      <w:bookmarkStart w:id="1" w:name="ClearNotes"/>
      <w:r w:rsidRPr="007F6CA8">
        <w:rPr>
          <w:rFonts w:ascii="Sylfaen" w:hAnsi="Sylfaen"/>
          <w:sz w:val="22"/>
          <w:szCs w:val="22"/>
          <w:lang w:val="ka-GE"/>
        </w:rPr>
        <w:t xml:space="preserve">პროექტი „უნარების შეუსაბამობის გაზომვა </w:t>
      </w:r>
      <w:r w:rsidRPr="007F6CA8">
        <w:rPr>
          <w:rFonts w:ascii="Sylfaen" w:hAnsi="Sylfaen"/>
          <w:sz w:val="22"/>
          <w:szCs w:val="22"/>
        </w:rPr>
        <w:t xml:space="preserve">ETF </w:t>
      </w:r>
      <w:r w:rsidRPr="007F6CA8">
        <w:rPr>
          <w:rFonts w:ascii="Sylfaen" w:hAnsi="Sylfaen"/>
          <w:sz w:val="22"/>
          <w:szCs w:val="22"/>
          <w:lang w:val="ka-GE"/>
        </w:rPr>
        <w:t>პარტნიორ ქვეყნებში“ შრომითი ბაზრისა და უნარების შეუსაბამობის რამდენიმე ინდიკატორს ქმნის და ცდის. პროექტის მიზანია შექმნას, გამოსცადოს და განახორციელოს ინდიკატორები ოთხ ქვეყანაში</w:t>
      </w:r>
      <w:r w:rsidR="00F81694" w:rsidRPr="007F6CA8">
        <w:rPr>
          <w:rFonts w:ascii="Sylfaen" w:hAnsi="Sylfaen"/>
          <w:sz w:val="22"/>
          <w:szCs w:val="22"/>
          <w:lang w:val="ka-GE"/>
        </w:rPr>
        <w:t>,</w:t>
      </w:r>
      <w:r w:rsidRPr="007F6CA8">
        <w:rPr>
          <w:rFonts w:ascii="Sylfaen" w:hAnsi="Sylfaen"/>
          <w:sz w:val="22"/>
          <w:szCs w:val="22"/>
          <w:lang w:val="ka-GE"/>
        </w:rPr>
        <w:t xml:space="preserve"> ისეთი მოდელის გამოყენებით, რომელიც ადვილად წვდომისა და განახლების საშუალებას იძლევა.</w:t>
      </w:r>
    </w:p>
    <w:p w14:paraId="7ABDE33B" w14:textId="12D1859B" w:rsidR="00CF562A" w:rsidRPr="007F6CA8" w:rsidRDefault="00CF562A"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ეს ანგარიში </w:t>
      </w:r>
      <w:r w:rsidRPr="007F6CA8">
        <w:rPr>
          <w:rFonts w:ascii="Sylfaen" w:hAnsi="Sylfaen"/>
          <w:sz w:val="22"/>
          <w:szCs w:val="22"/>
        </w:rPr>
        <w:t xml:space="preserve">ETF </w:t>
      </w:r>
      <w:r w:rsidRPr="007F6CA8">
        <w:rPr>
          <w:rFonts w:ascii="Sylfaen" w:hAnsi="Sylfaen"/>
          <w:sz w:val="22"/>
          <w:szCs w:val="22"/>
          <w:lang w:val="ka-GE"/>
        </w:rPr>
        <w:t xml:space="preserve">ინიციატივის შედეგად მომზადდა, და მისი დანიშნულებაა გაზომოს უნარების შეუსაბამობა </w:t>
      </w:r>
      <w:r w:rsidR="00A463D9" w:rsidRPr="007F6CA8">
        <w:rPr>
          <w:rFonts w:ascii="Sylfaen" w:hAnsi="Sylfaen"/>
          <w:sz w:val="22"/>
          <w:szCs w:val="22"/>
          <w:lang w:val="ka-GE"/>
        </w:rPr>
        <w:t xml:space="preserve">ინდიკატორების განსაზღვრითა და </w:t>
      </w:r>
      <w:r w:rsidR="002C65D9" w:rsidRPr="007F6CA8">
        <w:rPr>
          <w:rFonts w:ascii="Sylfaen" w:hAnsi="Sylfaen"/>
          <w:sz w:val="22"/>
          <w:szCs w:val="22"/>
          <w:lang w:val="ka-GE"/>
        </w:rPr>
        <w:t xml:space="preserve">რამდენიმე პარტნიორ ქვეყანაში გამოცდით, სანდო წყაროებიდან მიღებული მონაცემების გამოყენებით. ეს ინდიკატორები საერთაშორისო პრაქტიკას ეფუძნება და შეგროვებულია კონკრეტული ქვეყნის შესაძლებლობებისა და მონაცემებიდან გამომდინარე. ანალიტიკური აქტივობა დაეხმარება დაწესებულებებსა და პარტნიორებს შეაფასონ მათი უნარებთან დაკავშირებული პოლიტიკის ეფექტურობა. ამ ინიციატივიდან მიღებული გამოცდილება საფუძვლად დაედება </w:t>
      </w:r>
      <w:r w:rsidR="002C65D9" w:rsidRPr="007F6CA8">
        <w:rPr>
          <w:rFonts w:ascii="Sylfaen" w:hAnsi="Sylfaen"/>
          <w:sz w:val="22"/>
          <w:szCs w:val="22"/>
        </w:rPr>
        <w:t>ETF</w:t>
      </w:r>
      <w:r w:rsidR="002C65D9" w:rsidRPr="007F6CA8">
        <w:rPr>
          <w:rFonts w:ascii="Sylfaen" w:hAnsi="Sylfaen"/>
          <w:sz w:val="22"/>
          <w:szCs w:val="22"/>
          <w:lang w:val="ka-GE"/>
        </w:rPr>
        <w:t>-ის მეთოდოლოგიურ დოკუმენტს უნარების გაზომვის შესახებ.</w:t>
      </w:r>
    </w:p>
    <w:p w14:paraId="0AFF3BF1" w14:textId="5B5FAB7C" w:rsidR="002C65D9" w:rsidRPr="007F6CA8" w:rsidRDefault="002C65D9"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ამ და სამი სხვა ქვეყნის ანგარიშის გარდა, ბოლო ფაზაზე მომზადდება </w:t>
      </w:r>
      <w:r w:rsidR="00B852D8" w:rsidRPr="007F6CA8">
        <w:rPr>
          <w:rFonts w:ascii="Sylfaen" w:hAnsi="Sylfaen"/>
          <w:sz w:val="22"/>
          <w:szCs w:val="22"/>
          <w:lang w:val="ka-GE"/>
        </w:rPr>
        <w:t xml:space="preserve">გაერთიანებული ანგარიში, სადაც მოცემული იქნება ყველა ქვეყნის ფაქტები უნარების შეუსაბამობასთან დაკავშირებით, ასევე გაზომვის შედეგები და უნარების შეუსაბამობის ინდიკატორებიათვის შეგროვილი ინფორმაცია ამ შედეგების ინტერპრეტაციასთან ერთად. </w:t>
      </w:r>
    </w:p>
    <w:p w14:paraId="35AD89D2" w14:textId="420F2556" w:rsidR="00D74743" w:rsidRPr="007F6CA8" w:rsidRDefault="00B852D8"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უნარების შეუსაბამობა </w:t>
      </w:r>
      <w:r w:rsidR="003F0869" w:rsidRPr="007F6CA8">
        <w:rPr>
          <w:rFonts w:ascii="Sylfaen" w:hAnsi="Sylfaen"/>
          <w:sz w:val="22"/>
          <w:szCs w:val="22"/>
          <w:lang w:val="ka-GE"/>
        </w:rPr>
        <w:t xml:space="preserve">ამ პროექტში </w:t>
      </w:r>
      <w:r w:rsidRPr="007F6CA8">
        <w:rPr>
          <w:rFonts w:ascii="Sylfaen" w:hAnsi="Sylfaen"/>
          <w:sz w:val="22"/>
          <w:szCs w:val="22"/>
          <w:lang w:val="ka-GE"/>
        </w:rPr>
        <w:t>ძირითადად იზომება</w:t>
      </w:r>
      <w:r w:rsidR="005D55F0" w:rsidRPr="007F6CA8">
        <w:rPr>
          <w:rFonts w:ascii="Sylfaen" w:hAnsi="Sylfaen"/>
          <w:sz w:val="22"/>
          <w:szCs w:val="22"/>
          <w:lang w:val="ka-GE"/>
        </w:rPr>
        <w:t xml:space="preserve"> </w:t>
      </w:r>
      <w:r w:rsidR="00900DBA" w:rsidRPr="007F6CA8">
        <w:rPr>
          <w:rFonts w:ascii="Sylfaen" w:hAnsi="Sylfaen"/>
          <w:sz w:val="22"/>
          <w:szCs w:val="22"/>
          <w:lang w:val="ka-GE"/>
        </w:rPr>
        <w:t>მიმანიშნებელი ცვლადის</w:t>
      </w:r>
      <w:r w:rsidRPr="007F6CA8">
        <w:rPr>
          <w:rFonts w:ascii="Sylfaen" w:hAnsi="Sylfaen"/>
          <w:sz w:val="22"/>
          <w:szCs w:val="22"/>
          <w:lang w:val="ka-GE"/>
        </w:rPr>
        <w:t xml:space="preserve"> </w:t>
      </w:r>
      <w:r w:rsidR="00900DBA" w:rsidRPr="007F6CA8">
        <w:rPr>
          <w:rFonts w:ascii="Sylfaen" w:hAnsi="Sylfaen"/>
          <w:sz w:val="22"/>
          <w:szCs w:val="22"/>
          <w:lang w:val="ka-GE"/>
        </w:rPr>
        <w:t>(</w:t>
      </w:r>
      <w:r w:rsidR="003F0869" w:rsidRPr="007F6CA8">
        <w:rPr>
          <w:rFonts w:ascii="Sylfaen" w:hAnsi="Sylfaen"/>
          <w:sz w:val="22"/>
          <w:szCs w:val="22"/>
        </w:rPr>
        <w:t>proxy</w:t>
      </w:r>
      <w:r w:rsidR="00900DBA" w:rsidRPr="007F6CA8">
        <w:rPr>
          <w:rFonts w:ascii="Sylfaen" w:hAnsi="Sylfaen"/>
          <w:sz w:val="22"/>
          <w:szCs w:val="22"/>
          <w:lang w:val="ka-GE"/>
        </w:rPr>
        <w:t>) გამოყენებით</w:t>
      </w:r>
      <w:r w:rsidR="00D26752" w:rsidRPr="007F6CA8">
        <w:rPr>
          <w:rFonts w:ascii="Sylfaen" w:hAnsi="Sylfaen"/>
          <w:sz w:val="22"/>
          <w:szCs w:val="22"/>
          <w:lang w:val="ka-GE"/>
        </w:rPr>
        <w:t xml:space="preserve">. </w:t>
      </w:r>
      <w:r w:rsidR="00900DBA" w:rsidRPr="007F6CA8">
        <w:rPr>
          <w:rFonts w:ascii="Sylfaen" w:hAnsi="Sylfaen"/>
          <w:sz w:val="22"/>
          <w:szCs w:val="22"/>
          <w:lang w:val="ka-GE"/>
        </w:rPr>
        <w:t>ამ განათლებასა და პროფესიაში მიმანიშნებელი ცვლადი (</w:t>
      </w:r>
      <w:r w:rsidR="007F041C" w:rsidRPr="007F6CA8">
        <w:rPr>
          <w:rFonts w:ascii="Sylfaen" w:hAnsi="Sylfaen"/>
          <w:sz w:val="22"/>
          <w:szCs w:val="22"/>
        </w:rPr>
        <w:t>proxy</w:t>
      </w:r>
      <w:r w:rsidR="00900DBA" w:rsidRPr="007F6CA8">
        <w:rPr>
          <w:rFonts w:ascii="Sylfaen" w:hAnsi="Sylfaen"/>
          <w:sz w:val="22"/>
          <w:szCs w:val="22"/>
          <w:lang w:val="ka-GE"/>
        </w:rPr>
        <w:t xml:space="preserve">) </w:t>
      </w:r>
      <w:r w:rsidR="00F148AD" w:rsidRPr="007F6CA8">
        <w:rPr>
          <w:rFonts w:ascii="Sylfaen" w:hAnsi="Sylfaen"/>
          <w:sz w:val="22"/>
          <w:szCs w:val="22"/>
          <w:lang w:val="ka-GE"/>
        </w:rPr>
        <w:t>მოიცავს</w:t>
      </w:r>
      <w:r w:rsidR="00900DBA" w:rsidRPr="007F6CA8">
        <w:rPr>
          <w:rFonts w:ascii="Sylfaen" w:hAnsi="Sylfaen"/>
          <w:sz w:val="22"/>
          <w:szCs w:val="22"/>
          <w:lang w:val="ka-GE"/>
        </w:rPr>
        <w:t xml:space="preserve"> </w:t>
      </w:r>
      <w:r w:rsidR="00F148AD" w:rsidRPr="007F6CA8">
        <w:rPr>
          <w:rFonts w:ascii="Sylfaen" w:hAnsi="Sylfaen"/>
          <w:sz w:val="22"/>
          <w:szCs w:val="22"/>
          <w:lang w:val="ka-GE"/>
        </w:rPr>
        <w:t>შეძენილ</w:t>
      </w:r>
      <w:r w:rsidR="00900DBA" w:rsidRPr="007F6CA8">
        <w:rPr>
          <w:rFonts w:ascii="Sylfaen" w:hAnsi="Sylfaen"/>
          <w:sz w:val="22"/>
          <w:szCs w:val="22"/>
          <w:lang w:val="ka-GE"/>
        </w:rPr>
        <w:t xml:space="preserve"> </w:t>
      </w:r>
      <w:r w:rsidR="00F148AD" w:rsidRPr="007F6CA8">
        <w:rPr>
          <w:rFonts w:ascii="Sylfaen" w:hAnsi="Sylfaen"/>
          <w:sz w:val="22"/>
          <w:szCs w:val="22"/>
          <w:lang w:val="ka-GE"/>
        </w:rPr>
        <w:t>უნარების</w:t>
      </w:r>
      <w:r w:rsidR="00900DBA" w:rsidRPr="007F6CA8">
        <w:rPr>
          <w:rFonts w:ascii="Sylfaen" w:hAnsi="Sylfaen"/>
          <w:sz w:val="22"/>
          <w:szCs w:val="22"/>
          <w:lang w:val="ka-GE"/>
        </w:rPr>
        <w:t xml:space="preserve">, რაც საჭიროა </w:t>
      </w:r>
      <w:r w:rsidR="00F148AD" w:rsidRPr="007F6CA8">
        <w:rPr>
          <w:rFonts w:ascii="Sylfaen" w:hAnsi="Sylfaen"/>
          <w:sz w:val="22"/>
          <w:szCs w:val="22"/>
          <w:lang w:val="ka-GE"/>
        </w:rPr>
        <w:t xml:space="preserve">სამუშაო </w:t>
      </w:r>
      <w:r w:rsidR="00900DBA" w:rsidRPr="007F6CA8">
        <w:rPr>
          <w:rFonts w:ascii="Sylfaen" w:hAnsi="Sylfaen"/>
          <w:sz w:val="22"/>
          <w:szCs w:val="22"/>
          <w:lang w:val="ka-GE"/>
        </w:rPr>
        <w:t>პოზიციისათვის</w:t>
      </w:r>
      <w:r w:rsidR="007F041C" w:rsidRPr="007F6CA8">
        <w:rPr>
          <w:rFonts w:ascii="Sylfaen" w:hAnsi="Sylfaen"/>
          <w:sz w:val="22"/>
          <w:szCs w:val="22"/>
        </w:rPr>
        <w:t xml:space="preserve">. </w:t>
      </w:r>
      <w:r w:rsidR="00D74743" w:rsidRPr="007F6CA8">
        <w:rPr>
          <w:rFonts w:ascii="Sylfaen" w:hAnsi="Sylfaen"/>
          <w:sz w:val="22"/>
          <w:szCs w:val="22"/>
          <w:lang w:val="ka-GE"/>
        </w:rPr>
        <w:t xml:space="preserve">ინდიკატორების გამოთვლის სხვადასხვა გზები იძლევა პრობლემებისა თუ შეუსაბამობების გამოვლენის საშუალებას, როცა ცალკე აღებული ვერ ხერხდება შეუსაბამობის ზუსტი ხასიათის ან მიზეზის დადგენა. ახლანდელ კონტექსტში უნარების შეუსაბამობა ნიშნავს განათლების დონისა თუ უნარების შეუსაბამობას სამუშაო ადგილის მიერ მოთხოვნილ უნარებთან, ე.წ. ვერტიკალურ შეუსაბამობას. თუმცა, ასევე გვხვდება ჰორიზონტალური შეუსაბამობა, როცა განათლების სისტემის უნარები ვერ შეესაბამება მოთხოვნას, ხოლო მთლიანი განათლების დონე არ შეესაბამება მოთხოვნას. </w:t>
      </w:r>
    </w:p>
    <w:p w14:paraId="47604D20" w14:textId="129B0830" w:rsidR="00D74743" w:rsidRPr="007F6CA8" w:rsidRDefault="00D74743" w:rsidP="007F6CA8">
      <w:pPr>
        <w:spacing w:beforeLines="60" w:before="144" w:afterLines="60" w:after="144" w:line="276" w:lineRule="auto"/>
        <w:ind w:firstLine="709"/>
        <w:contextualSpacing/>
        <w:jc w:val="both"/>
        <w:rPr>
          <w:rFonts w:ascii="Sylfaen" w:hAnsi="Sylfaen"/>
          <w:sz w:val="22"/>
          <w:szCs w:val="22"/>
          <w:lang w:val="ka-GE"/>
        </w:rPr>
      </w:pPr>
      <w:r w:rsidRPr="007F6CA8">
        <w:rPr>
          <w:rFonts w:ascii="Sylfaen" w:hAnsi="Sylfaen"/>
          <w:sz w:val="22"/>
          <w:szCs w:val="22"/>
          <w:lang w:val="ka-GE"/>
        </w:rPr>
        <w:t>ამ ანგარიშში გამოთვლილი და განხილულია რვა ინდიკატორი:</w:t>
      </w:r>
    </w:p>
    <w:p w14:paraId="7E522A80" w14:textId="77777777" w:rsidR="00D74743" w:rsidRPr="007F6CA8" w:rsidRDefault="00D74743" w:rsidP="007F6CA8">
      <w:pPr>
        <w:pStyle w:val="ListParagraph"/>
        <w:numPr>
          <w:ilvl w:val="0"/>
          <w:numId w:val="17"/>
        </w:numPr>
        <w:spacing w:beforeLines="60" w:before="144" w:afterLines="60" w:after="144" w:line="276" w:lineRule="auto"/>
        <w:rPr>
          <w:rFonts w:ascii="Sylfaen" w:hAnsi="Sylfaen"/>
          <w:sz w:val="22"/>
          <w:szCs w:val="22"/>
        </w:rPr>
      </w:pPr>
      <w:r w:rsidRPr="007F6CA8">
        <w:rPr>
          <w:rFonts w:ascii="Sylfaen" w:hAnsi="Sylfaen"/>
          <w:sz w:val="22"/>
          <w:szCs w:val="22"/>
          <w:lang w:val="ka-GE"/>
        </w:rPr>
        <w:t>უმუშევრობის დონე სხვადასხვა განზომილებებით</w:t>
      </w:r>
    </w:p>
    <w:p w14:paraId="593480F7" w14:textId="04D50038" w:rsidR="00EF7024" w:rsidRPr="007F6CA8" w:rsidRDefault="00D74743" w:rsidP="007F6CA8">
      <w:pPr>
        <w:pStyle w:val="ListParagraph"/>
        <w:numPr>
          <w:ilvl w:val="0"/>
          <w:numId w:val="17"/>
        </w:numPr>
        <w:spacing w:beforeLines="60" w:before="144" w:afterLines="60" w:after="144" w:line="276" w:lineRule="auto"/>
        <w:rPr>
          <w:rFonts w:ascii="Sylfaen" w:hAnsi="Sylfaen"/>
          <w:sz w:val="22"/>
          <w:szCs w:val="22"/>
        </w:rPr>
      </w:pPr>
      <w:r w:rsidRPr="007F6CA8">
        <w:rPr>
          <w:rFonts w:ascii="Sylfaen" w:hAnsi="Sylfaen"/>
          <w:sz w:val="22"/>
          <w:szCs w:val="22"/>
          <w:lang w:val="ka-GE"/>
        </w:rPr>
        <w:t>უმუშევრობისა და დასაქმების პროპორციები</w:t>
      </w:r>
    </w:p>
    <w:p w14:paraId="7A7605AF" w14:textId="56A5D762" w:rsidR="00D74743" w:rsidRPr="007F6CA8" w:rsidRDefault="00D74743" w:rsidP="007F6CA8">
      <w:pPr>
        <w:pStyle w:val="ListParagraph"/>
        <w:numPr>
          <w:ilvl w:val="0"/>
          <w:numId w:val="17"/>
        </w:numPr>
        <w:spacing w:beforeLines="60" w:before="144" w:afterLines="60" w:after="144" w:line="276" w:lineRule="auto"/>
        <w:rPr>
          <w:rFonts w:ascii="Sylfaen" w:hAnsi="Sylfaen"/>
          <w:sz w:val="22"/>
          <w:szCs w:val="22"/>
        </w:rPr>
      </w:pPr>
      <w:r w:rsidRPr="007F6CA8">
        <w:rPr>
          <w:rFonts w:ascii="Sylfaen" w:hAnsi="Sylfaen"/>
          <w:sz w:val="22"/>
          <w:szCs w:val="22"/>
          <w:lang w:val="ka-GE"/>
        </w:rPr>
        <w:t>დასაქმების, განათლებისა თუ ტრენინგის მიღმა მყოფები</w:t>
      </w:r>
    </w:p>
    <w:p w14:paraId="3344B753" w14:textId="79FFAA1D" w:rsidR="00D74743" w:rsidRPr="007F6CA8" w:rsidRDefault="00D74743" w:rsidP="007F6CA8">
      <w:pPr>
        <w:pStyle w:val="ListParagraph"/>
        <w:numPr>
          <w:ilvl w:val="0"/>
          <w:numId w:val="17"/>
        </w:numPr>
        <w:spacing w:beforeLines="60" w:before="144" w:afterLines="60" w:after="144" w:line="276" w:lineRule="auto"/>
        <w:rPr>
          <w:rFonts w:ascii="Sylfaen" w:hAnsi="Sylfaen"/>
          <w:sz w:val="22"/>
          <w:szCs w:val="22"/>
        </w:rPr>
      </w:pPr>
      <w:r w:rsidRPr="007F6CA8">
        <w:rPr>
          <w:rFonts w:ascii="Sylfaen" w:hAnsi="Sylfaen"/>
          <w:sz w:val="22"/>
          <w:szCs w:val="22"/>
          <w:lang w:val="ka-GE"/>
        </w:rPr>
        <w:t>განათლების ვარიაციის კოეფიციენტი</w:t>
      </w:r>
    </w:p>
    <w:p w14:paraId="602E1078" w14:textId="7CDBD40A" w:rsidR="00D74743" w:rsidRPr="007F6CA8" w:rsidRDefault="00D74743" w:rsidP="007F6CA8">
      <w:pPr>
        <w:pStyle w:val="ListParagraph"/>
        <w:numPr>
          <w:ilvl w:val="0"/>
          <w:numId w:val="17"/>
        </w:numPr>
        <w:spacing w:beforeLines="60" w:before="144" w:afterLines="60" w:after="144" w:line="276" w:lineRule="auto"/>
        <w:rPr>
          <w:rFonts w:ascii="Sylfaen" w:hAnsi="Sylfaen"/>
          <w:sz w:val="22"/>
          <w:szCs w:val="22"/>
        </w:rPr>
      </w:pPr>
      <w:r w:rsidRPr="007F6CA8">
        <w:rPr>
          <w:rFonts w:ascii="Sylfaen" w:hAnsi="Sylfaen"/>
          <w:sz w:val="22"/>
          <w:szCs w:val="22"/>
          <w:lang w:val="ka-GE"/>
        </w:rPr>
        <w:t>შედარებითი უმუშევრობის დონის ვარიაცია</w:t>
      </w:r>
    </w:p>
    <w:p w14:paraId="18627647" w14:textId="34D53048" w:rsidR="00D74743" w:rsidRPr="007F6CA8" w:rsidRDefault="00D74743" w:rsidP="007F6CA8">
      <w:pPr>
        <w:pStyle w:val="ListParagraph"/>
        <w:numPr>
          <w:ilvl w:val="0"/>
          <w:numId w:val="17"/>
        </w:numPr>
        <w:spacing w:beforeLines="60" w:before="144" w:afterLines="60" w:after="144" w:line="276" w:lineRule="auto"/>
        <w:rPr>
          <w:rFonts w:ascii="Sylfaen" w:hAnsi="Sylfaen"/>
          <w:sz w:val="22"/>
          <w:szCs w:val="22"/>
        </w:rPr>
      </w:pPr>
      <w:r w:rsidRPr="007F6CA8">
        <w:rPr>
          <w:rFonts w:ascii="Sylfaen" w:hAnsi="Sylfaen"/>
          <w:sz w:val="22"/>
          <w:szCs w:val="22"/>
          <w:lang w:val="ka-GE"/>
        </w:rPr>
        <w:t>შეუსაბამობა პროფესიების მიხედვით</w:t>
      </w:r>
    </w:p>
    <w:p w14:paraId="71AA072E" w14:textId="77577915" w:rsidR="00D74743" w:rsidRPr="007F6CA8" w:rsidRDefault="00E74498" w:rsidP="007F6CA8">
      <w:pPr>
        <w:pStyle w:val="ListParagraph"/>
        <w:numPr>
          <w:ilvl w:val="0"/>
          <w:numId w:val="17"/>
        </w:numPr>
        <w:spacing w:beforeLines="60" w:before="144" w:afterLines="60" w:after="144" w:line="276" w:lineRule="auto"/>
        <w:rPr>
          <w:rFonts w:ascii="Sylfaen" w:hAnsi="Sylfaen"/>
          <w:sz w:val="22"/>
          <w:szCs w:val="22"/>
        </w:rPr>
      </w:pPr>
      <w:r w:rsidRPr="007F6CA8">
        <w:rPr>
          <w:rFonts w:ascii="Sylfaen" w:hAnsi="Sylfaen"/>
          <w:sz w:val="22"/>
          <w:szCs w:val="22"/>
          <w:lang w:val="ka-GE"/>
        </w:rPr>
        <w:t>ჭარბი</w:t>
      </w:r>
      <w:r w:rsidR="00D74743" w:rsidRPr="007F6CA8">
        <w:rPr>
          <w:rFonts w:ascii="Sylfaen" w:hAnsi="Sylfaen"/>
          <w:sz w:val="22"/>
          <w:szCs w:val="22"/>
          <w:lang w:val="ka-GE"/>
        </w:rPr>
        <w:t xml:space="preserve"> და </w:t>
      </w:r>
      <w:r w:rsidRPr="007F6CA8">
        <w:rPr>
          <w:rFonts w:ascii="Sylfaen" w:hAnsi="Sylfaen"/>
          <w:sz w:val="22"/>
          <w:szCs w:val="22"/>
          <w:lang w:val="ka-GE"/>
        </w:rPr>
        <w:t>არასაკმარისი</w:t>
      </w:r>
      <w:r w:rsidR="00D74743" w:rsidRPr="007F6CA8">
        <w:rPr>
          <w:rFonts w:ascii="Sylfaen" w:hAnsi="Sylfaen"/>
          <w:sz w:val="22"/>
          <w:szCs w:val="22"/>
          <w:lang w:val="ka-GE"/>
        </w:rPr>
        <w:t xml:space="preserve"> განათლება</w:t>
      </w:r>
    </w:p>
    <w:p w14:paraId="0FEE8512" w14:textId="08436A97" w:rsidR="00EF7024" w:rsidRPr="007F6CA8" w:rsidRDefault="00D74743" w:rsidP="007F6CA8">
      <w:pPr>
        <w:pStyle w:val="ListParagraph"/>
        <w:numPr>
          <w:ilvl w:val="0"/>
          <w:numId w:val="17"/>
        </w:numPr>
        <w:spacing w:beforeLines="60" w:before="144" w:afterLines="60" w:after="144" w:line="276" w:lineRule="auto"/>
        <w:rPr>
          <w:rFonts w:ascii="Sylfaen" w:hAnsi="Sylfaen"/>
          <w:sz w:val="22"/>
          <w:szCs w:val="22"/>
        </w:rPr>
      </w:pPr>
      <w:r w:rsidRPr="007F6CA8">
        <w:rPr>
          <w:rFonts w:ascii="Sylfaen" w:hAnsi="Sylfaen"/>
          <w:sz w:val="22"/>
          <w:szCs w:val="22"/>
          <w:lang w:val="ka-GE"/>
        </w:rPr>
        <w:t>შედარებითი ხელფასი.</w:t>
      </w:r>
    </w:p>
    <w:p w14:paraId="0BEAFFD3" w14:textId="6DCD750D" w:rsidR="00D74743" w:rsidRPr="007F6CA8" w:rsidRDefault="00D74743"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ინდიკატორების აღწერისა და ინტერპრეტაციის დროს დაინტერესებულ პირებს </w:t>
      </w:r>
      <w:r w:rsidR="00E74498" w:rsidRPr="007F6CA8">
        <w:rPr>
          <w:rFonts w:ascii="Sylfaen" w:hAnsi="Sylfaen"/>
          <w:sz w:val="22"/>
          <w:szCs w:val="22"/>
          <w:lang w:val="ka-GE"/>
        </w:rPr>
        <w:t>საშუალება აქვთ</w:t>
      </w:r>
      <w:r w:rsidRPr="007F6CA8">
        <w:rPr>
          <w:rFonts w:ascii="Sylfaen" w:hAnsi="Sylfaen"/>
          <w:sz w:val="22"/>
          <w:szCs w:val="22"/>
          <w:lang w:val="ka-GE"/>
        </w:rPr>
        <w:t xml:space="preserve"> გაეცნონ მეთოდოლოგიას, რომლის მეშვეობითაც უნარების შეუსაბამობა იზომება არსებული მონაცემთა წყაროების მეშვეობით; ასევე შესაძლოა გაეცნონ უნარების </w:t>
      </w:r>
      <w:r w:rsidRPr="007F6CA8">
        <w:rPr>
          <w:rFonts w:ascii="Sylfaen" w:hAnsi="Sylfaen"/>
          <w:sz w:val="22"/>
          <w:szCs w:val="22"/>
          <w:lang w:val="ka-GE"/>
        </w:rPr>
        <w:lastRenderedPageBreak/>
        <w:t xml:space="preserve">შეუსაბამობის ანალიტიკას და </w:t>
      </w:r>
      <w:r w:rsidR="00A227B1" w:rsidRPr="007F6CA8">
        <w:rPr>
          <w:rFonts w:ascii="Sylfaen" w:hAnsi="Sylfaen"/>
          <w:sz w:val="22"/>
          <w:szCs w:val="22"/>
          <w:lang w:val="ka-GE"/>
        </w:rPr>
        <w:t>ინფორმაციას იმ სფეროებზე, სადაც შეუსაბამობა შეიძლება წარმოიშვას შრომით ბაზარზე. პირები, რომლებიც ჩართულები არიან შრომითი ბაზრის ინფორმაციის გენერირებაში, ინტერპრეტაციასა თუ გამოყენებაში, ასევე შრომითი ბაზრის ან საგანმანათლებლო პოლიტიკის შექმნაში, შესაძლოა დააინტერესოთ სხვადასხვა გზები, რომელიც შრომითი ბაზრისა და უნარების ანალიზის საშუალებას იძლევა. და ბოლოს, ანგარიშში ასევე მოცემულია შემოთავაზებები ინდიკატორების, მონაცემთა ინფრასტრუქტურისა და შრომითი ბაზრის ანალიზის შემდგომი განვითარების</w:t>
      </w:r>
      <w:r w:rsidR="00E74498" w:rsidRPr="007F6CA8">
        <w:rPr>
          <w:rFonts w:ascii="Sylfaen" w:hAnsi="Sylfaen"/>
          <w:sz w:val="22"/>
          <w:szCs w:val="22"/>
          <w:lang w:val="ka-GE"/>
        </w:rPr>
        <w:t xml:space="preserve"> შესახებ</w:t>
      </w:r>
      <w:r w:rsidR="00A227B1" w:rsidRPr="007F6CA8">
        <w:rPr>
          <w:rFonts w:ascii="Sylfaen" w:hAnsi="Sylfaen"/>
          <w:sz w:val="22"/>
          <w:szCs w:val="22"/>
          <w:lang w:val="ka-GE"/>
        </w:rPr>
        <w:t>.</w:t>
      </w:r>
    </w:p>
    <w:p w14:paraId="7E105CC5" w14:textId="77777777" w:rsidR="00E74498" w:rsidRPr="007F6CA8" w:rsidRDefault="00E74498" w:rsidP="00731B1D">
      <w:pPr>
        <w:spacing w:beforeLines="60" w:before="144" w:afterLines="60" w:after="144" w:line="276" w:lineRule="auto"/>
        <w:ind w:firstLine="709"/>
        <w:jc w:val="both"/>
        <w:rPr>
          <w:rFonts w:ascii="Sylfaen" w:hAnsi="Sylfaen"/>
          <w:sz w:val="22"/>
          <w:szCs w:val="22"/>
          <w:lang w:val="ka-GE"/>
        </w:rPr>
      </w:pPr>
    </w:p>
    <w:p w14:paraId="45264F35" w14:textId="7609EF09" w:rsidR="00FD6034" w:rsidRPr="007F6CA8" w:rsidRDefault="00CF562A" w:rsidP="00731B1D">
      <w:pPr>
        <w:pStyle w:val="Heading1"/>
        <w:spacing w:beforeLines="60" w:before="144" w:afterLines="60" w:after="144" w:line="276" w:lineRule="auto"/>
        <w:rPr>
          <w:rFonts w:ascii="Sylfaen" w:hAnsi="Sylfaen"/>
        </w:rPr>
      </w:pPr>
      <w:bookmarkStart w:id="2" w:name="_Toc513596824"/>
      <w:r w:rsidRPr="007F6CA8">
        <w:rPr>
          <w:rFonts w:ascii="Sylfaen" w:hAnsi="Sylfaen"/>
          <w:lang w:val="ka-GE"/>
        </w:rPr>
        <w:t>კონტექსტი</w:t>
      </w:r>
      <w:bookmarkEnd w:id="2"/>
    </w:p>
    <w:p w14:paraId="27D18F32" w14:textId="399EA08A" w:rsidR="00F505C0" w:rsidRPr="007F6CA8" w:rsidRDefault="00CF562A" w:rsidP="00731B1D">
      <w:pPr>
        <w:pStyle w:val="Heading2"/>
        <w:spacing w:beforeLines="60" w:before="144" w:afterLines="60" w:after="144" w:line="276" w:lineRule="auto"/>
        <w:rPr>
          <w:rFonts w:ascii="Sylfaen" w:hAnsi="Sylfaen"/>
        </w:rPr>
      </w:pPr>
      <w:bookmarkStart w:id="3" w:name="_Toc513596825"/>
      <w:r w:rsidRPr="007F6CA8">
        <w:rPr>
          <w:rFonts w:ascii="Sylfaen" w:hAnsi="Sylfaen"/>
          <w:lang w:val="ka-GE"/>
        </w:rPr>
        <w:t>ქვეყნის კონტექსტი და ინსტიტუციური ინფორმაცია</w:t>
      </w:r>
      <w:bookmarkEnd w:id="3"/>
    </w:p>
    <w:p w14:paraId="79F090A0" w14:textId="181A9445" w:rsidR="006A32A9" w:rsidRPr="007F6CA8" w:rsidRDefault="00A227B1"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საქართველომ </w:t>
      </w:r>
      <w:r w:rsidR="006A32A9" w:rsidRPr="007F6CA8">
        <w:rPr>
          <w:rFonts w:ascii="Sylfaen" w:hAnsi="Sylfaen"/>
          <w:sz w:val="22"/>
          <w:szCs w:val="22"/>
          <w:lang w:val="ka-GE"/>
        </w:rPr>
        <w:t xml:space="preserve">მნიშვნელოვანი პოლიტიკური გარდამავლობის პერიოდი განვლო საბჭოთა კავშირიდან დამოუკიდებელ სახელმწიფოდ ჩამოყალიბების დროს, როცა ცენტრალურად დაგეგმილი ეკონომიკიდან საბაზრო ეკონომიკაზე გადავიდა. მზარდი შიდა პროდუქტი 1988-დან 1994 წლამდე 79%-ით შემცირდა. ეს შემცირება ხუთ წელს გაგრძელდა, რაც, სხვა პოსტ-საბჭოთა ქვეყნებს შორის ყველაზე მოკლე იყო, მაგრამ ყველაზე დიდი კუმულაციური შემცირება იყო </w:t>
      </w:r>
      <w:r w:rsidR="00C56E6A" w:rsidRPr="007F6CA8">
        <w:rPr>
          <w:rFonts w:ascii="Sylfaen" w:hAnsi="Sylfaen"/>
          <w:sz w:val="22"/>
          <w:szCs w:val="22"/>
        </w:rPr>
        <w:t xml:space="preserve">(European Initiative - Liberal Academy, 2012). </w:t>
      </w:r>
      <w:r w:rsidR="006A32A9" w:rsidRPr="007F6CA8">
        <w:rPr>
          <w:rFonts w:ascii="Sylfaen" w:hAnsi="Sylfaen"/>
          <w:sz w:val="22"/>
          <w:szCs w:val="22"/>
          <w:lang w:val="ka-GE"/>
        </w:rPr>
        <w:t>დამოუკიდებლობის პირველი ხუთი წლის განმავლობაში საქართველომ გამოიარა მწვავე ინფლაცია, რაც ხელს უშლიდა ეკონომიკურ განვითრებას და ხელს უწყობდა სოციალური პრობლემების გამწვავებას. 1995 წლიდან ინფლაციის მაჩვენებელი შემცირდა და ეკონომიკამ საშუალოდ 6%-ით იწყო ზრდა: ინფლაცია 1996-2017 წლებში საშუალოდ 7.5% რჩებოდა, ხოლო რეკორდულად დაბალი მაჩვენებელი, -3.3% 2012 წლის მაისში დაფიქსირდა.</w:t>
      </w:r>
      <w:r w:rsidR="006A32A9" w:rsidRPr="007F6CA8">
        <w:rPr>
          <w:rStyle w:val="FootnoteReference"/>
          <w:rFonts w:ascii="Sylfaen" w:hAnsi="Sylfaen"/>
          <w:sz w:val="22"/>
          <w:szCs w:val="22"/>
        </w:rPr>
        <w:footnoteReference w:id="1"/>
      </w:r>
      <w:r w:rsidR="006A32A9" w:rsidRPr="007F6CA8">
        <w:rPr>
          <w:rFonts w:ascii="Sylfaen" w:hAnsi="Sylfaen"/>
          <w:sz w:val="22"/>
          <w:szCs w:val="22"/>
          <w:lang w:val="ka-GE"/>
        </w:rPr>
        <w:t xml:space="preserve"> </w:t>
      </w:r>
    </w:p>
    <w:p w14:paraId="58AB349D" w14:textId="58723631" w:rsidR="006A32A9" w:rsidRPr="007F6CA8" w:rsidRDefault="006A32A9" w:rsidP="00731B1D">
      <w:pPr>
        <w:spacing w:beforeLines="60" w:before="144" w:afterLines="60" w:after="144" w:line="276" w:lineRule="auto"/>
        <w:ind w:firstLine="709"/>
        <w:jc w:val="both"/>
        <w:rPr>
          <w:rFonts w:ascii="Sylfaen" w:hAnsi="Sylfaen"/>
          <w:bCs/>
          <w:sz w:val="22"/>
          <w:szCs w:val="22"/>
          <w:lang w:val="ka-GE"/>
        </w:rPr>
      </w:pPr>
      <w:r w:rsidRPr="007F6CA8">
        <w:rPr>
          <w:rFonts w:ascii="Sylfaen" w:hAnsi="Sylfaen"/>
          <w:sz w:val="22"/>
          <w:szCs w:val="22"/>
          <w:lang w:val="ka-GE"/>
        </w:rPr>
        <w:t xml:space="preserve">საქართველოში </w:t>
      </w:r>
      <w:r w:rsidR="00B93957" w:rsidRPr="007F6CA8">
        <w:rPr>
          <w:rFonts w:ascii="Sylfaen" w:hAnsi="Sylfaen"/>
          <w:sz w:val="22"/>
          <w:szCs w:val="22"/>
          <w:lang w:val="ka-GE"/>
        </w:rPr>
        <w:t>ჩატარებულმა</w:t>
      </w:r>
      <w:r w:rsidRPr="007F6CA8">
        <w:rPr>
          <w:rFonts w:ascii="Sylfaen" w:hAnsi="Sylfaen"/>
          <w:sz w:val="22"/>
          <w:szCs w:val="22"/>
          <w:lang w:val="ka-GE"/>
        </w:rPr>
        <w:t xml:space="preserve"> რეფორმებმა, განსაკუთრებით 2003 წლის ვარდების რევოლუციის შემდეგ, დააჩქარა ზრდა. საქართველოს მთავრობამ მოახერხა ბიზნეს კლიმატის მნიშვნელოვნად გაუმჯობესება. </w:t>
      </w:r>
      <w:r w:rsidR="00903AF2" w:rsidRPr="007F6CA8">
        <w:rPr>
          <w:rFonts w:ascii="Sylfaen" w:hAnsi="Sylfaen"/>
          <w:sz w:val="22"/>
          <w:szCs w:val="22"/>
          <w:lang w:val="ka-GE"/>
        </w:rPr>
        <w:t>ბიზნესის წარმოების თვალსაზრისით ქვეყანამ ერთ წელიწადში, 2005-დან 2006 წელს 112-დან 37-ე ადგილზე გადაინაცვლა. 2016 წელს ამ ჩამონათვალში საქართველო მე-16</w:t>
      </w:r>
      <w:r w:rsidR="00903AF2" w:rsidRPr="007F6CA8">
        <w:rPr>
          <w:rStyle w:val="FootnoteReference"/>
          <w:rFonts w:ascii="Sylfaen" w:hAnsi="Sylfaen"/>
          <w:sz w:val="22"/>
          <w:szCs w:val="22"/>
        </w:rPr>
        <w:footnoteReference w:id="2"/>
      </w:r>
      <w:r w:rsidR="00903AF2" w:rsidRPr="007F6CA8">
        <w:rPr>
          <w:rFonts w:ascii="Sylfaen" w:hAnsi="Sylfaen"/>
          <w:sz w:val="22"/>
          <w:szCs w:val="22"/>
          <w:lang w:val="ka-GE"/>
        </w:rPr>
        <w:t xml:space="preserve"> ადგილზე იყო, ისევე როგორც 2008 წელს, როცა ეკონომიკური განვითარება შეფერხდა აგვისტოს რუსეთთან ომისა და მსოფლიო ფინანსური კრიზისის გამო. მზარდი შიდა პროდუქტი</w:t>
      </w:r>
      <w:r w:rsidR="00D63332" w:rsidRPr="007F6CA8">
        <w:rPr>
          <w:rFonts w:ascii="Sylfaen" w:hAnsi="Sylfaen"/>
          <w:sz w:val="22"/>
          <w:szCs w:val="22"/>
          <w:lang w:val="ka-GE"/>
        </w:rPr>
        <w:t xml:space="preserve"> </w:t>
      </w:r>
      <w:r w:rsidR="00E74498" w:rsidRPr="007F6CA8">
        <w:rPr>
          <w:rFonts w:ascii="Sylfaen" w:hAnsi="Sylfaen"/>
          <w:sz w:val="22"/>
          <w:szCs w:val="22"/>
          <w:lang w:val="ka-GE"/>
        </w:rPr>
        <w:t xml:space="preserve">1990-2016 წლებში </w:t>
      </w:r>
      <w:r w:rsidR="00D63332" w:rsidRPr="007F6CA8">
        <w:rPr>
          <w:rFonts w:ascii="Sylfaen" w:hAnsi="Sylfaen"/>
          <w:sz w:val="22"/>
          <w:szCs w:val="22"/>
          <w:lang w:val="ka-GE"/>
        </w:rPr>
        <w:t>საშუალოდ</w:t>
      </w:r>
      <w:r w:rsidR="00903AF2" w:rsidRPr="007F6CA8">
        <w:rPr>
          <w:rFonts w:ascii="Sylfaen" w:hAnsi="Sylfaen"/>
          <w:sz w:val="22"/>
          <w:szCs w:val="22"/>
          <w:lang w:val="ka-GE"/>
        </w:rPr>
        <w:t xml:space="preserve"> </w:t>
      </w:r>
      <w:r w:rsidR="00D63332" w:rsidRPr="007F6CA8">
        <w:rPr>
          <w:rFonts w:ascii="Sylfaen" w:hAnsi="Sylfaen"/>
          <w:sz w:val="22"/>
          <w:szCs w:val="22"/>
          <w:lang w:val="ka-GE"/>
        </w:rPr>
        <w:t xml:space="preserve">5,248 ა.შ.შ დოლარს </w:t>
      </w:r>
      <w:r w:rsidR="00E74498" w:rsidRPr="007F6CA8">
        <w:rPr>
          <w:rFonts w:ascii="Sylfaen" w:hAnsi="Sylfaen"/>
          <w:sz w:val="22"/>
          <w:szCs w:val="22"/>
          <w:lang w:val="ka-GE"/>
        </w:rPr>
        <w:t>შეადგენ</w:t>
      </w:r>
      <w:r w:rsidR="00D63332" w:rsidRPr="007F6CA8">
        <w:rPr>
          <w:rFonts w:ascii="Sylfaen" w:hAnsi="Sylfaen"/>
          <w:sz w:val="22"/>
          <w:szCs w:val="22"/>
          <w:lang w:val="ka-GE"/>
        </w:rPr>
        <w:t xml:space="preserve">და, ხოლო ყველაზე მაღალი მაჩვენებელი, </w:t>
      </w:r>
      <w:r w:rsidR="00D63332" w:rsidRPr="007F6CA8">
        <w:rPr>
          <w:rFonts w:ascii="Sylfaen" w:hAnsi="Sylfaen"/>
          <w:bCs/>
          <w:sz w:val="22"/>
          <w:szCs w:val="22"/>
        </w:rPr>
        <w:t>9</w:t>
      </w:r>
      <w:r w:rsidR="00D63332" w:rsidRPr="007F6CA8">
        <w:rPr>
          <w:rFonts w:ascii="Sylfaen" w:hAnsi="Sylfaen"/>
          <w:bCs/>
          <w:sz w:val="22"/>
          <w:szCs w:val="22"/>
          <w:lang w:val="ka-GE"/>
        </w:rPr>
        <w:t>,</w:t>
      </w:r>
      <w:r w:rsidR="00D63332" w:rsidRPr="007F6CA8">
        <w:rPr>
          <w:rFonts w:ascii="Sylfaen" w:hAnsi="Sylfaen"/>
          <w:bCs/>
          <w:sz w:val="22"/>
          <w:szCs w:val="22"/>
        </w:rPr>
        <w:t>267</w:t>
      </w:r>
      <w:r w:rsidR="00D63332" w:rsidRPr="007F6CA8">
        <w:rPr>
          <w:rFonts w:ascii="Sylfaen" w:hAnsi="Sylfaen"/>
          <w:bCs/>
          <w:sz w:val="22"/>
          <w:szCs w:val="22"/>
          <w:lang w:val="ka-GE"/>
        </w:rPr>
        <w:t xml:space="preserve"> ა.შ.შ დოლარი შარშან, ხოლო ყველაზე დაბალი, </w:t>
      </w:r>
      <w:r w:rsidR="00D63332" w:rsidRPr="007F6CA8">
        <w:rPr>
          <w:rFonts w:ascii="Sylfaen" w:hAnsi="Sylfaen"/>
          <w:bCs/>
          <w:sz w:val="22"/>
          <w:szCs w:val="22"/>
        </w:rPr>
        <w:t>2</w:t>
      </w:r>
      <w:r w:rsidR="00D63332" w:rsidRPr="007F6CA8">
        <w:rPr>
          <w:rFonts w:ascii="Sylfaen" w:hAnsi="Sylfaen"/>
          <w:bCs/>
          <w:sz w:val="22"/>
          <w:szCs w:val="22"/>
          <w:lang w:val="ka-GE"/>
        </w:rPr>
        <w:t>,</w:t>
      </w:r>
      <w:r w:rsidR="00D63332" w:rsidRPr="007F6CA8">
        <w:rPr>
          <w:rFonts w:ascii="Sylfaen" w:hAnsi="Sylfaen"/>
          <w:bCs/>
          <w:sz w:val="22"/>
          <w:szCs w:val="22"/>
        </w:rPr>
        <w:t>178</w:t>
      </w:r>
      <w:r w:rsidR="00D63332" w:rsidRPr="007F6CA8">
        <w:rPr>
          <w:rFonts w:ascii="Sylfaen" w:hAnsi="Sylfaen"/>
          <w:bCs/>
          <w:sz w:val="22"/>
          <w:szCs w:val="22"/>
          <w:lang w:val="ka-GE"/>
        </w:rPr>
        <w:t xml:space="preserve"> ა.შ.შ დოლარი 1994 წელს აღინიშნა.</w:t>
      </w:r>
      <w:r w:rsidR="00D63332" w:rsidRPr="007F6CA8">
        <w:rPr>
          <w:rStyle w:val="FootnoteReference"/>
          <w:rFonts w:ascii="Sylfaen" w:hAnsi="Sylfaen"/>
          <w:bCs/>
          <w:color w:val="000000"/>
          <w:sz w:val="22"/>
          <w:szCs w:val="22"/>
        </w:rPr>
        <w:footnoteReference w:id="3"/>
      </w:r>
    </w:p>
    <w:p w14:paraId="49B419FF" w14:textId="12302192" w:rsidR="00D63332" w:rsidRPr="007F6CA8" w:rsidRDefault="00D63332"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მოცემული პერიოდის განმავლობაში წარმოების სტრუქტურის კუთხით საქართველო სოფლის მეურნეობაზე დაფუძნებული ეკონომიკიდან გადავიდა უფრო მრავალფეროვან, მომსახურებაზე ორიენტირებულ ეკონომიკაზე. </w:t>
      </w:r>
      <w:r w:rsidR="00CB02CE" w:rsidRPr="007F6CA8">
        <w:rPr>
          <w:rFonts w:ascii="Sylfaen" w:hAnsi="Sylfaen"/>
          <w:sz w:val="22"/>
          <w:szCs w:val="22"/>
          <w:lang w:val="ka-GE"/>
        </w:rPr>
        <w:t xml:space="preserve">თუ 1996 წელს დამატებითი ღირებულების მესამედზე მეტი (34%) სოფლის მეურნეობაში იქმნებოდა, 2016 წელს ამ სექტორის წვლილი 9%-მდე დაეცა, თუმცა, ჯერ კიდევ ინარჩუნებს </w:t>
      </w:r>
      <w:r w:rsidR="001A19B4" w:rsidRPr="007F6CA8">
        <w:rPr>
          <w:rFonts w:ascii="Sylfaen" w:hAnsi="Sylfaen"/>
          <w:sz w:val="22"/>
          <w:szCs w:val="22"/>
          <w:lang w:val="ka-GE"/>
        </w:rPr>
        <w:t xml:space="preserve">ადგილს სამეულში. </w:t>
      </w:r>
      <w:r w:rsidR="00486D7E" w:rsidRPr="007F6CA8">
        <w:rPr>
          <w:rFonts w:ascii="Sylfaen" w:hAnsi="Sylfaen"/>
          <w:sz w:val="22"/>
          <w:szCs w:val="22"/>
          <w:lang w:val="ka-GE"/>
        </w:rPr>
        <w:t xml:space="preserve">მასთან მიახლოვებული ორი </w:t>
      </w:r>
      <w:r w:rsidR="00486D7E" w:rsidRPr="007F6CA8">
        <w:rPr>
          <w:rFonts w:ascii="Sylfaen" w:hAnsi="Sylfaen"/>
          <w:sz w:val="22"/>
          <w:szCs w:val="22"/>
          <w:lang w:val="ka-GE"/>
        </w:rPr>
        <w:lastRenderedPageBreak/>
        <w:t xml:space="preserve">სექტორია ვაჭრობა (15.3%) და მრეწველობა (10%), რომელთაც შედარებით </w:t>
      </w:r>
      <w:r w:rsidR="00A946DF" w:rsidRPr="007F6CA8">
        <w:rPr>
          <w:rFonts w:ascii="Sylfaen" w:hAnsi="Sylfaen"/>
          <w:sz w:val="22"/>
          <w:szCs w:val="22"/>
          <w:lang w:val="ka-GE"/>
        </w:rPr>
        <w:t>სტაბილ</w:t>
      </w:r>
      <w:r w:rsidR="00486D7E" w:rsidRPr="007F6CA8">
        <w:rPr>
          <w:rFonts w:ascii="Sylfaen" w:hAnsi="Sylfaen"/>
          <w:sz w:val="22"/>
          <w:szCs w:val="22"/>
          <w:lang w:val="ka-GE"/>
        </w:rPr>
        <w:t>ური წვლილი შეაქვთ მზარდ შიდა პროდუქტში. სამშებელო და ტრანსპორტის სექტორები ტრადიციულად მნიშვნელოვან როლს თამაშობენ ქართული ეკონომიკის განვითარებაში, და მშპ-ს დაახლ. 8% შეადგენენ. ყველაზე სწრაფად მზარდი სექტორი ფინანსებია, რომელიც 1996 წელს მშპ-ს მხოლოდ 1% შეადგენდა, ხოლო 2016 წელს კი 4% მიაღწია. უფრო მცირე, მაგრამ მაინც მნიშვნელოვანი განვითარება შეინიშნება უძრავი ქონების სექტორში, სადაც 1996 წლის 2%-დან 2016 წელს 7% დაფიქსირდა (საქსტატის მონაცემები</w:t>
      </w:r>
      <w:r w:rsidR="00486D7E" w:rsidRPr="007F6CA8">
        <w:rPr>
          <w:rStyle w:val="FootnoteReference"/>
          <w:rFonts w:ascii="Sylfaen" w:hAnsi="Sylfaen"/>
          <w:sz w:val="22"/>
          <w:szCs w:val="22"/>
        </w:rPr>
        <w:footnoteReference w:id="4"/>
      </w:r>
      <w:r w:rsidR="00486D7E" w:rsidRPr="007F6CA8">
        <w:rPr>
          <w:rFonts w:ascii="Sylfaen" w:hAnsi="Sylfaen"/>
          <w:sz w:val="22"/>
          <w:szCs w:val="22"/>
          <w:lang w:val="ka-GE"/>
        </w:rPr>
        <w:t>).</w:t>
      </w:r>
    </w:p>
    <w:p w14:paraId="4E04EC4A" w14:textId="2FB17D5F" w:rsidR="00C56E6A" w:rsidRPr="007F6CA8" w:rsidRDefault="00486D7E"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თუმცა,</w:t>
      </w:r>
      <w:r w:rsidR="004B0A93" w:rsidRPr="007F6CA8">
        <w:rPr>
          <w:rFonts w:ascii="Sylfaen" w:hAnsi="Sylfaen"/>
          <w:sz w:val="22"/>
          <w:szCs w:val="22"/>
          <w:lang w:val="ka-GE"/>
        </w:rPr>
        <w:t xml:space="preserve"> ქართული დასაქმების სექტორი მაინც ტრადიციულია, სადაც სოფლის მეურნეობა მთლიანი დასაქმების 46% შეადგენს. საბაზრო სექტორი შედარებით დიდია (დასაქმების 25%), მაგრამ დომინირებულია ვაჭრობით, რომელიც, მეტწილად, </w:t>
      </w:r>
      <w:r w:rsidR="003825F0" w:rsidRPr="007F6CA8">
        <w:rPr>
          <w:rFonts w:ascii="Sylfaen" w:hAnsi="Sylfaen"/>
          <w:sz w:val="22"/>
          <w:szCs w:val="22"/>
          <w:lang w:val="ka-GE"/>
        </w:rPr>
        <w:t>დამატებით</w:t>
      </w:r>
      <w:r w:rsidR="004B0A93" w:rsidRPr="007F6CA8">
        <w:rPr>
          <w:rFonts w:ascii="Sylfaen" w:hAnsi="Sylfaen"/>
          <w:sz w:val="22"/>
          <w:szCs w:val="22"/>
          <w:lang w:val="ka-GE"/>
        </w:rPr>
        <w:t xml:space="preserve"> ღირებულებ</w:t>
      </w:r>
      <w:r w:rsidR="003825F0" w:rsidRPr="007F6CA8">
        <w:rPr>
          <w:rFonts w:ascii="Sylfaen" w:hAnsi="Sylfaen"/>
          <w:sz w:val="22"/>
          <w:szCs w:val="22"/>
          <w:lang w:val="ka-GE"/>
        </w:rPr>
        <w:t>ასთან დაკავშირებული</w:t>
      </w:r>
      <w:r w:rsidR="004B0A93" w:rsidRPr="007F6CA8">
        <w:rPr>
          <w:rFonts w:ascii="Sylfaen" w:hAnsi="Sylfaen"/>
          <w:sz w:val="22"/>
          <w:szCs w:val="22"/>
          <w:lang w:val="ka-GE"/>
        </w:rPr>
        <w:t xml:space="preserve"> აქტივობაა. საჯარო სამსახურის სექტორი ასევე დიდია, ხოლო ისეთი საქმიანობა, როგორიცაა განათლება, ჯანდაცვა და ადმინისტრაცია, მთლიანი დასაქმების 17% შეადგენს. თანამედროვე ბიზნესი და ფინანსური მომსახურება მცირე როლს თამაშობს, ვინაიდან მისი წილი არასასოფლო-სამეურნეო დასაქმებაში 6%-ზე ნაკლებია. ამგვარად, საქართველოში სამუშოების უმეტესობა ტრადიციულ, დაბალპროდუქტიულ სექტორებში გვხვდება, ხოლო სამუშაო ადგილების მცირე რაოდენობა თანამედროვე, მაღალპროდუქტიულ სექტორებშია </w:t>
      </w:r>
      <w:r w:rsidR="00C56E6A" w:rsidRPr="007F6CA8">
        <w:rPr>
          <w:rFonts w:ascii="Sylfaen" w:hAnsi="Sylfaen"/>
          <w:sz w:val="22"/>
          <w:szCs w:val="22"/>
        </w:rPr>
        <w:t xml:space="preserve">(WB, 2013, p.16). </w:t>
      </w:r>
    </w:p>
    <w:p w14:paraId="7C28FD9F" w14:textId="77777777" w:rsidR="002F36F9" w:rsidRPr="007F6CA8" w:rsidRDefault="002F36F9" w:rsidP="00731B1D">
      <w:pPr>
        <w:spacing w:beforeLines="60" w:before="144" w:afterLines="60" w:after="144" w:line="276" w:lineRule="auto"/>
        <w:jc w:val="both"/>
        <w:rPr>
          <w:rFonts w:ascii="Sylfaen" w:hAnsi="Sylfaen"/>
        </w:rPr>
      </w:pPr>
    </w:p>
    <w:p w14:paraId="4B96B240" w14:textId="15A258A0" w:rsidR="002F36F9" w:rsidRPr="007F6CA8" w:rsidRDefault="00D63332" w:rsidP="00731B1D">
      <w:pPr>
        <w:pStyle w:val="Heading3"/>
        <w:spacing w:beforeLines="60" w:before="144" w:afterLines="60" w:after="144" w:line="276" w:lineRule="auto"/>
        <w:rPr>
          <w:rFonts w:ascii="Sylfaen" w:hAnsi="Sylfaen"/>
          <w:lang w:val="ka-GE"/>
        </w:rPr>
      </w:pPr>
      <w:bookmarkStart w:id="4" w:name="_Toc513596826"/>
      <w:r w:rsidRPr="007F6CA8">
        <w:rPr>
          <w:rFonts w:ascii="Sylfaen" w:hAnsi="Sylfaen"/>
          <w:lang w:val="ka-GE"/>
        </w:rPr>
        <w:t>დემოგრაფიული განვითარება</w:t>
      </w:r>
      <w:bookmarkEnd w:id="4"/>
    </w:p>
    <w:p w14:paraId="3B675DAC" w14:textId="5D22E106" w:rsidR="004B0A93" w:rsidRPr="007F6CA8" w:rsidRDefault="004B0A93"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2014 წლის მოსახლეობის საყოველთაო აღწერამ აჩვენა, რომ საქართველოს მოსახლეობა 4.1 მილიონიდან (2002) 3.7 მილიონამდე შემცირდა (2014). დამოუკიდებლობის შემდეგ მოსახლეობის განვითარება ნეგატიურად ხასიათდება. ეს მდგომაროება გამოწვეულია შობადობის კლებისა და მიგრაციის ზრდით. გაეროს მოსახლეობის დივიზიის (</w:t>
      </w:r>
      <w:r w:rsidRPr="007F6CA8">
        <w:rPr>
          <w:rFonts w:ascii="Sylfaen" w:hAnsi="Sylfaen"/>
          <w:sz w:val="22"/>
          <w:szCs w:val="22"/>
        </w:rPr>
        <w:t xml:space="preserve">UN, 2017) </w:t>
      </w:r>
      <w:r w:rsidRPr="007F6CA8">
        <w:rPr>
          <w:rFonts w:ascii="Sylfaen" w:hAnsi="Sylfaen"/>
          <w:sz w:val="22"/>
          <w:szCs w:val="22"/>
          <w:lang w:val="ka-GE"/>
        </w:rPr>
        <w:t xml:space="preserve">მიხედვით ემიგრაციის სუფთა მაჩვენებელი </w:t>
      </w:r>
      <w:r w:rsidR="00505DB2" w:rsidRPr="007F6CA8">
        <w:rPr>
          <w:rFonts w:ascii="Sylfaen" w:hAnsi="Sylfaen"/>
          <w:sz w:val="22"/>
          <w:szCs w:val="22"/>
          <w:lang w:val="ka-GE"/>
        </w:rPr>
        <w:t>(</w:t>
      </w:r>
      <w:r w:rsidRPr="007F6CA8">
        <w:rPr>
          <w:rFonts w:ascii="Sylfaen" w:hAnsi="Sylfaen"/>
          <w:sz w:val="22"/>
          <w:szCs w:val="22"/>
          <w:lang w:val="ka-GE"/>
        </w:rPr>
        <w:t xml:space="preserve">აფხაზეთისა და სამხრეთ ოსეთის ჩათვლით), 1990-2015 წლების განმავლობაში ყველაზე მაღალი იყო იმ ქვეყნებს შორის, რომელსაც ერთ მილიონზე მეტი მაცხოვრებელი ჰყავს. თუმცა, როგორც ჩანს, 2008 წლის შემდეგ საქართველოში შობადობა გაიზარდა. </w:t>
      </w:r>
    </w:p>
    <w:p w14:paraId="0FB41795" w14:textId="486F0053" w:rsidR="00C56E6A" w:rsidRPr="007F6CA8" w:rsidRDefault="004B0A93"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საქართველოს მოსახლეობის 57% ქალაქური ტიპის დასახლებებში, ხოლო მთლიანი მოსახლეობის 30% დედაქალაქში, თბილისში ცხოვრობს. 2014 წელს ეთნიკური ქართველი მოსახლეობა 87% </w:t>
      </w:r>
      <w:r w:rsidR="00505DB2" w:rsidRPr="007F6CA8">
        <w:rPr>
          <w:rFonts w:ascii="Sylfaen" w:hAnsi="Sylfaen"/>
          <w:sz w:val="22"/>
          <w:szCs w:val="22"/>
          <w:lang w:val="ka-GE"/>
        </w:rPr>
        <w:t>შეადგენდა</w:t>
      </w:r>
      <w:r w:rsidRPr="007F6CA8">
        <w:rPr>
          <w:rFonts w:ascii="Sylfaen" w:hAnsi="Sylfaen"/>
          <w:sz w:val="22"/>
          <w:szCs w:val="22"/>
          <w:lang w:val="ka-GE"/>
        </w:rPr>
        <w:t xml:space="preserve">. ყველაზე დიდი ეთნიკური უმცირესობებია აზერბაჯანლები (6%) და სომხები </w:t>
      </w:r>
      <w:r w:rsidR="00505DB2" w:rsidRPr="007F6CA8">
        <w:rPr>
          <w:rFonts w:ascii="Sylfaen" w:hAnsi="Sylfaen"/>
          <w:sz w:val="22"/>
          <w:szCs w:val="22"/>
          <w:lang w:val="ka-GE"/>
        </w:rPr>
        <w:t>(</w:t>
      </w:r>
      <w:r w:rsidRPr="007F6CA8">
        <w:rPr>
          <w:rFonts w:ascii="Sylfaen" w:hAnsi="Sylfaen"/>
          <w:sz w:val="22"/>
          <w:szCs w:val="22"/>
          <w:lang w:val="ka-GE"/>
        </w:rPr>
        <w:t>4.5%).</w:t>
      </w:r>
      <w:r w:rsidRPr="007F6CA8">
        <w:rPr>
          <w:rStyle w:val="FootnoteReference"/>
          <w:rFonts w:ascii="Sylfaen" w:hAnsi="Sylfaen"/>
          <w:sz w:val="22"/>
          <w:szCs w:val="22"/>
        </w:rPr>
        <w:footnoteReference w:id="5"/>
      </w:r>
      <w:r w:rsidRPr="007F6CA8">
        <w:rPr>
          <w:rFonts w:ascii="Sylfaen" w:hAnsi="Sylfaen"/>
          <w:sz w:val="22"/>
          <w:szCs w:val="22"/>
          <w:lang w:val="ka-GE"/>
        </w:rPr>
        <w:t xml:space="preserve"> ქვეყნის ოფიციალური ენა ქართულია. მოსახლეობის 87.5% ქართული მშობლიური ენაა. თუმცა, ეთნიკურ უმცირესობებს შორის ქართულის ცოდნის დონე საკმაოდ დაბალია. ეთნიკური აზერბაიჯანლების მხოლოდ 19% საუბრობს ქართულად თავისუფლად, ხოლო იგივე მაჩვენებელი ეთნიკურ სომხებს შორის 35% შეადგენს (იქვე). ქართული ენის გამართულად ცოდნის გარეშე ეთნიკურ უმცირესობებს მცირე, ან საერთოდ არ აქვთ უმაღლეს სასწავლებლებში მოხვედრის შანსი. მართლაც, იმ ფონზე, როცა ეთნიკურ ქართველ </w:t>
      </w:r>
      <w:r w:rsidRPr="007F6CA8">
        <w:rPr>
          <w:rFonts w:ascii="Sylfaen" w:hAnsi="Sylfaen"/>
          <w:sz w:val="22"/>
          <w:szCs w:val="22"/>
          <w:lang w:val="ka-GE"/>
        </w:rPr>
        <w:lastRenderedPageBreak/>
        <w:t>მოსახლეობას შორის 39% აქვს საშუალოზე მაღალი განათლება, იგივე ინდიკატორი სომხებსა და აზერბაიჯანელებს შორის 9% და 6% შეადგენს</w:t>
      </w:r>
      <w:r w:rsidR="00C56E6A" w:rsidRPr="007F6CA8">
        <w:rPr>
          <w:rFonts w:ascii="Sylfaen" w:hAnsi="Sylfaen"/>
          <w:sz w:val="22"/>
          <w:szCs w:val="22"/>
        </w:rPr>
        <w:t xml:space="preserve"> (CRRC, 2015</w:t>
      </w:r>
      <w:r w:rsidR="00C56E6A" w:rsidRPr="007F6CA8">
        <w:rPr>
          <w:rStyle w:val="FootnoteReference"/>
          <w:rFonts w:ascii="Sylfaen" w:hAnsi="Sylfaen"/>
          <w:sz w:val="22"/>
          <w:szCs w:val="22"/>
        </w:rPr>
        <w:footnoteReference w:id="6"/>
      </w:r>
      <w:r w:rsidR="00C56E6A" w:rsidRPr="007F6CA8">
        <w:rPr>
          <w:rFonts w:ascii="Sylfaen" w:hAnsi="Sylfaen"/>
          <w:sz w:val="22"/>
          <w:szCs w:val="22"/>
        </w:rPr>
        <w:t xml:space="preserve">). </w:t>
      </w:r>
    </w:p>
    <w:p w14:paraId="2C89DF6D" w14:textId="77777777" w:rsidR="00677A5E" w:rsidRPr="007F6CA8" w:rsidRDefault="00677A5E" w:rsidP="00731B1D">
      <w:pPr>
        <w:spacing w:beforeLines="60" w:before="144" w:afterLines="60" w:after="144" w:line="276" w:lineRule="auto"/>
        <w:jc w:val="both"/>
        <w:rPr>
          <w:rFonts w:ascii="Sylfaen" w:hAnsi="Sylfaen"/>
        </w:rPr>
      </w:pPr>
    </w:p>
    <w:p w14:paraId="0AF96754" w14:textId="40096860" w:rsidR="002F36F9" w:rsidRPr="007F6CA8" w:rsidRDefault="00D63332" w:rsidP="00731B1D">
      <w:pPr>
        <w:pStyle w:val="Heading3"/>
        <w:spacing w:beforeLines="60" w:before="144" w:afterLines="60" w:after="144" w:line="276" w:lineRule="auto"/>
        <w:rPr>
          <w:rFonts w:ascii="Sylfaen" w:hAnsi="Sylfaen"/>
          <w:lang w:val="ka-GE"/>
        </w:rPr>
      </w:pPr>
      <w:bookmarkStart w:id="5" w:name="_Toc513596827"/>
      <w:r w:rsidRPr="007F6CA8">
        <w:rPr>
          <w:rFonts w:ascii="Sylfaen" w:hAnsi="Sylfaen"/>
          <w:lang w:val="ka-GE"/>
        </w:rPr>
        <w:t>განთლებ</w:t>
      </w:r>
      <w:r w:rsidR="004B0A93" w:rsidRPr="007F6CA8">
        <w:rPr>
          <w:rFonts w:ascii="Sylfaen" w:hAnsi="Sylfaen"/>
          <w:lang w:val="ka-GE"/>
        </w:rPr>
        <w:t>ის</w:t>
      </w:r>
      <w:r w:rsidRPr="007F6CA8">
        <w:rPr>
          <w:rFonts w:ascii="Sylfaen" w:hAnsi="Sylfaen"/>
          <w:lang w:val="ka-GE"/>
        </w:rPr>
        <w:t xml:space="preserve"> სისტემა</w:t>
      </w:r>
      <w:bookmarkEnd w:id="5"/>
    </w:p>
    <w:p w14:paraId="4D6876AF" w14:textId="030ECAA9" w:rsidR="00C56E6A" w:rsidRPr="007F6CA8" w:rsidRDefault="004B0A93"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2004 წლიდან მოყოლებული, საქართველომ </w:t>
      </w:r>
      <w:r w:rsidR="00F74F72" w:rsidRPr="007F6CA8">
        <w:rPr>
          <w:rFonts w:ascii="Sylfaen" w:hAnsi="Sylfaen"/>
          <w:sz w:val="22"/>
          <w:szCs w:val="22"/>
          <w:lang w:val="ka-GE"/>
        </w:rPr>
        <w:t xml:space="preserve">ყველა დონეზე </w:t>
      </w:r>
      <w:r w:rsidRPr="007F6CA8">
        <w:rPr>
          <w:rFonts w:ascii="Sylfaen" w:hAnsi="Sylfaen"/>
          <w:sz w:val="22"/>
          <w:szCs w:val="22"/>
          <w:lang w:val="ka-GE"/>
        </w:rPr>
        <w:t>მნიშვნელოვანი საგანმანათლებლო რეფორმები განახორციელა, რათა შეექმნა სოლიდური სისტემა, საერთაშორისო დონეზე აღიარებული სტანდარტებისა და კონცეფციების შესაბამისად. განათლების რეფორმაში დონორების დიდი რესურსები ჩაიდო, ხოლო თავად რეფორმა ქვეყნის სოციო-ეკონომიკური სტრატეგიის (საქართველო 2020) ცენტრალურ ნაწი</w:t>
      </w:r>
      <w:r w:rsidR="00F74F72" w:rsidRPr="007F6CA8">
        <w:rPr>
          <w:rFonts w:ascii="Sylfaen" w:hAnsi="Sylfaen"/>
          <w:sz w:val="22"/>
          <w:szCs w:val="22"/>
          <w:lang w:val="ka-GE"/>
        </w:rPr>
        <w:t>ლ</w:t>
      </w:r>
      <w:r w:rsidRPr="007F6CA8">
        <w:rPr>
          <w:rFonts w:ascii="Sylfaen" w:hAnsi="Sylfaen"/>
          <w:sz w:val="22"/>
          <w:szCs w:val="22"/>
          <w:lang w:val="ka-GE"/>
        </w:rPr>
        <w:t>ს შეადგენს. განათლების სისტემაზე საჯარო დაფინანსება ჯერ კიდევ დაბალია - 2017-2013 წლებში მშპ-ს მხოლოდ 3%, რაც მნიშვნელოვნად ჩამოუვარდება თანამეგობრობის დამოუკიდებელი ქვეყნებისა და ევროკავშირის ახალი წევრი ქვეყნების საშუალო მაჩვენებელს, 5% (</w:t>
      </w:r>
      <w:r w:rsidR="00153C75" w:rsidRPr="007F6CA8">
        <w:rPr>
          <w:rFonts w:ascii="Sylfaen" w:hAnsi="Sylfaen"/>
          <w:sz w:val="22"/>
          <w:szCs w:val="22"/>
        </w:rPr>
        <w:t>International Bank for Reconstruction and Development/ The World Bank</w:t>
      </w:r>
      <w:r w:rsidR="00153C75" w:rsidRPr="007F6CA8">
        <w:rPr>
          <w:rFonts w:ascii="Sylfaen" w:hAnsi="Sylfaen" w:cs="TimesNewRomanPSMT"/>
          <w:sz w:val="22"/>
          <w:szCs w:val="22"/>
        </w:rPr>
        <w:t xml:space="preserve">, </w:t>
      </w:r>
      <w:r w:rsidRPr="007F6CA8">
        <w:rPr>
          <w:rFonts w:ascii="Sylfaen" w:hAnsi="Sylfaen"/>
          <w:sz w:val="22"/>
          <w:szCs w:val="22"/>
        </w:rPr>
        <w:t xml:space="preserve">2014, </w:t>
      </w:r>
      <w:r w:rsidRPr="007F6CA8">
        <w:rPr>
          <w:rFonts w:ascii="Sylfaen" w:hAnsi="Sylfaen"/>
          <w:sz w:val="22"/>
          <w:szCs w:val="22"/>
          <w:lang w:val="ka-GE"/>
        </w:rPr>
        <w:t>გვ</w:t>
      </w:r>
      <w:r w:rsidR="00153C75" w:rsidRPr="007F6CA8">
        <w:rPr>
          <w:rFonts w:ascii="Sylfaen" w:hAnsi="Sylfaen"/>
          <w:sz w:val="22"/>
          <w:szCs w:val="22"/>
        </w:rPr>
        <w:t>.13).</w:t>
      </w:r>
    </w:p>
    <w:p w14:paraId="3B9DFD67" w14:textId="4766290A" w:rsidR="00C56E6A" w:rsidRPr="007F6CA8" w:rsidRDefault="004B0A93"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განათლება საქართველოში  6-14 წლის ყველა ბავშვისათვის </w:t>
      </w:r>
      <w:r w:rsidR="00691362" w:rsidRPr="007F6CA8">
        <w:rPr>
          <w:rFonts w:ascii="Sylfaen" w:hAnsi="Sylfaen"/>
          <w:sz w:val="22"/>
          <w:szCs w:val="22"/>
          <w:lang w:val="ka-GE"/>
        </w:rPr>
        <w:t>სავალდებულოა, ხოლო</w:t>
      </w:r>
      <w:r w:rsidRPr="007F6CA8">
        <w:rPr>
          <w:rFonts w:ascii="Sylfaen" w:hAnsi="Sylfaen"/>
          <w:sz w:val="22"/>
          <w:szCs w:val="22"/>
          <w:lang w:val="ka-GE"/>
        </w:rPr>
        <w:t xml:space="preserve"> წერა-კითხვის უცოდინარობა მინიმალურია (0.4% 2014 წელს</w:t>
      </w:r>
      <w:r w:rsidRPr="007F6CA8">
        <w:rPr>
          <w:rStyle w:val="FootnoteReference"/>
          <w:rFonts w:ascii="Sylfaen" w:hAnsi="Sylfaen"/>
          <w:sz w:val="22"/>
          <w:szCs w:val="22"/>
        </w:rPr>
        <w:footnoteReference w:id="7"/>
      </w:r>
      <w:r w:rsidRPr="007F6CA8">
        <w:rPr>
          <w:rFonts w:ascii="Sylfaen" w:hAnsi="Sylfaen"/>
          <w:sz w:val="22"/>
          <w:szCs w:val="22"/>
          <w:lang w:val="ka-GE"/>
        </w:rPr>
        <w:t xml:space="preserve">). საშუალო სკოლა </w:t>
      </w:r>
      <w:r w:rsidR="00676BED" w:rsidRPr="007F6CA8">
        <w:rPr>
          <w:rFonts w:ascii="Sylfaen" w:hAnsi="Sylfaen"/>
          <w:sz w:val="22"/>
          <w:szCs w:val="22"/>
          <w:lang w:val="ka-GE"/>
        </w:rPr>
        <w:t xml:space="preserve">იყოფა დაწყებით (ექვსი წელი - 6-12 წლის ასაკი), საბაზისო (სამი წელი, 12-15 წლის ასაკი) და საშუალო (სამი წელი, 15-18 წლის ასაკი) ჯგუფებად, ხოლო ბოლო საფეხურის ალტერნატივას პროფესიული სწავლება წარმოადგენს (ორი წელი). მხოლოდ საშუალო განათლების დამადასტურებელი დიპლომის მქონე პირებს მიუწვდებათ ხელი უმაღლეს განათლებაზე, ხოლო აკრედიტირებულ უმაღლეს სასწავლებელში მოსახვედრად ერთიანი ეროვნული  გამოცდები უნდა ჩააბარონ. ქვეყანაში მაღალია მაღალი საფეხურის საშუალო განათლებაში ჩართულობის მაჩვენებელი (92% 2014 წელს) და დაბალია სკოლის მიტოვების მაჩვენებელი (8% 2014 წელს). განათლების დასრულების დონე საკმაოდ მაღალი რჩება: 2014 წელს მომუშავეთა 62.1% ჰქონდა საშუალო განათლება, ხოლო 30.4% - უმაღლესი. თუმცა, განათლების ხარისხი საქართველოს ზოგადი განათლების გამოწვევად რჩება. </w:t>
      </w:r>
      <w:r w:rsidR="00676BED" w:rsidRPr="007F6CA8">
        <w:rPr>
          <w:rFonts w:ascii="Sylfaen" w:hAnsi="Sylfaen"/>
          <w:sz w:val="22"/>
          <w:szCs w:val="22"/>
        </w:rPr>
        <w:t>OECD</w:t>
      </w:r>
      <w:r w:rsidR="00676BED" w:rsidRPr="007F6CA8">
        <w:rPr>
          <w:rFonts w:ascii="Sylfaen" w:hAnsi="Sylfaen"/>
          <w:sz w:val="22"/>
          <w:szCs w:val="22"/>
          <w:lang w:val="ka-GE"/>
        </w:rPr>
        <w:t>-ს 2009 წლის პროგრამაში საერთაშორისო სტუდენტების შეფასების შესახებ (</w:t>
      </w:r>
      <w:r w:rsidR="00676BED" w:rsidRPr="007F6CA8">
        <w:rPr>
          <w:rFonts w:ascii="Sylfaen" w:hAnsi="Sylfaen"/>
          <w:sz w:val="22"/>
          <w:szCs w:val="22"/>
        </w:rPr>
        <w:t xml:space="preserve">PISA), ქართველ მოსწავლეებს საშუალოზე დაბალი მაჩვენებლები ჰქონდათ ყველა სფეროში. მოსწავლეთა მხოლოდ 38% </w:t>
      </w:r>
      <w:r w:rsidR="00676BED" w:rsidRPr="007F6CA8">
        <w:rPr>
          <w:rFonts w:ascii="Sylfaen" w:hAnsi="Sylfaen"/>
          <w:sz w:val="22"/>
          <w:szCs w:val="22"/>
          <w:lang w:val="ka-GE"/>
        </w:rPr>
        <w:t>იყო კომპეტენტური კითხვაში, 34% იყო კომპეტენტური მეცნიერებაში, და მხოლოდ 31% - მათემატიკაში</w:t>
      </w:r>
      <w:r w:rsidR="00B73F2F" w:rsidRPr="007F6CA8">
        <w:rPr>
          <w:rFonts w:ascii="Sylfaen" w:hAnsi="Sylfaen"/>
          <w:sz w:val="22"/>
          <w:szCs w:val="22"/>
          <w:lang w:val="ka-GE"/>
        </w:rPr>
        <w:t>, ფუნქციური მაჩვენებლების ზღვარზე ან მაღლა. მოსწავლეთა ჩართულობა პროფესიულ გაათლებაში, მისი შ</w:t>
      </w:r>
      <w:r w:rsidR="00691362" w:rsidRPr="007F6CA8">
        <w:rPr>
          <w:rFonts w:ascii="Sylfaen" w:hAnsi="Sylfaen"/>
          <w:sz w:val="22"/>
          <w:szCs w:val="22"/>
          <w:lang w:val="ka-GE"/>
        </w:rPr>
        <w:t>ა</w:t>
      </w:r>
      <w:r w:rsidR="00B73F2F" w:rsidRPr="007F6CA8">
        <w:rPr>
          <w:rFonts w:ascii="Sylfaen" w:hAnsi="Sylfaen"/>
          <w:sz w:val="22"/>
          <w:szCs w:val="22"/>
          <w:lang w:val="ka-GE"/>
        </w:rPr>
        <w:t xml:space="preserve">საბამისობა ბაზრის მოთხოვნებთან, ასევე პრობლემას წარმოადგენს საქართველოსთვის. </w:t>
      </w:r>
      <w:r w:rsidR="00C56E6A" w:rsidRPr="007F6CA8">
        <w:rPr>
          <w:rFonts w:ascii="Sylfaen" w:hAnsi="Sylfaen"/>
          <w:sz w:val="22"/>
          <w:szCs w:val="22"/>
        </w:rPr>
        <w:t>(ETF, 2017 p.5, UNICEF, 2014, pp.13-19).</w:t>
      </w:r>
    </w:p>
    <w:p w14:paraId="3541437E" w14:textId="77777777" w:rsidR="007F6CA8" w:rsidRPr="007F6CA8" w:rsidRDefault="007F6CA8" w:rsidP="00731B1D">
      <w:pPr>
        <w:spacing w:beforeLines="60" w:before="144" w:afterLines="60" w:after="144" w:line="276" w:lineRule="auto"/>
        <w:ind w:firstLine="709"/>
        <w:jc w:val="both"/>
        <w:rPr>
          <w:rFonts w:ascii="Sylfaen" w:hAnsi="Sylfaen"/>
          <w:sz w:val="22"/>
          <w:szCs w:val="22"/>
        </w:rPr>
      </w:pPr>
    </w:p>
    <w:p w14:paraId="370F2C7D" w14:textId="0C8829FE" w:rsidR="001F38D8" w:rsidRPr="007F6CA8" w:rsidRDefault="00D63332" w:rsidP="00731B1D">
      <w:pPr>
        <w:pStyle w:val="Heading2"/>
        <w:spacing w:beforeLines="60" w:before="144" w:afterLines="60" w:after="144" w:line="276" w:lineRule="auto"/>
        <w:rPr>
          <w:rFonts w:ascii="Sylfaen" w:hAnsi="Sylfaen"/>
          <w:lang w:val="ka-GE"/>
        </w:rPr>
      </w:pPr>
      <w:bookmarkStart w:id="6" w:name="_Toc513596828"/>
      <w:r w:rsidRPr="007F6CA8">
        <w:rPr>
          <w:rFonts w:ascii="Sylfaen" w:hAnsi="Sylfaen"/>
          <w:lang w:val="ka-GE"/>
        </w:rPr>
        <w:t>საქართველოს შრომითი ბაზარი</w:t>
      </w:r>
      <w:bookmarkEnd w:id="6"/>
    </w:p>
    <w:p w14:paraId="4F2EA747" w14:textId="764DA03F" w:rsidR="00C56E6A" w:rsidRPr="007F6CA8" w:rsidRDefault="008667D1"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საქართველოს დასაქმების ბაზარმა ბოლო 25 წლის განმავლობაში ბევრი ინსტიტუციური და ეკონომიკური ცვლილება გაიარა, რასაც შედეგად ზრდისა თუ მკვეთრი კლების პერიოდები მოყვა. დასაქმების მაჩვენებლები დაბალი რჩებოდა, </w:t>
      </w:r>
      <w:r w:rsidRPr="007F6CA8">
        <w:rPr>
          <w:rFonts w:ascii="Sylfaen" w:hAnsi="Sylfaen"/>
          <w:sz w:val="22"/>
          <w:szCs w:val="22"/>
        </w:rPr>
        <w:t xml:space="preserve">52% </w:t>
      </w:r>
      <w:r w:rsidRPr="007F6CA8">
        <w:rPr>
          <w:rFonts w:ascii="Sylfaen" w:hAnsi="Sylfaen"/>
          <w:sz w:val="22"/>
          <w:szCs w:val="22"/>
          <w:lang w:val="ka-GE"/>
        </w:rPr>
        <w:t>და</w:t>
      </w:r>
      <w:r w:rsidRPr="007F6CA8">
        <w:rPr>
          <w:rFonts w:ascii="Sylfaen" w:hAnsi="Sylfaen"/>
          <w:sz w:val="22"/>
          <w:szCs w:val="22"/>
        </w:rPr>
        <w:t xml:space="preserve"> 58%,</w:t>
      </w:r>
      <w:r w:rsidRPr="007F6CA8">
        <w:rPr>
          <w:rFonts w:ascii="Sylfaen" w:hAnsi="Sylfaen"/>
          <w:sz w:val="22"/>
          <w:szCs w:val="22"/>
          <w:lang w:val="ka-GE"/>
        </w:rPr>
        <w:t xml:space="preserve"> ხოლო ბოლო ორი წლის </w:t>
      </w:r>
      <w:r w:rsidRPr="007F6CA8">
        <w:rPr>
          <w:rFonts w:ascii="Sylfaen" w:hAnsi="Sylfaen"/>
          <w:sz w:val="22"/>
          <w:szCs w:val="22"/>
          <w:lang w:val="ka-GE"/>
        </w:rPr>
        <w:lastRenderedPageBreak/>
        <w:t>მანძილზე გარკვეული გაუმჯობესება შეინიშნება - 59.5% (საქსტატი, 2017). დასაქმების ასეთი მაჩვენებელი მკვეთრად ჩამოუვარდება ევროკავშირის მინიმალურ მაჩვენებელს, 70%, რომელიც 2010 წელს იქნა მიღწეული. უმუშევრობის დონე საქართველოში მუდმივად მაღალია, ხოლო ყველაზე მაღალი მაჩვენებელი 2009 წელს, 16.9% დაფიქსირდა, 2008 წლის აგვისტოს კონფლიქტისა და მსოფლიო ფინანსური კრიზისის შედეგად. ამის შემდეგ უმუშევრობის დონემ კლება დაიწყო და 2016 წელს 11.8% მიაღწია (იხ. სურათი 1)</w:t>
      </w:r>
      <w:r w:rsidR="00632F72" w:rsidRPr="007F6CA8">
        <w:rPr>
          <w:rFonts w:ascii="Sylfaen" w:hAnsi="Sylfaen"/>
          <w:sz w:val="22"/>
          <w:szCs w:val="22"/>
        </w:rPr>
        <w:t>.</w:t>
      </w:r>
      <w:r w:rsidR="00C56E6A" w:rsidRPr="007F6CA8">
        <w:rPr>
          <w:rStyle w:val="FootnoteReference"/>
          <w:rFonts w:ascii="Sylfaen" w:hAnsi="Sylfaen"/>
          <w:sz w:val="22"/>
          <w:szCs w:val="22"/>
        </w:rPr>
        <w:footnoteReference w:id="8"/>
      </w:r>
      <w:r w:rsidR="00C56E6A" w:rsidRPr="007F6CA8">
        <w:rPr>
          <w:rFonts w:ascii="Sylfaen" w:hAnsi="Sylfaen"/>
          <w:sz w:val="22"/>
          <w:szCs w:val="22"/>
        </w:rPr>
        <w:t xml:space="preserve"> </w:t>
      </w:r>
    </w:p>
    <w:p w14:paraId="07BF31A7" w14:textId="6E3222BE" w:rsidR="004A1F67" w:rsidRPr="007F6CA8" w:rsidRDefault="004A1F67" w:rsidP="00731B1D">
      <w:pPr>
        <w:spacing w:beforeLines="60" w:before="144" w:afterLines="60" w:after="144" w:line="276" w:lineRule="auto"/>
        <w:jc w:val="both"/>
        <w:rPr>
          <w:rFonts w:ascii="Sylfaen" w:hAnsi="Sylfaen"/>
        </w:rPr>
      </w:pPr>
    </w:p>
    <w:p w14:paraId="640226C0" w14:textId="3940CA25" w:rsidR="004A1F67" w:rsidRPr="007F6CA8" w:rsidRDefault="000159EE" w:rsidP="00731B1D">
      <w:pPr>
        <w:spacing w:beforeLines="60" w:before="144" w:afterLines="60" w:after="144" w:line="276" w:lineRule="auto"/>
        <w:rPr>
          <w:rFonts w:ascii="Sylfaen" w:hAnsi="Sylfaen"/>
          <w:sz w:val="22"/>
          <w:szCs w:val="22"/>
        </w:rPr>
      </w:pPr>
      <w:r w:rsidRPr="007F6CA8">
        <w:rPr>
          <w:rFonts w:ascii="Sylfaen" w:hAnsi="Sylfaen"/>
          <w:b/>
          <w:sz w:val="22"/>
          <w:szCs w:val="22"/>
          <w:lang w:val="ka-GE"/>
        </w:rPr>
        <w:t>სურათი</w:t>
      </w:r>
      <w:r w:rsidR="004A1F67" w:rsidRPr="007F6CA8">
        <w:rPr>
          <w:rFonts w:ascii="Sylfaen" w:hAnsi="Sylfaen"/>
          <w:b/>
          <w:sz w:val="22"/>
          <w:szCs w:val="22"/>
        </w:rPr>
        <w:t xml:space="preserve"> </w:t>
      </w:r>
      <w:r w:rsidR="004A1F67" w:rsidRPr="007F6CA8">
        <w:rPr>
          <w:rFonts w:ascii="Sylfaen" w:hAnsi="Sylfaen"/>
        </w:rPr>
        <w:fldChar w:fldCharType="begin"/>
      </w:r>
      <w:r w:rsidR="004A1F67" w:rsidRPr="007F6CA8">
        <w:rPr>
          <w:rFonts w:ascii="Sylfaen" w:hAnsi="Sylfaen"/>
          <w:b/>
          <w:sz w:val="22"/>
          <w:szCs w:val="22"/>
        </w:rPr>
        <w:instrText xml:space="preserve"> SEQ Figure \* ARABIC </w:instrText>
      </w:r>
      <w:r w:rsidR="004A1F67" w:rsidRPr="007F6CA8">
        <w:rPr>
          <w:rFonts w:ascii="Sylfaen" w:hAnsi="Sylfaen"/>
        </w:rPr>
        <w:fldChar w:fldCharType="separate"/>
      </w:r>
      <w:r w:rsidR="003120D1" w:rsidRPr="007F6CA8">
        <w:rPr>
          <w:rFonts w:ascii="Sylfaen" w:hAnsi="Sylfaen"/>
          <w:b/>
          <w:noProof/>
          <w:sz w:val="22"/>
          <w:szCs w:val="22"/>
        </w:rPr>
        <w:t>1</w:t>
      </w:r>
      <w:r w:rsidR="004A1F67" w:rsidRPr="007F6CA8">
        <w:rPr>
          <w:rFonts w:ascii="Sylfaen" w:hAnsi="Sylfaen"/>
        </w:rPr>
        <w:fldChar w:fldCharType="end"/>
      </w:r>
      <w:r w:rsidR="004A1F67" w:rsidRPr="007F6CA8">
        <w:rPr>
          <w:rFonts w:ascii="Sylfaen" w:hAnsi="Sylfaen"/>
          <w:b/>
          <w:sz w:val="22"/>
          <w:szCs w:val="22"/>
        </w:rPr>
        <w:tab/>
      </w:r>
      <w:r w:rsidRPr="007F6CA8">
        <w:rPr>
          <w:rFonts w:ascii="Sylfaen" w:hAnsi="Sylfaen"/>
          <w:b/>
          <w:sz w:val="22"/>
          <w:szCs w:val="22"/>
          <w:lang w:val="ka-GE"/>
        </w:rPr>
        <w:t>უმუშევრობის დონე</w:t>
      </w:r>
      <w:r w:rsidR="004A1F67" w:rsidRPr="007F6CA8">
        <w:rPr>
          <w:rFonts w:ascii="Sylfaen" w:hAnsi="Sylfaen"/>
          <w:b/>
          <w:sz w:val="22"/>
          <w:szCs w:val="22"/>
        </w:rPr>
        <w:t xml:space="preserve"> 2009 -2016</w:t>
      </w:r>
      <w:r w:rsidRPr="007F6CA8">
        <w:rPr>
          <w:rFonts w:ascii="Sylfaen" w:hAnsi="Sylfaen"/>
          <w:b/>
          <w:sz w:val="22"/>
          <w:szCs w:val="22"/>
          <w:lang w:val="ka-GE"/>
        </w:rPr>
        <w:t xml:space="preserve"> წლებში</w:t>
      </w:r>
      <w:r w:rsidR="004A1F67" w:rsidRPr="007F6CA8">
        <w:rPr>
          <w:rFonts w:ascii="Sylfaen" w:hAnsi="Sylfaen"/>
          <w:b/>
          <w:sz w:val="22"/>
          <w:szCs w:val="22"/>
        </w:rPr>
        <w:t xml:space="preserve"> – </w:t>
      </w:r>
      <w:r w:rsidRPr="007F6CA8">
        <w:rPr>
          <w:rFonts w:ascii="Sylfaen" w:hAnsi="Sylfaen"/>
          <w:b/>
          <w:sz w:val="22"/>
          <w:szCs w:val="22"/>
          <w:lang w:val="ka-GE"/>
        </w:rPr>
        <w:t>ოფიციალური სტატისტიკა</w:t>
      </w:r>
    </w:p>
    <w:p w14:paraId="41958125" w14:textId="77777777" w:rsidR="004A1F67" w:rsidRPr="007F6CA8" w:rsidRDefault="004A1F67" w:rsidP="00731B1D">
      <w:pPr>
        <w:spacing w:beforeLines="60" w:before="144" w:afterLines="60" w:after="144" w:line="276" w:lineRule="auto"/>
        <w:rPr>
          <w:rFonts w:ascii="Sylfaen" w:hAnsi="Sylfaen"/>
        </w:rPr>
      </w:pPr>
      <w:r w:rsidRPr="007F6CA8">
        <w:rPr>
          <w:rFonts w:ascii="Sylfaen" w:hAnsi="Sylfaen"/>
          <w:noProof/>
          <w:lang w:eastAsia="en-GB"/>
        </w:rPr>
        <w:drawing>
          <wp:inline distT="0" distB="0" distL="0" distR="0" wp14:anchorId="32C61B49" wp14:editId="75118460">
            <wp:extent cx="5494351" cy="2895513"/>
            <wp:effectExtent l="0" t="0" r="0" b="635"/>
            <wp:docPr id="10" name="Picture 1" descr="C:\Users\Irin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8.png"/>
                    <pic:cNvPicPr>
                      <a:picLocks noChangeAspect="1" noChangeArrowheads="1"/>
                    </pic:cNvPicPr>
                  </pic:nvPicPr>
                  <pic:blipFill>
                    <a:blip r:embed="rId18"/>
                    <a:srcRect/>
                    <a:stretch>
                      <a:fillRect/>
                    </a:stretch>
                  </pic:blipFill>
                  <pic:spPr bwMode="auto">
                    <a:xfrm>
                      <a:off x="0" y="0"/>
                      <a:ext cx="5546063" cy="2922765"/>
                    </a:xfrm>
                    <a:prstGeom prst="rect">
                      <a:avLst/>
                    </a:prstGeom>
                    <a:noFill/>
                    <a:ln w="9525">
                      <a:noFill/>
                      <a:miter lim="800000"/>
                      <a:headEnd/>
                      <a:tailEnd/>
                    </a:ln>
                  </pic:spPr>
                </pic:pic>
              </a:graphicData>
            </a:graphic>
          </wp:inline>
        </w:drawing>
      </w:r>
    </w:p>
    <w:p w14:paraId="1F8849C7" w14:textId="3795A85B" w:rsidR="004A1F67" w:rsidRPr="007F6CA8" w:rsidRDefault="000159EE" w:rsidP="00731B1D">
      <w:pPr>
        <w:spacing w:beforeLines="60" w:before="144" w:afterLines="60" w:after="144" w:line="276" w:lineRule="auto"/>
        <w:rPr>
          <w:rFonts w:ascii="Sylfaen" w:hAnsi="Sylfaen"/>
          <w:sz w:val="16"/>
          <w:szCs w:val="18"/>
          <w:lang w:val="ka-GE"/>
        </w:rPr>
      </w:pPr>
      <w:r w:rsidRPr="007F6CA8">
        <w:rPr>
          <w:rFonts w:ascii="Sylfaen" w:hAnsi="Sylfaen"/>
          <w:i/>
          <w:sz w:val="16"/>
          <w:szCs w:val="18"/>
          <w:lang w:val="ka-GE"/>
        </w:rPr>
        <w:t>წყარო</w:t>
      </w:r>
      <w:r w:rsidR="004A1F67" w:rsidRPr="007F6CA8">
        <w:rPr>
          <w:rFonts w:ascii="Sylfaen" w:hAnsi="Sylfaen"/>
          <w:i/>
          <w:sz w:val="16"/>
          <w:szCs w:val="18"/>
        </w:rPr>
        <w:t>:</w:t>
      </w:r>
      <w:r w:rsidRPr="007F6CA8">
        <w:rPr>
          <w:rFonts w:ascii="Sylfaen" w:hAnsi="Sylfaen"/>
          <w:sz w:val="16"/>
          <w:szCs w:val="18"/>
        </w:rPr>
        <w:t xml:space="preserve"> </w:t>
      </w:r>
      <w:r w:rsidRPr="007F6CA8">
        <w:rPr>
          <w:rFonts w:ascii="Sylfaen" w:hAnsi="Sylfaen"/>
          <w:sz w:val="16"/>
          <w:szCs w:val="18"/>
          <w:lang w:val="ka-GE"/>
        </w:rPr>
        <w:t>საქსტატი</w:t>
      </w:r>
      <w:r w:rsidR="004A1F67" w:rsidRPr="007F6CA8">
        <w:rPr>
          <w:rFonts w:ascii="Sylfaen" w:hAnsi="Sylfaen"/>
          <w:sz w:val="16"/>
          <w:szCs w:val="18"/>
        </w:rPr>
        <w:t xml:space="preserve">, 2017, </w:t>
      </w:r>
      <w:r w:rsidRPr="007F6CA8">
        <w:rPr>
          <w:rFonts w:ascii="Sylfaen" w:hAnsi="Sylfaen"/>
          <w:i/>
          <w:sz w:val="16"/>
          <w:szCs w:val="18"/>
          <w:lang w:val="ka-GE"/>
        </w:rPr>
        <w:t>დასაქმება და უმუშევრობა საქართველოში</w:t>
      </w:r>
      <w:r w:rsidR="004A1F67" w:rsidRPr="007F6CA8">
        <w:rPr>
          <w:rFonts w:ascii="Sylfaen" w:hAnsi="Sylfaen"/>
          <w:sz w:val="16"/>
          <w:szCs w:val="18"/>
        </w:rPr>
        <w:t xml:space="preserve">: </w:t>
      </w:r>
      <w:hyperlink r:id="rId19" w:history="1">
        <w:r w:rsidR="005F2270" w:rsidRPr="007F6CA8">
          <w:rPr>
            <w:rStyle w:val="Hyperlink"/>
            <w:rFonts w:ascii="Sylfaen" w:hAnsi="Sylfaen"/>
            <w:sz w:val="16"/>
            <w:szCs w:val="18"/>
          </w:rPr>
          <w:t>http://geostat.ge/cms/site_images/_files/english/labour/employment%20and%20unemployment%202016_ENG.pdf</w:t>
        </w:r>
      </w:hyperlink>
      <w:r w:rsidR="005F2270" w:rsidRPr="007F6CA8">
        <w:rPr>
          <w:rFonts w:ascii="Sylfaen" w:hAnsi="Sylfaen"/>
          <w:sz w:val="16"/>
          <w:szCs w:val="18"/>
          <w:lang w:val="ka-GE"/>
        </w:rPr>
        <w:t xml:space="preserve"> </w:t>
      </w:r>
    </w:p>
    <w:p w14:paraId="083E77DC" w14:textId="77777777" w:rsidR="004A1F67" w:rsidRPr="007F6CA8" w:rsidRDefault="004A1F67" w:rsidP="00731B1D">
      <w:pPr>
        <w:spacing w:beforeLines="60" w:before="144" w:afterLines="60" w:after="144" w:line="276" w:lineRule="auto"/>
        <w:jc w:val="both"/>
        <w:rPr>
          <w:rFonts w:ascii="Sylfaen" w:hAnsi="Sylfaen"/>
        </w:rPr>
      </w:pPr>
    </w:p>
    <w:p w14:paraId="28764848" w14:textId="52CD773D" w:rsidR="00CD43D7" w:rsidRPr="007F6CA8" w:rsidRDefault="000159EE"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ოფიციალური ციფრები ვერ ა</w:t>
      </w:r>
      <w:r w:rsidR="00362EFD" w:rsidRPr="007F6CA8">
        <w:rPr>
          <w:rFonts w:ascii="Sylfaen" w:hAnsi="Sylfaen"/>
          <w:sz w:val="22"/>
          <w:szCs w:val="22"/>
          <w:lang w:val="ka-GE"/>
        </w:rPr>
        <w:t>სახავს</w:t>
      </w:r>
      <w:r w:rsidRPr="007F6CA8">
        <w:rPr>
          <w:rFonts w:ascii="Sylfaen" w:hAnsi="Sylfaen"/>
          <w:sz w:val="22"/>
          <w:szCs w:val="22"/>
          <w:lang w:val="ka-GE"/>
        </w:rPr>
        <w:t xml:space="preserve"> საქართველოში უმუშევრობის </w:t>
      </w:r>
      <w:r w:rsidR="00362EFD" w:rsidRPr="007F6CA8">
        <w:rPr>
          <w:rFonts w:ascii="Sylfaen" w:hAnsi="Sylfaen"/>
          <w:sz w:val="22"/>
          <w:szCs w:val="22"/>
          <w:lang w:val="ka-GE"/>
        </w:rPr>
        <w:t>მახასიათებლებს</w:t>
      </w:r>
      <w:r w:rsidR="00632F72" w:rsidRPr="007F6CA8">
        <w:rPr>
          <w:rFonts w:ascii="Sylfaen" w:hAnsi="Sylfaen"/>
          <w:sz w:val="22"/>
          <w:szCs w:val="22"/>
        </w:rPr>
        <w:t>.</w:t>
      </w:r>
      <w:r w:rsidR="00632F72" w:rsidRPr="007F6CA8">
        <w:rPr>
          <w:rStyle w:val="FootnoteReference"/>
          <w:rFonts w:ascii="Sylfaen" w:hAnsi="Sylfaen"/>
          <w:sz w:val="22"/>
          <w:szCs w:val="22"/>
        </w:rPr>
        <w:footnoteReference w:id="9"/>
      </w:r>
      <w:r w:rsidRPr="007F6CA8">
        <w:rPr>
          <w:rFonts w:ascii="Sylfaen" w:hAnsi="Sylfaen"/>
          <w:sz w:val="22"/>
          <w:szCs w:val="22"/>
          <w:lang w:val="ka-GE"/>
        </w:rPr>
        <w:t xml:space="preserve"> ოფიციალური სტატისტიკა</w:t>
      </w:r>
      <w:r w:rsidR="00400058" w:rsidRPr="007F6CA8">
        <w:rPr>
          <w:rFonts w:ascii="Sylfaen" w:hAnsi="Sylfaen"/>
          <w:sz w:val="22"/>
          <w:szCs w:val="22"/>
          <w:lang w:val="ka-GE"/>
        </w:rPr>
        <w:t xml:space="preserve"> დასაქმების მაჩვენებელს უფრო ზრდის, ვინაიდან ათვლის ყველა იმ ადამიანს, რომელიც საოჯახო მეურნეობაშია ჩართული </w:t>
      </w:r>
      <w:r w:rsidR="00362EFD" w:rsidRPr="007F6CA8">
        <w:rPr>
          <w:rFonts w:ascii="Sylfaen" w:hAnsi="Sylfaen"/>
          <w:sz w:val="22"/>
          <w:szCs w:val="22"/>
          <w:lang w:val="ka-GE"/>
        </w:rPr>
        <w:t>უფ</w:t>
      </w:r>
      <w:r w:rsidR="00400058" w:rsidRPr="007F6CA8">
        <w:rPr>
          <w:rFonts w:ascii="Sylfaen" w:hAnsi="Sylfaen"/>
          <w:sz w:val="22"/>
          <w:szCs w:val="22"/>
          <w:lang w:val="ka-GE"/>
        </w:rPr>
        <w:t>ასოდ, და ვინც ოჯახის წევრს ეხმარება.</w:t>
      </w:r>
      <w:r w:rsidR="00400058" w:rsidRPr="007F6CA8">
        <w:rPr>
          <w:rStyle w:val="FootnoteReference"/>
          <w:rFonts w:ascii="Sylfaen" w:hAnsi="Sylfaen"/>
          <w:sz w:val="22"/>
          <w:szCs w:val="22"/>
        </w:rPr>
        <w:footnoteReference w:id="10"/>
      </w:r>
      <w:r w:rsidR="00400058" w:rsidRPr="007F6CA8">
        <w:rPr>
          <w:rFonts w:ascii="Sylfaen" w:hAnsi="Sylfaen"/>
          <w:sz w:val="22"/>
          <w:szCs w:val="22"/>
          <w:lang w:val="ka-GE"/>
        </w:rPr>
        <w:t xml:space="preserve"> ამგვარად, უმუშევრობის მაჩვენებელი, განსაკუთრებით კი სოფლად, უფრო მაღალია, ვიდრე ოფიციალურ სტატისტიკაშია მოცემული, რომლის მიხედვითაც </w:t>
      </w:r>
      <w:r w:rsidR="00CD43D7" w:rsidRPr="007F6CA8">
        <w:rPr>
          <w:rFonts w:ascii="Sylfaen" w:hAnsi="Sylfaen"/>
          <w:sz w:val="22"/>
          <w:szCs w:val="22"/>
          <w:lang w:val="ka-GE"/>
        </w:rPr>
        <w:t>დასაქმების მაჩენებელი სოფლად 4-ჯერ უფრო მაღალია ქალაქზე: 2016 წელს სოფლად უმუშევრობის მაჩვენებელი 5% შეადგენდა, ხოლოდ ქალაქში კი 21.1% (საქსტატი, 2017)</w:t>
      </w:r>
      <w:r w:rsidR="00632F72" w:rsidRPr="007F6CA8">
        <w:rPr>
          <w:rFonts w:ascii="Sylfaen" w:hAnsi="Sylfaen"/>
          <w:sz w:val="22"/>
          <w:szCs w:val="22"/>
        </w:rPr>
        <w:t>.</w:t>
      </w:r>
    </w:p>
    <w:p w14:paraId="716DCFD8" w14:textId="65959943" w:rsidR="00632F72" w:rsidRPr="007F6CA8" w:rsidRDefault="00CD43D7"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lastRenderedPageBreak/>
        <w:t xml:space="preserve">ქართული შრომითი ბაზრის მნიშვნელოვანი მახასიათებელია თვითდასაქმებული მუშახელის სიმრავლე. ეს მახასიათებელი დროთა განმავლობაში სტაბილური იყო და ნაწილობრივ ასახავს არაფორმალური ეკონომიკისა და დასაქმების შედეგებს. თვითდასაქმებული მუშახელის დიდი ნაწილი დაბალპროდუქტიულ სასოფლო-სამეურნეო სექტორზე მოდის. სწორედ ამიტომაც, </w:t>
      </w:r>
      <w:r w:rsidR="00E47F08" w:rsidRPr="007F6CA8">
        <w:rPr>
          <w:rFonts w:ascii="Sylfaen" w:hAnsi="Sylfaen"/>
          <w:sz w:val="22"/>
          <w:szCs w:val="22"/>
          <w:lang w:val="ka-GE"/>
        </w:rPr>
        <w:t xml:space="preserve">თვითდასაქმებიდან მიღებული შემოსავლის წილი საშუალო ოჯახში არ აღემატება მთლიანი ნაღდი ფულის შემოსავლის 7% (საქსტატი, 2016, გვ.52). თვითდასაქმება არ მოიცავს მცირე ბიზნესს, რომელსაც </w:t>
      </w:r>
      <w:r w:rsidR="00902E65" w:rsidRPr="007F6CA8">
        <w:rPr>
          <w:rFonts w:ascii="Sylfaen" w:hAnsi="Sylfaen"/>
          <w:sz w:val="22"/>
          <w:szCs w:val="22"/>
          <w:lang w:val="ka-GE"/>
        </w:rPr>
        <w:t>შეუძლია</w:t>
      </w:r>
      <w:r w:rsidR="00E47F08" w:rsidRPr="007F6CA8">
        <w:rPr>
          <w:rFonts w:ascii="Sylfaen" w:hAnsi="Sylfaen"/>
          <w:sz w:val="22"/>
          <w:szCs w:val="22"/>
          <w:lang w:val="ka-GE"/>
        </w:rPr>
        <w:t xml:space="preserve"> მოიტანოს შემოსავალი, შეამციროს </w:t>
      </w:r>
      <w:r w:rsidR="00902E65" w:rsidRPr="007F6CA8">
        <w:rPr>
          <w:rFonts w:ascii="Sylfaen" w:hAnsi="Sylfaen"/>
          <w:sz w:val="22"/>
          <w:szCs w:val="22"/>
          <w:lang w:val="ka-GE"/>
        </w:rPr>
        <w:t xml:space="preserve">სიღარიბის დონე, და გააძლიეროს ეკონომიკური ზრდა. ამის მაგივრად, თვითდასაქმების ძირითადი ნაწილი მიმართულია საოჯახო მეურნეობაზე, არაფორმალურ ვაჭრობასა და არაანაზღაურებად საოჯახო საქმეზე (ტერტერაშივლი, 2014, გვ.5). </w:t>
      </w:r>
    </w:p>
    <w:p w14:paraId="37259953" w14:textId="773A504A" w:rsidR="00902E65" w:rsidRPr="007F6CA8" w:rsidRDefault="00947B67"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საქართველოში მუშახელის დიდი ნაწილი, როგორც სოფლად, ასევე ქალაქში, ჯერ კიდევ არაფორმალურ სექტორშია დასაქმებული, რაც ხშირად მხოლოდ საბაზისო შემოსავლით შემოიფარგლება. </w:t>
      </w:r>
      <w:r w:rsidR="00E02554" w:rsidRPr="007F6CA8">
        <w:rPr>
          <w:rFonts w:ascii="Sylfaen" w:hAnsi="Sylfaen"/>
          <w:sz w:val="22"/>
          <w:szCs w:val="22"/>
          <w:lang w:val="ka-GE"/>
        </w:rPr>
        <w:t xml:space="preserve">ასევე საკმაოდ გავრცელებულია </w:t>
      </w:r>
      <w:r w:rsidR="00376498" w:rsidRPr="007F6CA8">
        <w:rPr>
          <w:rFonts w:ascii="Sylfaen" w:hAnsi="Sylfaen"/>
          <w:sz w:val="22"/>
          <w:szCs w:val="22"/>
          <w:lang w:val="ka-GE"/>
        </w:rPr>
        <w:t xml:space="preserve">ე.წ. „სეზონური“ უმუშევრობა </w:t>
      </w:r>
      <w:r w:rsidR="00480E79" w:rsidRPr="007F6CA8">
        <w:rPr>
          <w:rFonts w:ascii="Sylfaen" w:hAnsi="Sylfaen"/>
          <w:sz w:val="22"/>
          <w:szCs w:val="22"/>
          <w:lang w:val="ka-GE"/>
        </w:rPr>
        <w:t>- ზოგი ადამიანი სრულად დასაქმებულია მხოლოდ რამდენიმე თვის განმავლობაში. ეს „მეორადი“ ბაზარი ბევრს აიძულებს დათანხმდეს ისეთ სამუშაოზე, რომელიც არ საჭიროებს მნიშნელოვან უნარებს, არ თავაზობს კარიერული განვითარების შესაძლებლობებს</w:t>
      </w:r>
      <w:r w:rsidR="00781366" w:rsidRPr="007F6CA8">
        <w:rPr>
          <w:rFonts w:ascii="Sylfaen" w:hAnsi="Sylfaen"/>
          <w:sz w:val="22"/>
          <w:szCs w:val="22"/>
          <w:lang w:val="ka-GE"/>
        </w:rPr>
        <w:t xml:space="preserve"> და ნორმალურ სამუშაო პირობებს, </w:t>
      </w:r>
      <w:r w:rsidR="00034465" w:rsidRPr="007F6CA8">
        <w:rPr>
          <w:rFonts w:ascii="Sylfaen" w:hAnsi="Sylfaen"/>
          <w:sz w:val="22"/>
          <w:szCs w:val="22"/>
          <w:lang w:val="ka-GE"/>
        </w:rPr>
        <w:t xml:space="preserve">დაბალია ხელფასები და მინიმალურია სოციალური დაცვისა და გარანტიის მექანიზმები. 1990-იანი წლებიდან მწვავედ დგას „მომუშავე ღარიბების“ </w:t>
      </w:r>
      <w:r w:rsidR="00C278A6" w:rsidRPr="007F6CA8">
        <w:rPr>
          <w:rFonts w:ascii="Sylfaen" w:hAnsi="Sylfaen"/>
          <w:sz w:val="22"/>
          <w:szCs w:val="22"/>
          <w:lang w:val="ka-GE"/>
        </w:rPr>
        <w:t xml:space="preserve">პრობლემა, </w:t>
      </w:r>
      <w:r w:rsidR="0051366F" w:rsidRPr="007F6CA8">
        <w:rPr>
          <w:rFonts w:ascii="Sylfaen" w:hAnsi="Sylfaen"/>
          <w:sz w:val="22"/>
          <w:szCs w:val="22"/>
          <w:lang w:val="ka-GE"/>
        </w:rPr>
        <w:t>სადც ადამიანები ჩათრეულები არიან დაბალანაზღაურებად სამუშაოში</w:t>
      </w:r>
      <w:r w:rsidR="00D40DA6" w:rsidRPr="007F6CA8">
        <w:rPr>
          <w:rFonts w:ascii="Sylfaen" w:hAnsi="Sylfaen"/>
          <w:sz w:val="22"/>
          <w:szCs w:val="22"/>
          <w:lang w:val="ka-GE"/>
        </w:rPr>
        <w:t>.</w:t>
      </w:r>
    </w:p>
    <w:p w14:paraId="13F9053C" w14:textId="022E3A21" w:rsidR="00AD0FD1" w:rsidRPr="007F6CA8" w:rsidRDefault="00AD0FD1"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ბევრი ქართული ოჯახისათვის გადარჩენის საშუალებად ემიგრაციაში წასული ოჯახის წევრიდან მიღებული ფულადი გზავნილი რჩება. მილიონზე მეტი ადამიანი, ანუ, მთლიანი მოსახლეობის 25% ქვეყნის გარეთ ცხოვრობს (მსოფლიო ბანკი, 2011). ახლანდელი მოსახლეობის 7%-8% აქვს ემიგრაციის გამოცდილება - ან ჯერ კიდევ ემიგრაციაში არიან, ან დაბრუნდნენ (</w:t>
      </w:r>
      <w:r w:rsidRPr="007F6CA8">
        <w:rPr>
          <w:rFonts w:ascii="Sylfaen" w:hAnsi="Sylfaen"/>
          <w:sz w:val="22"/>
          <w:szCs w:val="22"/>
        </w:rPr>
        <w:t xml:space="preserve">ETF </w:t>
      </w:r>
      <w:r w:rsidRPr="007F6CA8">
        <w:rPr>
          <w:rFonts w:ascii="Sylfaen" w:hAnsi="Sylfaen"/>
          <w:sz w:val="22"/>
          <w:szCs w:val="22"/>
          <w:lang w:val="ka-GE"/>
        </w:rPr>
        <w:t xml:space="preserve">და </w:t>
      </w:r>
      <w:r w:rsidRPr="007F6CA8">
        <w:rPr>
          <w:rFonts w:ascii="Sylfaen" w:hAnsi="Sylfaen"/>
          <w:sz w:val="22"/>
          <w:szCs w:val="22"/>
        </w:rPr>
        <w:t xml:space="preserve">BCG-Research, 2013, </w:t>
      </w:r>
      <w:r w:rsidRPr="007F6CA8">
        <w:rPr>
          <w:rFonts w:ascii="Sylfaen" w:hAnsi="Sylfaen"/>
          <w:sz w:val="22"/>
          <w:szCs w:val="22"/>
          <w:lang w:val="ka-GE"/>
        </w:rPr>
        <w:t>გვ</w:t>
      </w:r>
      <w:r w:rsidRPr="007F6CA8">
        <w:rPr>
          <w:rFonts w:ascii="Sylfaen" w:hAnsi="Sylfaen"/>
          <w:sz w:val="22"/>
          <w:szCs w:val="22"/>
        </w:rPr>
        <w:t>.9).</w:t>
      </w:r>
      <w:r w:rsidRPr="007F6CA8">
        <w:rPr>
          <w:rFonts w:ascii="Sylfaen" w:hAnsi="Sylfaen"/>
          <w:sz w:val="22"/>
          <w:szCs w:val="22"/>
          <w:lang w:val="ka-GE"/>
        </w:rPr>
        <w:t xml:space="preserve"> </w:t>
      </w:r>
      <w:r w:rsidR="00E02554" w:rsidRPr="007F6CA8">
        <w:rPr>
          <w:rFonts w:ascii="Sylfaen" w:hAnsi="Sylfaen"/>
          <w:sz w:val="22"/>
          <w:szCs w:val="22"/>
          <w:lang w:val="ka-GE"/>
        </w:rPr>
        <w:t>შინამეურნეობების ინტეგრირებული</w:t>
      </w:r>
      <w:r w:rsidR="00D87D15" w:rsidRPr="007F6CA8">
        <w:rPr>
          <w:rFonts w:ascii="Sylfaen" w:hAnsi="Sylfaen"/>
          <w:sz w:val="22"/>
          <w:szCs w:val="22"/>
          <w:lang w:val="ka-GE"/>
        </w:rPr>
        <w:t xml:space="preserve"> კვლევის მიხედვით, საქართველოში მაცხოვრებელი ოჯახების დაახლ. 7% უცხოეთიდან იღებს ფულად გზავნილებს, რ</w:t>
      </w:r>
      <w:r w:rsidR="006D6E6A" w:rsidRPr="007F6CA8">
        <w:rPr>
          <w:rFonts w:ascii="Sylfaen" w:hAnsi="Sylfaen"/>
          <w:sz w:val="22"/>
          <w:szCs w:val="22"/>
          <w:lang w:val="ka-GE"/>
        </w:rPr>
        <w:t xml:space="preserve">აც ნიშნავს, რომ ოჯახების 6-10% </w:t>
      </w:r>
      <w:r w:rsidR="00B34127" w:rsidRPr="007F6CA8">
        <w:rPr>
          <w:rFonts w:ascii="Sylfaen" w:hAnsi="Sylfaen"/>
          <w:sz w:val="22"/>
          <w:szCs w:val="22"/>
          <w:lang w:val="ka-GE"/>
        </w:rPr>
        <w:t xml:space="preserve">საზღვარგარეთ ჰყავს შრომისუნარიანი ოჯახის წევრი (იქვე, გვ.12). ეს გზავნილები ოჯახების მთლიანი შემოსავლის 5% </w:t>
      </w:r>
      <w:r w:rsidR="00E02554" w:rsidRPr="007F6CA8">
        <w:rPr>
          <w:rFonts w:ascii="Sylfaen" w:hAnsi="Sylfaen"/>
          <w:sz w:val="22"/>
          <w:szCs w:val="22"/>
          <w:lang w:val="ka-GE"/>
        </w:rPr>
        <w:t>შეადგენ</w:t>
      </w:r>
      <w:r w:rsidR="00B34127" w:rsidRPr="007F6CA8">
        <w:rPr>
          <w:rFonts w:ascii="Sylfaen" w:hAnsi="Sylfaen"/>
          <w:sz w:val="22"/>
          <w:szCs w:val="22"/>
          <w:lang w:val="ka-GE"/>
        </w:rPr>
        <w:t xml:space="preserve">ს, მაგრამ გზავნილების მიმღები ოჯახებისათვის ეს გზავნილი ბიუჯეტის თითქმის </w:t>
      </w:r>
      <w:r w:rsidR="00E02554" w:rsidRPr="007F6CA8">
        <w:rPr>
          <w:rFonts w:ascii="Sylfaen" w:hAnsi="Sylfaen"/>
          <w:sz w:val="22"/>
          <w:szCs w:val="22"/>
          <w:lang w:val="ka-GE"/>
        </w:rPr>
        <w:t>ნახევარია</w:t>
      </w:r>
      <w:r w:rsidR="00B34127" w:rsidRPr="007F6CA8">
        <w:rPr>
          <w:rFonts w:ascii="Sylfaen" w:hAnsi="Sylfaen"/>
          <w:sz w:val="22"/>
          <w:szCs w:val="22"/>
          <w:lang w:val="ka-GE"/>
        </w:rPr>
        <w:t xml:space="preserve"> (ბადურაშვილი და ნადარეიშვილი, 2011, გვ.15). </w:t>
      </w:r>
    </w:p>
    <w:p w14:paraId="4278C134" w14:textId="77777777" w:rsidR="00E02554" w:rsidRPr="007F6CA8" w:rsidRDefault="00E02554" w:rsidP="00731B1D">
      <w:pPr>
        <w:spacing w:beforeLines="60" w:before="144" w:afterLines="60" w:after="144" w:line="276" w:lineRule="auto"/>
        <w:ind w:firstLine="709"/>
        <w:jc w:val="both"/>
        <w:rPr>
          <w:rStyle w:val="A8"/>
          <w:rFonts w:ascii="Sylfaen" w:hAnsi="Sylfaen"/>
          <w:sz w:val="22"/>
          <w:szCs w:val="22"/>
        </w:rPr>
      </w:pPr>
    </w:p>
    <w:p w14:paraId="45A865E2" w14:textId="71D33280" w:rsidR="00C56E6A" w:rsidRPr="007F6CA8" w:rsidRDefault="00B34127" w:rsidP="00731B1D">
      <w:pPr>
        <w:pStyle w:val="Heading2"/>
        <w:spacing w:beforeLines="60" w:before="144" w:afterLines="60" w:after="144" w:line="276" w:lineRule="auto"/>
        <w:ind w:left="576" w:hanging="576"/>
        <w:rPr>
          <w:rFonts w:ascii="Sylfaen" w:hAnsi="Sylfaen"/>
        </w:rPr>
      </w:pPr>
      <w:bookmarkStart w:id="7" w:name="_Toc513596829"/>
      <w:r w:rsidRPr="007F6CA8">
        <w:rPr>
          <w:rFonts w:ascii="Sylfaen" w:hAnsi="Sylfaen"/>
          <w:lang w:val="ka-GE"/>
        </w:rPr>
        <w:t>შრომის კანონმდებლობა საქართველოში</w:t>
      </w:r>
      <w:bookmarkEnd w:id="7"/>
    </w:p>
    <w:p w14:paraId="5218C936" w14:textId="30A8EFC2" w:rsidR="00B34127" w:rsidRPr="007F6CA8" w:rsidRDefault="00B669B5"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დამსაქმებელთა და დასაქმებულთა უფლებები საქართველოში ქვეყნის კანონმდებლობით, რატიფიცირებული საერთაშორისო შეთანხმებებით, შრომის კანონთა კოდექსით, საქართველოს კანონით პროფკავშირების შესახებ და სხვა საკანონმდებლო აქტებითაა რეგულირებული. </w:t>
      </w:r>
    </w:p>
    <w:p w14:paraId="5C02BEF1" w14:textId="797CCD11" w:rsidR="00B669B5" w:rsidRPr="007F6CA8" w:rsidRDefault="00B669B5"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სახელმწიფო დასაქმების პოლიტიკა ასევე რეგულირებულია საქართველოს კანონით პროფესიული კავშირების შესახებ, რომელიც ითვალისწინებს პროფკავშირების მონაწილეობას სახელმწიფო დასაქმების პოლიტიკ</w:t>
      </w:r>
      <w:r w:rsidR="00C848E5" w:rsidRPr="007F6CA8">
        <w:rPr>
          <w:rFonts w:ascii="Sylfaen" w:hAnsi="Sylfaen"/>
          <w:sz w:val="22"/>
          <w:szCs w:val="22"/>
          <w:lang w:val="ka-GE"/>
        </w:rPr>
        <w:t xml:space="preserve">ასა და ზემოთხსენებული აქტივობების საჯარო ზედამხედველობის პროცესში. თუმცა, ამ დრომდე უგულებელყოფილი იყო </w:t>
      </w:r>
      <w:r w:rsidR="00E71AE2" w:rsidRPr="007F6CA8">
        <w:rPr>
          <w:rFonts w:ascii="Sylfaen" w:hAnsi="Sylfaen"/>
          <w:sz w:val="22"/>
          <w:szCs w:val="22"/>
          <w:lang w:val="ka-GE"/>
        </w:rPr>
        <w:t xml:space="preserve">პროფკავშირების </w:t>
      </w:r>
      <w:r w:rsidR="00E71AE2" w:rsidRPr="007F6CA8">
        <w:rPr>
          <w:rFonts w:ascii="Sylfaen" w:hAnsi="Sylfaen"/>
          <w:sz w:val="22"/>
          <w:szCs w:val="22"/>
          <w:lang w:val="ka-GE"/>
        </w:rPr>
        <w:lastRenderedPageBreak/>
        <w:t>როლი</w:t>
      </w:r>
      <w:r w:rsidR="004A42CC" w:rsidRPr="007F6CA8">
        <w:rPr>
          <w:rFonts w:ascii="Sylfaen" w:hAnsi="Sylfaen"/>
          <w:sz w:val="22"/>
          <w:szCs w:val="22"/>
          <w:lang w:val="ka-GE"/>
        </w:rPr>
        <w:t xml:space="preserve">, მაგრამ 2009 წელს იგი </w:t>
      </w:r>
      <w:r w:rsidR="00E02554" w:rsidRPr="007F6CA8">
        <w:rPr>
          <w:rFonts w:ascii="Sylfaen" w:hAnsi="Sylfaen"/>
          <w:sz w:val="22"/>
          <w:szCs w:val="22"/>
          <w:lang w:val="ka-GE"/>
        </w:rPr>
        <w:t xml:space="preserve">ოფიციალურად იქნა აღიარებული </w:t>
      </w:r>
      <w:r w:rsidR="004A42CC" w:rsidRPr="007F6CA8">
        <w:rPr>
          <w:rFonts w:ascii="Sylfaen" w:hAnsi="Sylfaen"/>
          <w:sz w:val="22"/>
          <w:szCs w:val="22"/>
          <w:lang w:val="ka-GE"/>
        </w:rPr>
        <w:t>საქართველოს მთავრობის სოციალურ პარტიორად (სამმხრივი სოციალური პარტნიორობის კომისია</w:t>
      </w:r>
      <w:r w:rsidR="004A42CC" w:rsidRPr="007F6CA8">
        <w:rPr>
          <w:rStyle w:val="FootnoteReference"/>
          <w:rFonts w:ascii="Sylfaen" w:hAnsi="Sylfaen"/>
          <w:sz w:val="22"/>
          <w:szCs w:val="22"/>
        </w:rPr>
        <w:footnoteReference w:id="11"/>
      </w:r>
      <w:r w:rsidR="004A42CC" w:rsidRPr="007F6CA8">
        <w:rPr>
          <w:rFonts w:ascii="Sylfaen" w:hAnsi="Sylfaen"/>
          <w:sz w:val="22"/>
          <w:szCs w:val="22"/>
          <w:lang w:val="ka-GE"/>
        </w:rPr>
        <w:t>). ამ ეტაპზე პროფკავშირები უფრო მეტად მონაწილეობენ დასაქმებულთა უფლე</w:t>
      </w:r>
      <w:r w:rsidR="00E02554" w:rsidRPr="007F6CA8">
        <w:rPr>
          <w:rFonts w:ascii="Sylfaen" w:hAnsi="Sylfaen"/>
          <w:sz w:val="22"/>
          <w:szCs w:val="22"/>
          <w:lang w:val="ka-GE"/>
        </w:rPr>
        <w:t>ბ</w:t>
      </w:r>
      <w:r w:rsidR="004A42CC" w:rsidRPr="007F6CA8">
        <w:rPr>
          <w:rFonts w:ascii="Sylfaen" w:hAnsi="Sylfaen"/>
          <w:sz w:val="22"/>
          <w:szCs w:val="22"/>
          <w:lang w:val="ka-GE"/>
        </w:rPr>
        <w:t xml:space="preserve">ების დაცვაში, სახელმწიფო პოლიტიკის შემუშავებასა და დამსაქმებლებთან ერთად დასაქმებულის ღირსების დამცველი სამუშაო გარემოს შექმნაში. </w:t>
      </w:r>
    </w:p>
    <w:p w14:paraId="4809A35E" w14:textId="1A4EB6BF" w:rsidR="004A42CC" w:rsidRPr="007F6CA8" w:rsidRDefault="004A42CC"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2006 წელს მიღებული შრომის კანონთა კოდექსი მსოფლიოში ყველაზე ლიბერალურ კოდექსებს შორის დგას. ამ კოდექსმა რადიკალურად გაზარდა შრომითი ბაზრის მოქნილობა და ინდუსტრიულ ურთიერთობებში ძალაუფლება დამსაქმებელს</w:t>
      </w:r>
      <w:r w:rsidR="00E02554" w:rsidRPr="007F6CA8">
        <w:rPr>
          <w:rFonts w:ascii="Sylfaen" w:hAnsi="Sylfaen"/>
          <w:sz w:val="22"/>
          <w:szCs w:val="22"/>
          <w:lang w:val="ka-GE"/>
        </w:rPr>
        <w:t xml:space="preserve"> </w:t>
      </w:r>
      <w:r w:rsidR="00E02554" w:rsidRPr="007F6CA8">
        <w:rPr>
          <w:rFonts w:ascii="Sylfaen" w:hAnsi="Sylfaen"/>
          <w:sz w:val="22"/>
          <w:szCs w:val="22"/>
          <w:lang w:val="ka-GE"/>
        </w:rPr>
        <w:t>უფრო მეტად მიანიჭა</w:t>
      </w:r>
      <w:r w:rsidRPr="007F6CA8">
        <w:rPr>
          <w:rFonts w:ascii="Sylfaen" w:hAnsi="Sylfaen"/>
          <w:sz w:val="22"/>
          <w:szCs w:val="22"/>
          <w:lang w:val="ka-GE"/>
        </w:rPr>
        <w:t xml:space="preserve">. შედეგად, არ არსებობდა სოციალური დიალოგის რაიმე პლატფორმა არც ეროვნულ, არც კომპანიების დონეზე. 2013 წელს კოდექსში შეტანილი ცვლილებების შედეგად </w:t>
      </w:r>
      <w:r w:rsidR="00EE1D15" w:rsidRPr="007F6CA8">
        <w:rPr>
          <w:rFonts w:ascii="Sylfaen" w:hAnsi="Sylfaen"/>
          <w:sz w:val="22"/>
          <w:szCs w:val="22"/>
          <w:lang w:val="ka-GE"/>
        </w:rPr>
        <w:t xml:space="preserve">იგი საერთაშორისო სტანდარტებთან უფრო შესაბამისი გახდა. იგი </w:t>
      </w:r>
      <w:r w:rsidR="00A45818" w:rsidRPr="007F6CA8">
        <w:rPr>
          <w:rFonts w:ascii="Sylfaen" w:hAnsi="Sylfaen"/>
          <w:sz w:val="22"/>
          <w:szCs w:val="22"/>
          <w:lang w:val="ka-GE"/>
        </w:rPr>
        <w:t xml:space="preserve">დასაქმების </w:t>
      </w:r>
      <w:r w:rsidR="00505B89" w:rsidRPr="007F6CA8">
        <w:rPr>
          <w:rFonts w:ascii="Sylfaen" w:hAnsi="Sylfaen"/>
          <w:sz w:val="22"/>
          <w:szCs w:val="22"/>
          <w:lang w:val="ka-GE"/>
        </w:rPr>
        <w:t xml:space="preserve">ურთიერთობების </w:t>
      </w:r>
      <w:r w:rsidR="00EE1D15" w:rsidRPr="007F6CA8">
        <w:rPr>
          <w:rFonts w:ascii="Sylfaen" w:hAnsi="Sylfaen"/>
          <w:sz w:val="22"/>
          <w:szCs w:val="22"/>
          <w:lang w:val="ka-GE"/>
        </w:rPr>
        <w:t>უფრო დაბალანსებულ მიდგომას გვთავაზობს</w:t>
      </w:r>
      <w:r w:rsidR="00505B89" w:rsidRPr="007F6CA8">
        <w:rPr>
          <w:rFonts w:ascii="Sylfaen" w:hAnsi="Sylfaen"/>
          <w:sz w:val="22"/>
          <w:szCs w:val="22"/>
          <w:lang w:val="ka-GE"/>
        </w:rPr>
        <w:t xml:space="preserve">. აქ მოცემულია შეზღუდვები ფიქსირებულ კონტრაქტებზე, მოთხოვნები ანაზღაურებად და დეკრეტულ შვებულებებთან დაკავშირებით, და უკეთაა რეგულირებული კოლექტიური მოლაპარაკებების შესაძლებლობა და პროფკავშრების საქმიანობისა და გაფიცვებისგან დაცვის მექანიზმები. </w:t>
      </w:r>
      <w:r w:rsidR="00EE1D15" w:rsidRPr="007F6CA8">
        <w:rPr>
          <w:rFonts w:ascii="Sylfaen" w:hAnsi="Sylfaen"/>
          <w:sz w:val="22"/>
          <w:szCs w:val="22"/>
          <w:lang w:val="ka-GE"/>
        </w:rPr>
        <w:t xml:space="preserve"> </w:t>
      </w:r>
    </w:p>
    <w:p w14:paraId="38D4F2FB" w14:textId="4A06A0DB" w:rsidR="00505B89" w:rsidRPr="007F6CA8" w:rsidRDefault="00505B89"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ნახევარ განაკვეთზე და მოქნილი გრაფიკით მუშაობა ქალებისათვის </w:t>
      </w:r>
      <w:r w:rsidR="009A71AC" w:rsidRPr="007F6CA8">
        <w:rPr>
          <w:rFonts w:ascii="Sylfaen" w:hAnsi="Sylfaen"/>
          <w:sz w:val="22"/>
          <w:szCs w:val="22"/>
          <w:lang w:val="ka-GE"/>
        </w:rPr>
        <w:t xml:space="preserve">ჯერ კიდევ პრობლემად რჩება, ვინაიდან ეს საკითხი ჯერ კიდევ </w:t>
      </w:r>
      <w:r w:rsidR="00E02554" w:rsidRPr="007F6CA8">
        <w:rPr>
          <w:rFonts w:ascii="Sylfaen" w:hAnsi="Sylfaen"/>
          <w:sz w:val="22"/>
          <w:szCs w:val="22"/>
          <w:lang w:val="ka-GE"/>
        </w:rPr>
        <w:t>დაურეგულირებე</w:t>
      </w:r>
      <w:r w:rsidR="009A71AC" w:rsidRPr="007F6CA8">
        <w:rPr>
          <w:rFonts w:ascii="Sylfaen" w:hAnsi="Sylfaen"/>
          <w:sz w:val="22"/>
          <w:szCs w:val="22"/>
          <w:lang w:val="ka-GE"/>
        </w:rPr>
        <w:t xml:space="preserve">ლია. კანონმდებლობით ალტერნატიული დასაქმების ფორმის გაუთვალისწინებლობის გამო ბევრ ქალს უჭირს ოჯახური ვალდებულებებისა და პროფესიული კარიერის შეთავსება. ეს ასევე აისახება ქალების სამუშაო სფეროში ჩართვაზე, რაც უფრო დაბალია, ვიდრე მამაკაცების. მამაკაცებისა და ქალების დასაქმებას შორის განსხვავება მერყეობდა ყველაზე დაბალ 17.4% (2004 წელს) და ყველაზე მაღალ 20.8% (2012) შორის. </w:t>
      </w:r>
    </w:p>
    <w:p w14:paraId="7B55D882" w14:textId="77777777" w:rsidR="00E02554" w:rsidRPr="007F6CA8" w:rsidRDefault="00E02554"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p>
    <w:p w14:paraId="3E94B27B" w14:textId="6A927D7F" w:rsidR="00DA42BC" w:rsidRPr="007F6CA8" w:rsidRDefault="009A71AC" w:rsidP="00731B1D">
      <w:pPr>
        <w:pStyle w:val="Heading2"/>
        <w:spacing w:beforeLines="60" w:before="144" w:afterLines="60" w:after="144" w:line="276" w:lineRule="auto"/>
        <w:jc w:val="both"/>
        <w:rPr>
          <w:rFonts w:ascii="Sylfaen" w:hAnsi="Sylfaen"/>
        </w:rPr>
      </w:pPr>
      <w:bookmarkStart w:id="8" w:name="_Toc513596830"/>
      <w:r w:rsidRPr="007F6CA8">
        <w:rPr>
          <w:rFonts w:ascii="Sylfaen" w:hAnsi="Sylfaen"/>
          <w:lang w:val="ka-GE"/>
        </w:rPr>
        <w:t>შრომითი ბაზრის პოლიტიკა საქართველოში</w:t>
      </w:r>
      <w:bookmarkEnd w:id="8"/>
    </w:p>
    <w:p w14:paraId="488B3E35" w14:textId="21B15473" w:rsidR="009A71AC" w:rsidRPr="007F6CA8" w:rsidRDefault="0080785A"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წლების განმავლობაში </w:t>
      </w:r>
      <w:r w:rsidR="009A71AC" w:rsidRPr="007F6CA8">
        <w:rPr>
          <w:rFonts w:ascii="Sylfaen" w:hAnsi="Sylfaen"/>
          <w:sz w:val="22"/>
          <w:szCs w:val="22"/>
          <w:lang w:val="ka-GE"/>
        </w:rPr>
        <w:t>შრომითი ბაზარი დაურეგულირებელი იყო</w:t>
      </w:r>
      <w:r w:rsidR="00445E11" w:rsidRPr="007F6CA8">
        <w:rPr>
          <w:rFonts w:ascii="Sylfaen" w:hAnsi="Sylfaen"/>
          <w:sz w:val="22"/>
          <w:szCs w:val="22"/>
          <w:lang w:val="ka-GE"/>
        </w:rPr>
        <w:t xml:space="preserve">, ვინაიდან არ არსებობდა </w:t>
      </w:r>
      <w:r w:rsidRPr="007F6CA8">
        <w:rPr>
          <w:rFonts w:ascii="Sylfaen" w:hAnsi="Sylfaen"/>
          <w:sz w:val="22"/>
          <w:szCs w:val="22"/>
          <w:lang w:val="ka-GE"/>
        </w:rPr>
        <w:t xml:space="preserve">საჭირო მარეგულირებელი საჯარო დაწესებულება. თუმცა, 2000-იანი წლებიდან დაიწყო პროგრამები საქართველოში უმუშევრობის აღმოფხვრის მიზნით. ამ პროგრამებში არაერთი პროექტი შედიოდა, მათ შორის მცირე ბიზნესზე, პროფესიულ განათლებაზე, სტაჟირებაზე და მცირე ბიზნესის მეშვეობით დასაქმების ხელშემწყობაზე მიმართული. </w:t>
      </w:r>
    </w:p>
    <w:p w14:paraId="2B0188AF" w14:textId="7DD1ADF2" w:rsidR="0080785A" w:rsidRPr="007F6CA8" w:rsidRDefault="0080785A"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ამ პროგრამების მასშტაბი ერთგვარად შეზღუდული იყო, ხოლო დასაქმებასთან დაკავშირებული შედეგები - საკმაოდ მცირე. პროგრამების მონაწილეებს ფულად სარგებელს თავაზოდბნენ კვალიფიკაციების ამაღლების მაგივრად, რის გამოც შრომითი ბაზრის პოლიტიკამ ვერ მოახერხა უმუშევრობის ძირეული მიზეზის აღმოფხვრა. პროგრამებმა ვერ შეძლო ხელშესახები შედეგების მიღწევა, შეფასებისა და კონტროლის მექანიზმების არარსებობის და პროგრამის მცირე მასშტაბის გამო (ამბროლაძე, 2012). </w:t>
      </w:r>
    </w:p>
    <w:p w14:paraId="06E193EC" w14:textId="5EE0CC2B" w:rsidR="009622AA" w:rsidRPr="007F6CA8" w:rsidRDefault="0080785A" w:rsidP="00731B1D">
      <w:pPr>
        <w:spacing w:beforeLines="60" w:before="144" w:afterLines="60" w:after="144" w:line="276" w:lineRule="auto"/>
        <w:ind w:right="-31" w:firstLine="709"/>
        <w:jc w:val="both"/>
        <w:rPr>
          <w:rFonts w:ascii="Sylfaen" w:hAnsi="Sylfaen"/>
          <w:sz w:val="22"/>
          <w:szCs w:val="22"/>
        </w:rPr>
      </w:pPr>
      <w:r w:rsidRPr="007F6CA8">
        <w:rPr>
          <w:rFonts w:ascii="Sylfaen" w:hAnsi="Sylfaen"/>
          <w:sz w:val="22"/>
          <w:szCs w:val="22"/>
          <w:lang w:val="ka-GE"/>
        </w:rPr>
        <w:t xml:space="preserve">დასაქმების პოლიტიკის დაფინანსებასა და განხორციელებაზე საქართველოს შრომის, ჯანმრთელობისა და სოციალურ საქმეთა სამინისტროა პასუხისმგებელი, რომელიც 1995 წელს </w:t>
      </w:r>
      <w:r w:rsidRPr="007F6CA8">
        <w:rPr>
          <w:rFonts w:ascii="Sylfaen" w:hAnsi="Sylfaen"/>
          <w:sz w:val="22"/>
          <w:szCs w:val="22"/>
          <w:lang w:val="ka-GE"/>
        </w:rPr>
        <w:lastRenderedPageBreak/>
        <w:t xml:space="preserve">სამი სხვადასხვა სამინისტროს შერწყმის შედეგად წარმოიშვა. თუმცა, დასაქმებაზე პასუხისმგებელი დეპარტამენტი 2005 წელს გაუქმდა და ხელახლა მხოლოდ 2013 წელს შეიქმნა. ბოლო ხანებში, შრომის ბაზრის ინფორმაციის მიმოცვლასა და მართვასთან დაკავშირებული ფუნქციები შრომის, ჯანმრთელობისა და სოციალურ </w:t>
      </w:r>
      <w:r w:rsidR="002028CF" w:rsidRPr="007F6CA8">
        <w:rPr>
          <w:rFonts w:ascii="Sylfaen" w:hAnsi="Sylfaen"/>
          <w:sz w:val="22"/>
          <w:szCs w:val="22"/>
          <w:lang w:val="ka-GE"/>
        </w:rPr>
        <w:t>საქმეთ</w:t>
      </w:r>
      <w:r w:rsidRPr="007F6CA8">
        <w:rPr>
          <w:rFonts w:ascii="Sylfaen" w:hAnsi="Sylfaen"/>
          <w:sz w:val="22"/>
          <w:szCs w:val="22"/>
          <w:lang w:val="ka-GE"/>
        </w:rPr>
        <w:t>ა სამინისტროდან ეკონომიკისა და მდგრადი განვითარების სამინისტროს გადაეცა. 2017 წელს</w:t>
      </w:r>
      <w:r w:rsidR="009548EE" w:rsidRPr="007F6CA8">
        <w:rPr>
          <w:rFonts w:ascii="Sylfaen" w:hAnsi="Sylfaen"/>
          <w:sz w:val="22"/>
          <w:szCs w:val="22"/>
          <w:lang w:val="ka-GE"/>
        </w:rPr>
        <w:t xml:space="preserve"> შრომითი ბაზრის საინფორმაციო სისტემის (</w:t>
      </w:r>
      <w:r w:rsidR="009548EE" w:rsidRPr="007F6CA8">
        <w:rPr>
          <w:rFonts w:ascii="Sylfaen" w:hAnsi="Sylfaen"/>
          <w:sz w:val="22"/>
          <w:szCs w:val="22"/>
        </w:rPr>
        <w:t>LMIS</w:t>
      </w:r>
      <w:r w:rsidR="009548EE" w:rsidRPr="007F6CA8">
        <w:rPr>
          <w:rFonts w:ascii="Sylfaen" w:hAnsi="Sylfaen"/>
          <w:sz w:val="22"/>
          <w:szCs w:val="22"/>
          <w:lang w:val="ka-GE"/>
        </w:rPr>
        <w:t>) პორტალის დანაყოფი ეკონომიკისა მდგრადი განვითარების სამინისტროში გადავიდა</w:t>
      </w:r>
      <w:r w:rsidR="009622AA" w:rsidRPr="007F6CA8">
        <w:rPr>
          <w:rFonts w:ascii="Sylfaen" w:hAnsi="Sylfaen"/>
          <w:sz w:val="22"/>
          <w:szCs w:val="22"/>
        </w:rPr>
        <w:t>.</w:t>
      </w:r>
      <w:r w:rsidR="009622AA" w:rsidRPr="007F6CA8">
        <w:rPr>
          <w:rStyle w:val="FootnoteReference"/>
          <w:rFonts w:ascii="Sylfaen" w:hAnsi="Sylfaen"/>
          <w:sz w:val="22"/>
          <w:szCs w:val="22"/>
        </w:rPr>
        <w:footnoteReference w:id="12"/>
      </w:r>
      <w:r w:rsidR="009622AA" w:rsidRPr="007F6CA8">
        <w:rPr>
          <w:rFonts w:ascii="Sylfaen" w:hAnsi="Sylfaen"/>
          <w:sz w:val="22"/>
          <w:szCs w:val="22"/>
        </w:rPr>
        <w:t xml:space="preserve"> </w:t>
      </w:r>
    </w:p>
    <w:p w14:paraId="3C552C68" w14:textId="040F7F78" w:rsidR="004D55E4" w:rsidRPr="007F6CA8" w:rsidRDefault="009548EE"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2014 წელს შრომის, ჯანრმთელობისა და სოციალურ საქმეთა სამინსიტროში შრომისა და დასაქმების პოლიტიკის დეპარტამენტი შეიქმნა, რომლის მთავარი ფუნქციაც ეროვნული დასაქმებისა და შრომითი ბაზრის პოლიტიკის შემუშავებაა. ამ პოლიტიკის ერთ-ერთი მთავარი სამიზნე ჯგუფი ახალგაზრდობაა. 2014-2018 წლების განმავლობაში დეპარტამენტის თანამშრომლები ევროკავშირის მიერ დაფინანსებული პროექტებიდან ტექნიკურ დახმარებსაც იღებენ პოლიტიკის გაუმჯობესების მიზნით. დეპარტამენტმა ახლახანს ჩამოაყალიბა ერთიანი ვებ-პორტალი, შრომითი ბაზრის საინფორმაციო სისტემა (</w:t>
      </w:r>
      <w:r w:rsidRPr="007F6CA8">
        <w:rPr>
          <w:rFonts w:ascii="Sylfaen" w:hAnsi="Sylfaen"/>
          <w:sz w:val="22"/>
          <w:szCs w:val="22"/>
        </w:rPr>
        <w:t>LMIS)</w:t>
      </w:r>
      <w:r w:rsidRPr="007F6CA8">
        <w:rPr>
          <w:rFonts w:ascii="Sylfaen" w:hAnsi="Sylfaen"/>
          <w:sz w:val="22"/>
          <w:szCs w:val="22"/>
          <w:lang w:val="ka-GE"/>
        </w:rPr>
        <w:t xml:space="preserve">, რომელიც განახლებულ ინფორმაციას იძლევა </w:t>
      </w:r>
      <w:r w:rsidR="00D86F6D" w:rsidRPr="007F6CA8">
        <w:rPr>
          <w:rFonts w:ascii="Sylfaen" w:hAnsi="Sylfaen"/>
          <w:sz w:val="22"/>
          <w:szCs w:val="22"/>
          <w:lang w:val="ka-GE"/>
        </w:rPr>
        <w:t>მიმ</w:t>
      </w:r>
      <w:r w:rsidRPr="007F6CA8">
        <w:rPr>
          <w:rFonts w:ascii="Sylfaen" w:hAnsi="Sylfaen"/>
          <w:sz w:val="22"/>
          <w:szCs w:val="22"/>
          <w:lang w:val="ka-GE"/>
        </w:rPr>
        <w:t xml:space="preserve">დინარე საბაზრო ტრენდების, კარიერული დაგეგმვა-განვითრებისა და </w:t>
      </w:r>
      <w:r w:rsidR="00D86F6D" w:rsidRPr="007F6CA8">
        <w:rPr>
          <w:rFonts w:ascii="Sylfaen" w:hAnsi="Sylfaen"/>
          <w:sz w:val="22"/>
          <w:szCs w:val="22"/>
          <w:lang w:val="ka-GE"/>
        </w:rPr>
        <w:t>პროფესებ</w:t>
      </w:r>
      <w:r w:rsidRPr="007F6CA8">
        <w:rPr>
          <w:rFonts w:ascii="Sylfaen" w:hAnsi="Sylfaen"/>
          <w:sz w:val="22"/>
          <w:szCs w:val="22"/>
          <w:lang w:val="ka-GE"/>
        </w:rPr>
        <w:t>ი</w:t>
      </w:r>
      <w:r w:rsidR="00D86F6D" w:rsidRPr="007F6CA8">
        <w:rPr>
          <w:rFonts w:ascii="Sylfaen" w:hAnsi="Sylfaen"/>
          <w:sz w:val="22"/>
          <w:szCs w:val="22"/>
          <w:lang w:val="ka-GE"/>
        </w:rPr>
        <w:t>ს</w:t>
      </w:r>
      <w:r w:rsidRPr="007F6CA8">
        <w:rPr>
          <w:rFonts w:ascii="Sylfaen" w:hAnsi="Sylfaen"/>
          <w:sz w:val="22"/>
          <w:szCs w:val="22"/>
          <w:lang w:val="ka-GE"/>
        </w:rPr>
        <w:t xml:space="preserve"> </w:t>
      </w:r>
      <w:r w:rsidR="00D86F6D" w:rsidRPr="007F6CA8">
        <w:rPr>
          <w:rFonts w:ascii="Sylfaen" w:hAnsi="Sylfaen"/>
          <w:sz w:val="22"/>
          <w:szCs w:val="22"/>
          <w:lang w:val="ka-GE"/>
        </w:rPr>
        <w:t xml:space="preserve">აღწერების შესახებ. </w:t>
      </w:r>
    </w:p>
    <w:p w14:paraId="6199D24B" w14:textId="24E727CE" w:rsidR="00D86F6D" w:rsidRPr="007F6CA8" w:rsidRDefault="00D86F6D"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შრომითი ბაზრის მართვაზე მიმართულ იძალისხმევა ჯერ კიდევ საწყის ეტაპზეა. ბოლო წლებისგ</w:t>
      </w:r>
      <w:r w:rsidR="002028CF" w:rsidRPr="007F6CA8">
        <w:rPr>
          <w:rFonts w:ascii="Sylfaen" w:hAnsi="Sylfaen"/>
          <w:sz w:val="22"/>
          <w:szCs w:val="22"/>
          <w:lang w:val="ka-GE"/>
        </w:rPr>
        <w:t xml:space="preserve"> </w:t>
      </w:r>
      <w:r w:rsidRPr="007F6CA8">
        <w:rPr>
          <w:rFonts w:ascii="Sylfaen" w:hAnsi="Sylfaen"/>
          <w:sz w:val="22"/>
          <w:szCs w:val="22"/>
          <w:lang w:val="ka-GE"/>
        </w:rPr>
        <w:t xml:space="preserve">ანმავლობაში რამდენიმე მნიშვნელოვანი პოლიტიკური დოკუმენტი შემუშავდა, როგორიცაა ქართული შრომითი ბაზრის ჩამოყალიბების </w:t>
      </w:r>
      <w:r w:rsidR="000E2B01" w:rsidRPr="007F6CA8">
        <w:rPr>
          <w:rFonts w:ascii="Sylfaen" w:hAnsi="Sylfaen"/>
          <w:sz w:val="22"/>
          <w:szCs w:val="22"/>
          <w:lang w:val="ka-GE"/>
        </w:rPr>
        <w:t>სახელმწიფ</w:t>
      </w:r>
      <w:r w:rsidRPr="007F6CA8">
        <w:rPr>
          <w:rFonts w:ascii="Sylfaen" w:hAnsi="Sylfaen"/>
          <w:sz w:val="22"/>
          <w:szCs w:val="22"/>
          <w:lang w:val="ka-GE"/>
        </w:rPr>
        <w:t>ო სტრატეგია 2015-2018 და მისი სამოქმედო გეგმა, შრომითი ბაზრის საინფორმაციო სისტემის ჩამოყალიბების სახელმწიფო სტრატეგია</w:t>
      </w:r>
      <w:r w:rsidR="000E2B01" w:rsidRPr="007F6CA8">
        <w:rPr>
          <w:rFonts w:ascii="Sylfaen" w:hAnsi="Sylfaen"/>
          <w:sz w:val="22"/>
          <w:szCs w:val="22"/>
          <w:lang w:val="ka-GE"/>
        </w:rPr>
        <w:t xml:space="preserve"> 2015-2018 და მისი სამოქმედო გეგმა,</w:t>
      </w:r>
      <w:r w:rsidR="00926C71" w:rsidRPr="007F6CA8">
        <w:rPr>
          <w:rFonts w:ascii="Sylfaen" w:hAnsi="Sylfaen"/>
          <w:sz w:val="22"/>
          <w:szCs w:val="22"/>
          <w:lang w:val="ka-GE"/>
        </w:rPr>
        <w:t xml:space="preserve"> მთელი სიცოცხლის განმავლობაში პროფესიული კონსულტირებისა და კარიერული დაგეგმვის სტრატეგია 2015-2017 და სამოქმედო გეგმა, დასაქმების ხელშეწყობის სერვისების სახელმწიფო პროგრამა 2015-2018 და სამოქმედო გეგმა, აქტიური შრომითი ბაზრის პოლიტიკის სტრატეგია 2016-2018 და სამოქმედო გეგმა. </w:t>
      </w:r>
    </w:p>
    <w:p w14:paraId="0DE56D4D" w14:textId="08CD1162" w:rsidR="00926C71" w:rsidRPr="007F6CA8" w:rsidRDefault="00926C71"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სახელმწიფო დასაქმების სააგენტო 2006 წელს </w:t>
      </w:r>
      <w:r w:rsidR="00030CD0" w:rsidRPr="007F6CA8">
        <w:rPr>
          <w:rFonts w:ascii="Sylfaen" w:hAnsi="Sylfaen"/>
          <w:sz w:val="22"/>
          <w:szCs w:val="22"/>
          <w:lang w:val="ka-GE"/>
        </w:rPr>
        <w:t xml:space="preserve">შეიქმნა, მაგრამ ერთი წლის შემდეგ დაიშალა. დასაქმების ხელშეწყობის სერვისი 2014 წელს შეიქმნა სოციალური მომსახურების სააგენტოს ფარგლებში და მის მიზანს ქვეყანაში საჯარო დასაქმების მომსახურების გაწევა წარმოადგენს. ეს დაწესებულება პასუხისმგებელია სამუშაოს მაძებელთა და ვაკანსიების რეგისტრაციაზე, დასაქმების მომსახურების გაწევაზე, ასევე აქტიური შრომითი ბაზრის ზომების განხორციელებაზე. ამ მომენტისათვის აქტიური ზომების სახით სამუშაოს მაძიებელთა მომზადება-გადამზადება, სოციალურად დაუცველი და ნაკლებად კონკურენტული ჯგუფების დასაქმების ხელშეწყობის პროგრამები, კერძო კომპანიებში სტაჟირებები, სამუშაო სუბსიდიები დაუცველი ჯგუფებისთვის, სხვადასხვა რეგიონებში სამუშაო გამოფენების ორგანიზება, პროფესიული კონსულტირება და კარიერული დაგეგმვა-განვითარება ხორციელდება. დასაქმების ხელშეწყობის სერვისის თანამშრომლები ჩართულები იყვნენ ევროკავშირის მიერ დაფინანსეულ ტვინინგის პროექტში, რომელიც 2017 წლის პირველ კვარტალში დასრულდა. </w:t>
      </w:r>
    </w:p>
    <w:p w14:paraId="5213E368" w14:textId="09733E8B" w:rsidR="00561D37" w:rsidRPr="007F6CA8" w:rsidRDefault="00030CD0" w:rsidP="00731B1D">
      <w:pPr>
        <w:spacing w:beforeLines="60" w:before="144" w:afterLines="60" w:after="144" w:line="276" w:lineRule="auto"/>
        <w:ind w:right="-31" w:firstLine="709"/>
        <w:jc w:val="both"/>
        <w:rPr>
          <w:rFonts w:ascii="Sylfaen" w:hAnsi="Sylfaen"/>
          <w:sz w:val="22"/>
          <w:szCs w:val="22"/>
        </w:rPr>
      </w:pPr>
      <w:r w:rsidRPr="007F6CA8">
        <w:rPr>
          <w:rFonts w:ascii="Sylfaen" w:hAnsi="Sylfaen"/>
          <w:sz w:val="22"/>
          <w:szCs w:val="22"/>
          <w:lang w:val="ka-GE"/>
        </w:rPr>
        <w:lastRenderedPageBreak/>
        <w:t>დასაქმების ხელშეწყობის სერვისების ჩამოყალიბების პროგრამა და მისი სამოქმედო გეგმა 2015-2018 წლებისათვის</w:t>
      </w:r>
      <w:r w:rsidRPr="007F6CA8">
        <w:rPr>
          <w:rStyle w:val="FootnoteReference"/>
          <w:rFonts w:ascii="Sylfaen" w:hAnsi="Sylfaen"/>
          <w:sz w:val="22"/>
          <w:szCs w:val="22"/>
        </w:rPr>
        <w:footnoteReference w:id="13"/>
      </w:r>
      <w:r w:rsidRPr="007F6CA8">
        <w:rPr>
          <w:rFonts w:ascii="Sylfaen" w:hAnsi="Sylfaen"/>
          <w:sz w:val="22"/>
          <w:szCs w:val="22"/>
          <w:lang w:val="ka-GE"/>
        </w:rPr>
        <w:t xml:space="preserve"> ადგენს დასაქმების ხელშეწყობის სერვისებს, რომელიც სოციალური მომსახურების სააგენტომ უნდა განახორციელოს, მათ შორის, კონსულტრება </w:t>
      </w:r>
      <w:r w:rsidR="0035034A" w:rsidRPr="007F6CA8">
        <w:rPr>
          <w:rFonts w:ascii="Sylfaen" w:hAnsi="Sylfaen"/>
          <w:sz w:val="22"/>
          <w:szCs w:val="22"/>
          <w:lang w:val="ka-GE"/>
        </w:rPr>
        <w:t>და სამუშაოზე განთავსების სერვისები, აქტიური შრომითი ბაზრის პოლიტიკა და შრომითი ბაზრის კვლევა. საგენტომ შექმნა ვებ-პორტალი „ვორქნეტი“</w:t>
      </w:r>
      <w:r w:rsidR="00561D37" w:rsidRPr="007F6CA8">
        <w:rPr>
          <w:rFonts w:ascii="Sylfaen" w:hAnsi="Sylfaen"/>
          <w:sz w:val="22"/>
          <w:szCs w:val="22"/>
        </w:rPr>
        <w:t xml:space="preserve">(www.worknet.gov.ge) </w:t>
      </w:r>
      <w:r w:rsidR="0035034A" w:rsidRPr="007F6CA8">
        <w:rPr>
          <w:rFonts w:ascii="Sylfaen" w:hAnsi="Sylfaen"/>
          <w:sz w:val="22"/>
          <w:szCs w:val="22"/>
          <w:lang w:val="ka-GE"/>
        </w:rPr>
        <w:t>სადაც რეგისტრირდებიან სამუშაოს მაძიებლები და ვაკანსიები. სამუშაოს მაძიებლებს უკვე შეუძლიათ ონლაინ რეგისტრაცია და პროფილზე წვდომა, მაგრამ ვაკანსიების, განათლებისა და გადამზადების შესაძლებლობების ნაწილი ჯერ კიდევ არ გააქტიურებულა. ვებ-საიტის მეშვეობით შესაძლებელი გახდება სამუშაოს მაძიებელთა და დამსაქმებელთა ავტომატური დაკავშირება, თუმცა, ჯკერ კიდევ არ არსებობს ონლაინ შესატყვისობისა თუ უკვე დარეგისტრირებულთა ანალიზის შესაძლებლობა</w:t>
      </w:r>
      <w:r w:rsidR="00561D37" w:rsidRPr="007F6CA8">
        <w:rPr>
          <w:rFonts w:ascii="Sylfaen" w:hAnsi="Sylfaen"/>
          <w:sz w:val="22"/>
          <w:szCs w:val="22"/>
        </w:rPr>
        <w:t xml:space="preserve"> (ETF, 2017).</w:t>
      </w:r>
    </w:p>
    <w:p w14:paraId="1C1437EF" w14:textId="425B54CF" w:rsidR="00C47BBC" w:rsidRPr="007F6CA8" w:rsidRDefault="005A1315"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არსებობს რამდენიმე კერძო დასაქმების სააგენტო, რომელიც, ძირითადად, საზღვარგარეთ დასაქმებაზე </w:t>
      </w:r>
      <w:r w:rsidR="002A4AC8" w:rsidRPr="007F6CA8">
        <w:rPr>
          <w:rFonts w:ascii="Sylfaen" w:hAnsi="Sylfaen"/>
          <w:sz w:val="22"/>
          <w:szCs w:val="22"/>
          <w:lang w:val="ka-GE"/>
        </w:rPr>
        <w:t>მუშაობს.</w:t>
      </w:r>
      <w:r w:rsidRPr="007F6CA8">
        <w:rPr>
          <w:rFonts w:ascii="Sylfaen" w:hAnsi="Sylfaen"/>
          <w:sz w:val="22"/>
          <w:szCs w:val="22"/>
          <w:lang w:val="ka-GE"/>
        </w:rPr>
        <w:t xml:space="preserve"> საქართველოს </w:t>
      </w:r>
      <w:r w:rsidR="002A4AC8" w:rsidRPr="007F6CA8">
        <w:rPr>
          <w:rFonts w:ascii="Sylfaen" w:hAnsi="Sylfaen"/>
          <w:sz w:val="22"/>
          <w:szCs w:val="22"/>
          <w:lang w:val="ka-GE"/>
        </w:rPr>
        <w:t>ოკუპირებული ტერიტორიებიდან იძულებით გადაადგილებულ პირთა, განსახლებისა და ლტოლვილთა სამინისტრო ახორციელებს პროგრამას, რომელიც ხელს უწყობს დაბრუნებული ქართველი მიგრანტების ინტეგრაციას.</w:t>
      </w:r>
      <w:r w:rsidR="002A4AC8" w:rsidRPr="007F6CA8">
        <w:rPr>
          <w:rFonts w:ascii="Sylfaen" w:hAnsi="Sylfaen"/>
          <w:vertAlign w:val="superscript"/>
          <w:lang w:val="ka-GE"/>
        </w:rPr>
        <w:footnoteReference w:id="14"/>
      </w:r>
      <w:r w:rsidR="002A4AC8" w:rsidRPr="007F6CA8">
        <w:rPr>
          <w:rFonts w:ascii="Sylfaen" w:hAnsi="Sylfaen"/>
          <w:sz w:val="22"/>
          <w:szCs w:val="22"/>
          <w:lang w:val="ka-GE"/>
        </w:rPr>
        <w:t xml:space="preserve"> ეს პროგრამა მოიცავს დაბრუნებული მიგრანტების გადამზადებას და მიკრო ბიზნეს პროექტების დაფინანსებას. </w:t>
      </w:r>
      <w:r w:rsidR="00F81A98" w:rsidRPr="007F6CA8">
        <w:rPr>
          <w:rFonts w:ascii="Sylfaen" w:hAnsi="Sylfaen"/>
          <w:sz w:val="22"/>
          <w:szCs w:val="22"/>
          <w:lang w:val="ka-GE"/>
        </w:rPr>
        <w:t xml:space="preserve">მსგავს პროგრამებს ზოგიერთი საერთაშორისო ორგანიზაციებიც </w:t>
      </w:r>
      <w:r w:rsidR="002028CF" w:rsidRPr="007F6CA8">
        <w:rPr>
          <w:rFonts w:ascii="Sylfaen" w:hAnsi="Sylfaen"/>
          <w:sz w:val="22"/>
          <w:szCs w:val="22"/>
          <w:lang w:val="ka-GE"/>
        </w:rPr>
        <w:t>ახორციელებს</w:t>
      </w:r>
      <w:r w:rsidR="00620113" w:rsidRPr="007F6CA8">
        <w:rPr>
          <w:rFonts w:ascii="Sylfaen" w:hAnsi="Sylfaen"/>
          <w:sz w:val="22"/>
          <w:szCs w:val="22"/>
          <w:lang w:val="ka-GE"/>
        </w:rPr>
        <w:t xml:space="preserve"> მოსახლეობის კონკრეტული ჯგუფებისათვის - იძულებით გადაადგილებული პირები, ქალი მეწარმეები, შეზღუდული შესაძლებლობების მქონე პირები და ა.შ. </w:t>
      </w:r>
    </w:p>
    <w:p w14:paraId="72499378" w14:textId="1FB92941" w:rsidR="00A52C91" w:rsidRPr="007F6CA8" w:rsidRDefault="00C47BBC"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საქართველოში უკვე დიდი ხანია არსებობს სამუშაოს საძიებელი ონლაინ პლატფორმები</w:t>
      </w:r>
      <w:r w:rsidR="00DA42BC" w:rsidRPr="007F6CA8">
        <w:rPr>
          <w:rFonts w:ascii="Sylfaen" w:hAnsi="Sylfaen"/>
          <w:sz w:val="22"/>
          <w:szCs w:val="22"/>
        </w:rPr>
        <w:t xml:space="preserve"> (</w:t>
      </w:r>
      <w:hyperlink r:id="rId20" w:history="1">
        <w:r w:rsidR="00DA42BC" w:rsidRPr="007F6CA8">
          <w:rPr>
            <w:rFonts w:ascii="Sylfaen" w:hAnsi="Sylfaen"/>
            <w:sz w:val="22"/>
            <w:szCs w:val="22"/>
          </w:rPr>
          <w:t>www.jobs.ge</w:t>
        </w:r>
      </w:hyperlink>
      <w:r w:rsidR="00DA42BC" w:rsidRPr="007F6CA8">
        <w:rPr>
          <w:rFonts w:ascii="Sylfaen" w:hAnsi="Sylfaen"/>
          <w:sz w:val="22"/>
          <w:szCs w:val="22"/>
        </w:rPr>
        <w:t xml:space="preserve">, </w:t>
      </w:r>
      <w:hyperlink r:id="rId21" w:history="1">
        <w:r w:rsidR="00DA42BC" w:rsidRPr="007F6CA8">
          <w:rPr>
            <w:rFonts w:ascii="Sylfaen" w:hAnsi="Sylfaen"/>
            <w:sz w:val="22"/>
            <w:szCs w:val="22"/>
          </w:rPr>
          <w:t>www.hr.ge</w:t>
        </w:r>
      </w:hyperlink>
      <w:r w:rsidR="00DA42BC" w:rsidRPr="007F6CA8">
        <w:rPr>
          <w:rFonts w:ascii="Sylfaen" w:hAnsi="Sylfaen"/>
          <w:sz w:val="22"/>
          <w:szCs w:val="22"/>
        </w:rPr>
        <w:t xml:space="preserve">, </w:t>
      </w:r>
      <w:hyperlink r:id="rId22" w:history="1">
        <w:r w:rsidR="00DA42BC" w:rsidRPr="007F6CA8">
          <w:rPr>
            <w:rFonts w:ascii="Sylfaen" w:hAnsi="Sylfaen"/>
            <w:sz w:val="22"/>
            <w:szCs w:val="22"/>
          </w:rPr>
          <w:t>www.hr.gov.ge</w:t>
        </w:r>
      </w:hyperlink>
      <w:r w:rsidR="00DA42BC" w:rsidRPr="007F6CA8">
        <w:rPr>
          <w:rFonts w:ascii="Sylfaen" w:hAnsi="Sylfaen"/>
          <w:sz w:val="22"/>
          <w:szCs w:val="22"/>
        </w:rPr>
        <w:t>)</w:t>
      </w:r>
      <w:r w:rsidRPr="007F6CA8">
        <w:rPr>
          <w:rFonts w:ascii="Sylfaen" w:hAnsi="Sylfaen"/>
          <w:sz w:val="22"/>
          <w:szCs w:val="22"/>
          <w:lang w:val="ka-GE"/>
        </w:rPr>
        <w:t xml:space="preserve">, </w:t>
      </w:r>
      <w:r w:rsidR="00A52C91" w:rsidRPr="007F6CA8">
        <w:rPr>
          <w:rFonts w:ascii="Sylfaen" w:hAnsi="Sylfaen"/>
          <w:sz w:val="22"/>
          <w:szCs w:val="22"/>
          <w:lang w:val="ka-GE"/>
        </w:rPr>
        <w:t xml:space="preserve">თუმცა, ვაკანსიების </w:t>
      </w:r>
      <w:r w:rsidR="00EF4A88" w:rsidRPr="007F6CA8">
        <w:rPr>
          <w:rFonts w:ascii="Sylfaen" w:hAnsi="Sylfaen"/>
          <w:sz w:val="22"/>
          <w:szCs w:val="22"/>
          <w:lang w:val="ka-GE"/>
        </w:rPr>
        <w:t xml:space="preserve">მასშტაბი შეზღუდულია და მონაცემების მიხედვით, სამუშაოს მაძიებლები სამსახურს ძირითდად არაფორმალური კავშირებით პოულობენ. </w:t>
      </w:r>
    </w:p>
    <w:p w14:paraId="1D706A06" w14:textId="184EB0AE" w:rsidR="00EF4A88" w:rsidRPr="007F6CA8" w:rsidRDefault="00EF4A88"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2013 წელს </w:t>
      </w:r>
      <w:r w:rsidRPr="007F6CA8">
        <w:rPr>
          <w:rFonts w:ascii="Sylfaen" w:hAnsi="Sylfaen"/>
          <w:sz w:val="22"/>
          <w:szCs w:val="22"/>
        </w:rPr>
        <w:t>CRRC-</w:t>
      </w:r>
      <w:r w:rsidRPr="007F6CA8">
        <w:rPr>
          <w:rFonts w:ascii="Sylfaen" w:hAnsi="Sylfaen"/>
          <w:sz w:val="22"/>
          <w:szCs w:val="22"/>
          <w:lang w:val="ka-GE"/>
        </w:rPr>
        <w:t xml:space="preserve">ს მიერ განხორციელებული კვლევის მიხედვით, </w:t>
      </w:r>
      <w:r w:rsidR="00F5068D" w:rsidRPr="007F6CA8">
        <w:rPr>
          <w:rFonts w:ascii="Sylfaen" w:hAnsi="Sylfaen"/>
          <w:sz w:val="22"/>
          <w:szCs w:val="22"/>
          <w:lang w:val="ka-GE"/>
        </w:rPr>
        <w:t xml:space="preserve">კარგი </w:t>
      </w:r>
      <w:r w:rsidRPr="007F6CA8">
        <w:rPr>
          <w:rFonts w:ascii="Sylfaen" w:hAnsi="Sylfaen"/>
          <w:sz w:val="22"/>
          <w:szCs w:val="22"/>
          <w:lang w:val="ka-GE"/>
        </w:rPr>
        <w:t>დასაქმებისთვის ორიდან ერთ-ერთ მნიშვნელოვან ფაქტორად (განათლებასთან ერთად) სასარგებლო კავშირები ითვლება</w:t>
      </w:r>
      <w:r w:rsidR="00F5068D" w:rsidRPr="007F6CA8">
        <w:rPr>
          <w:rFonts w:ascii="Sylfaen" w:hAnsi="Sylfaen"/>
          <w:sz w:val="22"/>
          <w:szCs w:val="22"/>
          <w:lang w:val="ka-GE"/>
        </w:rPr>
        <w:t>.</w:t>
      </w:r>
      <w:r w:rsidR="00F5068D" w:rsidRPr="007F6CA8">
        <w:rPr>
          <w:rStyle w:val="FootnoteReference"/>
          <w:rFonts w:ascii="Sylfaen" w:hAnsi="Sylfaen"/>
          <w:sz w:val="22"/>
          <w:szCs w:val="22"/>
        </w:rPr>
        <w:footnoteReference w:id="15"/>
      </w:r>
      <w:r w:rsidR="00F5068D" w:rsidRPr="007F6CA8">
        <w:rPr>
          <w:rFonts w:ascii="Sylfaen" w:hAnsi="Sylfaen"/>
          <w:sz w:val="22"/>
          <w:szCs w:val="22"/>
          <w:lang w:val="ka-GE"/>
        </w:rPr>
        <w:t xml:space="preserve"> იმის გამო, რომ ქართველების დიდი ნაწილი სამსახურს </w:t>
      </w:r>
      <w:r w:rsidR="00A22108" w:rsidRPr="007F6CA8">
        <w:rPr>
          <w:rFonts w:ascii="Sylfaen" w:hAnsi="Sylfaen"/>
          <w:sz w:val="22"/>
          <w:szCs w:val="22"/>
          <w:lang w:val="ka-GE"/>
        </w:rPr>
        <w:t xml:space="preserve">არაფორმალური გზებით ეძებს, </w:t>
      </w:r>
      <w:r w:rsidR="001227CE" w:rsidRPr="007F6CA8">
        <w:rPr>
          <w:rFonts w:ascii="Sylfaen" w:hAnsi="Sylfaen"/>
          <w:sz w:val="22"/>
          <w:szCs w:val="22"/>
          <w:lang w:val="ka-GE"/>
        </w:rPr>
        <w:t>ბუნებრივია, რომ სამუშაო გასაუბრებები ხშირი არ არის. 2014 წელს თბილისის სახელმწიფო უნივერსიტეტის სოციალურ მეცნიერებათა ცენტრის მიერ ჩატარებული კვლევის მიხედვით</w:t>
      </w:r>
      <w:r w:rsidR="00A22108" w:rsidRPr="007F6CA8">
        <w:rPr>
          <w:rFonts w:ascii="Sylfaen" w:hAnsi="Sylfaen"/>
          <w:sz w:val="22"/>
          <w:szCs w:val="22"/>
          <w:lang w:val="ka-GE"/>
        </w:rPr>
        <w:t xml:space="preserve"> </w:t>
      </w:r>
      <w:r w:rsidR="001227CE" w:rsidRPr="007F6CA8">
        <w:rPr>
          <w:rFonts w:ascii="Sylfaen" w:hAnsi="Sylfaen"/>
          <w:sz w:val="22"/>
          <w:szCs w:val="22"/>
          <w:lang w:val="ka-GE"/>
        </w:rPr>
        <w:t>ქართველების 44% სამუშაოს მოსაძიებლად იყენებს ოჯახს, მეგობრებს და ნაცნობებს, ხოლო საქმდება იმ პირების 2/3, რომლებიც სამუშაოს ძიების დროს სოციალურ კავშირებს ეყრდნობა. 1,364 გამოკითხული ადამიანიდან, რომლებიც ქვეყნის სხვადასხვა ნაწილებში ფორმალურად თუ არაფორმალურად იყვნენ დასაქმებულები, სამუშაო გასაუბრება ჰქონიდა მხოლოდ ნახევარს. თუ</w:t>
      </w:r>
      <w:r w:rsidR="00230E1D" w:rsidRPr="007F6CA8">
        <w:rPr>
          <w:rFonts w:ascii="Sylfaen" w:hAnsi="Sylfaen"/>
          <w:sz w:val="22"/>
          <w:szCs w:val="22"/>
          <w:lang w:val="ka-GE"/>
        </w:rPr>
        <w:t>მცა, გასაუბრების შემთხვევაშიც, დიდი შანსია, რომ პირს დაუსვან პირადი სახის კითვებიც, რაც კარიერასთან კავშირში არ არის. რესპონდენტების 65%, ქალებსაც და კაცებსაც, ინტერვიუს დროს ეკითხებოდნენ ოჯახური სტატუსის შესახებ</w:t>
      </w:r>
      <w:r w:rsidR="002D03F8" w:rsidRPr="007F6CA8">
        <w:rPr>
          <w:rFonts w:ascii="Sylfaen" w:hAnsi="Sylfaen"/>
          <w:sz w:val="22"/>
          <w:szCs w:val="22"/>
          <w:lang w:val="ka-GE"/>
        </w:rPr>
        <w:t xml:space="preserve">, ხოლო 40% ჰკითხეს რამდენი ბავშვი ჰყავთ. ამგვარ კითხვებს დისკრიმინაციულ მოპყრობამდე მივყავართ, ვინაიდან </w:t>
      </w:r>
      <w:r w:rsidR="002D03F8" w:rsidRPr="007F6CA8">
        <w:rPr>
          <w:rFonts w:ascii="Sylfaen" w:hAnsi="Sylfaen"/>
          <w:sz w:val="22"/>
          <w:szCs w:val="22"/>
          <w:lang w:val="ka-GE"/>
        </w:rPr>
        <w:lastRenderedPageBreak/>
        <w:t>ოჯახის ყოლა მამაკაცისათვის უპირატესობად ითვლება, ხოლო ქალისთვის პირიქით (პოპოვაიტე, 2015).</w:t>
      </w:r>
    </w:p>
    <w:p w14:paraId="1DDCBA9F" w14:textId="27B94F5E" w:rsidR="002D03F8" w:rsidRPr="007F6CA8" w:rsidRDefault="002D03F8"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შრომის, ჯანმრთელობისა და სოციალურ საქმეთა სამინისტროს მიერ ახლახანს ჩატარებულმა საწარმოების წარმომადგენლობითმა კვლევამ ასევე აჩვენა, რომ ადგილობრივი დამსაქმებლებისათვის თანამშრომლების მოძიების ძირითადი წყარო არაფორმალური კავშირებია - ეს რესპონდენტთა 60% აღნიშნა (</w:t>
      </w:r>
      <w:r w:rsidRPr="007F6CA8">
        <w:rPr>
          <w:rFonts w:ascii="Sylfaen" w:hAnsi="Sylfaen"/>
          <w:sz w:val="22"/>
          <w:szCs w:val="22"/>
        </w:rPr>
        <w:t>MLHSA, 2015</w:t>
      </w:r>
      <w:r w:rsidRPr="007F6CA8">
        <w:rPr>
          <w:rFonts w:ascii="Sylfaen" w:hAnsi="Sylfaen"/>
          <w:sz w:val="22"/>
          <w:szCs w:val="22"/>
          <w:lang w:val="ka-GE"/>
        </w:rPr>
        <w:t xml:space="preserve">). დამსაქმებლები ასევე ხელს უწყობენ ახალგაზრდების უმუშევრობას, ვინაიდან, როგორც წესი, გამოცდილ თანამშრომლებს ეძებენ, ხოლო ახალგაზრდებს შესაბამისი სამუშაოს მოძიების პრობლემა აქვთ. </w:t>
      </w:r>
    </w:p>
    <w:p w14:paraId="47A3E841" w14:textId="36CD12EC" w:rsidR="00DA42BC" w:rsidRPr="007F6CA8" w:rsidRDefault="002D03F8" w:rsidP="00731B1D">
      <w:pPr>
        <w:spacing w:beforeLines="60" w:before="144" w:afterLines="60" w:after="144" w:line="276" w:lineRule="auto"/>
        <w:ind w:right="-31" w:firstLine="709"/>
        <w:jc w:val="both"/>
        <w:rPr>
          <w:rFonts w:ascii="Sylfaen" w:hAnsi="Sylfaen"/>
          <w:sz w:val="22"/>
          <w:szCs w:val="22"/>
        </w:rPr>
      </w:pPr>
      <w:r w:rsidRPr="007F6CA8">
        <w:rPr>
          <w:rFonts w:ascii="Sylfaen" w:hAnsi="Sylfaen"/>
          <w:sz w:val="22"/>
          <w:szCs w:val="22"/>
          <w:lang w:val="ka-GE"/>
        </w:rPr>
        <w:t xml:space="preserve">ქვეყნის სოციო-ეკონომიკური განვითარების სტრატეგია, „საქართველო 2020“, რომელიც დასაქმებისა და შრომითი ბაზრის ზოგად პოლიტიკას აყალიბებს, ასევე აცნობიერებს, რომ არსებობს შრომითი ბაზრის ფუნქციონირების გაუმჯობესების საჭიროება. იგი განსაზღვრავს რამდენიმე აქტივობას, რომელიც უნდა განხორციელდეს შრომითი ბაზრის კვლევის, ინსტიტუციონალიზაციისთვის, შრომითი ბაზრის შესახებ ინფორმაციის მოძიებისთვის, დამსაქმებლებსა და სამუშაოს მაძიებლებს შორის ეფექტური კომუნიკაციისთვის, საჯარო და კერძო სამუშაოს მედიაციის მომსახურების ჩამოყალიბება, უმუშევრებისა და სამუშას მაძიებლების გადამზადების სისტემის შექმნა, და ისეთი პროგრამების შემოღება, რომელიც ხელს უწყობს თვითდასაქმებასა და მეწარმეობრივ საქმიანობას. უფრო მეტიც, ევროკავშირი-საქართველოს ასოცირების ხელშეკრულება, ასევე ღრმა და ყოვლისმომცველი </w:t>
      </w:r>
      <w:r w:rsidR="0026388C" w:rsidRPr="007F6CA8">
        <w:rPr>
          <w:rFonts w:ascii="Sylfaen" w:hAnsi="Sylfaen"/>
          <w:sz w:val="22"/>
          <w:szCs w:val="22"/>
          <w:lang w:val="ka-GE"/>
        </w:rPr>
        <w:t>თავისუ</w:t>
      </w:r>
      <w:r w:rsidRPr="007F6CA8">
        <w:rPr>
          <w:rFonts w:ascii="Sylfaen" w:hAnsi="Sylfaen"/>
          <w:sz w:val="22"/>
          <w:szCs w:val="22"/>
          <w:lang w:val="ka-GE"/>
        </w:rPr>
        <w:t>ფალი ვაჭრობის შეთანხმება, რომელსც 2014 წელს მოეწერა ხელი, სავალდებულოს ხდის დასაქმების კანონმდებლობის ევროპულ სტანდარტებზე მორგებას (მაგალითად, ღირსეული სამუშაო, დასაქმების პოლიტიკა, აქტიური შრომითი ბაზრის პოლიტიკა, სამუშაო ადგილას ჯანმრთელობა და უსაფრთხოება, სოციალური დიალოგი, სოციალური დაცვა, შშმ პირებისა და უმცირესობათა წარმომადგენლების სოციალური ინკლუზია, გენდერული თანასწორობა და დისკრიმინაციის საწინააღმდეგო კანონმდებლობა</w:t>
      </w:r>
      <w:r w:rsidR="00DA42BC" w:rsidRPr="007F6CA8">
        <w:rPr>
          <w:rFonts w:ascii="Sylfaen" w:hAnsi="Sylfaen"/>
          <w:sz w:val="22"/>
          <w:szCs w:val="22"/>
        </w:rPr>
        <w:t xml:space="preserve"> (ETF, 2017, p.8).</w:t>
      </w:r>
    </w:p>
    <w:p w14:paraId="7611D4E2" w14:textId="77777777" w:rsidR="000C7E40" w:rsidRPr="007F6CA8" w:rsidRDefault="000C7E40" w:rsidP="00731B1D">
      <w:pPr>
        <w:pStyle w:val="BodyText"/>
        <w:spacing w:beforeLines="60" w:before="144" w:afterLines="60" w:after="144" w:line="276" w:lineRule="auto"/>
        <w:ind w:left="720"/>
        <w:rPr>
          <w:rFonts w:ascii="Sylfaen" w:hAnsi="Sylfaen"/>
          <w:lang w:val="en-GB"/>
        </w:rPr>
      </w:pPr>
    </w:p>
    <w:p w14:paraId="2520E90D" w14:textId="5F62C8AF" w:rsidR="00FD6034" w:rsidRPr="007F6CA8" w:rsidRDefault="002D03F8" w:rsidP="00731B1D">
      <w:pPr>
        <w:pStyle w:val="Heading2"/>
        <w:spacing w:beforeLines="60" w:before="144" w:afterLines="60" w:after="144" w:line="276" w:lineRule="auto"/>
        <w:rPr>
          <w:rFonts w:ascii="Sylfaen" w:hAnsi="Sylfaen"/>
        </w:rPr>
      </w:pPr>
      <w:bookmarkStart w:id="9" w:name="_Toc513596831"/>
      <w:r w:rsidRPr="007F6CA8">
        <w:rPr>
          <w:rFonts w:ascii="Sylfaen" w:hAnsi="Sylfaen"/>
          <w:lang w:val="ka-GE"/>
        </w:rPr>
        <w:t>უნარების შეუსაბამობის განვითარება</w:t>
      </w:r>
      <w:bookmarkEnd w:id="9"/>
      <w:r w:rsidR="00B24541" w:rsidRPr="007F6CA8">
        <w:rPr>
          <w:rFonts w:ascii="Sylfaen" w:hAnsi="Sylfaen"/>
        </w:rPr>
        <w:t xml:space="preserve"> </w:t>
      </w:r>
    </w:p>
    <w:p w14:paraId="5384F312" w14:textId="35A24712" w:rsidR="002D03F8" w:rsidRPr="007F6CA8" w:rsidRDefault="00FC77A7"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ქართული შრომითი ბაზრის ეფექტური განვითარებისათვის მნიშვნელოვან </w:t>
      </w:r>
      <w:r w:rsidR="0026388C" w:rsidRPr="007F6CA8">
        <w:rPr>
          <w:rFonts w:ascii="Sylfaen" w:hAnsi="Sylfaen"/>
          <w:sz w:val="22"/>
          <w:szCs w:val="22"/>
          <w:lang w:val="ka-GE"/>
        </w:rPr>
        <w:t>წინააღ</w:t>
      </w:r>
      <w:r w:rsidRPr="007F6CA8">
        <w:rPr>
          <w:rFonts w:ascii="Sylfaen" w:hAnsi="Sylfaen"/>
          <w:sz w:val="22"/>
          <w:szCs w:val="22"/>
          <w:lang w:val="ka-GE"/>
        </w:rPr>
        <w:t xml:space="preserve">მდეგობას ქმნის შესაბამისი საჯარო დაწესებულების არარსებობა. ცოტა ხნის წინ გარკვეული ფუნქციები, განსაკუთრებით კი შრომითი ბაზრის შესახებ ინფორმაციის მიმოცვლა სხვადასხვა ორგანიზაციებს შორის და ამ ინფორმაციის მართვა შრომის, ჯანმრთელობისა და სოციალურ საქმეთა სამინისტროდან გადაეცა ეკონომიკისა და მდგრადი განვითარების სამინისტროს. </w:t>
      </w:r>
    </w:p>
    <w:p w14:paraId="776AE70D" w14:textId="2D8D42B3" w:rsidR="004972B1" w:rsidRPr="007F6CA8" w:rsidRDefault="004972B1" w:rsidP="00731B1D">
      <w:pPr>
        <w:spacing w:beforeLines="60" w:before="144" w:afterLines="60" w:after="144" w:line="276" w:lineRule="auto"/>
        <w:ind w:right="-31" w:firstLine="709"/>
        <w:jc w:val="both"/>
        <w:rPr>
          <w:rFonts w:ascii="Sylfaen" w:hAnsi="Sylfaen"/>
          <w:sz w:val="22"/>
          <w:szCs w:val="22"/>
        </w:rPr>
      </w:pPr>
      <w:r w:rsidRPr="007F6CA8">
        <w:rPr>
          <w:rFonts w:ascii="Sylfaen" w:hAnsi="Sylfaen"/>
          <w:sz w:val="22"/>
          <w:szCs w:val="22"/>
          <w:lang w:val="ka-GE"/>
        </w:rPr>
        <w:t>შრომით ბაზარზე არსებული შეუსაბამობის სიღრმისეული ანალიზი 2007 წელს, მიგრაციის საერთაშორისო ორგანიზაციის მიერ დაიწყო. ბოლო, 2010 წლის კვლევამ აჩვე</w:t>
      </w:r>
      <w:r w:rsidR="0026388C" w:rsidRPr="007F6CA8">
        <w:rPr>
          <w:rFonts w:ascii="Sylfaen" w:hAnsi="Sylfaen"/>
          <w:sz w:val="22"/>
          <w:szCs w:val="22"/>
          <w:lang w:val="ka-GE"/>
        </w:rPr>
        <w:t>ნ</w:t>
      </w:r>
      <w:r w:rsidRPr="007F6CA8">
        <w:rPr>
          <w:rFonts w:ascii="Sylfaen" w:hAnsi="Sylfaen"/>
          <w:sz w:val="22"/>
          <w:szCs w:val="22"/>
          <w:lang w:val="ka-GE"/>
        </w:rPr>
        <w:t xml:space="preserve">ა, რომ მასიური უმუშევრობის პირობებშიც, დამსაქმებელთა უმეტესობას უჭირს შესაბამისი თანამშრომლების მოძიება სასურველი პროფესიებისა და კვალიფიკაციევისათვის: მეწარმეთა 34% პრობლემებს აწყდება პერსონალის მოძიების დროს; ძნელად მოსაძიებელი პერსონალის 54% კვალიფიციური მუშახელია; 31% უმაღლესი განათლების მქონე სპეციალისტია, ხოლო 2% </w:t>
      </w:r>
      <w:r w:rsidRPr="007F6CA8">
        <w:rPr>
          <w:rFonts w:ascii="Sylfaen" w:hAnsi="Sylfaen"/>
          <w:sz w:val="22"/>
          <w:szCs w:val="22"/>
          <w:lang w:val="ka-GE"/>
        </w:rPr>
        <w:lastRenderedPageBreak/>
        <w:t>არაკვალიფიციური მუშახელია; დამსაქმებელთა 13% უჭირს როგორც მუშახელის, ასევე უმაღლესი განათლების მქონე სპეციალისტების მოძიება</w:t>
      </w:r>
      <w:r w:rsidRPr="007F6CA8">
        <w:rPr>
          <w:rFonts w:ascii="Sylfaen" w:hAnsi="Sylfaen"/>
          <w:sz w:val="22"/>
          <w:szCs w:val="22"/>
        </w:rPr>
        <w:t xml:space="preserve"> (USAID </w:t>
      </w:r>
      <w:r w:rsidRPr="007F6CA8">
        <w:rPr>
          <w:rFonts w:ascii="Sylfaen" w:hAnsi="Sylfaen"/>
          <w:sz w:val="22"/>
          <w:szCs w:val="22"/>
          <w:lang w:val="ka-GE"/>
        </w:rPr>
        <w:t>და</w:t>
      </w:r>
      <w:r w:rsidRPr="007F6CA8">
        <w:rPr>
          <w:rFonts w:ascii="Sylfaen" w:hAnsi="Sylfaen"/>
          <w:sz w:val="22"/>
          <w:szCs w:val="22"/>
        </w:rPr>
        <w:t xml:space="preserve"> IOM, 2010</w:t>
      </w:r>
      <w:r w:rsidR="004F68C5" w:rsidRPr="007F6CA8">
        <w:rPr>
          <w:rFonts w:ascii="Sylfaen" w:hAnsi="Sylfaen"/>
          <w:sz w:val="22"/>
          <w:szCs w:val="22"/>
        </w:rPr>
        <w:t>).</w:t>
      </w:r>
    </w:p>
    <w:p w14:paraId="43D279CA" w14:textId="6F881F78" w:rsidR="004F68C5" w:rsidRPr="007F6CA8" w:rsidRDefault="004972B1"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დამსაქმებელთა მიერ მუშახელის მოთხოვნის კვლევამ აჩვენა, რომ 960 ორგანიზაციაში 6,000 ვაკანსია იყო</w:t>
      </w:r>
      <w:r w:rsidR="004F68C5" w:rsidRPr="007F6CA8">
        <w:rPr>
          <w:rFonts w:ascii="Sylfaen" w:hAnsi="Sylfaen"/>
          <w:sz w:val="22"/>
          <w:szCs w:val="22"/>
        </w:rPr>
        <w:t xml:space="preserve"> (MLHSA, 2015, p. 17)</w:t>
      </w:r>
      <w:r w:rsidR="007F4B38" w:rsidRPr="007F6CA8">
        <w:rPr>
          <w:rStyle w:val="FootnoteReference"/>
          <w:rFonts w:ascii="Sylfaen" w:hAnsi="Sylfaen"/>
          <w:sz w:val="22"/>
          <w:szCs w:val="22"/>
        </w:rPr>
        <w:footnoteReference w:id="16"/>
      </w:r>
      <w:r w:rsidR="004F68C5" w:rsidRPr="007F6CA8">
        <w:rPr>
          <w:rFonts w:ascii="Sylfaen" w:hAnsi="Sylfaen"/>
          <w:sz w:val="22"/>
          <w:szCs w:val="22"/>
        </w:rPr>
        <w:t xml:space="preserve">. </w:t>
      </w:r>
      <w:r w:rsidRPr="007F6CA8">
        <w:rPr>
          <w:rFonts w:ascii="Sylfaen" w:hAnsi="Sylfaen"/>
          <w:sz w:val="22"/>
          <w:szCs w:val="22"/>
          <w:lang w:val="ka-GE"/>
        </w:rPr>
        <w:t xml:space="preserve">ამისი მიზეზი კვალიფიციური მუშახელის ნაკლებობა, შემოსული განაცხადების ნაკლებობა და დაბალი ხელფასები იყო. დაბალი კვალიფიაციის მქონე სამუშაოს მაძიებლების/თანამშრომლების გამო ხშირად საჭირო ხდება უცხოელი მუშახელის მოძიება. ამ კვლევის მიხედვით ძირითდად შემდეგი პროფესიების ადამიანების ნაკლებობა შეინიშება: ბუღალტრები მასწავლებლები, კონკრეტული სფეროს პრაქტიკოსი ექიმები, მიმტანები, დასუფთავების პერსონალი და მსგავსი. ამავე სიაშია მარკეტინგის მენეჯერები, ლითონებზე მომუშავეები, მონაცემთა ანგარიშგების მოხელეები, დირექტორები და აღმასრულებელი პირები, </w:t>
      </w:r>
      <w:r w:rsidR="0026388C" w:rsidRPr="007F6CA8">
        <w:rPr>
          <w:rFonts w:ascii="Sylfaen" w:hAnsi="Sylfaen"/>
          <w:sz w:val="22"/>
          <w:szCs w:val="22"/>
          <w:lang w:val="ka-GE"/>
        </w:rPr>
        <w:t>ინდ</w:t>
      </w:r>
      <w:r w:rsidRPr="007F6CA8">
        <w:rPr>
          <w:rFonts w:ascii="Sylfaen" w:hAnsi="Sylfaen"/>
          <w:sz w:val="22"/>
          <w:szCs w:val="22"/>
          <w:lang w:val="ka-GE"/>
        </w:rPr>
        <w:t>უსტრიული სექტორის კვალიფიციური მუშაკები (იქვე, გვ.16).</w:t>
      </w:r>
    </w:p>
    <w:p w14:paraId="78D4B36A" w14:textId="7ED5FC50" w:rsidR="004972B1" w:rsidRPr="007F6CA8" w:rsidRDefault="004972B1"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ამ კვლევის თვისებრივმა ნაწილმა აჩვენა, რომ მთელ რიგ </w:t>
      </w:r>
      <w:r w:rsidR="008B5E35" w:rsidRPr="007F6CA8">
        <w:rPr>
          <w:rFonts w:ascii="Sylfaen" w:hAnsi="Sylfaen"/>
          <w:sz w:val="22"/>
          <w:szCs w:val="22"/>
          <w:lang w:val="ka-GE"/>
        </w:rPr>
        <w:t xml:space="preserve">პოზიციებზე </w:t>
      </w:r>
      <w:r w:rsidRPr="007F6CA8">
        <w:rPr>
          <w:rFonts w:ascii="Sylfaen" w:hAnsi="Sylfaen"/>
          <w:sz w:val="22"/>
          <w:szCs w:val="22"/>
          <w:lang w:val="ka-GE"/>
        </w:rPr>
        <w:t>დამსაქმებლებს უჭირთ შესაბამისი პროფესიული უნარების მქონე თანამშრომლე</w:t>
      </w:r>
      <w:r w:rsidR="008B5E35" w:rsidRPr="007F6CA8">
        <w:rPr>
          <w:rFonts w:ascii="Sylfaen" w:hAnsi="Sylfaen"/>
          <w:sz w:val="22"/>
          <w:szCs w:val="22"/>
          <w:lang w:val="ka-GE"/>
        </w:rPr>
        <w:t>ბის მოძება. ასეთია, მაგალითად, მარკეტინგის მენეჯერი, გაიყდვების მენეჯერი, საკვების ტექნოლოგი, პროექტის მენეჯერი, ფინანსისტი, რისკების ანალიტიკოსი - ეს პოზიციები თითქმის სულ ვაკანტურია რესპონდენტ ორგანიზაციებში.</w:t>
      </w:r>
    </w:p>
    <w:p w14:paraId="4C2052AB" w14:textId="0A13EC81" w:rsidR="004F68C5" w:rsidRPr="007F6CA8" w:rsidRDefault="008B5E35"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ზოგი ექსპერტის აზრით, დისბალანსი </w:t>
      </w:r>
      <w:r w:rsidR="000B31CB" w:rsidRPr="007F6CA8">
        <w:rPr>
          <w:rFonts w:ascii="Sylfaen" w:hAnsi="Sylfaen"/>
          <w:sz w:val="22"/>
          <w:szCs w:val="22"/>
          <w:lang w:val="ka-GE"/>
        </w:rPr>
        <w:t xml:space="preserve">მუშახელის </w:t>
      </w:r>
      <w:r w:rsidRPr="007F6CA8">
        <w:rPr>
          <w:rFonts w:ascii="Sylfaen" w:hAnsi="Sylfaen"/>
          <w:sz w:val="22"/>
          <w:szCs w:val="22"/>
          <w:lang w:val="ka-GE"/>
        </w:rPr>
        <w:t xml:space="preserve">მიწოდებასა და </w:t>
      </w:r>
      <w:r w:rsidR="000B31CB" w:rsidRPr="007F6CA8">
        <w:rPr>
          <w:rFonts w:ascii="Sylfaen" w:hAnsi="Sylfaen"/>
          <w:sz w:val="22"/>
          <w:szCs w:val="22"/>
          <w:lang w:val="ka-GE"/>
        </w:rPr>
        <w:t>მოთხოვნას შორის საქა</w:t>
      </w:r>
      <w:r w:rsidR="00A946DF" w:rsidRPr="007F6CA8">
        <w:rPr>
          <w:rFonts w:ascii="Sylfaen" w:hAnsi="Sylfaen"/>
          <w:sz w:val="22"/>
          <w:szCs w:val="22"/>
          <w:lang w:val="ka-GE"/>
        </w:rPr>
        <w:t>რ</w:t>
      </w:r>
      <w:r w:rsidR="000B31CB" w:rsidRPr="007F6CA8">
        <w:rPr>
          <w:rFonts w:ascii="Sylfaen" w:hAnsi="Sylfaen"/>
          <w:sz w:val="22"/>
          <w:szCs w:val="22"/>
          <w:lang w:val="ka-GE"/>
        </w:rPr>
        <w:t>თველოშ</w:t>
      </w:r>
      <w:r w:rsidR="00A946DF" w:rsidRPr="007F6CA8">
        <w:rPr>
          <w:rFonts w:ascii="Sylfaen" w:hAnsi="Sylfaen"/>
          <w:sz w:val="22"/>
          <w:szCs w:val="22"/>
          <w:lang w:val="ka-GE"/>
        </w:rPr>
        <w:t>ი</w:t>
      </w:r>
      <w:r w:rsidR="000B31CB" w:rsidRPr="007F6CA8">
        <w:rPr>
          <w:rFonts w:ascii="Sylfaen" w:hAnsi="Sylfaen"/>
          <w:sz w:val="22"/>
          <w:szCs w:val="22"/>
          <w:lang w:val="ka-GE"/>
        </w:rPr>
        <w:t xml:space="preserve"> გაბატონებული სტრუქტურული უმუშევრობიდანაა გამოწვეული. თუმცა, ასევე არსებობს უმუშევრობის ნაწილიც, რომელიც თანდათან გარდაიქმნება სტრუქტურულ უმუშევრობად (პაიჭაძე და სხვები, 2016).</w:t>
      </w:r>
    </w:p>
    <w:p w14:paraId="0F105B0B" w14:textId="1B1BAD94" w:rsidR="004F68C5" w:rsidRPr="007F6CA8" w:rsidRDefault="000B31CB"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უნარების შეუსაბამობა ჩნდება, როცა უნარების მიწოდება ვერ აკმაყოფილებს უნარებზე მოთხოვნას. კონკრეტულად კი, როცა მუშაკების უნარები </w:t>
      </w:r>
      <w:r w:rsidR="0074244C" w:rsidRPr="007F6CA8">
        <w:rPr>
          <w:rFonts w:ascii="Sylfaen" w:hAnsi="Sylfaen"/>
          <w:sz w:val="22"/>
          <w:szCs w:val="22"/>
          <w:lang w:val="ka-GE"/>
        </w:rPr>
        <w:t xml:space="preserve">განსხვავდება დამსაქმებლის მიერ მოთხოვნილი უნარებისგან. ამჟმად არ არსებობს რაიმე პირდაპირი ზომები, რომელიც მოთხოვნილ და მიწოდებულ უნარებს დაარეგულირებს. უნარების მაჩვენებლად, როგორც წესი, განათლება და პროფესია მიიჩნევა. ამ სფეროში კვლევა ახლახანს ჩაატარა მსოფლიო ბანკმა. სამუშაოების სტრუქტურისა და მუშახელის განათლების და პროფესიების მიხედვით შედარებამ აჩვენა, რომ ტრადიციულ ქართულ დასაქმების სტრუქტურაში დიდი ხარვეზებია, რაც მიუთითებს უმაღლესი კვალიფიკაციის მქონე მუშახელის შეზღუდულ მოთხოვნაზე და მესამე საფეხურის განათლების მქონე მუშაკების ჭარბ რაოდენობაზე. მაგრამ ქართული ეკონომიკის თანამედროვე სექტორი ძალიან მცირეა და ვერ ითვისებს მესამე საფეხურის განთლების მოქნე ყველა მუშაკს. შესაბამისად, უმაღლესი განათლების მქონე ბევრი ადამიანი უმუშევარია, ან დაბალი კვალიფიკაციის პოზიციაზეა დასაქმებული. შესაბამისად, უმაღლესი </w:t>
      </w:r>
      <w:r w:rsidR="00510690" w:rsidRPr="007F6CA8">
        <w:rPr>
          <w:rFonts w:ascii="Sylfaen" w:hAnsi="Sylfaen"/>
          <w:sz w:val="22"/>
          <w:szCs w:val="22"/>
          <w:lang w:val="ka-GE"/>
        </w:rPr>
        <w:t xml:space="preserve">განათლებიდან მიღებული სარგებელი შეზღუდულია. ამავდროულად, უმაღლესი განათლების მქონე ბევრ ადამიანს აკლია დასაქმებისათვის საჭირო უნარები. მიუხედავად უმუშევრობის დიდი მაჩვენებლისა, დამსაქმებლები ხშირად ვერ პოულობენ საჭირო უნარების მქონე ადამიანებს, ამგვარად, </w:t>
      </w:r>
      <w:r w:rsidR="00510690" w:rsidRPr="007F6CA8">
        <w:rPr>
          <w:rFonts w:ascii="Sylfaen" w:hAnsi="Sylfaen"/>
          <w:sz w:val="22"/>
          <w:szCs w:val="22"/>
          <w:lang w:val="ka-GE"/>
        </w:rPr>
        <w:lastRenderedPageBreak/>
        <w:t>განათლების სიჭარბე (ასევე ცნობილია ვერტიკალური შეუსაბამობის სახელით) უკავშირდება არასაკმარის უნარებს, ან უნარების არარსებობას</w:t>
      </w:r>
      <w:r w:rsidR="004F68C5" w:rsidRPr="007F6CA8">
        <w:rPr>
          <w:rFonts w:ascii="Sylfaen" w:hAnsi="Sylfaen"/>
          <w:sz w:val="22"/>
          <w:szCs w:val="22"/>
        </w:rPr>
        <w:t xml:space="preserve"> (WB, 2013, p.15)</w:t>
      </w:r>
      <w:r w:rsidR="00510690" w:rsidRPr="007F6CA8">
        <w:rPr>
          <w:rFonts w:ascii="Sylfaen" w:hAnsi="Sylfaen"/>
          <w:sz w:val="22"/>
          <w:szCs w:val="22"/>
          <w:lang w:val="ka-GE"/>
        </w:rPr>
        <w:t>.</w:t>
      </w:r>
    </w:p>
    <w:p w14:paraId="01815E36" w14:textId="00BCB3E1" w:rsidR="004F68C5" w:rsidRPr="007F6CA8" w:rsidRDefault="00510690" w:rsidP="00731B1D">
      <w:pPr>
        <w:spacing w:beforeLines="60" w:before="144" w:afterLines="60" w:after="144" w:line="276" w:lineRule="auto"/>
        <w:ind w:right="-31" w:firstLine="709"/>
        <w:jc w:val="both"/>
        <w:rPr>
          <w:rFonts w:ascii="Sylfaen" w:hAnsi="Sylfaen"/>
          <w:sz w:val="22"/>
          <w:szCs w:val="22"/>
        </w:rPr>
      </w:pPr>
      <w:r w:rsidRPr="007F6CA8">
        <w:rPr>
          <w:rFonts w:ascii="Sylfaen" w:hAnsi="Sylfaen"/>
          <w:sz w:val="22"/>
          <w:szCs w:val="22"/>
          <w:lang w:val="ka-GE"/>
        </w:rPr>
        <w:t xml:space="preserve">საქართველოში ტრადიციული დასაქმების </w:t>
      </w:r>
      <w:r w:rsidR="005349E7" w:rsidRPr="007F6CA8">
        <w:rPr>
          <w:rFonts w:ascii="Sylfaen" w:hAnsi="Sylfaen"/>
          <w:sz w:val="22"/>
          <w:szCs w:val="22"/>
          <w:lang w:val="ka-GE"/>
        </w:rPr>
        <w:t>სტრუქტურაში შეზღუდულია მოთხოვნა უმაღლესი განათლების მქონე მუშახელზე, თუმცა, ამგვარი მუშახელი დიდი რაოდენობითაა წარმოდგენილი. 31 პროცენტიდან დიდია იმ მუშახელის მაჩვენებელი, რომელსაც უმაღლესი განათლება აქვს და ეს დამახასიათებელია არამხოლოდ საქართველოს მსგავსი საშუალო განათლების მქონე ქვეყნებისთვის, არამედ მაღალი შემოსავლის მქონე ევროპული ქვეყნებისათვისაც</w:t>
      </w:r>
      <w:r w:rsidR="007A740D" w:rsidRPr="007F6CA8">
        <w:rPr>
          <w:rFonts w:ascii="Sylfaen" w:hAnsi="Sylfaen"/>
          <w:sz w:val="22"/>
          <w:szCs w:val="22"/>
          <w:lang w:val="ka-GE"/>
        </w:rPr>
        <w:t xml:space="preserve"> კი</w:t>
      </w:r>
      <w:r w:rsidR="005349E7" w:rsidRPr="007F6CA8">
        <w:rPr>
          <w:rFonts w:ascii="Sylfaen" w:hAnsi="Sylfaen"/>
          <w:sz w:val="22"/>
          <w:szCs w:val="22"/>
          <w:lang w:val="ka-GE"/>
        </w:rPr>
        <w:t>. მუშახელის მხოლოდ 9% აქვს საშუალო და უფრო დაბალი საფეხურის განათლება, რაც ნიშნავს, რომ მუშახელის უმეტესობას საშუალო განათლება აქვს. უმაღლესი განათლების მქონე მუშაკები კონცენტრირებულები არიან ურბანულ ტერიტორიებზე, ხოლო ყოველ მეორე მუშაკს უმაღლესი განათლების დამადასტურებეული დიპლომი აქვს. სოფლის ტერიტორიებზეც კი, ექვსიდან ერთ მუშაკს უმაღლესი განათლება აქვს. აშკარად დიდია შეუსაბამობა უმაღლესი განათლების მქონე მუშაკებსა და მათ მიწოდებას შორის. საქართველოს ინდუსტრიული სტრუქტურიდან გამომდინარე, სამუშაოების მხოლოდ მცირე ნაწილი საჭიროებს უმაღლეს განათლებას. ასევე შეზღუდულია უნივერსიტეტდამთავრებულების მიმართ მოთხოვნა ყველაზე დიდ ინდუსტრიებში - სოფლის მეურნეობასა და ვაჭრობაშიც. ამავდროულად, არასაკმარისია პროფესიული განათლების მქონე მუშახელი, რათა შეავსოს სამუშაოების პროპორცია, რომელსაც პროფესიული უნარები ესაჭიროება. ამჟამად უმაღლესი განათლების მქონე მუშახელი მეტწილად ავსებს პროესიული განათლების საჭიროების მქონე პოზიციებს (იქვე</w:t>
      </w:r>
      <w:r w:rsidR="004F68C5" w:rsidRPr="007F6CA8">
        <w:rPr>
          <w:rFonts w:ascii="Sylfaen" w:hAnsi="Sylfaen"/>
          <w:sz w:val="22"/>
          <w:szCs w:val="22"/>
        </w:rPr>
        <w:t xml:space="preserve">, </w:t>
      </w:r>
      <w:r w:rsidR="005349E7" w:rsidRPr="007F6CA8">
        <w:rPr>
          <w:rFonts w:ascii="Sylfaen" w:hAnsi="Sylfaen"/>
          <w:sz w:val="22"/>
          <w:szCs w:val="22"/>
          <w:lang w:val="ka-GE"/>
        </w:rPr>
        <w:t>გვ</w:t>
      </w:r>
      <w:r w:rsidR="004F68C5" w:rsidRPr="007F6CA8">
        <w:rPr>
          <w:rFonts w:ascii="Sylfaen" w:hAnsi="Sylfaen"/>
          <w:sz w:val="22"/>
          <w:szCs w:val="22"/>
        </w:rPr>
        <w:t>.19).</w:t>
      </w:r>
    </w:p>
    <w:p w14:paraId="2F042E58" w14:textId="27A8087F" w:rsidR="002F39FF" w:rsidRPr="007F6CA8" w:rsidRDefault="00F626EB"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ზემოთ მოცემული კვლევა აჩვენებს, რომ უმაღლესი განათლების მქონე </w:t>
      </w:r>
      <w:r w:rsidR="00630DE9" w:rsidRPr="007F6CA8">
        <w:rPr>
          <w:rFonts w:ascii="Sylfaen" w:hAnsi="Sylfaen"/>
          <w:sz w:val="22"/>
          <w:szCs w:val="22"/>
          <w:lang w:val="ka-GE"/>
        </w:rPr>
        <w:t xml:space="preserve">მუშახელს არ გააჩნია შრომითი ბაზრისათვის საჭირო </w:t>
      </w:r>
      <w:r w:rsidR="00D67D09" w:rsidRPr="007F6CA8">
        <w:rPr>
          <w:rFonts w:ascii="Sylfaen" w:hAnsi="Sylfaen"/>
          <w:sz w:val="22"/>
          <w:szCs w:val="22"/>
          <w:lang w:val="ka-GE"/>
        </w:rPr>
        <w:t xml:space="preserve">სპეციფიკური უნარები. დიდია უმაღლესი და საშუალო განათლების მქონე უმუშევარი ადამიანების რიცხვი, რაც შესაძლოა ნიშნავდეს, რომ დამსაქმებლებს არ უნდა უჭირდეთ სამუშაოს შესრულებისათვის საჭირო მუშახელის </w:t>
      </w:r>
      <w:r w:rsidR="007A740D" w:rsidRPr="007F6CA8">
        <w:rPr>
          <w:rFonts w:ascii="Sylfaen" w:hAnsi="Sylfaen"/>
          <w:sz w:val="22"/>
          <w:szCs w:val="22"/>
          <w:lang w:val="ka-GE"/>
        </w:rPr>
        <w:t>პოვნა</w:t>
      </w:r>
      <w:r w:rsidR="00D67D09" w:rsidRPr="007F6CA8">
        <w:rPr>
          <w:rFonts w:ascii="Sylfaen" w:hAnsi="Sylfaen"/>
          <w:sz w:val="22"/>
          <w:szCs w:val="22"/>
          <w:lang w:val="ka-GE"/>
        </w:rPr>
        <w:t xml:space="preserve">. თუმცა, ბევრი ქართველი დამსაქმებელი აცხადებს, რომ რთულია საჭირო უნარების მქონე ადამიანების მოძებნა. ამ თემაზე ზოგი </w:t>
      </w:r>
      <w:r w:rsidR="00AA1F18" w:rsidRPr="007F6CA8">
        <w:rPr>
          <w:rFonts w:ascii="Sylfaen" w:hAnsi="Sylfaen"/>
          <w:sz w:val="22"/>
          <w:szCs w:val="22"/>
          <w:lang w:val="ka-GE"/>
        </w:rPr>
        <w:t>მონაცემები ზემოთ მოყვანილ ანალიზშია მოცემული. ევროპის რეკონსტრუქციისა და განვითარების ბაკის</w:t>
      </w:r>
      <w:r w:rsidR="002F39FF" w:rsidRPr="007F6CA8">
        <w:rPr>
          <w:rFonts w:ascii="Sylfaen" w:hAnsi="Sylfaen"/>
          <w:sz w:val="22"/>
          <w:szCs w:val="22"/>
          <w:lang w:val="ka-GE"/>
        </w:rPr>
        <w:t xml:space="preserve">ა და მსოფლიო ბანკის მიერ 2008 წლის ბიზნეს გარემოსა და საწარმოთა საქმიანობის კვლევა </w:t>
      </w:r>
      <w:r w:rsidR="004F68C5" w:rsidRPr="007F6CA8">
        <w:rPr>
          <w:rFonts w:ascii="Sylfaen" w:hAnsi="Sylfaen"/>
          <w:sz w:val="22"/>
          <w:szCs w:val="22"/>
        </w:rPr>
        <w:t xml:space="preserve">(BEEPS) </w:t>
      </w:r>
      <w:r w:rsidR="002F39FF" w:rsidRPr="007F6CA8">
        <w:rPr>
          <w:rFonts w:ascii="Sylfaen" w:hAnsi="Sylfaen"/>
          <w:sz w:val="22"/>
          <w:szCs w:val="22"/>
          <w:lang w:val="ka-GE"/>
        </w:rPr>
        <w:t>აჩვენებს, რომ ქართველ დამსაქმებელთა თითქმის 30% კომპანიების საქმიანობისა და ზრდის ხელისშემშლელ ფაქტორად არაადეკვატურ მუშახელს ასახელებს. აქედან გამომდინარე, მიუხედავად უმაღლესი განათლების მქონე მუშახელის დიდი რაოდენობისა, უნარები უდიდესი შემზღუდავი ფაქტორია; ინოვაციური და მზარდი ფირმები ყველაზე მეტად ზარალდებიან უნარების ნაკლებობით.</w:t>
      </w:r>
    </w:p>
    <w:p w14:paraId="57071DDE" w14:textId="73086193" w:rsidR="00D4036C" w:rsidRPr="007F6CA8" w:rsidRDefault="007A740D"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ჭარბი</w:t>
      </w:r>
      <w:r w:rsidR="002F39FF" w:rsidRPr="007F6CA8">
        <w:rPr>
          <w:rFonts w:ascii="Sylfaen" w:hAnsi="Sylfaen"/>
          <w:sz w:val="22"/>
          <w:szCs w:val="22"/>
          <w:lang w:val="ka-GE"/>
        </w:rPr>
        <w:t xml:space="preserve"> კვალიფიკაცია საქართველოსთვის ჩვეულებრივი </w:t>
      </w:r>
      <w:r w:rsidR="00D4036C" w:rsidRPr="007F6CA8">
        <w:rPr>
          <w:rFonts w:ascii="Sylfaen" w:hAnsi="Sylfaen"/>
          <w:sz w:val="22"/>
          <w:szCs w:val="22"/>
          <w:lang w:val="ka-GE"/>
        </w:rPr>
        <w:t xml:space="preserve">მოვლენაა. რამდენიმე შეფასებამ აჩვენა, რომ კვალიფიკაციებისა და უნარების შეუსაბამობა ძალიან მაღალია, ხოლო უმაღლესი კვალიფიკაცია კი დიდი რაოდენობითაა წარმოდგენილი. ამას ასევე ადასტურებს ფაქტი, რომ უმაღლესი განათლების მქონე მუშახელის რაოდენობა საქართველოში უფრო მარალია, ვიდრე ბევრ უფრო მაღალი ეკონომიკის მქონე ქვეყანასა და </w:t>
      </w:r>
      <w:r w:rsidR="00D4036C" w:rsidRPr="007F6CA8">
        <w:rPr>
          <w:rFonts w:ascii="Sylfaen" w:hAnsi="Sylfaen"/>
          <w:sz w:val="22"/>
          <w:szCs w:val="22"/>
        </w:rPr>
        <w:t>OECD</w:t>
      </w:r>
      <w:r w:rsidR="00D4036C" w:rsidRPr="007F6CA8">
        <w:rPr>
          <w:rFonts w:ascii="Sylfaen" w:hAnsi="Sylfaen"/>
          <w:sz w:val="22"/>
          <w:szCs w:val="22"/>
          <w:lang w:val="ka-GE"/>
        </w:rPr>
        <w:t xml:space="preserve"> საშუალო მონაცემებში. </w:t>
      </w:r>
      <w:r w:rsidR="00D4036C" w:rsidRPr="007F6CA8">
        <w:rPr>
          <w:rFonts w:ascii="Sylfaen" w:hAnsi="Sylfaen"/>
          <w:sz w:val="22"/>
          <w:szCs w:val="22"/>
        </w:rPr>
        <w:t>ETF</w:t>
      </w:r>
      <w:r w:rsidR="00D4036C" w:rsidRPr="007F6CA8">
        <w:rPr>
          <w:rFonts w:ascii="Sylfaen" w:hAnsi="Sylfaen"/>
          <w:sz w:val="22"/>
          <w:szCs w:val="22"/>
          <w:lang w:val="ka-GE"/>
        </w:rPr>
        <w:t xml:space="preserve">-ის 2015 წლის კალკულაციების მიხედვით, ქართველი ახალგაზრდების 27.8% (15-24 წლის პირები) არაა ჩართული განათლებაში, დასაქმებასა თუ გადამზადებაში </w:t>
      </w:r>
      <w:r w:rsidR="004F68C5" w:rsidRPr="007F6CA8">
        <w:rPr>
          <w:rFonts w:ascii="Sylfaen" w:hAnsi="Sylfaen"/>
          <w:sz w:val="22"/>
          <w:szCs w:val="22"/>
        </w:rPr>
        <w:t xml:space="preserve">(NEET) (ETF, 2015). </w:t>
      </w:r>
      <w:r w:rsidR="00D4036C" w:rsidRPr="007F6CA8">
        <w:rPr>
          <w:rFonts w:ascii="Sylfaen" w:hAnsi="Sylfaen"/>
          <w:sz w:val="22"/>
          <w:szCs w:val="22"/>
          <w:lang w:val="ka-GE"/>
        </w:rPr>
        <w:t xml:space="preserve">ეს მაჩვენებელი ორჯერ ან სამჯერ უფრო მაღალია, ვიდრე ევროპის ქვეყნებში, სადაც </w:t>
      </w:r>
      <w:r w:rsidR="00D4036C" w:rsidRPr="007F6CA8">
        <w:rPr>
          <w:rFonts w:ascii="Sylfaen" w:hAnsi="Sylfaen"/>
          <w:sz w:val="22"/>
          <w:szCs w:val="22"/>
        </w:rPr>
        <w:t xml:space="preserve">NEET </w:t>
      </w:r>
      <w:r w:rsidR="00D4036C" w:rsidRPr="007F6CA8">
        <w:rPr>
          <w:rFonts w:ascii="Sylfaen" w:hAnsi="Sylfaen"/>
          <w:sz w:val="22"/>
          <w:szCs w:val="22"/>
          <w:lang w:val="ka-GE"/>
        </w:rPr>
        <w:t xml:space="preserve">მაჩვენებელი იშვიათად ცდება 15%. </w:t>
      </w:r>
    </w:p>
    <w:p w14:paraId="0D67176F" w14:textId="26F57B03" w:rsidR="00F4663D" w:rsidRPr="007F6CA8" w:rsidRDefault="00F4663D"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lastRenderedPageBreak/>
        <w:t xml:space="preserve">აქედან გამომდინარე, უმაღლესი განათლების მქონე მუშახელის დიდი ნაწილი </w:t>
      </w:r>
      <w:r w:rsidR="0041494F" w:rsidRPr="007F6CA8">
        <w:rPr>
          <w:rFonts w:ascii="Sylfaen" w:hAnsi="Sylfaen"/>
          <w:sz w:val="22"/>
          <w:szCs w:val="22"/>
          <w:lang w:val="ka-GE"/>
        </w:rPr>
        <w:t xml:space="preserve">ისეთ სამუშაოზეა დასაქმებული, რომელიც არ საჭიროებს უმაღლეს განათლებას. </w:t>
      </w:r>
      <w:r w:rsidR="00165EC0" w:rsidRPr="007F6CA8">
        <w:rPr>
          <w:rFonts w:ascii="Sylfaen" w:hAnsi="Sylfaen"/>
          <w:sz w:val="22"/>
          <w:szCs w:val="22"/>
          <w:lang w:val="ka-GE"/>
        </w:rPr>
        <w:t>ჭარბი</w:t>
      </w:r>
      <w:r w:rsidR="0041494F" w:rsidRPr="007F6CA8">
        <w:rPr>
          <w:rFonts w:ascii="Sylfaen" w:hAnsi="Sylfaen"/>
          <w:sz w:val="22"/>
          <w:szCs w:val="22"/>
          <w:lang w:val="ka-GE"/>
        </w:rPr>
        <w:t xml:space="preserve"> კვალიფიკაცია უმაღლესი განათლების პირდაპირი შედეგია. უმაღლესი განათლების მქონე მუშახელი იძულებულია დასაქმდეს ნაკლები კვალიფიკაციის სამუშაოზე, ვინაიდან არაა </w:t>
      </w:r>
      <w:r w:rsidR="007A740D" w:rsidRPr="007F6CA8">
        <w:rPr>
          <w:rFonts w:ascii="Sylfaen" w:hAnsi="Sylfaen"/>
          <w:sz w:val="22"/>
          <w:szCs w:val="22"/>
          <w:lang w:val="ka-GE"/>
        </w:rPr>
        <w:t>საკმა</w:t>
      </w:r>
      <w:r w:rsidR="0041494F" w:rsidRPr="007F6CA8">
        <w:rPr>
          <w:rFonts w:ascii="Sylfaen" w:hAnsi="Sylfaen"/>
          <w:sz w:val="22"/>
          <w:szCs w:val="22"/>
          <w:lang w:val="ka-GE"/>
        </w:rPr>
        <w:t>რის</w:t>
      </w:r>
      <w:r w:rsidR="007A740D" w:rsidRPr="007F6CA8">
        <w:rPr>
          <w:rFonts w:ascii="Sylfaen" w:hAnsi="Sylfaen"/>
          <w:sz w:val="22"/>
          <w:szCs w:val="22"/>
          <w:lang w:val="ka-GE"/>
        </w:rPr>
        <w:t>ი</w:t>
      </w:r>
      <w:r w:rsidR="0041494F" w:rsidRPr="007F6CA8">
        <w:rPr>
          <w:rFonts w:ascii="Sylfaen" w:hAnsi="Sylfaen"/>
          <w:sz w:val="22"/>
          <w:szCs w:val="22"/>
          <w:lang w:val="ka-GE"/>
        </w:rPr>
        <w:t xml:space="preserve"> სამუშაო უმაღლესი განათლების მქონეთათვის. უმაღლესი განათლების მქონეთაგან მხოლოდ ორიდან ერთი მუშაობს პროფესიონალურ სამუშაოზე ან მენეჯერად. დანარჩენი პროფესიები არ საჭიროებს უნივერსიტეტის დიპლომს. ბევრი უმაღლესამთვრებულია დასაქმებული სოფლის მეურნეობაში (14%), მექანიკურ სამუშაოზე (10%), და გაყიდვებში (10%). გაყიდვებში დასაქმებულთა თითქმის 30% და დაბალი უნარების საჭიროების მქონე პროფესიებში დასაქმეულთა თითქმის 20% კოლეჯის/უნივერსიტეტის დიპლომის მქონე პირები არიან (იქვე, გვ.21). ეს ციფრები აჩვე</w:t>
      </w:r>
      <w:r w:rsidR="00E714AD" w:rsidRPr="007F6CA8">
        <w:rPr>
          <w:rFonts w:ascii="Sylfaen" w:hAnsi="Sylfaen"/>
          <w:sz w:val="22"/>
          <w:szCs w:val="22"/>
          <w:lang w:val="ka-GE"/>
        </w:rPr>
        <w:t>ნ</w:t>
      </w:r>
      <w:r w:rsidR="0041494F" w:rsidRPr="007F6CA8">
        <w:rPr>
          <w:rFonts w:ascii="Sylfaen" w:hAnsi="Sylfaen"/>
          <w:sz w:val="22"/>
          <w:szCs w:val="22"/>
          <w:lang w:val="ka-GE"/>
        </w:rPr>
        <w:t xml:space="preserve">ებს, რომ </w:t>
      </w:r>
      <w:r w:rsidR="00E714AD" w:rsidRPr="007F6CA8">
        <w:rPr>
          <w:rFonts w:ascii="Sylfaen" w:hAnsi="Sylfaen"/>
          <w:sz w:val="22"/>
          <w:szCs w:val="22"/>
          <w:lang w:val="ka-GE"/>
        </w:rPr>
        <w:t>ჭარბი</w:t>
      </w:r>
      <w:r w:rsidR="0041494F" w:rsidRPr="007F6CA8">
        <w:rPr>
          <w:rFonts w:ascii="Sylfaen" w:hAnsi="Sylfaen"/>
          <w:sz w:val="22"/>
          <w:szCs w:val="22"/>
          <w:lang w:val="ka-GE"/>
        </w:rPr>
        <w:t xml:space="preserve"> კვალიფიკაცია საქართველოში მნიშვნელოვან პორბლემას წარმოადგენს. მუშახელის დიდ ნაწილს ინვესტიცია აქვს ჩადებული ისეთ კვალიფიკაციაში, რომელიც არაა საჭირო ისეთი სამუშაოსთვის, რომელსაც ისინი ასრულებენ.  </w:t>
      </w:r>
    </w:p>
    <w:p w14:paraId="1CCA9BD7" w14:textId="51B500C7" w:rsidR="0041494F" w:rsidRPr="007F6CA8" w:rsidRDefault="0041494F" w:rsidP="00731B1D">
      <w:pPr>
        <w:spacing w:beforeLines="60" w:before="144" w:afterLines="60" w:after="144" w:line="276" w:lineRule="auto"/>
        <w:ind w:right="-31" w:firstLine="709"/>
        <w:jc w:val="both"/>
        <w:rPr>
          <w:rFonts w:ascii="Sylfaen" w:hAnsi="Sylfaen"/>
          <w:sz w:val="22"/>
          <w:szCs w:val="22"/>
        </w:rPr>
      </w:pPr>
      <w:r w:rsidRPr="007F6CA8">
        <w:rPr>
          <w:rFonts w:ascii="Sylfaen" w:hAnsi="Sylfaen"/>
          <w:sz w:val="22"/>
          <w:szCs w:val="22"/>
          <w:lang w:val="ka-GE"/>
        </w:rPr>
        <w:t>ზოგიერთი კვლევ</w:t>
      </w:r>
      <w:r w:rsidR="00E714AD" w:rsidRPr="007F6CA8">
        <w:rPr>
          <w:rFonts w:ascii="Sylfaen" w:hAnsi="Sylfaen"/>
          <w:sz w:val="22"/>
          <w:szCs w:val="22"/>
          <w:lang w:val="ka-GE"/>
        </w:rPr>
        <w:t>ის მიხევით,</w:t>
      </w:r>
      <w:r w:rsidRPr="007F6CA8">
        <w:rPr>
          <w:rFonts w:ascii="Sylfaen" w:hAnsi="Sylfaen"/>
          <w:sz w:val="22"/>
          <w:szCs w:val="22"/>
          <w:lang w:val="ka-GE"/>
        </w:rPr>
        <w:t xml:space="preserve"> </w:t>
      </w:r>
      <w:r w:rsidR="00B6305D" w:rsidRPr="007F6CA8">
        <w:rPr>
          <w:rFonts w:ascii="Sylfaen" w:hAnsi="Sylfaen"/>
          <w:sz w:val="22"/>
          <w:szCs w:val="22"/>
          <w:lang w:val="ka-GE"/>
        </w:rPr>
        <w:t xml:space="preserve">აკადემიური ხარისხის მქონე პირების მხოლოდ 60% მუშაობს პროფესიის მიხედვით. პროფესიის მიხედვით დასაქმების მაჩვენებელი უფრო მაღალია მაგისტრის ხარისხის მქონეებს შორის (ბაკალავრებთან შედარებით). ამ შემთხვევაში მაგისტრის ხარისხი პროფესიული რეორიენტაციისა და ბაზარზე ორიეტაციის ინსტრუმენტი გამოდის. პროფესიის მიხედვით </w:t>
      </w:r>
      <w:r w:rsidR="00E714AD" w:rsidRPr="007F6CA8">
        <w:rPr>
          <w:rFonts w:ascii="Sylfaen" w:hAnsi="Sylfaen"/>
          <w:sz w:val="22"/>
          <w:szCs w:val="22"/>
          <w:lang w:val="ka-GE"/>
        </w:rPr>
        <w:t>დასაქმე</w:t>
      </w:r>
      <w:r w:rsidR="00B6305D" w:rsidRPr="007F6CA8">
        <w:rPr>
          <w:rFonts w:ascii="Sylfaen" w:hAnsi="Sylfaen"/>
          <w:sz w:val="22"/>
          <w:szCs w:val="22"/>
          <w:lang w:val="ka-GE"/>
        </w:rPr>
        <w:t>ბულთა მაჩვენებელი მნიშვნელოვნად განსხვავდება. ყველაზე დაბალი მაჩვენებელია ინჟინრულ სფეროში (</w:t>
      </w:r>
      <w:r w:rsidR="00B6305D" w:rsidRPr="007F6CA8">
        <w:rPr>
          <w:rFonts w:ascii="Sylfaen" w:hAnsi="Sylfaen"/>
          <w:sz w:val="22"/>
          <w:szCs w:val="22"/>
        </w:rPr>
        <w:t xml:space="preserve">EPPM, 2013). </w:t>
      </w:r>
    </w:p>
    <w:p w14:paraId="3AA76437" w14:textId="246ACF29" w:rsidR="00B6305D" w:rsidRPr="007F6CA8" w:rsidRDefault="00B6305D"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ზოგადად, ქართული შრომითი ბაზრისთვის დამახასიათებელია ტექნიკური უნარების მქონე მუშახელის ნაკლებობა. საქართველოს ახალგაზრდა ეკონომისტთა კვლევამ ბიზნეს გარემოს შესხებ (2007-2008) აჩვე</w:t>
      </w:r>
      <w:r w:rsidR="00E714AD" w:rsidRPr="007F6CA8">
        <w:rPr>
          <w:rFonts w:ascii="Sylfaen" w:hAnsi="Sylfaen"/>
          <w:sz w:val="22"/>
          <w:szCs w:val="22"/>
          <w:lang w:val="ka-GE"/>
        </w:rPr>
        <w:t>ნ</w:t>
      </w:r>
      <w:r w:rsidRPr="007F6CA8">
        <w:rPr>
          <w:rFonts w:ascii="Sylfaen" w:hAnsi="Sylfaen"/>
          <w:sz w:val="22"/>
          <w:szCs w:val="22"/>
          <w:lang w:val="ka-GE"/>
        </w:rPr>
        <w:t>ა, რომ საშუალო და უმაღლესი მენეჯმენტის პროფესიონალებზე მოთხოვნა მაღალია, ისევე, როგ</w:t>
      </w:r>
      <w:r w:rsidR="00E714AD" w:rsidRPr="007F6CA8">
        <w:rPr>
          <w:rFonts w:ascii="Sylfaen" w:hAnsi="Sylfaen"/>
          <w:sz w:val="22"/>
          <w:szCs w:val="22"/>
          <w:lang w:val="ka-GE"/>
        </w:rPr>
        <w:t>ორ</w:t>
      </w:r>
      <w:r w:rsidRPr="007F6CA8">
        <w:rPr>
          <w:rFonts w:ascii="Sylfaen" w:hAnsi="Sylfaen"/>
          <w:sz w:val="22"/>
          <w:szCs w:val="22"/>
          <w:lang w:val="ka-GE"/>
        </w:rPr>
        <w:t>ც მოთხოვნა ტექნიკურ და მაღალკვალიფიციურ პესონალზე. სა</w:t>
      </w:r>
      <w:r w:rsidR="00A42A4B" w:rsidRPr="007F6CA8">
        <w:rPr>
          <w:rFonts w:ascii="Sylfaen" w:hAnsi="Sylfaen"/>
          <w:sz w:val="22"/>
          <w:szCs w:val="22"/>
          <w:lang w:val="ka-GE"/>
        </w:rPr>
        <w:t xml:space="preserve">მშენებლო ბიზნესშიც კვალიფიციური კადრების დეფიციტია. </w:t>
      </w:r>
      <w:r w:rsidR="000F6E99" w:rsidRPr="007F6CA8">
        <w:rPr>
          <w:rFonts w:ascii="Sylfaen" w:hAnsi="Sylfaen"/>
          <w:sz w:val="22"/>
          <w:szCs w:val="22"/>
          <w:lang w:val="ka-GE"/>
        </w:rPr>
        <w:t xml:space="preserve">მიწოდების მხარეს ბევრი ადამიანია წარმოდგენილი ზემოთაღწერილი კვალიფიკაციებით. ქართული ბიზნესების თქმით, რთულია კვალიფიციური მუშაკების დაქირავბა და შენარჩუნება, ვინაიდან ისინი მოძველებულ ტექნოლოგიებს იყენებენ ან არ შეუძლიათ ისეთი ანაზღაურების შეთავაზება, რაც საერთაშორისო სტანდარტებით კონკურენტუნარიანი იქნებოდა. გარდა ამისა, მუშაკებსაც შესაძლოა არ ჰქონდეთ თანამედროვე უნარები, რომელიც ზოგიერთი სპეციფიკური პოზიციისთვისაა საჭირო. </w:t>
      </w:r>
    </w:p>
    <w:p w14:paraId="7BB4D3B1" w14:textId="7D8C3DF5" w:rsidR="000F6E99" w:rsidRPr="007F6CA8" w:rsidRDefault="000F6E99"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მსოფლიოს კონკურენტუნარიანობის ანგარიშში (2011-2012) ნათქვამია, რომ საქართველოში არაადეკვატურად განათლებული მუშახელი ყველაზე დიდ პრობლემას წარმოადგენს ბიზნესისთვის. ეს აჩვენებს, რომ პროფესიული საგანმანათლებლო დაწესებულებები ვერ ამზადებენ ისეთი უნარების მქონე პროფესიონალებს, რომლებსაც თანამედროვე ბაზარი ითხოვს. დიდი შეუთავსებლობაა პროფესიულ საგანმანათლებლო პროგრამებსა და შრომითი ბაზრის მოთხოვნებს შორის, რაც, ძირითდად, შრომითი ბაზრის სირღმისეული ანალიზის არარსებობის ბრალია (ლაბაძე და თუხაშვილი, 2012). </w:t>
      </w:r>
    </w:p>
    <w:p w14:paraId="43B985CC" w14:textId="10AEFE56" w:rsidR="004F68C5" w:rsidRPr="007F6CA8" w:rsidRDefault="000F6E99" w:rsidP="00731B1D">
      <w:pPr>
        <w:spacing w:beforeLines="60" w:before="144" w:afterLines="60" w:after="144" w:line="276" w:lineRule="auto"/>
        <w:ind w:right="-31" w:firstLine="709"/>
        <w:jc w:val="both"/>
        <w:rPr>
          <w:rFonts w:ascii="Sylfaen" w:hAnsi="Sylfaen"/>
          <w:sz w:val="22"/>
          <w:szCs w:val="22"/>
        </w:rPr>
      </w:pPr>
      <w:r w:rsidRPr="007F6CA8">
        <w:rPr>
          <w:rFonts w:ascii="Sylfaen" w:hAnsi="Sylfaen"/>
          <w:sz w:val="22"/>
          <w:szCs w:val="22"/>
          <w:lang w:val="ka-GE"/>
        </w:rPr>
        <w:t xml:space="preserve">საქართველოს საგანმანათლებლო სისტემაში არ ხდება გადამზადება პროფესიული უნარებისათვის, რაც უნარების ნაკლებობას წარმოშობს. </w:t>
      </w:r>
      <w:r w:rsidRPr="007F6CA8">
        <w:rPr>
          <w:rFonts w:ascii="Sylfaen" w:hAnsi="Sylfaen"/>
          <w:sz w:val="22"/>
          <w:szCs w:val="22"/>
        </w:rPr>
        <w:t>IOM</w:t>
      </w:r>
      <w:r w:rsidRPr="007F6CA8">
        <w:rPr>
          <w:rFonts w:ascii="Sylfaen" w:hAnsi="Sylfaen"/>
          <w:sz w:val="22"/>
          <w:szCs w:val="22"/>
          <w:lang w:val="ka-GE"/>
        </w:rPr>
        <w:t xml:space="preserve">-ის მიერ ჩატარებული შრომითი ბაზრის კვლევების მიხედვით, დამსაქმებლების 37% უკმაყოფილოა ახალი თანამშრომლების </w:t>
      </w:r>
      <w:r w:rsidRPr="007F6CA8">
        <w:rPr>
          <w:rFonts w:ascii="Sylfaen" w:hAnsi="Sylfaen"/>
          <w:sz w:val="22"/>
          <w:szCs w:val="22"/>
          <w:lang w:val="ka-GE"/>
        </w:rPr>
        <w:lastRenderedPageBreak/>
        <w:t>უნარებით, მაგრამ მხოლოდ მეხუთედი ახორციელებს რაიმე საქმიანობას მათი უნარების გასაუმჯობესებლად. ტრენინგის ძირითდი მეთოდია სამუშაო ადგილას სწავლება, რასაც ახალი თანამშრომლების უნარების გაუმჯობესებაზე ორიენტირებული დამსაქმებლების 64% მიმართავს</w:t>
      </w:r>
      <w:r w:rsidRPr="007F6CA8">
        <w:rPr>
          <w:rFonts w:ascii="Sylfaen" w:hAnsi="Sylfaen"/>
          <w:sz w:val="22"/>
          <w:szCs w:val="22"/>
        </w:rPr>
        <w:t xml:space="preserve"> (IOM, 2011</w:t>
      </w:r>
      <w:r w:rsidR="004F68C5" w:rsidRPr="007F6CA8">
        <w:rPr>
          <w:rFonts w:ascii="Sylfaen" w:hAnsi="Sylfaen"/>
          <w:sz w:val="22"/>
          <w:szCs w:val="22"/>
        </w:rPr>
        <w:t>).</w:t>
      </w:r>
    </w:p>
    <w:p w14:paraId="6D1A290A" w14:textId="66B0E185" w:rsidR="008C4FDF" w:rsidRPr="007F6CA8" w:rsidRDefault="000F6E99"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პროფესიული განათლების სისტემა, ზოგადი განა</w:t>
      </w:r>
      <w:r w:rsidR="00D954FF" w:rsidRPr="007F6CA8">
        <w:rPr>
          <w:rFonts w:ascii="Sylfaen" w:hAnsi="Sylfaen"/>
          <w:sz w:val="22"/>
          <w:szCs w:val="22"/>
          <w:lang w:val="ka-GE"/>
        </w:rPr>
        <w:t>თ</w:t>
      </w:r>
      <w:r w:rsidRPr="007F6CA8">
        <w:rPr>
          <w:rFonts w:ascii="Sylfaen" w:hAnsi="Sylfaen"/>
          <w:sz w:val="22"/>
          <w:szCs w:val="22"/>
          <w:lang w:val="ka-GE"/>
        </w:rPr>
        <w:t>ლები</w:t>
      </w:r>
      <w:r w:rsidR="00D954FF" w:rsidRPr="007F6CA8">
        <w:rPr>
          <w:rFonts w:ascii="Sylfaen" w:hAnsi="Sylfaen"/>
          <w:sz w:val="22"/>
          <w:szCs w:val="22"/>
          <w:lang w:val="ka-GE"/>
        </w:rPr>
        <w:t>სგ</w:t>
      </w:r>
      <w:r w:rsidRPr="007F6CA8">
        <w:rPr>
          <w:rFonts w:ascii="Sylfaen" w:hAnsi="Sylfaen"/>
          <w:sz w:val="22"/>
          <w:szCs w:val="22"/>
          <w:lang w:val="ka-GE"/>
        </w:rPr>
        <w:t xml:space="preserve">ან განსხვავებით, უნდა აწარმოებდეს ინდუსტრიისთვის სპეციფიკურ უნარებსა და ცოდნას. პროფესიული განათლების სისტემა საქართველოში ძალიან პატარაა. 2016 წელს 1-12 კლასების 554,000 მოსწავლიდან 16,454 მოსწავლეა ჩართული </w:t>
      </w:r>
      <w:r w:rsidR="0048202E" w:rsidRPr="007F6CA8">
        <w:rPr>
          <w:rFonts w:ascii="Sylfaen" w:hAnsi="Sylfaen"/>
          <w:sz w:val="22"/>
          <w:szCs w:val="22"/>
          <w:lang w:val="ka-GE"/>
        </w:rPr>
        <w:t xml:space="preserve">ყველა ტიპის პროფესიულ პროგრამებში. პროფესიული სტუდენტების რაოდენობა </w:t>
      </w:r>
      <w:r w:rsidR="0011622D" w:rsidRPr="007F6CA8">
        <w:rPr>
          <w:rFonts w:ascii="Sylfaen" w:hAnsi="Sylfaen"/>
          <w:sz w:val="22"/>
          <w:szCs w:val="22"/>
          <w:lang w:val="ka-GE"/>
        </w:rPr>
        <w:t>2016 წელს ზოგად განათლებაში ჩართული მოსწავლეების (1-12 კლასები) მხოლოდ 3% შეადგენს. თუ მხოლოდ უმაღლესი სშუალო განათლების მოსწავლეებს ავიღებთ, მაშინ პროფესიულ განათლებაში ჩართულთა მაჩვენებელი 10% აღწევს</w:t>
      </w:r>
      <w:r w:rsidR="0011622D" w:rsidRPr="007F6CA8">
        <w:rPr>
          <w:rFonts w:ascii="Sylfaen" w:hAnsi="Sylfaen"/>
          <w:sz w:val="22"/>
          <w:szCs w:val="22"/>
        </w:rPr>
        <w:t xml:space="preserve"> (ETF, 2018)</w:t>
      </w:r>
      <w:r w:rsidR="0011622D" w:rsidRPr="007F6CA8">
        <w:rPr>
          <w:rFonts w:ascii="Sylfaen" w:hAnsi="Sylfaen"/>
          <w:sz w:val="22"/>
          <w:szCs w:val="22"/>
          <w:lang w:val="ka-GE"/>
        </w:rPr>
        <w:t>.</w:t>
      </w:r>
    </w:p>
    <w:p w14:paraId="2699C36C" w14:textId="5FAF9EDF" w:rsidR="0011622D" w:rsidRPr="007F6CA8" w:rsidRDefault="0011622D"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rPr>
        <w:t>GIZ</w:t>
      </w:r>
      <w:r w:rsidRPr="007F6CA8">
        <w:rPr>
          <w:rFonts w:ascii="Sylfaen" w:hAnsi="Sylfaen"/>
          <w:sz w:val="22"/>
          <w:szCs w:val="22"/>
          <w:lang w:val="ka-GE"/>
        </w:rPr>
        <w:t>-ის მიერ განხორციელებული კვლევის მიხედვით, ქართული პროფესიული განათლების მთავარი პრობლემა შესაძლოა ორ კატეგორიად დაიყოს: (1) ტექნიკური უნარების საჭიროების მქონე პროფესიები კარგად არაა მოცული პროფესიული განათლების მიერ, (2) არსებული პროფესიული პროგრამები არ შეესაბამება ბიზნეს სექტორის საჭიროებებს, ვინაიდან ბიზნესი არ ერთვება საგანმანათლებლო სისტემაში (</w:t>
      </w:r>
      <w:r w:rsidRPr="007F6CA8">
        <w:rPr>
          <w:rFonts w:ascii="Sylfaen" w:hAnsi="Sylfaen"/>
          <w:sz w:val="22"/>
          <w:szCs w:val="22"/>
        </w:rPr>
        <w:t>GIZ, 2010). GIZ</w:t>
      </w:r>
      <w:r w:rsidRPr="007F6CA8">
        <w:rPr>
          <w:rFonts w:ascii="Sylfaen" w:hAnsi="Sylfaen"/>
          <w:sz w:val="22"/>
          <w:szCs w:val="22"/>
          <w:lang w:val="ka-GE"/>
        </w:rPr>
        <w:t xml:space="preserve">-ის მიერ ჩატარებულ შრომითი ბაზრის კვლევებში გამოვლინდა, რომ რამდენიმე ინდუსტრიას ესაჭიროება ისეთი პროფესიული უნარები, რომელიც არც კი ისწავლება ქართულ პროფესიულ სასწავლებლებში. </w:t>
      </w:r>
    </w:p>
    <w:p w14:paraId="6F6EC36D" w14:textId="670D4B23" w:rsidR="0011622D" w:rsidRPr="007F6CA8" w:rsidRDefault="0011622D"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კვლევები აჩვენებს, რ</w:t>
      </w:r>
      <w:r w:rsidR="00EA4EBF" w:rsidRPr="007F6CA8">
        <w:rPr>
          <w:rFonts w:ascii="Sylfaen" w:hAnsi="Sylfaen"/>
          <w:sz w:val="22"/>
          <w:szCs w:val="22"/>
          <w:lang w:val="ka-GE"/>
        </w:rPr>
        <w:t>ომ პროფესიული განათლების მიმართ მოსახლეობისა და პარტნიორების დამოკიდებულება უფრო დადებითი ხდება (ეს ტრენდი ასევე აისახება ახალგაზრდების პროფესიულ საგანმანათლებლო დაწესებულებებში უფრო მაღალი ჩართულობით)</w:t>
      </w:r>
      <w:r w:rsidR="00EA4EBF" w:rsidRPr="007F6CA8">
        <w:rPr>
          <w:rFonts w:ascii="Sylfaen" w:hAnsi="Sylfaen"/>
          <w:sz w:val="22"/>
          <w:szCs w:val="22"/>
        </w:rPr>
        <w:t>;</w:t>
      </w:r>
      <w:r w:rsidR="00EA4EBF" w:rsidRPr="007F6CA8">
        <w:rPr>
          <w:rFonts w:ascii="Sylfaen" w:hAnsi="Sylfaen"/>
          <w:sz w:val="22"/>
          <w:szCs w:val="22"/>
          <w:lang w:val="ka-GE"/>
        </w:rPr>
        <w:t xml:space="preserve"> თუმცა, ეს პროცესი მაინც ნელია (</w:t>
      </w:r>
      <w:r w:rsidR="00EA4EBF" w:rsidRPr="007F6CA8">
        <w:rPr>
          <w:rFonts w:ascii="Sylfaen" w:hAnsi="Sylfaen"/>
          <w:sz w:val="22"/>
          <w:szCs w:val="22"/>
        </w:rPr>
        <w:t xml:space="preserve">UNDP, 2015). </w:t>
      </w:r>
      <w:r w:rsidR="00EA4EBF" w:rsidRPr="007F6CA8">
        <w:rPr>
          <w:rFonts w:ascii="Sylfaen" w:hAnsi="Sylfaen"/>
          <w:sz w:val="22"/>
          <w:szCs w:val="22"/>
          <w:lang w:val="ka-GE"/>
        </w:rPr>
        <w:t xml:space="preserve">ძირითადი გამოწვევა პროფესიული განათლების მიმართ დადებითი დამოკიდებულება კი არა, არამედ ის ფაქტია, რომ პროფესიული განათლება უმაღლესი განათლების მეორეხარისხოვან ალტერნატივად მიიჩნევა. დღეს პროფესიული განათლების მიმართ ჯერ კიდევ არსებობს საბჭოთა დროიდან მოყოლებული სტიგმა და </w:t>
      </w:r>
      <w:r w:rsidR="00E63379" w:rsidRPr="007F6CA8">
        <w:rPr>
          <w:rFonts w:ascii="Sylfaen" w:hAnsi="Sylfaen"/>
          <w:sz w:val="22"/>
          <w:szCs w:val="22"/>
          <w:lang w:val="ka-GE"/>
        </w:rPr>
        <w:t xml:space="preserve">უარყოფითი დამოკიდებულება. პროფესიული განათლება </w:t>
      </w:r>
      <w:r w:rsidR="007E7D85" w:rsidRPr="007F6CA8">
        <w:rPr>
          <w:rFonts w:ascii="Sylfaen" w:hAnsi="Sylfaen"/>
          <w:sz w:val="22"/>
          <w:szCs w:val="22"/>
          <w:lang w:val="ka-GE"/>
        </w:rPr>
        <w:t xml:space="preserve">მიჩნეულია, როგორ დაბალი სტატუსის, მექანიკური და დაბალანაზღაურებადი სამუშაოს მომტანი. გარდა ამისა, სტუდენტებს და პარტნიორებს ხელს უშლის ე.წ. „ჩიხები“, რომელიც კურსადმთავრებულებს არ აძლევს საშუალებას გადავიდნენ განათლების უფრო მაღალ საფეხურზე. ეს საკითხი პროფესიული განათლების შესახებ ახალ კანონშია მოგვარებული, თუმცა, ეს კანონ ჯერ კიდევ არ დამტკიცებულა. </w:t>
      </w:r>
    </w:p>
    <w:p w14:paraId="04086066" w14:textId="48712FE8" w:rsidR="007E7D85" w:rsidRPr="007F6CA8" w:rsidRDefault="007E7D85"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მიუხედავად იმისა, რომ მიწოდებასა და მოთხოვნას შორის დისბალანსის შემცირების მიზნით არაერთი ზომა განხორციელდა, პროფესიული განათლების ხარისხი ჯერ კიდევ გაუმჯობესებას საჭიროებს. 2015 წლის კვლევები (</w:t>
      </w:r>
      <w:r w:rsidRPr="007F6CA8">
        <w:rPr>
          <w:rFonts w:ascii="Sylfaen" w:hAnsi="Sylfaen"/>
          <w:sz w:val="22"/>
          <w:szCs w:val="22"/>
        </w:rPr>
        <w:t xml:space="preserve">UNDP, 2016) </w:t>
      </w:r>
      <w:r w:rsidRPr="007F6CA8">
        <w:rPr>
          <w:rFonts w:ascii="Sylfaen" w:hAnsi="Sylfaen"/>
          <w:sz w:val="22"/>
          <w:szCs w:val="22"/>
          <w:lang w:val="ka-GE"/>
        </w:rPr>
        <w:t xml:space="preserve">კიდევ ერთხელ აჩვენებს, რომ კურსდამთავრებულთა უნარები კვლავ გაუმჯობესებას საჭიროებს, პროფესიული კვალიფიკაციების ხარისხის უზრუნველყოფასთან ერთად. </w:t>
      </w:r>
    </w:p>
    <w:p w14:paraId="3E1F0E2D" w14:textId="62740597" w:rsidR="004F68C5" w:rsidRPr="007F6CA8" w:rsidRDefault="007E7D85" w:rsidP="00731B1D">
      <w:pPr>
        <w:spacing w:beforeLines="60" w:before="144" w:afterLines="60" w:after="144" w:line="276" w:lineRule="auto"/>
        <w:ind w:right="-31" w:firstLine="709"/>
        <w:jc w:val="both"/>
        <w:rPr>
          <w:rFonts w:ascii="Sylfaen" w:hAnsi="Sylfaen"/>
          <w:sz w:val="22"/>
          <w:szCs w:val="22"/>
        </w:rPr>
      </w:pPr>
      <w:r w:rsidRPr="007F6CA8">
        <w:rPr>
          <w:rFonts w:ascii="Sylfaen" w:hAnsi="Sylfaen"/>
          <w:sz w:val="22"/>
          <w:szCs w:val="22"/>
          <w:lang w:val="ka-GE"/>
        </w:rPr>
        <w:t xml:space="preserve">2015 წლის მონაცემები აჩვენებს, რომ პროფესიული საგანმანათლებლო დაწესებულებების კურსდამთავრებულები უფრო კარგად მოქმედებდნენ შრომთ ბაზარზე, ვიდრე უნივერსიტეტების კურსდამთავრებულები. უმუშევრობის მაჩვენებელი უნივერსიტეტის </w:t>
      </w:r>
      <w:r w:rsidR="00321E33" w:rsidRPr="007F6CA8">
        <w:rPr>
          <w:rFonts w:ascii="Sylfaen" w:hAnsi="Sylfaen"/>
          <w:sz w:val="22"/>
          <w:szCs w:val="22"/>
          <w:lang w:val="ka-GE"/>
        </w:rPr>
        <w:t xml:space="preserve">კურსდამთავრებულთა შორის უფრო მაღალი (14.4%) იყო, ვიდრე პროფესიული </w:t>
      </w:r>
      <w:r w:rsidR="00321E33" w:rsidRPr="007F6CA8">
        <w:rPr>
          <w:rFonts w:ascii="Sylfaen" w:hAnsi="Sylfaen"/>
          <w:sz w:val="22"/>
          <w:szCs w:val="22"/>
          <w:lang w:val="ka-GE"/>
        </w:rPr>
        <w:lastRenderedPageBreak/>
        <w:t xml:space="preserve">სასწავლებლების კურსდამთავრებულებს (11%) შორის. </w:t>
      </w:r>
      <w:r w:rsidR="002F289B" w:rsidRPr="007F6CA8">
        <w:rPr>
          <w:rFonts w:ascii="Sylfaen" w:hAnsi="Sylfaen"/>
          <w:sz w:val="22"/>
          <w:szCs w:val="22"/>
          <w:lang w:val="ka-GE"/>
        </w:rPr>
        <w:t>თუმცა, ახალგაზრდებს შორის (15-24 წელი), უმუშევრობის ყველაზე მაღალი მაჩვენებელი პროფესიულ კურსდამთავრებულებზე მოდის (36%), რასაც საშუალო განათლების მქონეები (33%) მოსდევს, ხოლო უნივერსიტეტის კურსდამთავრებულთა უმუშევრობის მაჩვენებელი ამ ასაკობრივი კატეგორიისათვის 30.8% შეადგენს. თუმცა, 2016 წლიდან პროფესიულ განათლებასა და უმაღლესდამთავრებულებს შორის განსხვავება გაქრა (</w:t>
      </w:r>
      <w:r w:rsidR="002F289B" w:rsidRPr="007F6CA8">
        <w:rPr>
          <w:rFonts w:ascii="Sylfaen" w:hAnsi="Sylfaen"/>
          <w:sz w:val="22"/>
          <w:szCs w:val="22"/>
        </w:rPr>
        <w:t xml:space="preserve">ETF, 2018). </w:t>
      </w:r>
      <w:r w:rsidR="002F289B" w:rsidRPr="007F6CA8">
        <w:rPr>
          <w:rFonts w:ascii="Sylfaen" w:hAnsi="Sylfaen"/>
          <w:sz w:val="22"/>
          <w:szCs w:val="22"/>
          <w:lang w:val="ka-GE"/>
        </w:rPr>
        <w:t xml:space="preserve">ანალიზი აჩვენებს, რომ ახალაგზრდები (განსაკუთრებით გოგოები) გარკვეულ წინააღმდეგობას აწყდებიან შრომით ბაზარზე გადასვლის დროს. ამისი მიზეზია კვალიფიკაციების ინფლაცია, დამსაქმებლების ნდობის ნაკლბობა პროფესიული კვალიფიკაციების მიმართ, </w:t>
      </w:r>
      <w:r w:rsidR="00FC0769" w:rsidRPr="007F6CA8">
        <w:rPr>
          <w:rFonts w:ascii="Sylfaen" w:hAnsi="Sylfaen"/>
          <w:sz w:val="22"/>
          <w:szCs w:val="22"/>
          <w:lang w:val="ka-GE"/>
        </w:rPr>
        <w:t>უმაღლესი განათლების უპირატესობა, სამუშაო გამოცდილების მოთხოვნა, რაც ბევრ ახალგაზრდას არ აქვს, და უნარების შეუსაბამობა მოწოდებისა და მოთხოვნის მხარეებს შორის. მიუხედავად უმუშევრობის მაღალი დონისა, დამსაქმებლებს უჭირთ მათთვის საჭირო პერსონალის მოძებნა</w:t>
      </w:r>
      <w:r w:rsidR="004F68C5" w:rsidRPr="007F6CA8">
        <w:rPr>
          <w:rFonts w:ascii="Sylfaen" w:hAnsi="Sylfaen"/>
          <w:sz w:val="22"/>
          <w:szCs w:val="22"/>
        </w:rPr>
        <w:t xml:space="preserve"> (ETF, 2016, p.5).</w:t>
      </w:r>
    </w:p>
    <w:p w14:paraId="18075883" w14:textId="4D163A25" w:rsidR="00FC0769" w:rsidRPr="007F6CA8" w:rsidRDefault="00FC0769" w:rsidP="00731B1D">
      <w:pPr>
        <w:spacing w:beforeLines="60" w:before="144" w:afterLines="60" w:after="144" w:line="276" w:lineRule="auto"/>
        <w:ind w:right="-31" w:firstLine="709"/>
        <w:jc w:val="both"/>
        <w:rPr>
          <w:rFonts w:ascii="Sylfaen" w:hAnsi="Sylfaen"/>
          <w:sz w:val="22"/>
          <w:szCs w:val="22"/>
          <w:lang w:val="ka-GE"/>
        </w:rPr>
      </w:pPr>
      <w:r w:rsidRPr="007F6CA8">
        <w:rPr>
          <w:rFonts w:ascii="Sylfaen" w:hAnsi="Sylfaen"/>
          <w:sz w:val="22"/>
          <w:szCs w:val="22"/>
          <w:lang w:val="ka-GE"/>
        </w:rPr>
        <w:t xml:space="preserve">2015 წელს ჩატარებულმა პროფესიული სასწავლებლების კურსდამთავრებულთა კვლევამ აჩვენა, რომ დასაქმების შემთხვევების 57% მიღებული პროფესია და დასაქმება კავშირში არ იყო, ხოლო 32.2% აღნიშნავს სრულ შესაბამისობას და 7% ნაწილობრივ შესაბამისობას. </w:t>
      </w:r>
    </w:p>
    <w:p w14:paraId="5D8C6018" w14:textId="37014730" w:rsidR="002715C4" w:rsidRPr="007F6CA8" w:rsidRDefault="002715C4" w:rsidP="00731B1D">
      <w:pPr>
        <w:spacing w:beforeLines="60" w:before="144" w:afterLines="60" w:after="144" w:line="276" w:lineRule="auto"/>
        <w:rPr>
          <w:rFonts w:ascii="Sylfaen" w:hAnsi="Sylfaen"/>
          <w:color w:val="616264"/>
        </w:rPr>
      </w:pPr>
    </w:p>
    <w:p w14:paraId="521C6ACF" w14:textId="7DD21E4B" w:rsidR="00F76053" w:rsidRPr="007F6CA8" w:rsidRDefault="00FC0769" w:rsidP="00731B1D">
      <w:pPr>
        <w:pStyle w:val="Heading1"/>
        <w:spacing w:beforeLines="60" w:before="144" w:afterLines="60" w:after="144" w:line="276" w:lineRule="auto"/>
        <w:rPr>
          <w:rFonts w:ascii="Sylfaen" w:hAnsi="Sylfaen"/>
        </w:rPr>
      </w:pPr>
      <w:bookmarkStart w:id="10" w:name="_Toc513596832"/>
      <w:r w:rsidRPr="007F6CA8">
        <w:rPr>
          <w:rFonts w:ascii="Sylfaen" w:hAnsi="Sylfaen"/>
          <w:lang w:val="ka-GE"/>
        </w:rPr>
        <w:t>მონაცემების ვითარება</w:t>
      </w:r>
      <w:bookmarkEnd w:id="10"/>
    </w:p>
    <w:p w14:paraId="59CEB0DE" w14:textId="50F8AE3B" w:rsidR="00FC0769" w:rsidRPr="007F6CA8" w:rsidRDefault="00FC0769" w:rsidP="00731B1D">
      <w:pPr>
        <w:pStyle w:val="CommentText"/>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შრომითი ბაზრის ანალიზი კარგ და მისაწვდომ მონაცემებს ეფუძნება. მონაცემთა კუთხით არსებული სიტუაციის მიმოხილვა აჩვენებს, რომ უნარების შეუსაბამობასთან გვაქვს საქმე. საქართელოში ორი სახის მონიტორინგის სისტემა არსებობს:</w:t>
      </w:r>
    </w:p>
    <w:p w14:paraId="4692435C" w14:textId="77777777" w:rsidR="00FC0769" w:rsidRPr="007F6CA8" w:rsidRDefault="00FC0769" w:rsidP="00731B1D">
      <w:pPr>
        <w:pStyle w:val="CommentText"/>
        <w:numPr>
          <w:ilvl w:val="0"/>
          <w:numId w:val="14"/>
        </w:numPr>
        <w:spacing w:beforeLines="60" w:before="144" w:afterLines="60" w:after="144" w:line="276" w:lineRule="auto"/>
        <w:jc w:val="both"/>
        <w:rPr>
          <w:rFonts w:ascii="Sylfaen" w:hAnsi="Sylfaen"/>
          <w:sz w:val="22"/>
          <w:szCs w:val="22"/>
        </w:rPr>
      </w:pPr>
      <w:r w:rsidRPr="007F6CA8">
        <w:rPr>
          <w:rFonts w:ascii="Sylfaen" w:hAnsi="Sylfaen"/>
          <w:sz w:val="22"/>
          <w:szCs w:val="22"/>
          <w:lang w:val="ka-GE"/>
        </w:rPr>
        <w:t>განათლების მართვის საინფორმაციო სისტემა</w:t>
      </w:r>
      <w:r w:rsidR="00F76053" w:rsidRPr="007F6CA8">
        <w:rPr>
          <w:rFonts w:ascii="Sylfaen" w:hAnsi="Sylfaen"/>
          <w:sz w:val="22"/>
          <w:szCs w:val="22"/>
        </w:rPr>
        <w:t xml:space="preserve"> (EMIS)</w:t>
      </w:r>
      <w:r w:rsidRPr="007F6CA8">
        <w:rPr>
          <w:rFonts w:ascii="Sylfaen" w:hAnsi="Sylfaen"/>
          <w:sz w:val="22"/>
          <w:szCs w:val="22"/>
          <w:lang w:val="ka-GE"/>
        </w:rPr>
        <w:t>, რომელსაც განათლებისა და მეცნიერების სამინისტრო კურირებს; და</w:t>
      </w:r>
    </w:p>
    <w:p w14:paraId="4E36A7C9" w14:textId="0F61B208" w:rsidR="00F76053" w:rsidRPr="007F6CA8" w:rsidRDefault="00FC0769" w:rsidP="00731B1D">
      <w:pPr>
        <w:pStyle w:val="CommentText"/>
        <w:numPr>
          <w:ilvl w:val="0"/>
          <w:numId w:val="14"/>
        </w:numPr>
        <w:spacing w:beforeLines="60" w:before="144" w:afterLines="60" w:after="144" w:line="276" w:lineRule="auto"/>
        <w:jc w:val="both"/>
        <w:rPr>
          <w:rFonts w:ascii="Sylfaen" w:hAnsi="Sylfaen"/>
          <w:sz w:val="22"/>
          <w:szCs w:val="22"/>
        </w:rPr>
      </w:pPr>
      <w:r w:rsidRPr="007F6CA8">
        <w:rPr>
          <w:rFonts w:ascii="Sylfaen" w:hAnsi="Sylfaen"/>
          <w:sz w:val="22"/>
          <w:szCs w:val="22"/>
          <w:lang w:val="ka-GE"/>
        </w:rPr>
        <w:t xml:space="preserve">შრომითი ბაზრის საინფორმაციო სისტემა </w:t>
      </w:r>
      <w:r w:rsidRPr="007F6CA8">
        <w:rPr>
          <w:rFonts w:ascii="Sylfaen" w:hAnsi="Sylfaen"/>
          <w:sz w:val="22"/>
          <w:szCs w:val="22"/>
        </w:rPr>
        <w:t xml:space="preserve">(LMIS), </w:t>
      </w:r>
      <w:r w:rsidRPr="007F6CA8">
        <w:rPr>
          <w:rFonts w:ascii="Sylfaen" w:hAnsi="Sylfaen"/>
          <w:sz w:val="22"/>
          <w:szCs w:val="22"/>
          <w:lang w:val="ka-GE"/>
        </w:rPr>
        <w:t>რომელიც ვებ-პორტალია და მუდმივად განახლებად ინფორმაციას გვთავაზობს ქვეყანაში შრომით ბაზარსა და განათლების სისტემაში არსებული მდგომარეობის შესახებ</w:t>
      </w:r>
      <w:r w:rsidR="00F76053" w:rsidRPr="007F6CA8">
        <w:rPr>
          <w:rFonts w:ascii="Sylfaen" w:hAnsi="Sylfaen"/>
          <w:sz w:val="22"/>
          <w:szCs w:val="22"/>
        </w:rPr>
        <w:t xml:space="preserve"> (MoLHSA 2016a)</w:t>
      </w:r>
      <w:r w:rsidRPr="007F6CA8">
        <w:rPr>
          <w:rFonts w:ascii="Sylfaen" w:hAnsi="Sylfaen"/>
          <w:sz w:val="22"/>
          <w:szCs w:val="22"/>
          <w:lang w:val="ka-GE"/>
        </w:rPr>
        <w:t xml:space="preserve">. პორტალი 2016 წელს ჩამოყალიბდა შრომის, ჯანმრთელობისა და სოციალურ საქმეთა სამინისტროს მიერ, თუმცა, 2017 წლის ივლისიდან </w:t>
      </w:r>
      <w:r w:rsidRPr="007F6CA8">
        <w:rPr>
          <w:rFonts w:ascii="Sylfaen" w:hAnsi="Sylfaen"/>
          <w:sz w:val="22"/>
          <w:szCs w:val="22"/>
        </w:rPr>
        <w:t>LMIS</w:t>
      </w:r>
      <w:r w:rsidRPr="007F6CA8">
        <w:rPr>
          <w:rFonts w:ascii="Sylfaen" w:hAnsi="Sylfaen"/>
          <w:sz w:val="22"/>
          <w:szCs w:val="22"/>
          <w:lang w:val="ka-GE"/>
        </w:rPr>
        <w:t>-ის განახლებისა და მართვის ფუნქცია ეკონომიკისა და მდგრადი განვითარების სამინსტროს გადაეცა</w:t>
      </w:r>
      <w:r w:rsidR="006C08D4" w:rsidRPr="007F6CA8">
        <w:rPr>
          <w:rFonts w:ascii="Sylfaen" w:hAnsi="Sylfaen"/>
          <w:sz w:val="22"/>
          <w:szCs w:val="22"/>
        </w:rPr>
        <w:t xml:space="preserve"> (ETF, 2018)</w:t>
      </w:r>
      <w:r w:rsidR="008E7175" w:rsidRPr="007F6CA8">
        <w:rPr>
          <w:rFonts w:ascii="Sylfaen" w:hAnsi="Sylfaen"/>
          <w:sz w:val="22"/>
          <w:szCs w:val="22"/>
        </w:rPr>
        <w:t>.</w:t>
      </w:r>
      <w:r w:rsidR="006C08D4" w:rsidRPr="007F6CA8" w:rsidDel="006C08D4">
        <w:rPr>
          <w:rStyle w:val="FootnoteReference"/>
          <w:rFonts w:ascii="Sylfaen" w:hAnsi="Sylfaen"/>
          <w:sz w:val="22"/>
          <w:szCs w:val="22"/>
        </w:rPr>
        <w:t xml:space="preserve"> </w:t>
      </w:r>
    </w:p>
    <w:p w14:paraId="01E94B96" w14:textId="3924B0B3" w:rsidR="00FC0769" w:rsidRPr="007F6CA8" w:rsidRDefault="00017AC4" w:rsidP="00731B1D">
      <w:pPr>
        <w:spacing w:beforeLines="60" w:before="144" w:afterLines="60" w:after="144" w:line="276" w:lineRule="auto"/>
        <w:ind w:firstLine="709"/>
        <w:jc w:val="both"/>
        <w:rPr>
          <w:rFonts w:ascii="Sylfaen" w:hAnsi="Sylfaen"/>
          <w:color w:val="1A1A1A"/>
          <w:sz w:val="22"/>
          <w:szCs w:val="22"/>
          <w:lang w:val="ka-GE"/>
        </w:rPr>
      </w:pPr>
      <w:r w:rsidRPr="007F6CA8">
        <w:rPr>
          <w:rFonts w:ascii="Sylfaen" w:hAnsi="Sylfaen"/>
          <w:color w:val="1A1A1A"/>
          <w:sz w:val="22"/>
          <w:szCs w:val="22"/>
          <w:lang w:val="ka-GE"/>
        </w:rPr>
        <w:t xml:space="preserve">განათლებისა და მეცნიერების სამინისტრომ მნიშვნელოვანი ინსტიტუციური ცვლილებები განახორციელა პროფესიული განათლების მართვისა და განხორციელებისათვის. გარდა ამისა, მნიშვნელოვანი გამოცდილებაც მიიღო პროფესიული განათლების პოლიტიკის ჩამოყალიბებასა და მონიტორინგში. სამინისტროს პროფესიული განათლების დეპარტამენტი პასუხისმგებელია პროფესიული განათლების პოლიტიკის განსაზღვრაზე, კოორდინაციასა და მართვაზე. დეპარტამენტი სამი დანაყოფისგან შედგება (პოლიტიკის, მონიტორინგისა და სოციალური პარტნიორობის სამმართველოები). განათლებისა და მეცნიერების სამინისტროს ექვსი საჯარო სამაწრთლის იურიდიული პირი ექვემდებარება - განათლების ხარისხის განვითარების ეროვნული ცენტრი, მასწავლებელთა პროფესიული განვითარების ეროვნული </w:t>
      </w:r>
      <w:r w:rsidRPr="007F6CA8">
        <w:rPr>
          <w:rFonts w:ascii="Sylfaen" w:hAnsi="Sylfaen"/>
          <w:color w:val="1A1A1A"/>
          <w:sz w:val="22"/>
          <w:szCs w:val="22"/>
          <w:lang w:val="ka-GE"/>
        </w:rPr>
        <w:lastRenderedPageBreak/>
        <w:t xml:space="preserve">ცენტრი, განათლებისა და მეცნიერების ინფრასტრუქტურის განვითარების სააგენტო, განათლების მართვის საინფორმაციო სისტემა, </w:t>
      </w:r>
      <w:r w:rsidR="00C53D97" w:rsidRPr="007F6CA8">
        <w:rPr>
          <w:rFonts w:ascii="Sylfaen" w:hAnsi="Sylfaen"/>
          <w:color w:val="1A1A1A"/>
          <w:sz w:val="22"/>
          <w:szCs w:val="22"/>
          <w:lang w:val="ka-GE"/>
        </w:rPr>
        <w:t xml:space="preserve">საგანმანათლებლო დაწესებულებების მანდატურის სამსახური, და შეფასებისა და გამოცდების ეროვნული ცენტრი, რომლებიც ჩართულები არიან პროფესიული განათლების შექმნის, მართვისა და განხორციელების პროცესში. </w:t>
      </w:r>
    </w:p>
    <w:p w14:paraId="34C654ED" w14:textId="4FA259C5" w:rsidR="009E17BF" w:rsidRPr="007F6CA8" w:rsidRDefault="00C53D97" w:rsidP="00731B1D">
      <w:pPr>
        <w:spacing w:beforeLines="60" w:before="144" w:afterLines="60" w:after="144" w:line="276" w:lineRule="auto"/>
        <w:ind w:firstLine="709"/>
        <w:jc w:val="both"/>
        <w:rPr>
          <w:rFonts w:ascii="Sylfaen" w:hAnsi="Sylfaen"/>
          <w:bCs/>
          <w:sz w:val="22"/>
          <w:szCs w:val="22"/>
        </w:rPr>
      </w:pPr>
      <w:r w:rsidRPr="007F6CA8">
        <w:rPr>
          <w:rFonts w:ascii="Sylfaen" w:hAnsi="Sylfaen"/>
          <w:color w:val="1A1A1A"/>
          <w:sz w:val="22"/>
          <w:szCs w:val="22"/>
        </w:rPr>
        <w:t xml:space="preserve">LMIS </w:t>
      </w:r>
      <w:r w:rsidRPr="007F6CA8">
        <w:rPr>
          <w:rFonts w:ascii="Sylfaen" w:hAnsi="Sylfaen"/>
          <w:color w:val="1A1A1A"/>
          <w:sz w:val="22"/>
          <w:szCs w:val="22"/>
          <w:lang w:val="ka-GE"/>
        </w:rPr>
        <w:t xml:space="preserve">საინფორმაციო-ტექნილოგიური სისტემა ჩაფიქრებული იყო, </w:t>
      </w:r>
      <w:r w:rsidR="00181CFB" w:rsidRPr="007F6CA8">
        <w:rPr>
          <w:rFonts w:ascii="Sylfaen" w:hAnsi="Sylfaen"/>
          <w:color w:val="1A1A1A"/>
          <w:sz w:val="22"/>
          <w:szCs w:val="22"/>
          <w:lang w:val="ka-GE"/>
        </w:rPr>
        <w:t xml:space="preserve">როგორც „ერთი ფანჯრის </w:t>
      </w:r>
      <w:proofErr w:type="gramStart"/>
      <w:r w:rsidR="00181CFB" w:rsidRPr="007F6CA8">
        <w:rPr>
          <w:rFonts w:ascii="Sylfaen" w:hAnsi="Sylfaen"/>
          <w:color w:val="1A1A1A"/>
          <w:sz w:val="22"/>
          <w:szCs w:val="22"/>
          <w:lang w:val="ka-GE"/>
        </w:rPr>
        <w:t xml:space="preserve">პრინციპით“ </w:t>
      </w:r>
      <w:r w:rsidRPr="007F6CA8">
        <w:rPr>
          <w:rFonts w:ascii="Sylfaen" w:hAnsi="Sylfaen"/>
          <w:color w:val="1A1A1A"/>
          <w:sz w:val="22"/>
          <w:szCs w:val="22"/>
          <w:lang w:val="ka-GE"/>
        </w:rPr>
        <w:t>მოქმედი</w:t>
      </w:r>
      <w:proofErr w:type="gramEnd"/>
      <w:r w:rsidRPr="007F6CA8">
        <w:rPr>
          <w:rFonts w:ascii="Sylfaen" w:hAnsi="Sylfaen"/>
          <w:color w:val="1A1A1A"/>
          <w:sz w:val="22"/>
          <w:szCs w:val="22"/>
          <w:lang w:val="ka-GE"/>
        </w:rPr>
        <w:t xml:space="preserve"> საჯარო ვებ პორტალი, რომელიც მოიცავს ინფორმაციას შემდეგ საკითხებზე: შრომითი ბაზრის მდგომარეობა საართველოში, პროფესიების აღწერები და პროგნოზები, კარიერული დაგეგმვა-განვითრების ინფორმაცია. </w:t>
      </w:r>
      <w:r w:rsidRPr="007F6CA8">
        <w:rPr>
          <w:rFonts w:ascii="Sylfaen" w:hAnsi="Sylfaen"/>
          <w:color w:val="1A1A1A"/>
          <w:sz w:val="22"/>
          <w:szCs w:val="22"/>
        </w:rPr>
        <w:t xml:space="preserve">LMIS </w:t>
      </w:r>
      <w:r w:rsidRPr="007F6CA8">
        <w:rPr>
          <w:rFonts w:ascii="Sylfaen" w:hAnsi="Sylfaen"/>
          <w:color w:val="1A1A1A"/>
          <w:sz w:val="22"/>
          <w:szCs w:val="22"/>
          <w:lang w:val="ka-GE"/>
        </w:rPr>
        <w:t>არის მექანიზმი, რომელიც აგროვებს, ამუშავებს, აანალიზებს, და სამუშაოს მაძიებლებს, სტუდენტებს, დამსაქმებლებს, პოლიტიკის შემქმნელებსა და სხვა პარტნიორებს უზიარებს შრომითი ბაზრის შესახებ ინფორმაციას. იგი იძლევა ინფორმაციას დასაქმებაზე, ინდუსტრიულ სექტორებში არსებულ ტრენდებზე, კარიერულ პერსპექტივებსა თუ სხვა საკითხებზე, ინფორმაციის მიმოცვლის გაუმჯობესებით. ეს სისტემა პოლიტიკის შემქმნელებს ეხმარე</w:t>
      </w:r>
      <w:r w:rsidR="00181CFB" w:rsidRPr="007F6CA8">
        <w:rPr>
          <w:rFonts w:ascii="Sylfaen" w:hAnsi="Sylfaen"/>
          <w:color w:val="1A1A1A"/>
          <w:sz w:val="22"/>
          <w:szCs w:val="22"/>
          <w:lang w:val="ka-GE"/>
        </w:rPr>
        <w:t>ბ</w:t>
      </w:r>
      <w:r w:rsidRPr="007F6CA8">
        <w:rPr>
          <w:rFonts w:ascii="Sylfaen" w:hAnsi="Sylfaen"/>
          <w:color w:val="1A1A1A"/>
          <w:sz w:val="22"/>
          <w:szCs w:val="22"/>
          <w:lang w:val="ka-GE"/>
        </w:rPr>
        <w:t xml:space="preserve">ა  გადაწყვეტილების მიღების პროცესში. </w:t>
      </w:r>
      <w:r w:rsidR="00181CFB" w:rsidRPr="007F6CA8">
        <w:rPr>
          <w:rFonts w:ascii="Sylfaen" w:hAnsi="Sylfaen"/>
          <w:color w:val="1A1A1A"/>
          <w:sz w:val="22"/>
          <w:szCs w:val="22"/>
          <w:lang w:val="ka-GE"/>
        </w:rPr>
        <w:t xml:space="preserve">მოქმედებს </w:t>
      </w:r>
      <w:r w:rsidRPr="007F6CA8">
        <w:rPr>
          <w:rFonts w:ascii="Sylfaen" w:hAnsi="Sylfaen"/>
          <w:color w:val="1A1A1A"/>
          <w:sz w:val="22"/>
          <w:szCs w:val="22"/>
          <w:lang w:val="ka-GE"/>
        </w:rPr>
        <w:t xml:space="preserve">განათლების, შრომის, ეკონომიკის, სოფლის მეურნეობის, ახალგაზრდობისა და ა.შ. შესახებ 6 კატეგორიის 78 </w:t>
      </w:r>
      <w:r w:rsidR="00406F48" w:rsidRPr="007F6CA8">
        <w:rPr>
          <w:rFonts w:ascii="Sylfaen" w:hAnsi="Sylfaen"/>
          <w:color w:val="1A1A1A"/>
          <w:sz w:val="22"/>
          <w:szCs w:val="22"/>
          <w:lang w:val="ka-GE"/>
        </w:rPr>
        <w:t>ცვლადისგან შემდგარი მონაცემთა ბაზა</w:t>
      </w:r>
      <w:r w:rsidR="009E17BF" w:rsidRPr="007F6CA8">
        <w:rPr>
          <w:rFonts w:ascii="Sylfaen" w:hAnsi="Sylfaen"/>
          <w:color w:val="1A1A1A"/>
          <w:sz w:val="22"/>
          <w:szCs w:val="22"/>
          <w:lang w:val="ka-GE"/>
        </w:rPr>
        <w:t>. 2017 წელს, მთავრობის გადაწყვეტილებით, დეპარტამენტმა ეკონომიკისა და მდგრადი განვითრების სამინისტროში გადაინაცვლა, თუმცა, მისი დანიშნულება - დაეხმაროს მოქალაქეებს, მათ შორის ახალგაზრდებს, სტუდენტებსა და სამუშაოს მაძიებლებს - კვლავ უცვლელი რჩება. პორტალი კვლავ განახლებულ ინფორმაციას მიაწვდის მომხმარებელს შრომითი ბაზრის ტრენდებზე, კარიერულ დაგეგმვა-განვითარებასა და პროფესიულ პროგრამებზე</w:t>
      </w:r>
      <w:r w:rsidR="00F76053" w:rsidRPr="007F6CA8">
        <w:rPr>
          <w:rStyle w:val="FootnoteReference"/>
          <w:rFonts w:ascii="Sylfaen" w:hAnsi="Sylfaen"/>
          <w:bCs/>
          <w:sz w:val="22"/>
          <w:szCs w:val="22"/>
        </w:rPr>
        <w:footnoteReference w:id="17"/>
      </w:r>
      <w:r w:rsidR="00F76053" w:rsidRPr="007F6CA8">
        <w:rPr>
          <w:rFonts w:ascii="Sylfaen" w:hAnsi="Sylfaen"/>
          <w:bCs/>
          <w:sz w:val="22"/>
          <w:szCs w:val="22"/>
        </w:rPr>
        <w:t>.</w:t>
      </w:r>
    </w:p>
    <w:p w14:paraId="364C7AE7" w14:textId="3B803109" w:rsidR="00F76053" w:rsidRPr="007F6CA8" w:rsidRDefault="009E17BF" w:rsidP="00731B1D">
      <w:pPr>
        <w:spacing w:beforeLines="60" w:before="144" w:afterLines="60" w:after="144" w:line="276" w:lineRule="auto"/>
        <w:ind w:firstLine="709"/>
        <w:jc w:val="both"/>
        <w:rPr>
          <w:rFonts w:ascii="Sylfaen" w:hAnsi="Sylfaen"/>
          <w:bCs/>
          <w:color w:val="000000" w:themeColor="text1"/>
          <w:sz w:val="22"/>
          <w:szCs w:val="22"/>
          <w:lang w:val="ka-GE"/>
        </w:rPr>
      </w:pPr>
      <w:r w:rsidRPr="007F6CA8">
        <w:rPr>
          <w:rFonts w:ascii="Sylfaen" w:hAnsi="Sylfaen"/>
          <w:bCs/>
          <w:color w:val="000000" w:themeColor="text1"/>
          <w:sz w:val="22"/>
          <w:szCs w:val="22"/>
          <w:lang w:val="ka-GE"/>
        </w:rPr>
        <w:t xml:space="preserve">შემდეგი აბზაცების უნარების შეუსაბამობის ინდიკატორებისათვის გამოყენებულ იქნა მონაცემთა </w:t>
      </w:r>
      <w:r w:rsidR="002912A6" w:rsidRPr="007F6CA8">
        <w:rPr>
          <w:rFonts w:ascii="Sylfaen" w:hAnsi="Sylfaen"/>
          <w:bCs/>
          <w:color w:val="000000" w:themeColor="text1"/>
          <w:sz w:val="22"/>
          <w:szCs w:val="22"/>
          <w:lang w:val="ka-GE"/>
        </w:rPr>
        <w:t xml:space="preserve">მხოლოდ ის </w:t>
      </w:r>
      <w:r w:rsidRPr="007F6CA8">
        <w:rPr>
          <w:rFonts w:ascii="Sylfaen" w:hAnsi="Sylfaen"/>
          <w:bCs/>
          <w:color w:val="000000" w:themeColor="text1"/>
          <w:sz w:val="22"/>
          <w:szCs w:val="22"/>
          <w:lang w:val="ka-GE"/>
        </w:rPr>
        <w:t xml:space="preserve">წყაროები, რომელიც ხელმისაწვდომი იყო და რეგულარულად გროვდებოდა შრომითი ბაზრის საინფორმაციო სისტემაში გამოყენების მიზნით. დამატებითი მოთხოვნა იყო საბაზისო ინდიკატორების გამოთვლა </w:t>
      </w:r>
      <w:r w:rsidRPr="007F6CA8">
        <w:rPr>
          <w:rFonts w:ascii="Sylfaen" w:hAnsi="Sylfaen"/>
          <w:bCs/>
          <w:color w:val="000000" w:themeColor="text1"/>
          <w:sz w:val="22"/>
          <w:szCs w:val="22"/>
        </w:rPr>
        <w:t>ETF</w:t>
      </w:r>
      <w:r w:rsidRPr="007F6CA8">
        <w:rPr>
          <w:rFonts w:ascii="Sylfaen" w:hAnsi="Sylfaen"/>
          <w:bCs/>
          <w:color w:val="000000" w:themeColor="text1"/>
          <w:sz w:val="22"/>
          <w:szCs w:val="22"/>
          <w:lang w:val="ka-GE"/>
        </w:rPr>
        <w:t xml:space="preserve">-ის სხვადასხვა </w:t>
      </w:r>
      <w:r w:rsidR="005C45A7" w:rsidRPr="007F6CA8">
        <w:rPr>
          <w:rFonts w:ascii="Sylfaen" w:hAnsi="Sylfaen"/>
          <w:bCs/>
          <w:color w:val="000000" w:themeColor="text1"/>
          <w:sz w:val="22"/>
          <w:szCs w:val="22"/>
          <w:lang w:val="ka-GE"/>
        </w:rPr>
        <w:t xml:space="preserve">პარტნიორი </w:t>
      </w:r>
      <w:r w:rsidRPr="007F6CA8">
        <w:rPr>
          <w:rFonts w:ascii="Sylfaen" w:hAnsi="Sylfaen"/>
          <w:bCs/>
          <w:color w:val="000000" w:themeColor="text1"/>
          <w:sz w:val="22"/>
          <w:szCs w:val="22"/>
          <w:lang w:val="ka-GE"/>
        </w:rPr>
        <w:t>ქვეყნების მასშტაბით. შესაბამისად, ჩვენ ძირითადად ვეყრდნობით</w:t>
      </w:r>
      <w:r w:rsidR="005C45A7" w:rsidRPr="007F6CA8">
        <w:rPr>
          <w:rFonts w:ascii="Sylfaen" w:hAnsi="Sylfaen"/>
          <w:bCs/>
          <w:color w:val="000000" w:themeColor="text1"/>
          <w:sz w:val="22"/>
          <w:szCs w:val="22"/>
          <w:lang w:val="ka-GE"/>
        </w:rPr>
        <w:t xml:space="preserve"> </w:t>
      </w:r>
      <w:r w:rsidR="00A946DF" w:rsidRPr="007F6CA8">
        <w:rPr>
          <w:rFonts w:ascii="Sylfaen" w:hAnsi="Sylfaen"/>
          <w:bCs/>
          <w:color w:val="000000" w:themeColor="text1"/>
          <w:sz w:val="22"/>
          <w:szCs w:val="22"/>
          <w:lang w:val="ka-GE"/>
        </w:rPr>
        <w:t>სამუშაო ძალის</w:t>
      </w:r>
      <w:r w:rsidR="005C45A7" w:rsidRPr="007F6CA8">
        <w:rPr>
          <w:rFonts w:ascii="Sylfaen" w:hAnsi="Sylfaen"/>
          <w:bCs/>
          <w:color w:val="000000" w:themeColor="text1"/>
          <w:sz w:val="22"/>
          <w:szCs w:val="22"/>
          <w:lang w:val="ka-GE"/>
        </w:rPr>
        <w:t xml:space="preserve"> კვლევას, რომელსაც </w:t>
      </w:r>
      <w:r w:rsidR="00182F77" w:rsidRPr="007F6CA8">
        <w:rPr>
          <w:rFonts w:ascii="Sylfaen" w:hAnsi="Sylfaen"/>
          <w:bCs/>
          <w:color w:val="000000" w:themeColor="text1"/>
          <w:sz w:val="22"/>
          <w:szCs w:val="22"/>
          <w:lang w:val="ka-GE"/>
        </w:rPr>
        <w:t xml:space="preserve">საქართველოს სტატისტიკის ეროვნული სამსახური (საქსტატი) აწარმოებს და აქვეყნებს. </w:t>
      </w:r>
    </w:p>
    <w:p w14:paraId="72EB9D8A" w14:textId="5E0DF6CA" w:rsidR="00F76053" w:rsidRPr="007F6CA8" w:rsidRDefault="00182F77" w:rsidP="00731B1D">
      <w:pPr>
        <w:spacing w:beforeLines="60" w:before="144" w:afterLines="60" w:after="144" w:line="276" w:lineRule="auto"/>
        <w:ind w:firstLine="709"/>
        <w:jc w:val="both"/>
        <w:rPr>
          <w:rFonts w:ascii="Sylfaen" w:hAnsi="Sylfaen"/>
          <w:sz w:val="22"/>
          <w:szCs w:val="22"/>
        </w:rPr>
      </w:pPr>
      <w:r w:rsidRPr="007F6CA8">
        <w:rPr>
          <w:rFonts w:ascii="Sylfaen" w:hAnsi="Sylfaen"/>
          <w:bCs/>
          <w:color w:val="000000" w:themeColor="text1"/>
          <w:sz w:val="22"/>
          <w:szCs w:val="22"/>
          <w:lang w:val="ka-GE"/>
        </w:rPr>
        <w:t xml:space="preserve">საქართველოში, ქვეყნის დონეზე რამდენიმე მონაცემთა წყარო არსებობს, რომელიც განათლებისა და შრომითი ბაზრის დინამიკის შესაბამისი სტატისტიკური ანალიზის საშუალებას იძლევა. თითოეულ მათგანს გარკვეული ხარვეზები და ლიმიტაციები გააჩნია უნარების შეუსაბამობის ზომების შეფასებასთან დაკავშირებით. მიუხედავად იმისა, რომ სამუშაო ძალის კვლევა ყველაზე მრავლისმომცველი მონაცემთა წყაროა უნარების შეუსაბამობის ინდიკატორების გამოსათვლელად, ქვემოთ ჩამოთვლილი ყველა წყარო გვაწვდის გარკვეულ ინფორმაციას </w:t>
      </w:r>
      <w:r w:rsidR="0005235E" w:rsidRPr="007F6CA8">
        <w:rPr>
          <w:rFonts w:ascii="Sylfaen" w:hAnsi="Sylfaen"/>
          <w:bCs/>
          <w:color w:val="000000" w:themeColor="text1"/>
          <w:sz w:val="22"/>
          <w:szCs w:val="22"/>
          <w:lang w:val="ka-GE"/>
        </w:rPr>
        <w:t xml:space="preserve">საქართველოს საგანმანათლებლო სისტემისა და შრომითი ბაზრის ინსტიტუციური მოწყობის ფუნქციონირების შედეგებზე. </w:t>
      </w:r>
      <w:r w:rsidRPr="007F6CA8">
        <w:rPr>
          <w:rFonts w:ascii="Sylfaen" w:hAnsi="Sylfaen"/>
          <w:bCs/>
          <w:color w:val="000000" w:themeColor="text1"/>
          <w:sz w:val="22"/>
          <w:szCs w:val="22"/>
          <w:lang w:val="ka-GE"/>
        </w:rPr>
        <w:t xml:space="preserve"> </w:t>
      </w:r>
    </w:p>
    <w:p w14:paraId="4719CFAD" w14:textId="77777777" w:rsidR="00F76053" w:rsidRPr="007F6CA8" w:rsidRDefault="00F76053" w:rsidP="00731B1D">
      <w:pPr>
        <w:pStyle w:val="BodyText"/>
        <w:spacing w:beforeLines="60" w:before="144" w:afterLines="60" w:after="144" w:line="276" w:lineRule="auto"/>
        <w:jc w:val="both"/>
        <w:rPr>
          <w:rFonts w:ascii="Sylfaen" w:hAnsi="Sylfaen"/>
          <w:color w:val="595959" w:themeColor="text1" w:themeTint="A6"/>
          <w:lang w:val="en-GB"/>
        </w:rPr>
      </w:pPr>
    </w:p>
    <w:p w14:paraId="4440FAD0" w14:textId="27C44FA0" w:rsidR="00F76053" w:rsidRPr="007F6CA8" w:rsidRDefault="00A946DF" w:rsidP="00731B1D">
      <w:pPr>
        <w:pStyle w:val="Heading3"/>
        <w:spacing w:beforeLines="60" w:before="144" w:afterLines="60" w:after="144" w:line="276" w:lineRule="auto"/>
        <w:rPr>
          <w:rFonts w:ascii="Sylfaen" w:hAnsi="Sylfaen"/>
        </w:rPr>
      </w:pPr>
      <w:bookmarkStart w:id="11" w:name="_Toc513596833"/>
      <w:r w:rsidRPr="007F6CA8">
        <w:rPr>
          <w:rFonts w:ascii="Sylfaen" w:hAnsi="Sylfaen"/>
          <w:lang w:val="ka-GE"/>
        </w:rPr>
        <w:lastRenderedPageBreak/>
        <w:t>სამუშაო ძალის კვლევა</w:t>
      </w:r>
      <w:bookmarkEnd w:id="11"/>
    </w:p>
    <w:p w14:paraId="17C4EC19" w14:textId="02BEC9C1" w:rsidR="00E84C05" w:rsidRPr="007F6CA8" w:rsidRDefault="00E84C05"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rPr>
        <w:t>ETF</w:t>
      </w:r>
      <w:r w:rsidRPr="007F6CA8">
        <w:rPr>
          <w:rFonts w:ascii="Sylfaen" w:hAnsi="Sylfaen"/>
          <w:sz w:val="22"/>
          <w:szCs w:val="22"/>
          <w:lang w:val="ka-GE"/>
        </w:rPr>
        <w:t xml:space="preserve">-ის მიერ უნარების შეუსაბამობის კვლევის მეთოდოლოგია </w:t>
      </w:r>
      <w:r w:rsidR="009A5E6A" w:rsidRPr="007F6CA8">
        <w:rPr>
          <w:rFonts w:ascii="Sylfaen" w:hAnsi="Sylfaen"/>
          <w:sz w:val="22"/>
          <w:szCs w:val="22"/>
          <w:lang w:val="ka-GE"/>
        </w:rPr>
        <w:t xml:space="preserve">მონაცემთა </w:t>
      </w:r>
      <w:r w:rsidRPr="007F6CA8">
        <w:rPr>
          <w:rFonts w:ascii="Sylfaen" w:hAnsi="Sylfaen"/>
          <w:sz w:val="22"/>
          <w:szCs w:val="22"/>
          <w:lang w:val="ka-GE"/>
        </w:rPr>
        <w:t xml:space="preserve">ყველაზე </w:t>
      </w:r>
      <w:proofErr w:type="gramStart"/>
      <w:r w:rsidRPr="007F6CA8">
        <w:rPr>
          <w:rFonts w:ascii="Sylfaen" w:hAnsi="Sylfaen"/>
          <w:sz w:val="22"/>
          <w:szCs w:val="22"/>
          <w:lang w:val="ka-GE"/>
        </w:rPr>
        <w:t>მრავალფეროვან  წყაროდ</w:t>
      </w:r>
      <w:proofErr w:type="gramEnd"/>
      <w:r w:rsidRPr="007F6CA8">
        <w:rPr>
          <w:rFonts w:ascii="Sylfaen" w:hAnsi="Sylfaen"/>
          <w:sz w:val="22"/>
          <w:szCs w:val="22"/>
          <w:lang w:val="ka-GE"/>
        </w:rPr>
        <w:t xml:space="preserve"> სამუშაო ძალის კვლევას მიიჩნევს. ეს კვლევა ბოლო პერიოდამდე (2016) შინამეურნეობათა კვლევის ნაწილი იყო, რომელსაც 1990-იანი წლებიდან მოყოლებული ახორციელებს სტატისტიკის ეროვნული სამსახური. ეს კვარტალური კვლევა მთელი ქვეყანის მასშტაბით ხორციელდენა და დაახლოებით 3,400 შინამეურნეობას მოიცავს, გარდა საქართველოს მთავრობის კონტროლს მიღმა მყოფი ტერიტორიებისა. </w:t>
      </w:r>
    </w:p>
    <w:p w14:paraId="1FCFAC0E" w14:textId="05EECAE8" w:rsidR="00E84C05" w:rsidRPr="007F6CA8" w:rsidRDefault="00E84C05"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2010-2011 წლებში ათასწლეულის </w:t>
      </w:r>
      <w:r w:rsidR="002E3292" w:rsidRPr="007F6CA8">
        <w:rPr>
          <w:rFonts w:ascii="Sylfaen" w:hAnsi="Sylfaen"/>
          <w:sz w:val="22"/>
          <w:szCs w:val="22"/>
          <w:lang w:val="ka-GE"/>
        </w:rPr>
        <w:t xml:space="preserve">გამოწვევა საქართველოს პროგრამის ფარგლებში, რომელიც საქსტატს უწევდა დახმარებას, შინამეურნეობების კვლევაში უფრო დიდი იყო საკვლევი რაოდენობა (6000 ოჯახი), თუმცა, სამუშაო ძალის სტატისტიკის შინაარსი იმ დროს იგივე რჩებოდა. </w:t>
      </w:r>
    </w:p>
    <w:p w14:paraId="159FBC6D" w14:textId="61AB8379" w:rsidR="00F76053" w:rsidRPr="007F6CA8" w:rsidRDefault="002E3292"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სამუშაო ძალის კვლევაში მონაწილეობას იღებს 15 წლის და მეტი ასაკის ოჯახის ყველა წევრი, გარდა ოჯახის იმ წევრებისა, რომლებიც ინტერვიუს მომენტისათვის:</w:t>
      </w:r>
    </w:p>
    <w:p w14:paraId="0BDF9280" w14:textId="0FDBB236" w:rsidR="002E3292" w:rsidRPr="007F6CA8" w:rsidRDefault="002E3292" w:rsidP="002E3292">
      <w:pPr>
        <w:pStyle w:val="ListParagraph"/>
        <w:numPr>
          <w:ilvl w:val="0"/>
          <w:numId w:val="24"/>
        </w:numPr>
        <w:spacing w:beforeLines="60" w:before="144" w:afterLines="60" w:after="144" w:line="276" w:lineRule="auto"/>
        <w:jc w:val="both"/>
        <w:rPr>
          <w:rFonts w:ascii="Sylfaen" w:hAnsi="Sylfaen"/>
          <w:sz w:val="22"/>
          <w:szCs w:val="22"/>
          <w:lang w:val="ka-GE"/>
        </w:rPr>
      </w:pPr>
      <w:r w:rsidRPr="007F6CA8">
        <w:rPr>
          <w:rFonts w:ascii="Sylfaen" w:hAnsi="Sylfaen"/>
          <w:sz w:val="22"/>
          <w:szCs w:val="22"/>
          <w:lang w:val="ka-GE"/>
        </w:rPr>
        <w:t>ოჯახის გარეთ ცხოვრობდნენ 12 თვეზე მეტი ვადით</w:t>
      </w:r>
    </w:p>
    <w:p w14:paraId="7A507517" w14:textId="56348EAA" w:rsidR="002E3292" w:rsidRPr="007F6CA8" w:rsidRDefault="002E3292" w:rsidP="002E3292">
      <w:pPr>
        <w:pStyle w:val="ListParagraph"/>
        <w:numPr>
          <w:ilvl w:val="0"/>
          <w:numId w:val="24"/>
        </w:numPr>
        <w:spacing w:beforeLines="60" w:before="144" w:afterLines="60" w:after="144" w:line="276" w:lineRule="auto"/>
        <w:jc w:val="both"/>
        <w:rPr>
          <w:rFonts w:ascii="Sylfaen" w:hAnsi="Sylfaen"/>
          <w:sz w:val="22"/>
          <w:szCs w:val="22"/>
          <w:lang w:val="ka-GE"/>
        </w:rPr>
      </w:pPr>
      <w:r w:rsidRPr="007F6CA8">
        <w:rPr>
          <w:rFonts w:ascii="Sylfaen" w:hAnsi="Sylfaen"/>
          <w:sz w:val="22"/>
          <w:szCs w:val="22"/>
          <w:lang w:val="ka-GE"/>
        </w:rPr>
        <w:t>ცხოვრობდნენ სამხედრო ბაზაზე</w:t>
      </w:r>
    </w:p>
    <w:p w14:paraId="550AE9C3" w14:textId="0DBF4407" w:rsidR="002E3292" w:rsidRPr="007F6CA8" w:rsidRDefault="002E3292" w:rsidP="002E3292">
      <w:pPr>
        <w:pStyle w:val="ListParagraph"/>
        <w:numPr>
          <w:ilvl w:val="0"/>
          <w:numId w:val="24"/>
        </w:numPr>
        <w:spacing w:beforeLines="60" w:before="144" w:afterLines="60" w:after="144" w:line="276" w:lineRule="auto"/>
        <w:jc w:val="both"/>
        <w:rPr>
          <w:rFonts w:ascii="Sylfaen" w:hAnsi="Sylfaen"/>
          <w:sz w:val="22"/>
          <w:szCs w:val="22"/>
        </w:rPr>
      </w:pPr>
      <w:r w:rsidRPr="007F6CA8">
        <w:rPr>
          <w:rFonts w:ascii="Sylfaen" w:hAnsi="Sylfaen"/>
          <w:sz w:val="22"/>
          <w:szCs w:val="22"/>
          <w:lang w:val="ka-GE"/>
        </w:rPr>
        <w:t>იმყოფებოდნენ ციხეში, ფსიქიატრულ კლინიკებში, მოხუცთა სახლებში ან სხვა ტიპის სპეციალიზებულ ინსტიტუციებში.</w:t>
      </w:r>
    </w:p>
    <w:p w14:paraId="28F26B7A" w14:textId="5AC18951" w:rsidR="002E3292" w:rsidRPr="007F6CA8" w:rsidRDefault="002E3292" w:rsidP="002E3292">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2016 წლის ჩათვლით ყველა მონაცემი გამოქვეყნებულია საქსტატის ვებ-გვერდზე. 2017 წლიდან ცალკე დაიწყო ახალი </w:t>
      </w:r>
      <w:r w:rsidR="00226F10" w:rsidRPr="007F6CA8">
        <w:rPr>
          <w:rFonts w:ascii="Sylfaen" w:hAnsi="Sylfaen"/>
          <w:sz w:val="22"/>
          <w:szCs w:val="22"/>
        </w:rPr>
        <w:t>სამუშაო ძალის კვლევა</w:t>
      </w:r>
      <w:r w:rsidRPr="007F6CA8">
        <w:rPr>
          <w:rFonts w:ascii="Sylfaen" w:hAnsi="Sylfaen"/>
          <w:sz w:val="22"/>
          <w:szCs w:val="22"/>
          <w:lang w:val="ka-GE"/>
        </w:rPr>
        <w:t xml:space="preserve">, განახლებული კითხვარებით და უფრო დიდი საკვლევი ჯგუფით (დაახლ. 6,000 ოჯახი). </w:t>
      </w:r>
      <w:r w:rsidR="003120D1" w:rsidRPr="007F6CA8">
        <w:rPr>
          <w:rFonts w:ascii="Sylfaen" w:hAnsi="Sylfaen"/>
          <w:sz w:val="22"/>
          <w:szCs w:val="22"/>
          <w:lang w:val="ka-GE"/>
        </w:rPr>
        <w:t xml:space="preserve">საქსტატი კვარტალურად არ აქვეყნებს მონაცემებს, თუმცა, 2017 წლის პირველი მონაცემები 2018 წლის 15 ივნისს იქნება ხელმისაწვდომი. ამ ახალი სამუშაო ძალის კვლევის შედეგები </w:t>
      </w:r>
      <w:r w:rsidR="003120D1" w:rsidRPr="007F6CA8">
        <w:rPr>
          <w:rFonts w:ascii="Sylfaen" w:hAnsi="Sylfaen"/>
          <w:sz w:val="22"/>
          <w:szCs w:val="22"/>
        </w:rPr>
        <w:t xml:space="preserve">SPSS </w:t>
      </w:r>
      <w:r w:rsidR="003120D1" w:rsidRPr="007F6CA8">
        <w:rPr>
          <w:rFonts w:ascii="Sylfaen" w:hAnsi="Sylfaen"/>
          <w:sz w:val="22"/>
          <w:szCs w:val="22"/>
          <w:lang w:val="ka-GE"/>
        </w:rPr>
        <w:t>პროგრამაში</w:t>
      </w:r>
      <w:r w:rsidR="003120D1" w:rsidRPr="007F6CA8">
        <w:rPr>
          <w:rStyle w:val="FootnoteReference"/>
          <w:rFonts w:ascii="Sylfaen" w:hAnsi="Sylfaen"/>
          <w:sz w:val="22"/>
          <w:szCs w:val="22"/>
        </w:rPr>
        <w:footnoteReference w:id="18"/>
      </w:r>
      <w:r w:rsidR="003120D1" w:rsidRPr="007F6CA8">
        <w:rPr>
          <w:rFonts w:ascii="Sylfaen" w:hAnsi="Sylfaen"/>
          <w:sz w:val="22"/>
          <w:szCs w:val="22"/>
          <w:lang w:val="ka-GE"/>
        </w:rPr>
        <w:t xml:space="preserve"> იქნება წარმოდგენილი და უზრუნველყოფს საკვლევი ჯგუფის ზომისა და დიზაინის მრავალმხრივობას, რათა შესაძლებელი გახდეს ოფიციალური სტატისტიკის გამოქვეყნება პროფესიების მიერ დასაქმებასა თუ საქმიანობის მიმართულების (მრეწველობის) მიხედვით. ამჟამად საქსტატი მხოლოდ ადმინისტრაციულ სტატისტიკას აქვეყნებს 15+ წლის ასაკობრივი ჯგუფისათვის, ადმინისტრაციული რეგიონებისა თუ </w:t>
      </w:r>
      <w:r w:rsidR="002912A6" w:rsidRPr="007F6CA8">
        <w:rPr>
          <w:rFonts w:ascii="Sylfaen" w:hAnsi="Sylfaen"/>
          <w:sz w:val="22"/>
          <w:szCs w:val="22"/>
          <w:lang w:val="ka-GE"/>
        </w:rPr>
        <w:t>ეკონომიკუ</w:t>
      </w:r>
      <w:r w:rsidR="003120D1" w:rsidRPr="007F6CA8">
        <w:rPr>
          <w:rFonts w:ascii="Sylfaen" w:hAnsi="Sylfaen"/>
          <w:sz w:val="22"/>
          <w:szCs w:val="22"/>
          <w:lang w:val="ka-GE"/>
        </w:rPr>
        <w:t>რი სტატუსის მიხედვით, ასევე დასაქმების დისტრიბუციას ინსტიტუციური სექტორის მიხედვით (საჯარო და არასაჯარო).</w:t>
      </w:r>
    </w:p>
    <w:p w14:paraId="61D60B05" w14:textId="6A528E17" w:rsidR="00F76053" w:rsidRPr="007F6CA8" w:rsidRDefault="003120D1" w:rsidP="0094151F">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ქვეყნის სპეციფიკიდან და გაეროს შრომის საერთაშორისო ორგანიზაციის (</w:t>
      </w:r>
      <w:r w:rsidRPr="007F6CA8">
        <w:rPr>
          <w:rFonts w:ascii="Sylfaen" w:hAnsi="Sylfaen"/>
          <w:sz w:val="22"/>
          <w:szCs w:val="22"/>
        </w:rPr>
        <w:t>ILO</w:t>
      </w:r>
      <w:r w:rsidRPr="007F6CA8">
        <w:rPr>
          <w:rFonts w:ascii="Sylfaen" w:hAnsi="Sylfaen"/>
          <w:sz w:val="22"/>
          <w:szCs w:val="22"/>
          <w:lang w:val="ka-GE"/>
        </w:rPr>
        <w:t xml:space="preserve">) მიერ შემუშავებული რეკომენდაციებიდან გამომდინარე, ზედა ასაკობრივი ზღვარი არაა განსაზღვრული, </w:t>
      </w:r>
      <w:r w:rsidR="0094151F" w:rsidRPr="007F6CA8">
        <w:rPr>
          <w:rFonts w:ascii="Sylfaen" w:hAnsi="Sylfaen"/>
          <w:sz w:val="22"/>
          <w:szCs w:val="22"/>
          <w:lang w:val="ka-GE"/>
        </w:rPr>
        <w:t xml:space="preserve">ვინაიდან საპენსიო ასაკის მიღწევის შემდეგაც მოსახლეობა საკმაოდ დიდხანსაა ჩართული ეკონომიკურ საქმიანობაში. </w:t>
      </w:r>
      <w:r w:rsidR="0094151F" w:rsidRPr="007F6CA8">
        <w:rPr>
          <w:rFonts w:ascii="Sylfaen" w:hAnsi="Sylfaen"/>
          <w:sz w:val="22"/>
          <w:szCs w:val="22"/>
        </w:rPr>
        <w:t xml:space="preserve">ILO </w:t>
      </w:r>
      <w:r w:rsidR="0094151F" w:rsidRPr="007F6CA8">
        <w:rPr>
          <w:rFonts w:ascii="Sylfaen" w:hAnsi="Sylfaen"/>
          <w:sz w:val="22"/>
          <w:szCs w:val="22"/>
          <w:lang w:val="ka-GE"/>
        </w:rPr>
        <w:t>მეთოდოლოგიის მიხედვით საქსტატი შემდეგ კრიტერიუმებს და განმარტებებს იყენებს</w:t>
      </w:r>
      <w:r w:rsidR="00F76053" w:rsidRPr="007F6CA8">
        <w:rPr>
          <w:rStyle w:val="FootnoteReference"/>
          <w:rFonts w:ascii="Sylfaen" w:hAnsi="Sylfaen"/>
          <w:sz w:val="22"/>
          <w:szCs w:val="22"/>
        </w:rPr>
        <w:footnoteReference w:id="19"/>
      </w:r>
      <w:r w:rsidR="00F76053" w:rsidRPr="007F6CA8">
        <w:rPr>
          <w:rFonts w:ascii="Sylfaen" w:hAnsi="Sylfaen"/>
          <w:sz w:val="22"/>
          <w:szCs w:val="22"/>
        </w:rPr>
        <w:t>:</w:t>
      </w:r>
    </w:p>
    <w:p w14:paraId="6B71B25A" w14:textId="6FA14C66" w:rsidR="00F76053" w:rsidRPr="007F6CA8" w:rsidRDefault="0094151F" w:rsidP="008C7739">
      <w:pPr>
        <w:spacing w:beforeLines="60" w:before="144" w:afterLines="60" w:after="144" w:line="276" w:lineRule="auto"/>
        <w:jc w:val="both"/>
        <w:rPr>
          <w:rFonts w:ascii="Sylfaen" w:hAnsi="Sylfaen"/>
          <w:sz w:val="22"/>
          <w:szCs w:val="22"/>
        </w:rPr>
      </w:pPr>
      <w:r w:rsidRPr="007F6CA8">
        <w:rPr>
          <w:rFonts w:ascii="Sylfaen" w:hAnsi="Sylfaen"/>
          <w:i/>
          <w:sz w:val="22"/>
          <w:szCs w:val="22"/>
          <w:lang w:val="ka-GE"/>
        </w:rPr>
        <w:lastRenderedPageBreak/>
        <w:t>ეკონომიკურად აქტიური</w:t>
      </w:r>
      <w:r w:rsidRPr="007F6CA8">
        <w:rPr>
          <w:rFonts w:ascii="Sylfaen" w:hAnsi="Sylfaen"/>
          <w:sz w:val="22"/>
          <w:szCs w:val="22"/>
        </w:rPr>
        <w:t xml:space="preserve"> – </w:t>
      </w:r>
      <w:r w:rsidRPr="007F6CA8">
        <w:rPr>
          <w:rFonts w:ascii="Sylfaen" w:hAnsi="Sylfaen"/>
          <w:sz w:val="22"/>
          <w:szCs w:val="22"/>
          <w:lang w:val="ka-GE"/>
        </w:rPr>
        <w:t xml:space="preserve">პირი, რომელიც არის 15 წლის ან მეტის, და რომელიც მუშაობს ან </w:t>
      </w:r>
      <w:r w:rsidR="00351942" w:rsidRPr="007F6CA8">
        <w:rPr>
          <w:rFonts w:ascii="Sylfaen" w:hAnsi="Sylfaen"/>
          <w:sz w:val="22"/>
          <w:szCs w:val="22"/>
          <w:lang w:val="ka-GE"/>
        </w:rPr>
        <w:t>მის</w:t>
      </w:r>
      <w:r w:rsidRPr="007F6CA8">
        <w:rPr>
          <w:rFonts w:ascii="Sylfaen" w:hAnsi="Sylfaen"/>
          <w:sz w:val="22"/>
          <w:szCs w:val="22"/>
          <w:lang w:val="ka-GE"/>
        </w:rPr>
        <w:t xml:space="preserve"> </w:t>
      </w:r>
      <w:r w:rsidR="00351942" w:rsidRPr="007F6CA8">
        <w:rPr>
          <w:rFonts w:ascii="Sylfaen" w:hAnsi="Sylfaen"/>
          <w:sz w:val="22"/>
          <w:szCs w:val="22"/>
          <w:lang w:val="ka-GE"/>
        </w:rPr>
        <w:t>შრომა</w:t>
      </w:r>
      <w:r w:rsidRPr="007F6CA8">
        <w:rPr>
          <w:rFonts w:ascii="Sylfaen" w:hAnsi="Sylfaen"/>
          <w:sz w:val="22"/>
          <w:szCs w:val="22"/>
          <w:lang w:val="ka-GE"/>
        </w:rPr>
        <w:t>ს</w:t>
      </w:r>
      <w:r w:rsidR="00351942" w:rsidRPr="007F6CA8">
        <w:rPr>
          <w:rFonts w:ascii="Sylfaen" w:hAnsi="Sylfaen"/>
          <w:sz w:val="22"/>
          <w:szCs w:val="22"/>
          <w:lang w:val="ka-GE"/>
        </w:rPr>
        <w:t xml:space="preserve"> თავაზობს მომსახურების ან პროდუქტების წარმოებისთვის, რომელიც </w:t>
      </w:r>
      <w:r w:rsidR="008C7739" w:rsidRPr="007F6CA8">
        <w:rPr>
          <w:rFonts w:ascii="Sylfaen" w:hAnsi="Sylfaen"/>
          <w:sz w:val="22"/>
          <w:szCs w:val="22"/>
          <w:lang w:val="ka-GE"/>
        </w:rPr>
        <w:t xml:space="preserve">შინაურ პროდუქტადაა მიჩნეული გაეროს ეროვნული ანგარიშგების სისტემაში. </w:t>
      </w:r>
      <w:r w:rsidRPr="007F6CA8">
        <w:rPr>
          <w:rFonts w:ascii="Sylfaen" w:hAnsi="Sylfaen"/>
          <w:sz w:val="22"/>
          <w:szCs w:val="22"/>
          <w:lang w:val="ka-GE"/>
        </w:rPr>
        <w:t xml:space="preserve"> </w:t>
      </w:r>
    </w:p>
    <w:p w14:paraId="5F725160" w14:textId="1502A820" w:rsidR="008C7739" w:rsidRPr="007F6CA8" w:rsidRDefault="008C7739" w:rsidP="00731B1D">
      <w:pPr>
        <w:spacing w:beforeLines="60" w:before="144" w:afterLines="60" w:after="144" w:line="276" w:lineRule="auto"/>
        <w:jc w:val="both"/>
        <w:rPr>
          <w:rFonts w:ascii="Sylfaen" w:hAnsi="Sylfaen"/>
          <w:sz w:val="22"/>
          <w:szCs w:val="22"/>
          <w:lang w:val="ka-GE"/>
        </w:rPr>
      </w:pPr>
      <w:r w:rsidRPr="007F6CA8">
        <w:rPr>
          <w:rFonts w:ascii="Sylfaen" w:hAnsi="Sylfaen"/>
          <w:i/>
          <w:sz w:val="22"/>
          <w:szCs w:val="22"/>
          <w:lang w:val="ka-GE"/>
        </w:rPr>
        <w:t>დასაქმებული</w:t>
      </w:r>
      <w:r w:rsidR="00F76053" w:rsidRPr="007F6CA8">
        <w:rPr>
          <w:rFonts w:ascii="Sylfaen" w:hAnsi="Sylfaen"/>
          <w:i/>
          <w:sz w:val="22"/>
          <w:szCs w:val="22"/>
        </w:rPr>
        <w:t xml:space="preserve"> (</w:t>
      </w:r>
      <w:r w:rsidRPr="007F6CA8">
        <w:rPr>
          <w:rFonts w:ascii="Sylfaen" w:hAnsi="Sylfaen"/>
          <w:i/>
          <w:sz w:val="22"/>
          <w:szCs w:val="22"/>
          <w:lang w:val="ka-GE"/>
        </w:rPr>
        <w:t>დაქირავებული ან თვითდასაქმებული</w:t>
      </w:r>
      <w:r w:rsidR="00F76053" w:rsidRPr="007F6CA8">
        <w:rPr>
          <w:rFonts w:ascii="Sylfaen" w:hAnsi="Sylfaen"/>
          <w:i/>
          <w:sz w:val="22"/>
          <w:szCs w:val="22"/>
        </w:rPr>
        <w:t>)</w:t>
      </w:r>
      <w:r w:rsidRPr="007F6CA8">
        <w:rPr>
          <w:rFonts w:ascii="Sylfaen" w:hAnsi="Sylfaen"/>
          <w:sz w:val="22"/>
          <w:szCs w:val="22"/>
        </w:rPr>
        <w:t xml:space="preserve"> – </w:t>
      </w:r>
      <w:r w:rsidRPr="007F6CA8">
        <w:rPr>
          <w:rFonts w:ascii="Sylfaen" w:hAnsi="Sylfaen"/>
          <w:sz w:val="22"/>
          <w:szCs w:val="22"/>
          <w:lang w:val="ka-GE"/>
        </w:rPr>
        <w:t xml:space="preserve">პირი, რომელიც არის 15 წლის ან მეტის, და რომელიც დასაქმებული იყო გასაუბრებადე 7 დღით ადრე (ერთი საათით მაინც), რათა მიეღო შემოსავალი (ხელფასი, მოგება ან სხვა სახის კომპენსაცია), ან უფასოდ დაეხმარა ოჯახის სხვა წევრს, ან ფორმალურად ითვლებოდა დასაქმებულად, მაგრამ რამე მიზეზის გამო </w:t>
      </w:r>
      <w:r w:rsidR="00062B95" w:rsidRPr="007F6CA8">
        <w:rPr>
          <w:rFonts w:ascii="Sylfaen" w:hAnsi="Sylfaen"/>
          <w:sz w:val="22"/>
          <w:szCs w:val="22"/>
          <w:lang w:val="ka-GE"/>
        </w:rPr>
        <w:t xml:space="preserve">არ იმყოფებოდა სამსახურში. </w:t>
      </w:r>
    </w:p>
    <w:p w14:paraId="5C9FC773" w14:textId="274C0DD9" w:rsidR="0014616E" w:rsidRPr="007F6CA8" w:rsidRDefault="0014616E" w:rsidP="00731B1D">
      <w:pPr>
        <w:spacing w:beforeLines="60" w:before="144" w:afterLines="60" w:after="144" w:line="276" w:lineRule="auto"/>
        <w:jc w:val="both"/>
        <w:rPr>
          <w:rFonts w:ascii="Sylfaen" w:hAnsi="Sylfaen"/>
          <w:sz w:val="22"/>
          <w:szCs w:val="22"/>
          <w:lang w:val="ka-GE"/>
        </w:rPr>
      </w:pPr>
      <w:r w:rsidRPr="007F6CA8">
        <w:rPr>
          <w:rFonts w:ascii="Sylfaen" w:hAnsi="Sylfaen"/>
          <w:i/>
          <w:sz w:val="22"/>
          <w:szCs w:val="22"/>
          <w:lang w:val="ka-GE"/>
        </w:rPr>
        <w:t>უმუშევარი</w:t>
      </w:r>
      <w:r w:rsidR="00F76053" w:rsidRPr="007F6CA8">
        <w:rPr>
          <w:rFonts w:ascii="Sylfaen" w:hAnsi="Sylfaen"/>
          <w:sz w:val="22"/>
          <w:szCs w:val="22"/>
        </w:rPr>
        <w:t xml:space="preserve"> – </w:t>
      </w:r>
      <w:r w:rsidRPr="007F6CA8">
        <w:rPr>
          <w:rFonts w:ascii="Sylfaen" w:hAnsi="Sylfaen"/>
          <w:sz w:val="22"/>
          <w:szCs w:val="22"/>
          <w:lang w:val="ka-GE"/>
        </w:rPr>
        <w:t xml:space="preserve">პირი, რომელიც არის 15 წლის ან მეტის, რომელიც არ ყოფილა დასაქმებული (ერთი საათითაც კი) გასაუბრებამდე 7 დღით ადრე, ეძებდა სამუშაოს სულ მცირე 4 კვირის განმავლობაში, და მზად იყო მუშაობა დაეწყო შემდეგი ორი კვირის განმავლობაში. </w:t>
      </w:r>
    </w:p>
    <w:p w14:paraId="311F787F" w14:textId="710BE8AA" w:rsidR="0014616E" w:rsidRPr="007F6CA8" w:rsidRDefault="0014616E" w:rsidP="0014616E">
      <w:pPr>
        <w:spacing w:beforeLines="60" w:before="144" w:afterLines="60" w:after="144" w:line="276" w:lineRule="auto"/>
        <w:jc w:val="both"/>
        <w:rPr>
          <w:rFonts w:ascii="Sylfaen" w:hAnsi="Sylfaen"/>
          <w:sz w:val="22"/>
          <w:szCs w:val="22"/>
          <w:lang w:val="ka-GE"/>
        </w:rPr>
      </w:pPr>
      <w:r w:rsidRPr="007F6CA8">
        <w:rPr>
          <w:rFonts w:ascii="Sylfaen" w:hAnsi="Sylfaen"/>
          <w:i/>
          <w:sz w:val="22"/>
          <w:szCs w:val="22"/>
          <w:lang w:val="ka-GE"/>
        </w:rPr>
        <w:t>ეკონომიკურად არააქტიური</w:t>
      </w:r>
      <w:r w:rsidRPr="007F6CA8">
        <w:rPr>
          <w:rFonts w:ascii="Sylfaen" w:hAnsi="Sylfaen"/>
          <w:sz w:val="22"/>
          <w:szCs w:val="22"/>
        </w:rPr>
        <w:t xml:space="preserve"> – </w:t>
      </w:r>
      <w:r w:rsidRPr="007F6CA8">
        <w:rPr>
          <w:rFonts w:ascii="Sylfaen" w:hAnsi="Sylfaen"/>
          <w:sz w:val="22"/>
          <w:szCs w:val="22"/>
          <w:lang w:val="ka-GE"/>
        </w:rPr>
        <w:t xml:space="preserve">პირი, რომელიც არის 15 წლის ან მეტის, რომელიც არ ყოფილა დასაქმებული (ერთი საათითაც კი) გასაუბრებამდე 7 დღით ადრე, არ ეძებდა სამუშაოს სულ მცირე 4 კვირის განმავლობაში. ასევე, პირი, რომელიც ეძებდა სამუშაოს 4 წინა 4 კვირის განმავლობაში, მაგრამ მზად არ იყო მუშაობა დაეწყო შემდეგი ორი კვირის განმავლობაში. </w:t>
      </w:r>
    </w:p>
    <w:p w14:paraId="70E9BFDC" w14:textId="41781C42" w:rsidR="0014616E" w:rsidRPr="007F6CA8" w:rsidRDefault="0014616E" w:rsidP="0014616E">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როგორც აღინიშნა, საქსტატი არ აქვეყნებს მონაცემებს დასაქმებულების </w:t>
      </w:r>
      <w:r w:rsidR="00F05BD8" w:rsidRPr="007F6CA8">
        <w:rPr>
          <w:rFonts w:ascii="Sylfaen" w:hAnsi="Sylfaen"/>
          <w:sz w:val="22"/>
          <w:szCs w:val="22"/>
          <w:lang w:val="ka-GE"/>
        </w:rPr>
        <w:t xml:space="preserve">გადანაწილებაზე განათლების დონის მიხედვით. თუმცა, სამუშაოს ძალის კვლევის მიკრო-მონაცემები წვდომადია ვებ-გვერდებზე და მოიცავს განათლების ცვლადს, მაგრამ მხოლოდ </w:t>
      </w:r>
      <w:r w:rsidR="00F05BD8" w:rsidRPr="007F6CA8">
        <w:rPr>
          <w:rFonts w:ascii="Sylfaen" w:hAnsi="Sylfaen"/>
          <w:sz w:val="22"/>
          <w:szCs w:val="22"/>
        </w:rPr>
        <w:t>ISCED</w:t>
      </w:r>
      <w:r w:rsidR="00F05BD8" w:rsidRPr="007F6CA8">
        <w:rPr>
          <w:rFonts w:ascii="Sylfaen" w:hAnsi="Sylfaen"/>
          <w:sz w:val="22"/>
          <w:szCs w:val="22"/>
          <w:lang w:val="ka-GE"/>
        </w:rPr>
        <w:t xml:space="preserve"> საგანმანათლებლო დონეების მიხედვით დაჯგუფებულს. დეტალური პროფესიების კოდირებისათვის საქართველოში </w:t>
      </w:r>
      <w:r w:rsidR="00F05BD8" w:rsidRPr="007F6CA8">
        <w:rPr>
          <w:rFonts w:ascii="Sylfaen" w:hAnsi="Sylfaen"/>
          <w:sz w:val="22"/>
          <w:szCs w:val="22"/>
        </w:rPr>
        <w:t xml:space="preserve">ISCO-ს ეროვნული კლასიფიკატორი გამოიყენება. სამუშაო ძალის კვლევაში ზოგიერთი ცვლადი, მაგალითად, სამუშაოზე ყოფნის ხანგრძლივობა, ან კომპანიის </w:t>
      </w:r>
      <w:r w:rsidR="00F05BD8" w:rsidRPr="007F6CA8">
        <w:rPr>
          <w:rFonts w:ascii="Sylfaen" w:hAnsi="Sylfaen"/>
          <w:sz w:val="22"/>
          <w:szCs w:val="22"/>
          <w:lang w:val="ka-GE"/>
        </w:rPr>
        <w:t xml:space="preserve">ზომის მონაცემები მხოლოდ ხელფასიანი სამუშაოსთვისაა მოცემული. ასაკობრივი ცვლადი წარმოდგენილია 5 წლის მომცველი ასაკობრივი ჯგუფებისათვის. </w:t>
      </w:r>
    </w:p>
    <w:p w14:paraId="30219DA6" w14:textId="3D3E7A0E" w:rsidR="00F76053" w:rsidRDefault="009C53B2" w:rsidP="009C53B2">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რაც შეეხება შეუსაბამობის ცვლადებს, მონაცემები, რომელიც შეესაბამება კვალიფიკაციების არასათანაოდ გამოყენებას და უნარების მოძველებას არ წარმოადგენს საქართველოს</w:t>
      </w:r>
      <w:r w:rsidR="00F76053" w:rsidRPr="007F6CA8">
        <w:rPr>
          <w:rFonts w:ascii="Sylfaen" w:hAnsi="Sylfaen"/>
          <w:sz w:val="22"/>
          <w:szCs w:val="22"/>
        </w:rPr>
        <w:t xml:space="preserve"> </w:t>
      </w:r>
      <w:r w:rsidR="00226F10" w:rsidRPr="007F6CA8">
        <w:rPr>
          <w:rFonts w:ascii="Sylfaen" w:hAnsi="Sylfaen"/>
          <w:sz w:val="22"/>
          <w:szCs w:val="22"/>
        </w:rPr>
        <w:t xml:space="preserve">სამუშაო ძალის </w:t>
      </w:r>
      <w:r w:rsidRPr="007F6CA8">
        <w:rPr>
          <w:rFonts w:ascii="Sylfaen" w:hAnsi="Sylfaen"/>
          <w:sz w:val="22"/>
          <w:szCs w:val="22"/>
        </w:rPr>
        <w:t>კვლევ</w:t>
      </w:r>
      <w:r w:rsidRPr="007F6CA8">
        <w:rPr>
          <w:rFonts w:ascii="Sylfaen" w:hAnsi="Sylfaen"/>
          <w:sz w:val="22"/>
          <w:szCs w:val="22"/>
          <w:lang w:val="ka-GE"/>
        </w:rPr>
        <w:t>ის ნაწილს</w:t>
      </w:r>
    </w:p>
    <w:p w14:paraId="20DD3ABD" w14:textId="77777777" w:rsidR="007F6CA8" w:rsidRPr="007F6CA8" w:rsidRDefault="007F6CA8" w:rsidP="009C53B2">
      <w:pPr>
        <w:spacing w:beforeLines="60" w:before="144" w:afterLines="60" w:after="144" w:line="276" w:lineRule="auto"/>
        <w:ind w:firstLine="709"/>
        <w:jc w:val="both"/>
        <w:rPr>
          <w:rFonts w:ascii="Sylfaen" w:hAnsi="Sylfaen"/>
          <w:sz w:val="22"/>
          <w:szCs w:val="22"/>
          <w:lang w:val="ka-GE"/>
        </w:rPr>
      </w:pPr>
    </w:p>
    <w:p w14:paraId="4EC47EB8" w14:textId="7DD38E3E" w:rsidR="00F76053" w:rsidRPr="007F6CA8" w:rsidRDefault="009C53B2" w:rsidP="00731B1D">
      <w:pPr>
        <w:pStyle w:val="Heading3"/>
        <w:spacing w:beforeLines="60" w:before="144" w:afterLines="60" w:after="144" w:line="276" w:lineRule="auto"/>
        <w:rPr>
          <w:rFonts w:ascii="Sylfaen" w:hAnsi="Sylfaen"/>
        </w:rPr>
      </w:pPr>
      <w:bookmarkStart w:id="12" w:name="_Toc513596834"/>
      <w:r w:rsidRPr="007F6CA8">
        <w:rPr>
          <w:rFonts w:ascii="Sylfaen" w:hAnsi="Sylfaen"/>
          <w:lang w:val="ka-GE"/>
        </w:rPr>
        <w:t>მონაცემთა შეგროვების სხვა რეგულარული ხერხები</w:t>
      </w:r>
      <w:bookmarkEnd w:id="12"/>
    </w:p>
    <w:p w14:paraId="2B25F43D" w14:textId="6B3A69EC" w:rsidR="009C53B2" w:rsidRDefault="009C53B2" w:rsidP="009C53B2">
      <w:pPr>
        <w:pStyle w:val="CommentText"/>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საქართველოს მოსახლეობის აღწერა (2002 და 2014) აგროვებს ინფორმაციას მოსახლეობის განათლების მდგომარეობის შესახებ. იგი ოჯახის ყველა წევრისგან </w:t>
      </w:r>
      <w:r w:rsidR="002912A6" w:rsidRPr="007F6CA8">
        <w:rPr>
          <w:rFonts w:ascii="Sylfaen" w:hAnsi="Sylfaen"/>
          <w:sz w:val="22"/>
          <w:szCs w:val="22"/>
          <w:lang w:val="ka-GE"/>
        </w:rPr>
        <w:t>იღებს</w:t>
      </w:r>
      <w:r w:rsidRPr="007F6CA8">
        <w:rPr>
          <w:rFonts w:ascii="Sylfaen" w:hAnsi="Sylfaen"/>
          <w:sz w:val="22"/>
          <w:szCs w:val="22"/>
          <w:lang w:val="ka-GE"/>
        </w:rPr>
        <w:t xml:space="preserve"> ინფორმაციას განათლების პროცესთან დაკავშირებით, მათ შორის, </w:t>
      </w:r>
      <w:r w:rsidR="00B47706" w:rsidRPr="007F6CA8">
        <w:rPr>
          <w:rFonts w:ascii="Sylfaen" w:hAnsi="Sylfaen"/>
          <w:sz w:val="22"/>
          <w:szCs w:val="22"/>
          <w:lang w:val="ka-GE"/>
        </w:rPr>
        <w:t xml:space="preserve">განათლების ყველაზე </w:t>
      </w:r>
      <w:r w:rsidR="002912A6" w:rsidRPr="007F6CA8">
        <w:rPr>
          <w:rFonts w:ascii="Sylfaen" w:hAnsi="Sylfaen"/>
          <w:sz w:val="22"/>
          <w:szCs w:val="22"/>
          <w:lang w:val="ka-GE"/>
        </w:rPr>
        <w:t>მაღ</w:t>
      </w:r>
      <w:r w:rsidR="00B47706" w:rsidRPr="007F6CA8">
        <w:rPr>
          <w:rFonts w:ascii="Sylfaen" w:hAnsi="Sylfaen"/>
          <w:sz w:val="22"/>
          <w:szCs w:val="22"/>
          <w:lang w:val="ka-GE"/>
        </w:rPr>
        <w:t xml:space="preserve">ალი დონის შესახებ (10+ ასაკის ყველა პირისგან). </w:t>
      </w:r>
      <w:r w:rsidR="00334C10" w:rsidRPr="007F6CA8">
        <w:rPr>
          <w:rFonts w:ascii="Sylfaen" w:hAnsi="Sylfaen"/>
          <w:sz w:val="22"/>
          <w:szCs w:val="22"/>
          <w:lang w:val="ka-GE"/>
        </w:rPr>
        <w:t xml:space="preserve">აღწერის დროს გროვდება ინფორმაცია 15 წლის და მეტი </w:t>
      </w:r>
      <w:r w:rsidR="00F66085" w:rsidRPr="007F6CA8">
        <w:rPr>
          <w:rFonts w:ascii="Sylfaen" w:hAnsi="Sylfaen"/>
          <w:sz w:val="22"/>
          <w:szCs w:val="22"/>
          <w:lang w:val="ka-GE"/>
        </w:rPr>
        <w:t xml:space="preserve">ასაკის </w:t>
      </w:r>
      <w:r w:rsidR="00334C10" w:rsidRPr="007F6CA8">
        <w:rPr>
          <w:rFonts w:ascii="Sylfaen" w:hAnsi="Sylfaen"/>
          <w:sz w:val="22"/>
          <w:szCs w:val="22"/>
          <w:lang w:val="ka-GE"/>
        </w:rPr>
        <w:t>ყველა</w:t>
      </w:r>
      <w:r w:rsidR="00F66085" w:rsidRPr="007F6CA8">
        <w:rPr>
          <w:rFonts w:ascii="Sylfaen" w:hAnsi="Sylfaen"/>
          <w:sz w:val="22"/>
          <w:szCs w:val="22"/>
          <w:lang w:val="ka-GE"/>
        </w:rPr>
        <w:t xml:space="preserve"> პირის დასაქმების შესახებ, რომელიც მოიცავს: (1) ეკონომიკური აქტივობის სტატუსს (2014 წლიდან </w:t>
      </w:r>
      <w:r w:rsidR="00334C10" w:rsidRPr="007F6CA8">
        <w:rPr>
          <w:rFonts w:ascii="Sylfaen" w:hAnsi="Sylfaen"/>
          <w:sz w:val="22"/>
          <w:szCs w:val="22"/>
          <w:lang w:val="ka-GE"/>
        </w:rPr>
        <w:t xml:space="preserve"> </w:t>
      </w:r>
      <w:r w:rsidR="002E7ACE" w:rsidRPr="007F6CA8">
        <w:rPr>
          <w:rFonts w:ascii="Sylfaen" w:hAnsi="Sylfaen"/>
          <w:sz w:val="22"/>
          <w:szCs w:val="22"/>
          <w:lang w:val="ka-GE"/>
        </w:rPr>
        <w:t>გამოიყენება იგივე განმარტება, როგორც სამუშაო ძალის კვლევაში: დასაქმება ბოლო კვირის განმავლობაში</w:t>
      </w:r>
      <w:r w:rsidR="00DE1B66" w:rsidRPr="007F6CA8">
        <w:rPr>
          <w:rFonts w:ascii="Sylfaen" w:hAnsi="Sylfaen"/>
          <w:sz w:val="22"/>
          <w:szCs w:val="22"/>
          <w:lang w:val="ka-GE"/>
        </w:rPr>
        <w:t xml:space="preserve">, სამუშაოს ძიება ბოლო 4 კვირის გამავლობაში და შემდგომი ორი კვირის განმავლობაში სამუშაოს დაწყების მზაობა შემდეგი 2 კვირის განმავლობაში); (2) პირის დასაქმების სტატუსი (დაქირავებული მუშაკი, თვითდასაქმებული, დამსაქმებელი და ა.შ.) და (3) ზოგიერთი დეტალი პირის შრომით საქმიანობაზე: ორგანიზაციის/საწარმოს დასახელება, იქ წარმოებული პროდუქცია თუ სერვისი </w:t>
      </w:r>
      <w:r w:rsidR="00DE1B66" w:rsidRPr="007F6CA8">
        <w:rPr>
          <w:rFonts w:ascii="Sylfaen" w:hAnsi="Sylfaen"/>
          <w:sz w:val="22"/>
          <w:szCs w:val="22"/>
          <w:lang w:val="ka-GE"/>
        </w:rPr>
        <w:lastRenderedPageBreak/>
        <w:t xml:space="preserve">და პირის პოზიცია ან მისი ფუნქციების მოკლე აღწერა. მოსახლეობის </w:t>
      </w:r>
      <w:r w:rsidR="008F3EDF" w:rsidRPr="007F6CA8">
        <w:rPr>
          <w:rFonts w:ascii="Sylfaen" w:hAnsi="Sylfaen"/>
          <w:sz w:val="22"/>
          <w:szCs w:val="22"/>
          <w:lang w:val="ka-GE"/>
        </w:rPr>
        <w:t xml:space="preserve">შრომითი აქტივობის სპეციფიკის ანალიზის მიზნით ასევე შესაძლებელია 15 წლის და მეტი ასაკის ოჯახის წევრების შემოსავლის წყაროს მონაცემების აღრიცხვაც. </w:t>
      </w:r>
    </w:p>
    <w:p w14:paraId="3AFE741A" w14:textId="77777777" w:rsidR="007F6CA8" w:rsidRPr="007F6CA8" w:rsidRDefault="007F6CA8" w:rsidP="009C53B2">
      <w:pPr>
        <w:pStyle w:val="CommentText"/>
        <w:spacing w:beforeLines="60" w:before="144" w:afterLines="60" w:after="144" w:line="276" w:lineRule="auto"/>
        <w:ind w:firstLine="709"/>
        <w:jc w:val="both"/>
        <w:rPr>
          <w:rFonts w:ascii="Sylfaen" w:hAnsi="Sylfaen"/>
          <w:sz w:val="22"/>
          <w:szCs w:val="22"/>
          <w:lang w:val="ka-GE"/>
        </w:rPr>
      </w:pPr>
    </w:p>
    <w:p w14:paraId="01395BEF" w14:textId="6FA23A8E" w:rsidR="00F76053" w:rsidRPr="007F6CA8" w:rsidRDefault="008F3EDF" w:rsidP="00731B1D">
      <w:pPr>
        <w:pStyle w:val="CommentText"/>
        <w:spacing w:beforeLines="60" w:before="144" w:afterLines="60" w:after="144" w:line="276" w:lineRule="auto"/>
        <w:rPr>
          <w:rFonts w:ascii="Sylfaen" w:hAnsi="Sylfaen"/>
          <w:b/>
        </w:rPr>
      </w:pPr>
      <w:r w:rsidRPr="007F6CA8">
        <w:rPr>
          <w:rFonts w:ascii="Sylfaen" w:hAnsi="Sylfaen"/>
          <w:b/>
          <w:lang w:val="ka-GE"/>
        </w:rPr>
        <w:t>სხვა კვლევები</w:t>
      </w:r>
    </w:p>
    <w:p w14:paraId="09150B54" w14:textId="258E4C03" w:rsidR="00062B21" w:rsidRPr="007F6CA8" w:rsidRDefault="008F3EDF" w:rsidP="00062B21">
      <w:pPr>
        <w:pStyle w:val="CommentText"/>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პირველი წარმომადგენლობითი კვლევა უნარებზე საწარმოთა მოთხოვნის შესახებ 2015 წელს შრომის, ჯანმრთელობისა და სოციალურ საქმეთა სამინისტრომ ჩაატარა. ამ კვლევაში მიმოხილულია მოთხოვნილი პროფესიები და სამომავლო მოლოდინი. ასევე, გამოკვლეულია შეუსაბამობასთან დაკავშირებული გარკვეული ინდიკატორებიც. ყველაზე ხშირი პრობლემა, რომელსაც დამსაქმებლები აწყდებიან არის საჭირო უნარების არარსებობა, რითაც იხსნება უცხოელი მუშების დაქირავების აუცილებლობა, რაც ათიდან ოთხ შემთხვევაში ქართველი მუშახელის არასათანადო უნარებს უკავშრდება (</w:t>
      </w:r>
      <w:r w:rsidR="004B38F4" w:rsidRPr="007F6CA8">
        <w:rPr>
          <w:rFonts w:ascii="Sylfaen" w:hAnsi="Sylfaen"/>
          <w:sz w:val="22"/>
          <w:szCs w:val="22"/>
        </w:rPr>
        <w:t xml:space="preserve">cf. MLHSA, 2015; Rutowski, 2015). </w:t>
      </w:r>
      <w:r w:rsidRPr="007F6CA8">
        <w:rPr>
          <w:rFonts w:ascii="Sylfaen" w:hAnsi="Sylfaen"/>
          <w:sz w:val="22"/>
          <w:szCs w:val="22"/>
          <w:lang w:val="ka-GE"/>
        </w:rPr>
        <w:t xml:space="preserve">როგორც ზემოთაც აღინიშნა, საქართველოს მთავრობა აგრძელებს კომპანიების მიერ მოთხოვნილი უნარების კვლევას. ეკონომიკისა და მდგრადი განვითარების სამინისტრომ 2017 წლიდან გააგრძელა </w:t>
      </w:r>
      <w:r w:rsidR="00062B21" w:rsidRPr="007F6CA8">
        <w:rPr>
          <w:rFonts w:ascii="Sylfaen" w:hAnsi="Sylfaen"/>
          <w:sz w:val="22"/>
          <w:szCs w:val="22"/>
          <w:lang w:val="ka-GE"/>
        </w:rPr>
        <w:t>უნარებზე საწარმოთა მოთხოვნის ეროვნული კვლევა</w:t>
      </w:r>
      <w:r w:rsidR="000E53F8" w:rsidRPr="007F6CA8">
        <w:rPr>
          <w:rFonts w:ascii="Sylfaen" w:hAnsi="Sylfaen"/>
          <w:sz w:val="22"/>
          <w:szCs w:val="22"/>
          <w:lang w:val="ka-GE"/>
        </w:rPr>
        <w:t>,</w:t>
      </w:r>
      <w:r w:rsidR="00062B21" w:rsidRPr="007F6CA8">
        <w:rPr>
          <w:rFonts w:ascii="Sylfaen" w:hAnsi="Sylfaen"/>
          <w:sz w:val="22"/>
          <w:szCs w:val="22"/>
          <w:lang w:val="ka-GE"/>
        </w:rPr>
        <w:t xml:space="preserve"> რომლის ფარგლებშიც 6,000 კომპანია გამოიკითხა, ყველა სექტორის მოცვით</w:t>
      </w:r>
      <w:r w:rsidR="002C146F" w:rsidRPr="007F6CA8">
        <w:rPr>
          <w:rFonts w:ascii="Sylfaen" w:hAnsi="Sylfaen"/>
          <w:sz w:val="22"/>
          <w:szCs w:val="22"/>
          <w:vertAlign w:val="superscript"/>
        </w:rPr>
        <w:footnoteReference w:id="20"/>
      </w:r>
      <w:r w:rsidR="002C146F" w:rsidRPr="007F6CA8">
        <w:rPr>
          <w:rFonts w:ascii="Sylfaen" w:hAnsi="Sylfaen"/>
          <w:sz w:val="22"/>
          <w:szCs w:val="22"/>
        </w:rPr>
        <w:t>.</w:t>
      </w:r>
    </w:p>
    <w:p w14:paraId="10889A32" w14:textId="3B2376D6" w:rsidR="00F76053" w:rsidRPr="007F6CA8" w:rsidRDefault="0064175E" w:rsidP="00062B21">
      <w:pPr>
        <w:pStyle w:val="CommentText"/>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განათლებიდან დასაქმებაზე გადასვლის საკითხი ასევე </w:t>
      </w:r>
      <w:r w:rsidR="00F43C17" w:rsidRPr="007F6CA8">
        <w:rPr>
          <w:rFonts w:ascii="Sylfaen" w:hAnsi="Sylfaen"/>
          <w:sz w:val="22"/>
          <w:szCs w:val="22"/>
          <w:lang w:val="ka-GE"/>
        </w:rPr>
        <w:t>გამოკვლეულია. ქვეყნის მასშტაბით 2,000 ახალგაზრდას (18-35 წ) რეპრეზენტატიული კვლევა ჩაატარა საქართველოს მოსახლეობის კვლევის ცენტრმა საერთაშორისო პროექტის, „შესაძლებლობები და ბარიერები განათლებიდან დასაქმებამდე“ ფარგლებში. ახალგაზრდობის შედარებითი კვლევა აზერბაიჯანში, საქართველოსა და ტაჯიკეთში (</w:t>
      </w:r>
      <w:r w:rsidR="00F43C17" w:rsidRPr="007F6CA8">
        <w:rPr>
          <w:rFonts w:ascii="Sylfaen" w:hAnsi="Sylfaen"/>
          <w:sz w:val="22"/>
          <w:szCs w:val="22"/>
        </w:rPr>
        <w:t>TEW-CCA</w:t>
      </w:r>
      <w:r w:rsidR="00F43C17" w:rsidRPr="007F6CA8">
        <w:rPr>
          <w:rFonts w:ascii="Sylfaen" w:hAnsi="Sylfaen"/>
          <w:sz w:val="22"/>
          <w:szCs w:val="22"/>
          <w:lang w:val="ka-GE"/>
        </w:rPr>
        <w:t>) ფოლკსვაგენის ფონდის მიერ იყო დაფინანსებული და მისი გამოყენება შესაძლებელია მიკრო-მონაცემების მოსაპოვებლად.</w:t>
      </w:r>
      <w:r w:rsidR="00F43C17" w:rsidRPr="007F6CA8">
        <w:rPr>
          <w:rStyle w:val="FootnoteReference"/>
          <w:rFonts w:ascii="Sylfaen" w:hAnsi="Sylfaen"/>
          <w:sz w:val="22"/>
          <w:szCs w:val="22"/>
        </w:rPr>
        <w:footnoteReference w:id="21"/>
      </w:r>
    </w:p>
    <w:p w14:paraId="5A92D62B" w14:textId="34C9FA7A" w:rsidR="00F43C17" w:rsidRPr="007F6CA8" w:rsidRDefault="00691E62" w:rsidP="00062B21">
      <w:pPr>
        <w:pStyle w:val="CommentText"/>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საქართველოში არ არსებობს სტრუქტურული კურსდამთავრებულთა კვლევა უმაღლესი სასწავლებლების კურსდამთავრებულტათვის, მაგრამ 2014 წლის შემოდგომაზე განათლებისა და მეცნიერების სამინისტროს პროფესიული განათლების დეპარტამენტმა ჩაატარა კურსდამთავრებულთა კვლევის პირველი რაუნდი პროფესიული სასწავლებლებისათვის, 2012-2013 წელს გამოშვებული 2,881 სტუდენტისათვის (განათლებისა და მეცნიერების სამინისტრო, 2015), რომლებიც დარეგისტრირებულები იყვნენ განათლების მართვის საინფორმაციო ბაზაში. 2016 წლის კურსდამთავრებულთა კვლევაში გამოიკითხა 302 (415-დან) საჯარო პროფესიული სასწავლებლის კურსდამთავებული (გამრეკლიძე, 2016). კვლევის დროს გამოყენებული იყო სტანდარტული კითხვარი, ხოლო გამოკითხვა ტელეფოის მეშვეობით ჩატარდა (სტრუქტურული კითხვარები, გამოქვეყნებულია გვერდზე </w:t>
      </w:r>
      <w:r w:rsidRPr="007F6CA8">
        <w:rPr>
          <w:rFonts w:ascii="Sylfaen" w:hAnsi="Sylfaen"/>
          <w:sz w:val="22"/>
          <w:szCs w:val="22"/>
        </w:rPr>
        <w:t>poll.vet.ge).</w:t>
      </w:r>
      <w:r w:rsidRPr="007F6CA8">
        <w:rPr>
          <w:rFonts w:ascii="Sylfaen" w:hAnsi="Sylfaen"/>
          <w:sz w:val="22"/>
          <w:szCs w:val="22"/>
          <w:lang w:val="ka-GE"/>
        </w:rPr>
        <w:t xml:space="preserve"> ძირითადი კითხვები ცხრა მოდულად დაიყო, რომელიც რესპონდენტების რამდენიმე ჯგუფზეა მორგებული მიმდინარე სტატუსიდან გამომდინარე: (ა) სწავლობს უმაღლეს საგანმანათლებლო დაწსებულებაში; (ბ) სწავლობს პროფესიულ საგანმანათლებლო დაწესებულებაში; (გ) მუშაობს; (დ) დაიწყო საკუთარი ბიზნესი; (ე) ჩართულია ოჯახურ ბიზნესში; (ვ) ინტერნი; (ზ) უმუშევარი; (თ) დაბრუნდა სასწავლებელში და (ი) სხვა. </w:t>
      </w:r>
    </w:p>
    <w:p w14:paraId="439AE21A" w14:textId="0684BD22" w:rsidR="00691E62" w:rsidRPr="007F6CA8" w:rsidRDefault="00691E62" w:rsidP="00062B21">
      <w:pPr>
        <w:pStyle w:val="CommentText"/>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lastRenderedPageBreak/>
        <w:t xml:space="preserve">მსოფლიო ბანკის (2014) </w:t>
      </w:r>
      <w:r w:rsidRPr="007F6CA8">
        <w:rPr>
          <w:rFonts w:ascii="Sylfaen" w:hAnsi="Sylfaen"/>
          <w:sz w:val="22"/>
          <w:szCs w:val="22"/>
        </w:rPr>
        <w:t xml:space="preserve">STEP </w:t>
      </w:r>
      <w:r w:rsidRPr="007F6CA8">
        <w:rPr>
          <w:rFonts w:ascii="Sylfaen" w:hAnsi="Sylfaen"/>
          <w:sz w:val="22"/>
          <w:szCs w:val="22"/>
          <w:lang w:val="ka-GE"/>
        </w:rPr>
        <w:t>კვლევამ 2013 წლისთვის აჩვენა</w:t>
      </w:r>
      <w:r w:rsidR="00671475" w:rsidRPr="007F6CA8">
        <w:rPr>
          <w:rFonts w:ascii="Sylfaen" w:hAnsi="Sylfaen"/>
          <w:sz w:val="22"/>
          <w:szCs w:val="22"/>
          <w:lang w:val="ka-GE"/>
        </w:rPr>
        <w:t xml:space="preserve">, რომ უნარების მთელს სპექტრში (ენობრივი, ტექნიკური, ლიდერობის) გვხდევა შეუსაბამობა. თუმცა, ეს სიტუაციის მხოლოდ </w:t>
      </w:r>
      <w:r w:rsidR="000E53F8" w:rsidRPr="007F6CA8">
        <w:rPr>
          <w:rFonts w:ascii="Sylfaen" w:hAnsi="Sylfaen"/>
          <w:sz w:val="22"/>
          <w:szCs w:val="22"/>
          <w:lang w:val="ka-GE"/>
        </w:rPr>
        <w:t>ერთჯერად</w:t>
      </w:r>
      <w:r w:rsidR="00671475" w:rsidRPr="007F6CA8">
        <w:rPr>
          <w:rFonts w:ascii="Sylfaen" w:hAnsi="Sylfaen"/>
          <w:sz w:val="22"/>
          <w:szCs w:val="22"/>
          <w:lang w:val="ka-GE"/>
        </w:rPr>
        <w:t xml:space="preserve">ი შეფასება იყო. </w:t>
      </w:r>
      <w:r w:rsidR="00671475" w:rsidRPr="007F6CA8">
        <w:rPr>
          <w:rFonts w:ascii="Sylfaen" w:hAnsi="Sylfaen"/>
          <w:sz w:val="22"/>
          <w:szCs w:val="22"/>
        </w:rPr>
        <w:t>UNICEF</w:t>
      </w:r>
      <w:r w:rsidR="00671475" w:rsidRPr="007F6CA8">
        <w:rPr>
          <w:rFonts w:ascii="Sylfaen" w:hAnsi="Sylfaen"/>
          <w:sz w:val="22"/>
          <w:szCs w:val="22"/>
          <w:lang w:val="ka-GE"/>
        </w:rPr>
        <w:t xml:space="preserve">-ის ახალგაზრდობის კვლევა (2013) გარკვეულ მოანცემებს იძლევა ახალგაზრდების გამოცდილებაზე საგანმანათლებლო და შრომით ბაზარზე. </w:t>
      </w:r>
    </w:p>
    <w:p w14:paraId="32F5BDB1" w14:textId="6081AC07" w:rsidR="00671475" w:rsidRDefault="00F35010" w:rsidP="00062B21">
      <w:pPr>
        <w:pStyle w:val="CommentText"/>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შრომითი ბაზრის ეს შეფასებები, განსაკუთრებით კი ისინი, რომელიც სასწავლო გარემოდან დასაქმებაში გადასვლას ეხება, მნიშვნელოვანი ნაბიჯია </w:t>
      </w:r>
      <w:r w:rsidR="00974003" w:rsidRPr="007F6CA8">
        <w:rPr>
          <w:rFonts w:ascii="Sylfaen" w:hAnsi="Sylfaen"/>
          <w:sz w:val="22"/>
          <w:szCs w:val="22"/>
          <w:lang w:val="ka-GE"/>
        </w:rPr>
        <w:t xml:space="preserve">უნარების შეუსაბამობის გამოსავლენად და საჭირო გაუმჯობესების მისაღწევად ქართულ განათლების სისტემასა თუ შრომით ბაზარზე. თუმცა, ისინი ჯერ კიდევ ვერ გვთავაზობენ სიტუაციის სტრუქტურულ და განმეორებად შეფასებას, რომელიც ამგვარ კვლევაზე დაფუძნებული შეუსაბამობის სპეციფკური ინდიკატორების შექმნის საშუალებას მოგვცემდა. </w:t>
      </w:r>
    </w:p>
    <w:p w14:paraId="69B181C6" w14:textId="77777777" w:rsidR="007F6CA8" w:rsidRPr="007F6CA8" w:rsidRDefault="007F6CA8" w:rsidP="00062B21">
      <w:pPr>
        <w:pStyle w:val="CommentText"/>
        <w:spacing w:beforeLines="60" w:before="144" w:afterLines="60" w:after="144" w:line="276" w:lineRule="auto"/>
        <w:ind w:firstLine="709"/>
        <w:jc w:val="both"/>
        <w:rPr>
          <w:rFonts w:ascii="Sylfaen" w:hAnsi="Sylfaen"/>
          <w:lang w:val="ka-GE"/>
        </w:rPr>
      </w:pPr>
    </w:p>
    <w:p w14:paraId="60E16969" w14:textId="6210E728" w:rsidR="00F76053" w:rsidRPr="007F6CA8" w:rsidRDefault="00974003" w:rsidP="00731B1D">
      <w:pPr>
        <w:pStyle w:val="Heading3"/>
        <w:spacing w:beforeLines="60" w:before="144" w:afterLines="60" w:after="144" w:line="276" w:lineRule="auto"/>
        <w:rPr>
          <w:rFonts w:ascii="Sylfaen" w:hAnsi="Sylfaen"/>
        </w:rPr>
      </w:pPr>
      <w:bookmarkStart w:id="13" w:name="_Toc513596835"/>
      <w:r w:rsidRPr="007F6CA8">
        <w:rPr>
          <w:rFonts w:ascii="Sylfaen" w:hAnsi="Sylfaen"/>
          <w:lang w:val="ka-GE"/>
        </w:rPr>
        <w:t>ადმინისტრაციული მონაცემები</w:t>
      </w:r>
      <w:bookmarkEnd w:id="13"/>
    </w:p>
    <w:p w14:paraId="12CDA2EA" w14:textId="7A5F8FA4" w:rsidR="00974003" w:rsidRPr="007F6CA8" w:rsidRDefault="00974003" w:rsidP="00974003">
      <w:pPr>
        <w:pStyle w:val="CommentText"/>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არსებობს ადმინისტრაციული მონაცემები ბიზნესის რეგისტრაციასთან დაკავშირებით, რომელსაც მოთხოვნისამებრ იყენებენ სამინისტროები, საკვლევი ჯგუფის ჩამოყალიბების დროს. აქ მოცემულია ინფორმაცია ორგანიზაციის ადგილმდებარეობის, ეკონომიკური აქტივობის კოდის, მიახლოებითი ზომისა და მფლობელობის შესახებ. </w:t>
      </w:r>
    </w:p>
    <w:p w14:paraId="2908B07B" w14:textId="59CC8516" w:rsidR="00B24541" w:rsidRDefault="00974003" w:rsidP="00974003">
      <w:pPr>
        <w:pStyle w:val="CommentText"/>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სამუშაოს მაძიებელთა რეგისტრაცია </w:t>
      </w:r>
      <w:r w:rsidRPr="007F6CA8">
        <w:rPr>
          <w:rFonts w:ascii="Sylfaen" w:hAnsi="Sylfaen"/>
          <w:sz w:val="22"/>
          <w:szCs w:val="22"/>
        </w:rPr>
        <w:t>Worknet</w:t>
      </w:r>
      <w:r w:rsidRPr="007F6CA8">
        <w:rPr>
          <w:rFonts w:ascii="Sylfaen" w:hAnsi="Sylfaen"/>
          <w:sz w:val="22"/>
          <w:szCs w:val="22"/>
          <w:lang w:val="ka-GE"/>
        </w:rPr>
        <w:t xml:space="preserve"> პორტალის მეშვეობით ხდება, რომელიც სამუშაოს მაძიებელთა ეროვნული რეესტრია </w:t>
      </w:r>
      <w:r w:rsidR="00F76053" w:rsidRPr="007F6CA8">
        <w:rPr>
          <w:rFonts w:ascii="Sylfaen" w:hAnsi="Sylfaen"/>
          <w:sz w:val="22"/>
          <w:szCs w:val="22"/>
        </w:rPr>
        <w:t>(</w:t>
      </w:r>
      <w:hyperlink r:id="rId23" w:history="1">
        <w:r w:rsidR="00F76053" w:rsidRPr="007F6CA8">
          <w:rPr>
            <w:rFonts w:ascii="Sylfaen" w:hAnsi="Sylfaen"/>
            <w:sz w:val="22"/>
            <w:szCs w:val="22"/>
          </w:rPr>
          <w:t>www.worknet.gov.ge</w:t>
        </w:r>
      </w:hyperlink>
      <w:r w:rsidR="00F76053" w:rsidRPr="007F6CA8">
        <w:rPr>
          <w:rFonts w:ascii="Sylfaen" w:hAnsi="Sylfaen"/>
          <w:sz w:val="22"/>
          <w:szCs w:val="22"/>
        </w:rPr>
        <w:t xml:space="preserve">). </w:t>
      </w:r>
      <w:r w:rsidRPr="007F6CA8">
        <w:rPr>
          <w:rFonts w:ascii="Sylfaen" w:hAnsi="Sylfaen"/>
          <w:sz w:val="22"/>
          <w:szCs w:val="22"/>
          <w:lang w:val="ka-GE"/>
        </w:rPr>
        <w:t xml:space="preserve">შესაძლებელია ვაკანსიების ელექტროულად ხილვაც, თუმცა, ამ ინფორმაციის სტატისტიკურად დამუშავება არ ხდება. 2016 წელს </w:t>
      </w:r>
      <w:r w:rsidRPr="007F6CA8">
        <w:rPr>
          <w:rFonts w:ascii="Sylfaen" w:hAnsi="Sylfaen"/>
          <w:sz w:val="22"/>
          <w:szCs w:val="22"/>
        </w:rPr>
        <w:t>SSA/ESS</w:t>
      </w:r>
      <w:r w:rsidRPr="007F6CA8">
        <w:rPr>
          <w:rFonts w:ascii="Sylfaen" w:hAnsi="Sylfaen"/>
          <w:sz w:val="22"/>
          <w:szCs w:val="22"/>
          <w:lang w:val="ka-GE"/>
        </w:rPr>
        <w:t xml:space="preserve"> მოახერხა </w:t>
      </w:r>
      <w:r w:rsidRPr="007F6CA8">
        <w:rPr>
          <w:rFonts w:ascii="Sylfaen" w:hAnsi="Sylfaen"/>
          <w:sz w:val="22"/>
          <w:szCs w:val="22"/>
        </w:rPr>
        <w:t>70,123</w:t>
      </w:r>
      <w:r w:rsidRPr="007F6CA8">
        <w:rPr>
          <w:rFonts w:ascii="Sylfaen" w:hAnsi="Sylfaen"/>
          <w:sz w:val="22"/>
          <w:szCs w:val="22"/>
          <w:lang w:val="ka-GE"/>
        </w:rPr>
        <w:t xml:space="preserve"> სამუშაოს მაძიებლის და 4,727 ვაკანსიის რეგისტრაცია </w:t>
      </w:r>
      <w:r w:rsidRPr="007F6CA8">
        <w:rPr>
          <w:rFonts w:ascii="Sylfaen" w:hAnsi="Sylfaen"/>
          <w:sz w:val="22"/>
          <w:szCs w:val="22"/>
        </w:rPr>
        <w:t>Worknet-</w:t>
      </w:r>
      <w:r w:rsidRPr="007F6CA8">
        <w:rPr>
          <w:rFonts w:ascii="Sylfaen" w:hAnsi="Sylfaen"/>
          <w:sz w:val="22"/>
          <w:szCs w:val="22"/>
          <w:lang w:val="ka-GE"/>
        </w:rPr>
        <w:t xml:space="preserve">ში და სულ 670 ადამიანი დაასაქმა. </w:t>
      </w:r>
      <w:r w:rsidR="00F76053" w:rsidRPr="007F6CA8">
        <w:rPr>
          <w:rFonts w:ascii="Sylfaen" w:hAnsi="Sylfaen"/>
          <w:sz w:val="22"/>
          <w:szCs w:val="22"/>
        </w:rPr>
        <w:t xml:space="preserve"> </w:t>
      </w:r>
    </w:p>
    <w:p w14:paraId="161A7603" w14:textId="77777777" w:rsidR="007F6CA8" w:rsidRPr="007F6CA8" w:rsidRDefault="007F6CA8" w:rsidP="00974003">
      <w:pPr>
        <w:pStyle w:val="CommentText"/>
        <w:spacing w:beforeLines="60" w:before="144" w:afterLines="60" w:after="144" w:line="276" w:lineRule="auto"/>
        <w:ind w:firstLine="709"/>
        <w:jc w:val="both"/>
        <w:rPr>
          <w:rFonts w:ascii="Sylfaen" w:hAnsi="Sylfaen"/>
          <w:sz w:val="22"/>
          <w:szCs w:val="22"/>
          <w:lang w:val="ka-GE"/>
        </w:rPr>
      </w:pPr>
    </w:p>
    <w:p w14:paraId="493DD292" w14:textId="740B7F07" w:rsidR="00F76053" w:rsidRPr="007F6CA8" w:rsidRDefault="00974003" w:rsidP="00731B1D">
      <w:pPr>
        <w:pStyle w:val="Heading3"/>
        <w:spacing w:beforeLines="60" w:before="144" w:afterLines="60" w:after="144" w:line="276" w:lineRule="auto"/>
        <w:rPr>
          <w:rFonts w:ascii="Sylfaen" w:hAnsi="Sylfaen"/>
        </w:rPr>
      </w:pPr>
      <w:bookmarkStart w:id="14" w:name="_Toc513596836"/>
      <w:r w:rsidRPr="007F6CA8">
        <w:rPr>
          <w:rFonts w:ascii="Sylfaen" w:hAnsi="Sylfaen"/>
          <w:lang w:val="ka-GE"/>
        </w:rPr>
        <w:t>მონაცემთა ვითარების ზოგადი შეფასება</w:t>
      </w:r>
      <w:bookmarkEnd w:id="14"/>
    </w:p>
    <w:p w14:paraId="6111B5E8" w14:textId="7DDA0226" w:rsidR="00974003" w:rsidRPr="007F6CA8" w:rsidRDefault="00974003" w:rsidP="00974003">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ერთიანობაში შეიძლება ითქვას, რომ მონაცემთა თვალსაზრისით საქართველოში მდგომარეობა კარგია. სამუშაო ძალის კვლევა საკმაოდ სანდო წყაროა და შეუძლია მოგვაწოდოს მონაცემები შრომითი ბაზრის ძირითადი სტატისტიკისათვის, ასევე უნარების შეუსაბამობის საბაზისო ინდიკატორებისათვის. იგი ინდიკატორები სხვადასხვანაირად დაჯგუფების საშუალებას იძლევა. უნარების სპეციფიკური ცვლადების პირდაპირ </w:t>
      </w:r>
      <w:r w:rsidR="007470D4" w:rsidRPr="007F6CA8">
        <w:rPr>
          <w:rFonts w:ascii="Sylfaen" w:hAnsi="Sylfaen"/>
          <w:sz w:val="22"/>
          <w:szCs w:val="22"/>
          <w:lang w:val="ka-GE"/>
        </w:rPr>
        <w:t xml:space="preserve">ჩართვა უნარების გამოყენების - </w:t>
      </w:r>
      <w:r w:rsidR="00165EC0" w:rsidRPr="007F6CA8">
        <w:rPr>
          <w:rFonts w:ascii="Sylfaen" w:hAnsi="Sylfaen"/>
          <w:sz w:val="22"/>
          <w:szCs w:val="22"/>
          <w:lang w:val="ka-GE"/>
        </w:rPr>
        <w:t>ჭარბი</w:t>
      </w:r>
      <w:r w:rsidR="007470D4" w:rsidRPr="007F6CA8">
        <w:rPr>
          <w:rFonts w:ascii="Sylfaen" w:hAnsi="Sylfaen"/>
          <w:sz w:val="22"/>
          <w:szCs w:val="22"/>
          <w:lang w:val="ka-GE"/>
        </w:rPr>
        <w:t xml:space="preserve"> თუ არასაკმარისი განათლების გამოსავლენად, თავისთავად გაამარტივებს დამატებითი ინდიკატორების უზრუნველყოფას. </w:t>
      </w:r>
    </w:p>
    <w:p w14:paraId="7ACD9143" w14:textId="7E560D68" w:rsidR="007470D4" w:rsidRPr="007F6CA8" w:rsidRDefault="007470D4" w:rsidP="00974003">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საქართველოში დამატებითი მონაცემების დიდი მარაგია. დამატებითი მონაცემების დიდი ოდენობა ეყრდნობა პროექტებს, რომლებიც ჯერ კიდევ უნდა გადავიდეს შედარებითი ინფორმაციის რეგულარულ ან სტრუქტურულ შეგროვებაზე დროთა განმავლობაში. არის გარკვეული წინსვლებიც, რომელიც მიმართულია მონაცემების რეგულარულად შეგროვებაზე (კურსდამთავრებულთა კვლევები). ეს განსაკუთრებით </w:t>
      </w:r>
      <w:r w:rsidR="00E20158" w:rsidRPr="007F6CA8">
        <w:rPr>
          <w:rFonts w:ascii="Sylfaen" w:hAnsi="Sylfaen"/>
          <w:sz w:val="22"/>
          <w:szCs w:val="22"/>
          <w:lang w:val="ka-GE"/>
        </w:rPr>
        <w:t xml:space="preserve">ნაყოფიერია, ვინაიდან ანგარიშის შემდეგ ნაწილში აღწერილი ინდიკატორები აჩვენებს უნარების შეუსაბამობას და  სასწავლო გარემოდან სამუშაოზე გადასვლის პრობლემებს, რომლის გაანალიზებაც ყველაზე კარგად </w:t>
      </w:r>
      <w:r w:rsidR="00E20158" w:rsidRPr="007F6CA8">
        <w:rPr>
          <w:rFonts w:ascii="Sylfaen" w:hAnsi="Sylfaen"/>
          <w:sz w:val="22"/>
          <w:szCs w:val="22"/>
          <w:lang w:val="ka-GE"/>
        </w:rPr>
        <w:lastRenderedPageBreak/>
        <w:t xml:space="preserve">შესაძლებელი იქნებოდა ამ პროცესზე და მის გამომწვევ მიზეზებზე ორიენტირებული სპეციფიკური მონაცემების შეგროვებაზე. </w:t>
      </w:r>
    </w:p>
    <w:p w14:paraId="464D50DB" w14:textId="4E64ECE4" w:rsidR="00E20158" w:rsidRPr="007F6CA8" w:rsidRDefault="00B7396D" w:rsidP="00974003">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დამსაქმებლების კვლევების წყალობით უკვე არსებობს ინფორმაცია მოთხოვნისა და ვაკანსიების შესახებ, თუმცა, </w:t>
      </w:r>
      <w:r w:rsidR="00422302" w:rsidRPr="007F6CA8">
        <w:rPr>
          <w:rFonts w:ascii="Sylfaen" w:hAnsi="Sylfaen"/>
          <w:sz w:val="22"/>
          <w:szCs w:val="22"/>
          <w:lang w:val="ka-GE"/>
        </w:rPr>
        <w:t xml:space="preserve">ვაკანსიების შესახებ მონაცემების უფრო სტრუქტურული შეგროვება უფრო მეტად მოუყრიდა თავს ინფორმაციას მიწოდების შესახებ, არსებული მონაცემთა შეგროვების საფუძველზე, და მოთხოვნაზე, რაც ვაკანსიების კვლევისგან გამომდინარეობს. ადმინისტრაციული ინფორმაცია ვაკანსიების შესახებ ნაწილობრივ შევასებს ამ სიცარიელეს, თუმცა, სრული გამოყენების მიზნით </w:t>
      </w:r>
      <w:r w:rsidR="00C809C2" w:rsidRPr="007F6CA8">
        <w:rPr>
          <w:rFonts w:ascii="Sylfaen" w:hAnsi="Sylfaen"/>
          <w:sz w:val="22"/>
          <w:szCs w:val="22"/>
          <w:lang w:val="ka-GE"/>
        </w:rPr>
        <w:t xml:space="preserve">აუცილებელია სპეციფიკური ელემენტების შეგროვება მოთხოვნაზე, უნარების სახით. გარდა ამისა, აუცილებელია </w:t>
      </w:r>
      <w:r w:rsidR="00D161B8" w:rsidRPr="007F6CA8">
        <w:rPr>
          <w:rFonts w:ascii="Sylfaen" w:hAnsi="Sylfaen"/>
          <w:sz w:val="22"/>
          <w:szCs w:val="22"/>
          <w:lang w:val="ka-GE"/>
        </w:rPr>
        <w:t xml:space="preserve">ყურადღების გამოჩენა ვაკანსიების ადმინისტრაციული რეესტრის გამოყენებისას, რათა დავრწმუნდეთ, რომ სისტემაში რეგისტირრებულია მხოლოდ </w:t>
      </w:r>
      <w:r w:rsidR="00B31D5D" w:rsidRPr="007F6CA8">
        <w:rPr>
          <w:rFonts w:ascii="Sylfaen" w:hAnsi="Sylfaen"/>
          <w:sz w:val="22"/>
          <w:szCs w:val="22"/>
          <w:lang w:val="ka-GE"/>
        </w:rPr>
        <w:t xml:space="preserve">ღია ვაკანსიები. </w:t>
      </w:r>
    </w:p>
    <w:p w14:paraId="10E0BCD9" w14:textId="54DB8D1A" w:rsidR="00B31D5D" w:rsidRPr="007F6CA8" w:rsidRDefault="00B31D5D" w:rsidP="00974003">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ამ ანგარიშში მოყვანილი მონაცემები ძირითდად სამუშაო ძალის კვლევას ეფუძნება. დამატებითი მონაცემების წყაროები ზოგიერთი ანალიზის უფრო გარღმავებისთვისა და გაფართოებისთვის, ასევე ინდიკატორებიდან მიღებული ინფორმაციის დადასტურებისთვის გამოიყენება. </w:t>
      </w:r>
    </w:p>
    <w:p w14:paraId="5FD28AAC" w14:textId="77777777" w:rsidR="00B24541" w:rsidRPr="007F6CA8" w:rsidRDefault="00B24541" w:rsidP="00731B1D">
      <w:pPr>
        <w:spacing w:beforeLines="60" w:before="144" w:afterLines="60" w:after="144" w:line="276" w:lineRule="auto"/>
        <w:jc w:val="both"/>
        <w:rPr>
          <w:rFonts w:ascii="Sylfaen" w:hAnsi="Sylfaen"/>
          <w:highlight w:val="yellow"/>
        </w:rPr>
      </w:pPr>
    </w:p>
    <w:p w14:paraId="7D9F7168" w14:textId="557F20EC" w:rsidR="00FD6034" w:rsidRPr="007F6CA8" w:rsidRDefault="00E84D43" w:rsidP="00731B1D">
      <w:pPr>
        <w:pStyle w:val="Heading1"/>
        <w:spacing w:beforeLines="60" w:before="144" w:afterLines="60" w:after="144" w:line="276" w:lineRule="auto"/>
        <w:rPr>
          <w:rFonts w:ascii="Sylfaen" w:hAnsi="Sylfaen"/>
        </w:rPr>
      </w:pPr>
      <w:bookmarkStart w:id="15" w:name="_Toc513596837"/>
      <w:r w:rsidRPr="007F6CA8">
        <w:rPr>
          <w:rFonts w:ascii="Sylfaen" w:hAnsi="Sylfaen"/>
          <w:lang w:val="ka-GE"/>
        </w:rPr>
        <w:t>უნარების შეუსაბამობის ინდიკატორების ინტერპრეტაცია და დისკუსია</w:t>
      </w:r>
      <w:bookmarkEnd w:id="15"/>
    </w:p>
    <w:p w14:paraId="7F46B3D0" w14:textId="5BD9EBD5" w:rsidR="00E84D43" w:rsidRPr="007F6CA8" w:rsidRDefault="00E84D43"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ზოგადად, შრომითი ბაზრის დისბალანსი ნიშნავს სხვაობას მოთხოვნასა და მიწოდებას შორის, მაგრამ შეუსაბამობა კი კონცენტრირებას ახდენს მოთხოვნა/მიწოდების დისბალანსის კონკრეტულ ასპექტებზე, კონკრეტულად კი, უნარებისა თუ კვალიფიკაციის მოთხოვნა-მიწოდების დისბალანსზე. უნარების შეუსაბამობა შესაძლოა წარმოიშვას</w:t>
      </w:r>
      <w:r w:rsidR="006B53E8" w:rsidRPr="007F6CA8">
        <w:rPr>
          <w:rFonts w:ascii="Sylfaen" w:hAnsi="Sylfaen"/>
          <w:sz w:val="22"/>
          <w:szCs w:val="22"/>
          <w:lang w:val="ka-GE"/>
        </w:rPr>
        <w:t xml:space="preserve"> მაშინაც კი</w:t>
      </w:r>
      <w:r w:rsidRPr="007F6CA8">
        <w:rPr>
          <w:rFonts w:ascii="Sylfaen" w:hAnsi="Sylfaen"/>
          <w:sz w:val="22"/>
          <w:szCs w:val="22"/>
          <w:lang w:val="ka-GE"/>
        </w:rPr>
        <w:t xml:space="preserve">, </w:t>
      </w:r>
      <w:r w:rsidR="006B53E8" w:rsidRPr="007F6CA8">
        <w:rPr>
          <w:rFonts w:ascii="Sylfaen" w:hAnsi="Sylfaen"/>
          <w:sz w:val="22"/>
          <w:szCs w:val="22"/>
          <w:lang w:val="ka-GE"/>
        </w:rPr>
        <w:t xml:space="preserve">როცა მთლიანი მიწოდება </w:t>
      </w:r>
      <w:r w:rsidR="002D2E11" w:rsidRPr="007F6CA8">
        <w:rPr>
          <w:rFonts w:ascii="Sylfaen" w:hAnsi="Sylfaen"/>
          <w:sz w:val="22"/>
          <w:szCs w:val="22"/>
          <w:lang w:val="ka-GE"/>
        </w:rPr>
        <w:t>საკმარისია მთლიანი მოთხოვნის დასაკმაყოფილებლად მთლიანი ციფ</w:t>
      </w:r>
      <w:r w:rsidR="00D871B9" w:rsidRPr="007F6CA8">
        <w:rPr>
          <w:rFonts w:ascii="Sylfaen" w:hAnsi="Sylfaen"/>
          <w:sz w:val="22"/>
          <w:szCs w:val="22"/>
          <w:lang w:val="ka-GE"/>
        </w:rPr>
        <w:t>რ</w:t>
      </w:r>
      <w:r w:rsidR="002D2E11" w:rsidRPr="007F6CA8">
        <w:rPr>
          <w:rFonts w:ascii="Sylfaen" w:hAnsi="Sylfaen"/>
          <w:sz w:val="22"/>
          <w:szCs w:val="22"/>
          <w:lang w:val="ka-GE"/>
        </w:rPr>
        <w:t>ე</w:t>
      </w:r>
      <w:r w:rsidR="008F6DD3" w:rsidRPr="007F6CA8">
        <w:rPr>
          <w:rFonts w:ascii="Sylfaen" w:hAnsi="Sylfaen"/>
          <w:sz w:val="22"/>
          <w:szCs w:val="22"/>
          <w:lang w:val="ka-GE"/>
        </w:rPr>
        <w:t>ბ</w:t>
      </w:r>
      <w:r w:rsidR="002D2E11" w:rsidRPr="007F6CA8">
        <w:rPr>
          <w:rFonts w:ascii="Sylfaen" w:hAnsi="Sylfaen"/>
          <w:sz w:val="22"/>
          <w:szCs w:val="22"/>
          <w:lang w:val="ka-GE"/>
        </w:rPr>
        <w:t xml:space="preserve">ით, მაგრამ არა უნარების ან კვალიფიკაციების კუთხით. უნარების შეუსაბამობა მიკრო დონეზე </w:t>
      </w:r>
      <w:r w:rsidR="00D871B9" w:rsidRPr="007F6CA8">
        <w:rPr>
          <w:rFonts w:ascii="Sylfaen" w:hAnsi="Sylfaen"/>
          <w:sz w:val="22"/>
          <w:szCs w:val="22"/>
          <w:lang w:val="ka-GE"/>
        </w:rPr>
        <w:t xml:space="preserve">ნიშნავს უნარების მიწოდებას შესაბამისი სფეროსათვის, კონკრეტული </w:t>
      </w:r>
      <w:r w:rsidR="008F6DD3" w:rsidRPr="007F6CA8">
        <w:rPr>
          <w:rFonts w:ascii="Sylfaen" w:hAnsi="Sylfaen"/>
          <w:sz w:val="22"/>
          <w:szCs w:val="22"/>
          <w:lang w:val="ka-GE"/>
        </w:rPr>
        <w:t>დ</w:t>
      </w:r>
      <w:r w:rsidR="00D871B9" w:rsidRPr="007F6CA8">
        <w:rPr>
          <w:rFonts w:ascii="Sylfaen" w:hAnsi="Sylfaen"/>
          <w:sz w:val="22"/>
          <w:szCs w:val="22"/>
          <w:lang w:val="ka-GE"/>
        </w:rPr>
        <w:t xml:space="preserve">ავალების ან პროფესიისათვის, მაგრამ უნარების დონე უფრო მაღალია, ვიდრე ჩვეულებრივ საჭიროა ამ დავალების შესრულებისა თუ პროფესიისთვის. ამას ვერტიკალურ შეუსაბამობას უწოდებენ, ან </w:t>
      </w:r>
      <w:r w:rsidR="008F6DD3" w:rsidRPr="007F6CA8">
        <w:rPr>
          <w:rFonts w:ascii="Sylfaen" w:hAnsi="Sylfaen"/>
          <w:sz w:val="22"/>
          <w:szCs w:val="22"/>
          <w:lang w:val="ka-GE"/>
        </w:rPr>
        <w:t>ჭარბ</w:t>
      </w:r>
      <w:r w:rsidR="00D871B9" w:rsidRPr="007F6CA8">
        <w:rPr>
          <w:rFonts w:ascii="Sylfaen" w:hAnsi="Sylfaen"/>
          <w:sz w:val="22"/>
          <w:szCs w:val="22"/>
          <w:lang w:val="ka-GE"/>
        </w:rPr>
        <w:t xml:space="preserve"> თუ </w:t>
      </w:r>
      <w:r w:rsidR="008F6DD3" w:rsidRPr="007F6CA8">
        <w:rPr>
          <w:rFonts w:ascii="Sylfaen" w:hAnsi="Sylfaen"/>
          <w:sz w:val="22"/>
          <w:szCs w:val="22"/>
          <w:lang w:val="ka-GE"/>
        </w:rPr>
        <w:t>არასაკმარის</w:t>
      </w:r>
      <w:r w:rsidR="00D871B9" w:rsidRPr="007F6CA8">
        <w:rPr>
          <w:rFonts w:ascii="Sylfaen" w:hAnsi="Sylfaen"/>
          <w:sz w:val="22"/>
          <w:szCs w:val="22"/>
          <w:lang w:val="ka-GE"/>
        </w:rPr>
        <w:t xml:space="preserve"> განათლებას ან/და </w:t>
      </w:r>
      <w:r w:rsidR="008F6DD3" w:rsidRPr="007F6CA8">
        <w:rPr>
          <w:rFonts w:ascii="Sylfaen" w:hAnsi="Sylfaen"/>
          <w:sz w:val="22"/>
          <w:szCs w:val="22"/>
          <w:lang w:val="ka-GE"/>
        </w:rPr>
        <w:t>ჭარბ</w:t>
      </w:r>
      <w:r w:rsidR="00D871B9" w:rsidRPr="007F6CA8">
        <w:rPr>
          <w:rFonts w:ascii="Sylfaen" w:hAnsi="Sylfaen"/>
          <w:sz w:val="22"/>
          <w:szCs w:val="22"/>
          <w:lang w:val="ka-GE"/>
        </w:rPr>
        <w:t xml:space="preserve"> თუ </w:t>
      </w:r>
      <w:r w:rsidR="008F6DD3" w:rsidRPr="007F6CA8">
        <w:rPr>
          <w:rFonts w:ascii="Sylfaen" w:hAnsi="Sylfaen"/>
          <w:sz w:val="22"/>
          <w:szCs w:val="22"/>
          <w:lang w:val="ka-GE"/>
        </w:rPr>
        <w:t>არასაკმარის</w:t>
      </w:r>
      <w:r w:rsidR="00D871B9" w:rsidRPr="007F6CA8">
        <w:rPr>
          <w:rFonts w:ascii="Sylfaen" w:hAnsi="Sylfaen"/>
          <w:sz w:val="22"/>
          <w:szCs w:val="22"/>
          <w:lang w:val="ka-GE"/>
        </w:rPr>
        <w:t xml:space="preserve"> უნარებს. ჰორიზონტალური შეუსაბამობა წარმოიქმნება, როცა კვალიფიკაციის დონე საკმარისია, მაგრამ კვალიფიკაციის ტიპი ან სფერო ადეკვატურად არაა შესაბამისობაში. რაც უფრო მეტად დეტალურად გაიზომება სამუშაოს </w:t>
      </w:r>
      <w:r w:rsidR="00DF12A7" w:rsidRPr="007F6CA8">
        <w:rPr>
          <w:rFonts w:ascii="Sylfaen" w:hAnsi="Sylfaen"/>
          <w:sz w:val="22"/>
          <w:szCs w:val="22"/>
          <w:lang w:val="ka-GE"/>
        </w:rPr>
        <w:t xml:space="preserve">მოთხოვნები უნარებისა და კვალიფიკაციის კუთხით, მით უფრო მეტია შანსი, რომ გამოვლინდეს ზოგიერთი ჰორიზონტალური შეუსაბამობა. რაც უფრო ნაკლებად დეტალურია მონაცემები, მით უფრო ნაკლებად შესაძლებელია ჰორიზონტალური შეუსაბამობის გამოვლენა, მისი არსებობის შემთხევვაშიც კი. </w:t>
      </w:r>
    </w:p>
    <w:p w14:paraId="3744F835" w14:textId="0A8D1F18" w:rsidR="006C1F59" w:rsidRPr="007F6CA8" w:rsidRDefault="00DF12A7" w:rsidP="00731B1D">
      <w:pPr>
        <w:autoSpaceDE w:val="0"/>
        <w:autoSpaceDN w:val="0"/>
        <w:adjustRightInd w:val="0"/>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ამ კვლევის მეთოდოლოგიური და კონცეპტუალური საწყისი წერტილია ის ცოდნა და რეკოენდაციები, რომელიც </w:t>
      </w:r>
      <w:r w:rsidRPr="007F6CA8">
        <w:rPr>
          <w:rFonts w:ascii="Sylfaen" w:hAnsi="Sylfaen"/>
          <w:sz w:val="22"/>
          <w:szCs w:val="22"/>
        </w:rPr>
        <w:t xml:space="preserve">ETF </w:t>
      </w:r>
      <w:r w:rsidRPr="007F6CA8">
        <w:rPr>
          <w:rFonts w:ascii="Sylfaen" w:hAnsi="Sylfaen"/>
          <w:sz w:val="22"/>
          <w:szCs w:val="22"/>
          <w:lang w:val="ka-GE"/>
        </w:rPr>
        <w:t xml:space="preserve">მეთოდოლოგიურ დოკუმენტში, ასევე ისეთ მნიშვნელოვან კვლევებშია ასახული, როგორებიც ჩაატარა </w:t>
      </w:r>
      <w:r w:rsidR="006C1F59" w:rsidRPr="007F6CA8">
        <w:rPr>
          <w:rFonts w:ascii="Sylfaen" w:hAnsi="Sylfaen"/>
          <w:sz w:val="22"/>
          <w:szCs w:val="22"/>
        </w:rPr>
        <w:t>JRC</w:t>
      </w:r>
      <w:r w:rsidR="00646738" w:rsidRPr="007F6CA8">
        <w:rPr>
          <w:rFonts w:ascii="Sylfaen" w:hAnsi="Sylfaen"/>
          <w:sz w:val="22"/>
          <w:szCs w:val="22"/>
        </w:rPr>
        <w:t xml:space="preserve"> (2014),</w:t>
      </w:r>
      <w:r w:rsidR="00C33257" w:rsidRPr="007F6CA8">
        <w:rPr>
          <w:rFonts w:ascii="Sylfaen" w:hAnsi="Sylfaen"/>
          <w:sz w:val="22"/>
          <w:szCs w:val="22"/>
        </w:rPr>
        <w:t xml:space="preserve"> </w:t>
      </w:r>
      <w:r w:rsidR="006C1F59" w:rsidRPr="007F6CA8">
        <w:rPr>
          <w:rFonts w:ascii="Sylfaen" w:hAnsi="Sylfaen"/>
          <w:sz w:val="22"/>
          <w:szCs w:val="22"/>
        </w:rPr>
        <w:t>Cedefop</w:t>
      </w:r>
      <w:r w:rsidR="00646738" w:rsidRPr="007F6CA8">
        <w:rPr>
          <w:rFonts w:ascii="Sylfaen" w:hAnsi="Sylfaen"/>
          <w:sz w:val="22"/>
          <w:szCs w:val="22"/>
        </w:rPr>
        <w:t xml:space="preserve"> (2015)</w:t>
      </w:r>
      <w:r w:rsidR="006C1F59" w:rsidRPr="007F6CA8">
        <w:rPr>
          <w:rFonts w:ascii="Sylfaen" w:hAnsi="Sylfaen"/>
          <w:sz w:val="22"/>
          <w:szCs w:val="22"/>
        </w:rPr>
        <w:t xml:space="preserve"> </w:t>
      </w:r>
      <w:r w:rsidRPr="007F6CA8">
        <w:rPr>
          <w:rFonts w:ascii="Sylfaen" w:hAnsi="Sylfaen"/>
          <w:sz w:val="22"/>
          <w:szCs w:val="22"/>
          <w:lang w:val="ka-GE"/>
        </w:rPr>
        <w:t xml:space="preserve">ევროკომისიამ </w:t>
      </w:r>
      <w:r w:rsidR="00646738" w:rsidRPr="007F6CA8">
        <w:rPr>
          <w:rFonts w:ascii="Sylfaen" w:hAnsi="Sylfaen"/>
          <w:sz w:val="22"/>
          <w:szCs w:val="22"/>
        </w:rPr>
        <w:t xml:space="preserve">(2015), </w:t>
      </w:r>
      <w:r w:rsidRPr="007F6CA8">
        <w:rPr>
          <w:rFonts w:ascii="Sylfaen" w:hAnsi="Sylfaen"/>
          <w:sz w:val="22"/>
          <w:szCs w:val="22"/>
          <w:lang w:val="ka-GE"/>
        </w:rPr>
        <w:t>და ევროსტატმა</w:t>
      </w:r>
      <w:r w:rsidR="00646738" w:rsidRPr="007F6CA8">
        <w:rPr>
          <w:rFonts w:ascii="Sylfaen" w:hAnsi="Sylfaen"/>
          <w:sz w:val="22"/>
          <w:szCs w:val="22"/>
        </w:rPr>
        <w:t xml:space="preserve"> (2016)</w:t>
      </w:r>
      <w:r w:rsidR="006C1F59" w:rsidRPr="007F6CA8">
        <w:rPr>
          <w:rFonts w:ascii="Sylfaen" w:hAnsi="Sylfaen"/>
          <w:sz w:val="22"/>
          <w:szCs w:val="22"/>
        </w:rPr>
        <w:t xml:space="preserve">. </w:t>
      </w:r>
    </w:p>
    <w:p w14:paraId="1FBA47DB" w14:textId="2E30A8E4" w:rsidR="00A15288" w:rsidRPr="007F6CA8" w:rsidRDefault="00DF12A7"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r w:rsidRPr="007F6CA8">
        <w:rPr>
          <w:rFonts w:ascii="Sylfaen" w:hAnsi="Sylfaen"/>
          <w:b/>
          <w:i w:val="0"/>
          <w:color w:val="auto"/>
          <w:sz w:val="22"/>
          <w:szCs w:val="22"/>
          <w:lang w:val="ka-GE"/>
        </w:rPr>
        <w:lastRenderedPageBreak/>
        <w:t>ცხრილი</w:t>
      </w:r>
      <w:r w:rsidR="00A15288" w:rsidRPr="007F6CA8">
        <w:rPr>
          <w:rFonts w:ascii="Sylfaen" w:hAnsi="Sylfaen"/>
          <w:b/>
          <w:i w:val="0"/>
          <w:color w:val="auto"/>
          <w:sz w:val="22"/>
          <w:szCs w:val="22"/>
          <w:lang w:val="en-GB"/>
        </w:rPr>
        <w:t xml:space="preserve"> </w:t>
      </w:r>
      <w:r w:rsidR="00A15288" w:rsidRPr="007F6CA8">
        <w:rPr>
          <w:rFonts w:ascii="Sylfaen" w:hAnsi="Sylfaen"/>
          <w:lang w:val="en-GB"/>
        </w:rPr>
        <w:fldChar w:fldCharType="begin"/>
      </w:r>
      <w:r w:rsidR="00A15288" w:rsidRPr="007F6CA8">
        <w:rPr>
          <w:rFonts w:ascii="Sylfaen" w:hAnsi="Sylfaen"/>
          <w:b/>
          <w:i w:val="0"/>
          <w:color w:val="auto"/>
          <w:sz w:val="22"/>
          <w:szCs w:val="22"/>
          <w:lang w:val="en-GB"/>
        </w:rPr>
        <w:instrText xml:space="preserve"> SEQ Table \* ARABIC </w:instrText>
      </w:r>
      <w:r w:rsidR="00A15288" w:rsidRPr="007F6CA8">
        <w:rPr>
          <w:rFonts w:ascii="Sylfaen" w:hAnsi="Sylfaen"/>
          <w:lang w:val="en-GB"/>
        </w:rPr>
        <w:fldChar w:fldCharType="separate"/>
      </w:r>
      <w:r w:rsidR="003120D1" w:rsidRPr="007F6CA8">
        <w:rPr>
          <w:rFonts w:ascii="Sylfaen" w:hAnsi="Sylfaen"/>
          <w:b/>
          <w:i w:val="0"/>
          <w:noProof/>
          <w:color w:val="auto"/>
          <w:sz w:val="22"/>
          <w:szCs w:val="22"/>
          <w:lang w:val="en-GB"/>
        </w:rPr>
        <w:t>1</w:t>
      </w:r>
      <w:r w:rsidR="00A15288" w:rsidRPr="007F6CA8">
        <w:rPr>
          <w:rFonts w:ascii="Sylfaen" w:hAnsi="Sylfaen"/>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შეუსაბამობის ინდიკატორები საქართველოში - განმარტებები და ინტერპრეტაციები</w:t>
      </w:r>
      <w:r w:rsidR="00A15288" w:rsidRPr="007F6CA8">
        <w:rPr>
          <w:rFonts w:ascii="Sylfaen" w:hAnsi="Sylfaen"/>
          <w:b/>
          <w:i w:val="0"/>
          <w:color w:val="auto"/>
          <w:sz w:val="22"/>
          <w:szCs w:val="22"/>
          <w:lang w:val="en-GB"/>
        </w:rPr>
        <w:t xml:space="preserve"> </w:t>
      </w:r>
    </w:p>
    <w:tbl>
      <w:tblPr>
        <w:tblStyle w:val="TableGrid"/>
        <w:tblW w:w="0" w:type="auto"/>
        <w:tblLook w:val="04A0" w:firstRow="1" w:lastRow="0" w:firstColumn="1" w:lastColumn="0" w:noHBand="0" w:noVBand="1"/>
      </w:tblPr>
      <w:tblGrid>
        <w:gridCol w:w="1769"/>
        <w:gridCol w:w="1828"/>
        <w:gridCol w:w="1888"/>
        <w:gridCol w:w="1973"/>
        <w:gridCol w:w="1888"/>
      </w:tblGrid>
      <w:tr w:rsidR="00BA5534" w:rsidRPr="007F6CA8" w14:paraId="3ACF8F3D" w14:textId="77777777" w:rsidTr="00BA5534">
        <w:tc>
          <w:tcPr>
            <w:tcW w:w="1724" w:type="dxa"/>
            <w:shd w:val="clear" w:color="auto" w:fill="F2F2F2" w:themeFill="background1" w:themeFillShade="F2"/>
          </w:tcPr>
          <w:p w14:paraId="48634DB6" w14:textId="36F22F10" w:rsidR="00A15288" w:rsidRPr="007F6CA8" w:rsidRDefault="00DF12A7" w:rsidP="007F6CA8">
            <w:pPr>
              <w:spacing w:line="276" w:lineRule="auto"/>
              <w:rPr>
                <w:rFonts w:ascii="Sylfaen" w:hAnsi="Sylfaen"/>
                <w:b/>
                <w:lang w:val="ka-GE"/>
              </w:rPr>
            </w:pPr>
            <w:r w:rsidRPr="007F6CA8">
              <w:rPr>
                <w:rFonts w:ascii="Sylfaen" w:hAnsi="Sylfaen"/>
                <w:b/>
                <w:lang w:val="ka-GE"/>
              </w:rPr>
              <w:t>ინდიკატორი</w:t>
            </w:r>
          </w:p>
        </w:tc>
        <w:tc>
          <w:tcPr>
            <w:tcW w:w="1780" w:type="dxa"/>
            <w:shd w:val="clear" w:color="auto" w:fill="F2F2F2" w:themeFill="background1" w:themeFillShade="F2"/>
          </w:tcPr>
          <w:p w14:paraId="24A91EF4" w14:textId="2E8F82AD" w:rsidR="00A15288" w:rsidRPr="007F6CA8" w:rsidRDefault="00DF12A7" w:rsidP="007F6CA8">
            <w:pPr>
              <w:spacing w:line="276" w:lineRule="auto"/>
              <w:rPr>
                <w:rFonts w:ascii="Sylfaen" w:hAnsi="Sylfaen"/>
                <w:b/>
                <w:lang w:val="ka-GE"/>
              </w:rPr>
            </w:pPr>
            <w:r w:rsidRPr="007F6CA8">
              <w:rPr>
                <w:rFonts w:ascii="Sylfaen" w:hAnsi="Sylfaen"/>
                <w:b/>
                <w:lang w:val="ka-GE"/>
              </w:rPr>
              <w:t>განმარტება</w:t>
            </w:r>
          </w:p>
        </w:tc>
        <w:tc>
          <w:tcPr>
            <w:tcW w:w="2144" w:type="dxa"/>
            <w:shd w:val="clear" w:color="auto" w:fill="F2F2F2" w:themeFill="background1" w:themeFillShade="F2"/>
          </w:tcPr>
          <w:p w14:paraId="07153655" w14:textId="45C74819" w:rsidR="00A15288" w:rsidRPr="007F6CA8" w:rsidRDefault="00DF12A7" w:rsidP="007F6CA8">
            <w:pPr>
              <w:spacing w:line="276" w:lineRule="auto"/>
              <w:rPr>
                <w:rFonts w:ascii="Sylfaen" w:hAnsi="Sylfaen"/>
                <w:b/>
                <w:lang w:val="ka-GE"/>
              </w:rPr>
            </w:pPr>
            <w:r w:rsidRPr="007F6CA8">
              <w:rPr>
                <w:rFonts w:ascii="Sylfaen" w:hAnsi="Sylfaen"/>
                <w:b/>
                <w:lang w:val="ka-GE"/>
              </w:rPr>
              <w:t>დანიშნულება</w:t>
            </w:r>
          </w:p>
        </w:tc>
        <w:tc>
          <w:tcPr>
            <w:tcW w:w="1450" w:type="dxa"/>
            <w:shd w:val="clear" w:color="auto" w:fill="F2F2F2" w:themeFill="background1" w:themeFillShade="F2"/>
          </w:tcPr>
          <w:p w14:paraId="53D21D7D" w14:textId="268DBFEB" w:rsidR="00A15288" w:rsidRPr="007F6CA8" w:rsidRDefault="00DF12A7" w:rsidP="007F6CA8">
            <w:pPr>
              <w:spacing w:line="276" w:lineRule="auto"/>
              <w:rPr>
                <w:rFonts w:ascii="Sylfaen" w:hAnsi="Sylfaen"/>
                <w:b/>
                <w:lang w:val="ka-GE"/>
              </w:rPr>
            </w:pPr>
            <w:r w:rsidRPr="007F6CA8">
              <w:rPr>
                <w:rFonts w:ascii="Sylfaen" w:hAnsi="Sylfaen"/>
                <w:b/>
                <w:lang w:val="ka-GE"/>
              </w:rPr>
              <w:t>მონაცემთა წყარო</w:t>
            </w:r>
          </w:p>
        </w:tc>
        <w:tc>
          <w:tcPr>
            <w:tcW w:w="2248" w:type="dxa"/>
            <w:shd w:val="clear" w:color="auto" w:fill="F2F2F2" w:themeFill="background1" w:themeFillShade="F2"/>
          </w:tcPr>
          <w:p w14:paraId="3EC2309B" w14:textId="34AA9CD8" w:rsidR="00A15288" w:rsidRPr="007F6CA8" w:rsidRDefault="00DF12A7" w:rsidP="007F6CA8">
            <w:pPr>
              <w:spacing w:line="276" w:lineRule="auto"/>
              <w:rPr>
                <w:rFonts w:ascii="Sylfaen" w:hAnsi="Sylfaen"/>
                <w:b/>
                <w:lang w:val="ka-GE"/>
              </w:rPr>
            </w:pPr>
            <w:r w:rsidRPr="007F6CA8">
              <w:rPr>
                <w:rFonts w:ascii="Sylfaen" w:hAnsi="Sylfaen"/>
                <w:b/>
                <w:lang w:val="ka-GE"/>
              </w:rPr>
              <w:t>ინტერპრეტაცია</w:t>
            </w:r>
          </w:p>
        </w:tc>
      </w:tr>
      <w:tr w:rsidR="00BA5534" w:rsidRPr="007F6CA8" w14:paraId="1D32E6D2" w14:textId="77777777" w:rsidTr="00BA5534">
        <w:tc>
          <w:tcPr>
            <w:tcW w:w="1724" w:type="dxa"/>
          </w:tcPr>
          <w:p w14:paraId="47B6E456" w14:textId="30A0F012" w:rsidR="00A15288" w:rsidRPr="007F6CA8" w:rsidRDefault="00DF12A7" w:rsidP="007F6CA8">
            <w:pPr>
              <w:spacing w:line="276" w:lineRule="auto"/>
              <w:rPr>
                <w:rFonts w:ascii="Sylfaen" w:hAnsi="Sylfaen"/>
                <w:b/>
                <w:lang w:val="ka-GE"/>
              </w:rPr>
            </w:pPr>
            <w:r w:rsidRPr="007F6CA8">
              <w:rPr>
                <w:rFonts w:ascii="Sylfaen" w:hAnsi="Sylfaen"/>
                <w:b/>
                <w:lang w:val="ka-GE"/>
              </w:rPr>
              <w:t>უმუშევრობის მაჩვენებელი</w:t>
            </w:r>
          </w:p>
        </w:tc>
        <w:tc>
          <w:tcPr>
            <w:tcW w:w="1780" w:type="dxa"/>
          </w:tcPr>
          <w:p w14:paraId="4E629487" w14:textId="77777777" w:rsidR="00A15288" w:rsidRPr="007F6CA8" w:rsidRDefault="00A15288" w:rsidP="007F6CA8">
            <w:pPr>
              <w:spacing w:line="276" w:lineRule="auto"/>
              <w:rPr>
                <w:rFonts w:ascii="Sylfaen" w:hAnsi="Sylfaen"/>
              </w:rPr>
            </w:pPr>
            <w:r w:rsidRPr="007F6CA8">
              <w:rPr>
                <w:rFonts w:ascii="Sylfaen" w:hAnsi="Sylfaen"/>
              </w:rPr>
              <w:t>U / (E + U)</w:t>
            </w:r>
          </w:p>
        </w:tc>
        <w:tc>
          <w:tcPr>
            <w:tcW w:w="2144" w:type="dxa"/>
          </w:tcPr>
          <w:p w14:paraId="36E8DE5A" w14:textId="7569F68A" w:rsidR="00A15288" w:rsidRPr="007F6CA8" w:rsidRDefault="00DF12A7" w:rsidP="007F6CA8">
            <w:pPr>
              <w:spacing w:line="276" w:lineRule="auto"/>
              <w:rPr>
                <w:rFonts w:ascii="Sylfaen" w:hAnsi="Sylfaen"/>
              </w:rPr>
            </w:pPr>
            <w:r w:rsidRPr="007F6CA8">
              <w:rPr>
                <w:rFonts w:ascii="Sylfaen" w:hAnsi="Sylfaen"/>
                <w:lang w:val="ka-GE"/>
              </w:rPr>
              <w:t xml:space="preserve">უმუშევრობის ოფიციალური მაჩვენებელი. ხშირად </w:t>
            </w:r>
            <w:r w:rsidR="00226F10" w:rsidRPr="007F6CA8">
              <w:rPr>
                <w:rFonts w:ascii="Sylfaen" w:hAnsi="Sylfaen"/>
                <w:lang w:val="ka-GE"/>
              </w:rPr>
              <w:t>უმუშევრის მკაცრი განმარტება (ძიება ბოლო 4 კვირის განმავლობაში)</w:t>
            </w:r>
          </w:p>
        </w:tc>
        <w:tc>
          <w:tcPr>
            <w:tcW w:w="1450" w:type="dxa"/>
          </w:tcPr>
          <w:p w14:paraId="1EA6FE56" w14:textId="149C47BA" w:rsidR="00A15288" w:rsidRPr="007F6CA8" w:rsidRDefault="00226F10" w:rsidP="007F6CA8">
            <w:pPr>
              <w:spacing w:line="276" w:lineRule="auto"/>
              <w:rPr>
                <w:rFonts w:ascii="Sylfaen" w:hAnsi="Sylfaen"/>
              </w:rPr>
            </w:pPr>
            <w:r w:rsidRPr="007F6CA8">
              <w:rPr>
                <w:rFonts w:ascii="Sylfaen" w:hAnsi="Sylfaen"/>
              </w:rPr>
              <w:t>სამუშაო ძალის კვლევა</w:t>
            </w:r>
          </w:p>
        </w:tc>
        <w:tc>
          <w:tcPr>
            <w:tcW w:w="2248" w:type="dxa"/>
          </w:tcPr>
          <w:p w14:paraId="0777E257" w14:textId="32840EF7" w:rsidR="00A15288" w:rsidRPr="007F6CA8" w:rsidRDefault="00226F10" w:rsidP="007F6CA8">
            <w:pPr>
              <w:spacing w:line="276" w:lineRule="auto"/>
              <w:rPr>
                <w:rFonts w:ascii="Sylfaen" w:hAnsi="Sylfaen"/>
                <w:lang w:val="ka-GE"/>
              </w:rPr>
            </w:pPr>
            <w:r w:rsidRPr="007F6CA8">
              <w:rPr>
                <w:rFonts w:ascii="Sylfaen" w:hAnsi="Sylfaen"/>
                <w:lang w:val="ka-GE"/>
              </w:rPr>
              <w:t xml:space="preserve">უმუშევრობის მაღალი დონე აჩვენებს მიწოდებასა და მოთხოვნას შორის შეუსაბამობას </w:t>
            </w:r>
          </w:p>
        </w:tc>
      </w:tr>
      <w:tr w:rsidR="00BA5534" w:rsidRPr="007F6CA8" w14:paraId="69D726FA" w14:textId="77777777" w:rsidTr="00BA5534">
        <w:tc>
          <w:tcPr>
            <w:tcW w:w="1724" w:type="dxa"/>
          </w:tcPr>
          <w:p w14:paraId="44CDB724" w14:textId="5494CFAC" w:rsidR="00A15288" w:rsidRPr="007F6CA8" w:rsidRDefault="00FB0E58" w:rsidP="007F6CA8">
            <w:pPr>
              <w:spacing w:line="276" w:lineRule="auto"/>
              <w:rPr>
                <w:rFonts w:ascii="Sylfaen" w:hAnsi="Sylfaen"/>
                <w:b/>
                <w:lang w:val="ka-GE"/>
              </w:rPr>
            </w:pPr>
            <w:r w:rsidRPr="007F6CA8">
              <w:rPr>
                <w:rFonts w:ascii="Sylfaen" w:hAnsi="Sylfaen"/>
                <w:b/>
                <w:lang w:val="ka-GE"/>
              </w:rPr>
              <w:t>უმუშევრებისა და დასაქმებულების შეფარდება</w:t>
            </w:r>
          </w:p>
        </w:tc>
        <w:tc>
          <w:tcPr>
            <w:tcW w:w="1780" w:type="dxa"/>
          </w:tcPr>
          <w:p w14:paraId="22F7CA67" w14:textId="77777777" w:rsidR="00A15288" w:rsidRPr="007F6CA8" w:rsidRDefault="00A15288" w:rsidP="007F6CA8">
            <w:pPr>
              <w:spacing w:line="276" w:lineRule="auto"/>
              <w:rPr>
                <w:rFonts w:ascii="Sylfaen" w:hAnsi="Sylfaen"/>
              </w:rPr>
            </w:pPr>
            <w:r w:rsidRPr="007F6CA8">
              <w:rPr>
                <w:rFonts w:ascii="Sylfaen" w:hAnsi="Sylfaen"/>
              </w:rPr>
              <w:t>U/E</w:t>
            </w:r>
          </w:p>
        </w:tc>
        <w:tc>
          <w:tcPr>
            <w:tcW w:w="2144" w:type="dxa"/>
          </w:tcPr>
          <w:p w14:paraId="171CA198" w14:textId="4B4B2E0C" w:rsidR="00A15288" w:rsidRPr="007F6CA8" w:rsidRDefault="00FB0E58" w:rsidP="007F6CA8">
            <w:pPr>
              <w:spacing w:line="276" w:lineRule="auto"/>
              <w:rPr>
                <w:rFonts w:ascii="Sylfaen" w:hAnsi="Sylfaen"/>
              </w:rPr>
            </w:pPr>
            <w:r w:rsidRPr="007F6CA8">
              <w:rPr>
                <w:rFonts w:ascii="Sylfaen" w:hAnsi="Sylfaen"/>
                <w:lang w:val="ka-GE"/>
              </w:rPr>
              <w:t>უმუშევრობის მაჩვენებლის მსგავსი. უფრო მარტივად გამოსათვლელი. აჩვენებს დასაქმებულებისა და უმუშევრების თანაფარდობის პირდაპირ ინტერპრეტაციას</w:t>
            </w:r>
            <w:r w:rsidR="00A15288" w:rsidRPr="007F6CA8">
              <w:rPr>
                <w:rFonts w:ascii="Sylfaen" w:hAnsi="Sylfaen"/>
              </w:rPr>
              <w:t xml:space="preserve">. </w:t>
            </w:r>
          </w:p>
        </w:tc>
        <w:tc>
          <w:tcPr>
            <w:tcW w:w="1450" w:type="dxa"/>
          </w:tcPr>
          <w:p w14:paraId="40700555" w14:textId="5B65A572" w:rsidR="00A15288" w:rsidRPr="007F6CA8" w:rsidRDefault="00226F10" w:rsidP="007F6CA8">
            <w:pPr>
              <w:spacing w:line="276" w:lineRule="auto"/>
              <w:rPr>
                <w:rFonts w:ascii="Sylfaen" w:hAnsi="Sylfaen"/>
              </w:rPr>
            </w:pPr>
            <w:r w:rsidRPr="007F6CA8">
              <w:rPr>
                <w:rFonts w:ascii="Sylfaen" w:hAnsi="Sylfaen"/>
              </w:rPr>
              <w:t>სამუშაო ძალის კვლევა</w:t>
            </w:r>
          </w:p>
        </w:tc>
        <w:tc>
          <w:tcPr>
            <w:tcW w:w="2248" w:type="dxa"/>
          </w:tcPr>
          <w:p w14:paraId="4579B9BB" w14:textId="7689EF53" w:rsidR="00A15288" w:rsidRPr="007F6CA8" w:rsidRDefault="00FB0E58" w:rsidP="007F6CA8">
            <w:pPr>
              <w:spacing w:line="276" w:lineRule="auto"/>
              <w:rPr>
                <w:rFonts w:ascii="Sylfaen" w:hAnsi="Sylfaen"/>
              </w:rPr>
            </w:pPr>
            <w:r w:rsidRPr="007F6CA8">
              <w:rPr>
                <w:rFonts w:ascii="Sylfaen" w:hAnsi="Sylfaen"/>
                <w:lang w:val="ka-GE"/>
              </w:rPr>
              <w:t xml:space="preserve">იხ. ზემოთ. ასევე აღსანიშნავია, რომ სხვადასხვა ჯგუფებს შეუძლიათ სხვადასხვა შეფარდებების ჩვენება. აქ ახალგაზრდობის </w:t>
            </w:r>
            <w:r w:rsidRPr="007F6CA8">
              <w:rPr>
                <w:rFonts w:ascii="Sylfaen" w:hAnsi="Sylfaen"/>
              </w:rPr>
              <w:t>U/E</w:t>
            </w:r>
            <w:r w:rsidRPr="007F6CA8">
              <w:rPr>
                <w:rFonts w:ascii="Sylfaen" w:hAnsi="Sylfaen"/>
                <w:lang w:val="ka-GE"/>
              </w:rPr>
              <w:t xml:space="preserve"> აჩვენებს</w:t>
            </w:r>
            <w:r w:rsidRPr="007F6CA8">
              <w:rPr>
                <w:rFonts w:ascii="Sylfaen" w:hAnsi="Sylfaen"/>
              </w:rPr>
              <w:t xml:space="preserve"> </w:t>
            </w:r>
            <w:r w:rsidRPr="007F6CA8">
              <w:rPr>
                <w:rFonts w:ascii="Sylfaen" w:hAnsi="Sylfaen"/>
                <w:lang w:val="ka-GE"/>
              </w:rPr>
              <w:t xml:space="preserve">პრობლემას სასწავლებლიდან სამუშაოზე გადასვლის დროს; ასაკოვანი ადამიანების </w:t>
            </w:r>
            <w:r w:rsidRPr="007F6CA8">
              <w:rPr>
                <w:rFonts w:ascii="Sylfaen" w:hAnsi="Sylfaen"/>
              </w:rPr>
              <w:t xml:space="preserve">U/E </w:t>
            </w:r>
            <w:r w:rsidRPr="007F6CA8">
              <w:rPr>
                <w:rFonts w:ascii="Sylfaen" w:hAnsi="Sylfaen"/>
                <w:lang w:val="ka-GE"/>
              </w:rPr>
              <w:t xml:space="preserve">აჩვენებს შესაბამისი უნარების არარსებობას ან დასაქმების </w:t>
            </w:r>
            <w:r w:rsidRPr="007F6CA8">
              <w:rPr>
                <w:rFonts w:ascii="Sylfaen" w:hAnsi="Sylfaen"/>
                <w:lang w:val="ka-GE"/>
              </w:rPr>
              <w:lastRenderedPageBreak/>
              <w:t>ინსტიტუციურ ბარიერებს</w:t>
            </w:r>
            <w:r w:rsidR="00A15288" w:rsidRPr="007F6CA8">
              <w:rPr>
                <w:rFonts w:ascii="Sylfaen" w:hAnsi="Sylfaen"/>
              </w:rPr>
              <w:t xml:space="preserve">. </w:t>
            </w:r>
          </w:p>
        </w:tc>
      </w:tr>
      <w:tr w:rsidR="00BA5534" w:rsidRPr="007F6CA8" w14:paraId="2A4B14DC" w14:textId="77777777" w:rsidTr="00BA5534">
        <w:tc>
          <w:tcPr>
            <w:tcW w:w="1724" w:type="dxa"/>
          </w:tcPr>
          <w:p w14:paraId="7DFF422C" w14:textId="68D9AD30" w:rsidR="00A15288" w:rsidRPr="007F6CA8" w:rsidRDefault="00FB0E58" w:rsidP="007F6CA8">
            <w:pPr>
              <w:spacing w:line="276" w:lineRule="auto"/>
              <w:rPr>
                <w:rFonts w:ascii="Sylfaen" w:hAnsi="Sylfaen"/>
                <w:b/>
                <w:lang w:val="ka-GE"/>
              </w:rPr>
            </w:pPr>
            <w:r w:rsidRPr="007F6CA8">
              <w:rPr>
                <w:rFonts w:ascii="Sylfaen" w:hAnsi="Sylfaen"/>
                <w:b/>
                <w:lang w:val="ka-GE"/>
              </w:rPr>
              <w:lastRenderedPageBreak/>
              <w:t>დასაქმების, განათლების და გადამზადების მიღმა მყოფი პირი</w:t>
            </w:r>
          </w:p>
        </w:tc>
        <w:tc>
          <w:tcPr>
            <w:tcW w:w="1780" w:type="dxa"/>
          </w:tcPr>
          <w:p w14:paraId="449A8DC4" w14:textId="77777777" w:rsidR="00A15288" w:rsidRPr="007F6CA8" w:rsidRDefault="00A15288" w:rsidP="007F6CA8">
            <w:pPr>
              <w:spacing w:line="276" w:lineRule="auto"/>
              <w:rPr>
                <w:rFonts w:ascii="Sylfaen" w:hAnsi="Sylfaen"/>
              </w:rPr>
            </w:pPr>
            <w:r w:rsidRPr="007F6CA8">
              <w:rPr>
                <w:rFonts w:ascii="Sylfaen" w:hAnsi="Sylfaen"/>
              </w:rPr>
              <w:t>IA/POP</w:t>
            </w:r>
          </w:p>
        </w:tc>
        <w:tc>
          <w:tcPr>
            <w:tcW w:w="2144" w:type="dxa"/>
          </w:tcPr>
          <w:p w14:paraId="783D74BD" w14:textId="58A98E44" w:rsidR="00A15288" w:rsidRPr="007F6CA8" w:rsidRDefault="00FB0E58" w:rsidP="007F6CA8">
            <w:pPr>
              <w:spacing w:line="276" w:lineRule="auto"/>
              <w:rPr>
                <w:rFonts w:ascii="Sylfaen" w:hAnsi="Sylfaen"/>
              </w:rPr>
            </w:pPr>
            <w:r w:rsidRPr="007F6CA8">
              <w:rPr>
                <w:rFonts w:ascii="Sylfaen" w:hAnsi="Sylfaen"/>
                <w:lang w:val="ka-GE"/>
              </w:rPr>
              <w:t>განიხილავს ახალგაზრდებს შორის უმუშევრობას სასწავლებლიდან სამუშაოზე გადასვლის პროცესში</w:t>
            </w:r>
            <w:r w:rsidR="00A15288" w:rsidRPr="007F6CA8">
              <w:rPr>
                <w:rFonts w:ascii="Sylfaen" w:hAnsi="Sylfaen"/>
              </w:rPr>
              <w:t xml:space="preserve">. </w:t>
            </w:r>
          </w:p>
        </w:tc>
        <w:tc>
          <w:tcPr>
            <w:tcW w:w="1450" w:type="dxa"/>
          </w:tcPr>
          <w:p w14:paraId="68B45D03" w14:textId="4EAE33AE" w:rsidR="00A15288" w:rsidRPr="007F6CA8" w:rsidRDefault="00226F10" w:rsidP="007F6CA8">
            <w:pPr>
              <w:spacing w:line="276" w:lineRule="auto"/>
              <w:rPr>
                <w:rFonts w:ascii="Sylfaen" w:hAnsi="Sylfaen"/>
              </w:rPr>
            </w:pPr>
            <w:r w:rsidRPr="007F6CA8">
              <w:rPr>
                <w:rFonts w:ascii="Sylfaen" w:hAnsi="Sylfaen"/>
              </w:rPr>
              <w:t>სამუშაო ძალის კვლევა</w:t>
            </w:r>
          </w:p>
        </w:tc>
        <w:tc>
          <w:tcPr>
            <w:tcW w:w="2248" w:type="dxa"/>
          </w:tcPr>
          <w:p w14:paraId="6A611AB9" w14:textId="5CD7B42B" w:rsidR="00A15288" w:rsidRPr="007F6CA8" w:rsidRDefault="00FB0E58" w:rsidP="007F6CA8">
            <w:pPr>
              <w:spacing w:line="276" w:lineRule="auto"/>
              <w:rPr>
                <w:rFonts w:ascii="Sylfaen" w:hAnsi="Sylfaen"/>
              </w:rPr>
            </w:pPr>
            <w:r w:rsidRPr="007F6CA8">
              <w:rPr>
                <w:rFonts w:ascii="Sylfaen" w:hAnsi="Sylfaen"/>
                <w:lang w:val="ka-GE"/>
              </w:rPr>
              <w:t>ახალგაზრდები, რომლებიც განათლების შემდეგ არ მუშაობენ და არ სწავლობენ</w:t>
            </w:r>
            <w:r w:rsidR="00EF7094" w:rsidRPr="007F6CA8">
              <w:rPr>
                <w:rFonts w:ascii="Sylfaen" w:hAnsi="Sylfaen"/>
                <w:lang w:val="ka-GE"/>
              </w:rPr>
              <w:t xml:space="preserve"> - ეს იძლევა ინფორმაციას შრომით ბაზარზე შესვლის ბარიერებთან დაკავშირებით. </w:t>
            </w:r>
            <w:r w:rsidR="00BA5534" w:rsidRPr="007F6CA8">
              <w:rPr>
                <w:rFonts w:ascii="Sylfaen" w:hAnsi="Sylfaen"/>
                <w:lang w:val="ka-GE"/>
              </w:rPr>
              <w:t xml:space="preserve">ასაკიდან და განათლების დონიდან გამომდიანრე, ეს აჩვენებს განათლების სისტემიდან მისაღები უნარების არარსებობაზე. </w:t>
            </w:r>
          </w:p>
        </w:tc>
      </w:tr>
      <w:tr w:rsidR="00BA5534" w:rsidRPr="007F6CA8" w14:paraId="6296A702" w14:textId="77777777" w:rsidTr="00BA5534">
        <w:tc>
          <w:tcPr>
            <w:tcW w:w="1724" w:type="dxa"/>
          </w:tcPr>
          <w:p w14:paraId="1D6BF3BF" w14:textId="1952ED04" w:rsidR="00A15288" w:rsidRPr="007F6CA8" w:rsidRDefault="00165EC0" w:rsidP="007F6CA8">
            <w:pPr>
              <w:spacing w:line="276" w:lineRule="auto"/>
              <w:rPr>
                <w:rFonts w:ascii="Sylfaen" w:hAnsi="Sylfaen"/>
                <w:b/>
                <w:lang w:val="ka-GE"/>
              </w:rPr>
            </w:pPr>
            <w:r w:rsidRPr="007F6CA8">
              <w:rPr>
                <w:rFonts w:ascii="Sylfaen" w:hAnsi="Sylfaen"/>
                <w:b/>
                <w:lang w:val="ka-GE"/>
              </w:rPr>
              <w:t xml:space="preserve"> ჭარბი განათლება</w:t>
            </w:r>
          </w:p>
        </w:tc>
        <w:tc>
          <w:tcPr>
            <w:tcW w:w="1780" w:type="dxa"/>
          </w:tcPr>
          <w:p w14:paraId="5172A63A" w14:textId="7B052B01" w:rsidR="00A15288" w:rsidRPr="007F6CA8" w:rsidRDefault="00BA5534" w:rsidP="007F6CA8">
            <w:pPr>
              <w:spacing w:line="276" w:lineRule="auto"/>
              <w:rPr>
                <w:rFonts w:ascii="Sylfaen" w:hAnsi="Sylfaen"/>
              </w:rPr>
            </w:pPr>
            <w:r w:rsidRPr="007F6CA8">
              <w:rPr>
                <w:rFonts w:ascii="Sylfaen" w:hAnsi="Sylfaen"/>
                <w:lang w:val="ka-GE"/>
              </w:rPr>
              <w:t>საჭიროზე მაღალი განათლების დონის / პროფესიისათვის საჭირო განათლების დონის პროცენტული მაჩვენებელი</w:t>
            </w:r>
          </w:p>
        </w:tc>
        <w:tc>
          <w:tcPr>
            <w:tcW w:w="2144" w:type="dxa"/>
          </w:tcPr>
          <w:p w14:paraId="365FCF9F" w14:textId="02F8F4D4" w:rsidR="00A15288" w:rsidRPr="007F6CA8" w:rsidRDefault="00FB0E58" w:rsidP="007F6CA8">
            <w:pPr>
              <w:spacing w:line="276" w:lineRule="auto"/>
              <w:rPr>
                <w:rFonts w:ascii="Sylfaen" w:hAnsi="Sylfaen"/>
              </w:rPr>
            </w:pPr>
            <w:r w:rsidRPr="007F6CA8">
              <w:rPr>
                <w:rFonts w:ascii="Sylfaen" w:hAnsi="Sylfaen"/>
                <w:lang w:val="ka-GE"/>
              </w:rPr>
              <w:t>შეუსაბამობის ხარისხი კვალიფიკაციის დონეების მიხედვით</w:t>
            </w:r>
            <w:r w:rsidR="00E44DCE" w:rsidRPr="007F6CA8">
              <w:rPr>
                <w:rFonts w:ascii="Sylfaen" w:hAnsi="Sylfaen"/>
              </w:rPr>
              <w:t xml:space="preserve">. </w:t>
            </w:r>
          </w:p>
        </w:tc>
        <w:tc>
          <w:tcPr>
            <w:tcW w:w="1450" w:type="dxa"/>
          </w:tcPr>
          <w:p w14:paraId="2151E2B3" w14:textId="327CBDFA" w:rsidR="00A15288" w:rsidRPr="007F6CA8" w:rsidRDefault="00226F10" w:rsidP="007F6CA8">
            <w:pPr>
              <w:spacing w:line="276" w:lineRule="auto"/>
              <w:rPr>
                <w:rFonts w:ascii="Sylfaen" w:hAnsi="Sylfaen"/>
              </w:rPr>
            </w:pPr>
            <w:r w:rsidRPr="007F6CA8">
              <w:rPr>
                <w:rFonts w:ascii="Sylfaen" w:hAnsi="Sylfaen"/>
              </w:rPr>
              <w:t>სამუშაო ძალის კვლევა</w:t>
            </w:r>
            <w:r w:rsidR="00A15288" w:rsidRPr="007F6CA8">
              <w:rPr>
                <w:rFonts w:ascii="Sylfaen" w:hAnsi="Sylfaen"/>
              </w:rPr>
              <w:t xml:space="preserve">; </w:t>
            </w:r>
          </w:p>
          <w:p w14:paraId="14ACC45B" w14:textId="7BAD0E68" w:rsidR="00A15288" w:rsidRPr="007F6CA8" w:rsidRDefault="00FB0E58" w:rsidP="007F6CA8">
            <w:pPr>
              <w:spacing w:line="276" w:lineRule="auto"/>
              <w:rPr>
                <w:rFonts w:ascii="Sylfaen" w:hAnsi="Sylfaen"/>
              </w:rPr>
            </w:pPr>
            <w:r w:rsidRPr="007F6CA8">
              <w:rPr>
                <w:rFonts w:ascii="Sylfaen" w:hAnsi="Sylfaen"/>
                <w:lang w:val="ka-GE"/>
              </w:rPr>
              <w:t>უნარების კვლევა</w:t>
            </w:r>
            <w:r w:rsidR="00A15288" w:rsidRPr="007F6CA8">
              <w:rPr>
                <w:rFonts w:ascii="Sylfaen" w:hAnsi="Sylfaen"/>
              </w:rPr>
              <w:t xml:space="preserve">; </w:t>
            </w:r>
          </w:p>
        </w:tc>
        <w:tc>
          <w:tcPr>
            <w:tcW w:w="2248" w:type="dxa"/>
          </w:tcPr>
          <w:p w14:paraId="42F59660" w14:textId="798A533A" w:rsidR="00A15288" w:rsidRPr="007F6CA8" w:rsidRDefault="00165EC0" w:rsidP="007F6CA8">
            <w:pPr>
              <w:spacing w:line="276" w:lineRule="auto"/>
              <w:rPr>
                <w:rFonts w:ascii="Sylfaen" w:hAnsi="Sylfaen"/>
              </w:rPr>
            </w:pPr>
            <w:r w:rsidRPr="007F6CA8">
              <w:rPr>
                <w:rFonts w:ascii="Sylfaen" w:hAnsi="Sylfaen"/>
                <w:lang w:val="ka-GE"/>
              </w:rPr>
              <w:t>ჭარბი</w:t>
            </w:r>
            <w:r w:rsidR="00BA5534" w:rsidRPr="007F6CA8">
              <w:rPr>
                <w:rFonts w:ascii="Sylfaen" w:hAnsi="Sylfaen"/>
                <w:lang w:val="ka-GE"/>
              </w:rPr>
              <w:t xml:space="preserve"> განათლების უფრო მაღალი პროცენტი უფრო მაღალ შეუსაბამობაზე მიუთითებს </w:t>
            </w:r>
          </w:p>
        </w:tc>
      </w:tr>
      <w:tr w:rsidR="00BA5534" w:rsidRPr="007F6CA8" w14:paraId="27018B7F" w14:textId="77777777" w:rsidTr="00BA5534">
        <w:tc>
          <w:tcPr>
            <w:tcW w:w="1724" w:type="dxa"/>
          </w:tcPr>
          <w:p w14:paraId="4891D22A" w14:textId="1B086905" w:rsidR="00BA5534" w:rsidRPr="007F6CA8" w:rsidRDefault="00165EC0" w:rsidP="007F6CA8">
            <w:pPr>
              <w:spacing w:line="276" w:lineRule="auto"/>
              <w:rPr>
                <w:rFonts w:ascii="Sylfaen" w:hAnsi="Sylfaen"/>
                <w:b/>
                <w:lang w:val="ka-GE"/>
              </w:rPr>
            </w:pPr>
            <w:r w:rsidRPr="007F6CA8">
              <w:rPr>
                <w:rFonts w:ascii="Sylfaen" w:hAnsi="Sylfaen"/>
                <w:b/>
                <w:lang w:val="ka-GE"/>
              </w:rPr>
              <w:t>არასაკმარისი</w:t>
            </w:r>
            <w:r w:rsidR="00BA5534" w:rsidRPr="007F6CA8">
              <w:rPr>
                <w:rFonts w:ascii="Sylfaen" w:hAnsi="Sylfaen"/>
                <w:b/>
                <w:lang w:val="ka-GE"/>
              </w:rPr>
              <w:t xml:space="preserve"> განათლება</w:t>
            </w:r>
          </w:p>
        </w:tc>
        <w:tc>
          <w:tcPr>
            <w:tcW w:w="1780" w:type="dxa"/>
          </w:tcPr>
          <w:p w14:paraId="1D387851" w14:textId="783A23D8" w:rsidR="00BA5534" w:rsidRPr="007F6CA8" w:rsidRDefault="00BA5534" w:rsidP="007F6CA8">
            <w:pPr>
              <w:spacing w:line="276" w:lineRule="auto"/>
              <w:rPr>
                <w:rFonts w:ascii="Sylfaen" w:hAnsi="Sylfaen"/>
              </w:rPr>
            </w:pPr>
            <w:r w:rsidRPr="007F6CA8">
              <w:rPr>
                <w:rFonts w:ascii="Sylfaen" w:hAnsi="Sylfaen"/>
                <w:lang w:val="ka-GE"/>
              </w:rPr>
              <w:t xml:space="preserve">საჭიროზე მაღალი განათლების </w:t>
            </w:r>
            <w:r w:rsidRPr="007F6CA8">
              <w:rPr>
                <w:rFonts w:ascii="Sylfaen" w:hAnsi="Sylfaen"/>
                <w:lang w:val="ka-GE"/>
              </w:rPr>
              <w:lastRenderedPageBreak/>
              <w:t>დონის / პროფესიისათვის საჭირო განათლების დონის პროცენტული მაჩვენებელი</w:t>
            </w:r>
          </w:p>
        </w:tc>
        <w:tc>
          <w:tcPr>
            <w:tcW w:w="2144" w:type="dxa"/>
          </w:tcPr>
          <w:p w14:paraId="1A6C73D9" w14:textId="293C11A4" w:rsidR="00BA5534" w:rsidRPr="007F6CA8" w:rsidRDefault="00BA5534" w:rsidP="007F6CA8">
            <w:pPr>
              <w:spacing w:line="276" w:lineRule="auto"/>
              <w:rPr>
                <w:rFonts w:ascii="Sylfaen" w:hAnsi="Sylfaen"/>
              </w:rPr>
            </w:pPr>
            <w:r w:rsidRPr="007F6CA8">
              <w:rPr>
                <w:rFonts w:ascii="Sylfaen" w:hAnsi="Sylfaen"/>
                <w:lang w:val="ka-GE"/>
              </w:rPr>
              <w:lastRenderedPageBreak/>
              <w:t>შეუსაბამობის ხარისხი კვალიფიკაციი</w:t>
            </w:r>
            <w:r w:rsidRPr="007F6CA8">
              <w:rPr>
                <w:rFonts w:ascii="Sylfaen" w:hAnsi="Sylfaen"/>
                <w:lang w:val="ka-GE"/>
              </w:rPr>
              <w:lastRenderedPageBreak/>
              <w:t>ს დონეების მიხედვით</w:t>
            </w:r>
            <w:r w:rsidRPr="007F6CA8">
              <w:rPr>
                <w:rFonts w:ascii="Sylfaen" w:hAnsi="Sylfaen"/>
              </w:rPr>
              <w:t xml:space="preserve">. </w:t>
            </w:r>
          </w:p>
        </w:tc>
        <w:tc>
          <w:tcPr>
            <w:tcW w:w="1450" w:type="dxa"/>
          </w:tcPr>
          <w:p w14:paraId="0B502607" w14:textId="77777777" w:rsidR="00BA5534" w:rsidRPr="007F6CA8" w:rsidRDefault="00BA5534" w:rsidP="007F6CA8">
            <w:pPr>
              <w:spacing w:line="276" w:lineRule="auto"/>
              <w:rPr>
                <w:rFonts w:ascii="Sylfaen" w:hAnsi="Sylfaen"/>
              </w:rPr>
            </w:pPr>
            <w:r w:rsidRPr="007F6CA8">
              <w:rPr>
                <w:rFonts w:ascii="Sylfaen" w:hAnsi="Sylfaen"/>
              </w:rPr>
              <w:lastRenderedPageBreak/>
              <w:t xml:space="preserve">სამუშაო ძალის კვლევა; </w:t>
            </w:r>
          </w:p>
          <w:p w14:paraId="4DA51D0E" w14:textId="1CCF92F7" w:rsidR="00BA5534" w:rsidRPr="007F6CA8" w:rsidRDefault="00BA5534" w:rsidP="007F6CA8">
            <w:pPr>
              <w:spacing w:line="276" w:lineRule="auto"/>
              <w:rPr>
                <w:rFonts w:ascii="Sylfaen" w:hAnsi="Sylfaen"/>
              </w:rPr>
            </w:pPr>
            <w:r w:rsidRPr="007F6CA8">
              <w:rPr>
                <w:rFonts w:ascii="Sylfaen" w:hAnsi="Sylfaen"/>
                <w:lang w:val="ka-GE"/>
              </w:rPr>
              <w:lastRenderedPageBreak/>
              <w:t>უნარების კვლევა</w:t>
            </w:r>
            <w:r w:rsidRPr="007F6CA8">
              <w:rPr>
                <w:rFonts w:ascii="Sylfaen" w:hAnsi="Sylfaen"/>
              </w:rPr>
              <w:t xml:space="preserve">; </w:t>
            </w:r>
          </w:p>
        </w:tc>
        <w:tc>
          <w:tcPr>
            <w:tcW w:w="2248" w:type="dxa"/>
          </w:tcPr>
          <w:p w14:paraId="52587807" w14:textId="37123C3A" w:rsidR="00BA5534" w:rsidRPr="007F6CA8" w:rsidRDefault="00BA5534" w:rsidP="007F6CA8">
            <w:pPr>
              <w:spacing w:line="276" w:lineRule="auto"/>
              <w:rPr>
                <w:rFonts w:ascii="Sylfaen" w:hAnsi="Sylfaen"/>
              </w:rPr>
            </w:pPr>
            <w:r w:rsidRPr="007F6CA8">
              <w:rPr>
                <w:rFonts w:ascii="Sylfaen" w:hAnsi="Sylfaen"/>
                <w:lang w:val="ka-GE"/>
              </w:rPr>
              <w:lastRenderedPageBreak/>
              <w:t xml:space="preserve">ნაკლები განათლების უფრო მაღალი </w:t>
            </w:r>
            <w:r w:rsidRPr="007F6CA8">
              <w:rPr>
                <w:rFonts w:ascii="Sylfaen" w:hAnsi="Sylfaen"/>
                <w:lang w:val="ka-GE"/>
              </w:rPr>
              <w:lastRenderedPageBreak/>
              <w:t xml:space="preserve">პროცენტი უფრო მაღალ შეუსაბამობაზე მიუთითებს </w:t>
            </w:r>
          </w:p>
        </w:tc>
      </w:tr>
      <w:tr w:rsidR="00BA5534" w:rsidRPr="007F6CA8" w14:paraId="34F86921" w14:textId="77777777" w:rsidTr="00BA5534">
        <w:tc>
          <w:tcPr>
            <w:tcW w:w="1724" w:type="dxa"/>
          </w:tcPr>
          <w:p w14:paraId="015150A5" w14:textId="0AD19E61" w:rsidR="00BA5534" w:rsidRPr="007F6CA8" w:rsidRDefault="00BA5534" w:rsidP="007F6CA8">
            <w:pPr>
              <w:spacing w:line="276" w:lineRule="auto"/>
              <w:rPr>
                <w:rFonts w:ascii="Sylfaen" w:hAnsi="Sylfaen"/>
                <w:b/>
                <w:lang w:val="ka-GE"/>
              </w:rPr>
            </w:pPr>
            <w:r w:rsidRPr="007F6CA8">
              <w:rPr>
                <w:rFonts w:ascii="Sylfaen" w:hAnsi="Sylfaen"/>
                <w:b/>
                <w:lang w:val="ka-GE"/>
              </w:rPr>
              <w:lastRenderedPageBreak/>
              <w:t>ვარიაციის კოეფიციენტი</w:t>
            </w:r>
          </w:p>
        </w:tc>
        <w:tc>
          <w:tcPr>
            <w:tcW w:w="1780" w:type="dxa"/>
          </w:tcPr>
          <w:p w14:paraId="278F84B0" w14:textId="77777777" w:rsidR="00BA5534" w:rsidRPr="007F6CA8" w:rsidRDefault="00BA5534" w:rsidP="007F6CA8">
            <w:pPr>
              <w:spacing w:line="276" w:lineRule="auto"/>
              <w:rPr>
                <w:rFonts w:ascii="Sylfaen" w:hAnsi="Sylfaen"/>
              </w:rPr>
            </w:pPr>
          </w:p>
        </w:tc>
        <w:tc>
          <w:tcPr>
            <w:tcW w:w="2144" w:type="dxa"/>
          </w:tcPr>
          <w:p w14:paraId="47E21700" w14:textId="43E99176" w:rsidR="00BA5534" w:rsidRPr="007F6CA8" w:rsidRDefault="00BA5534" w:rsidP="007F6CA8">
            <w:pPr>
              <w:spacing w:line="276" w:lineRule="auto"/>
              <w:rPr>
                <w:rFonts w:ascii="Sylfaen" w:hAnsi="Sylfaen"/>
              </w:rPr>
            </w:pPr>
            <w:r w:rsidRPr="007F6CA8">
              <w:rPr>
                <w:rFonts w:ascii="Sylfaen" w:hAnsi="Sylfaen"/>
                <w:lang w:val="ka-GE"/>
              </w:rPr>
              <w:t xml:space="preserve">განათლების დონის შედარება დასაქმებულებსა და უმუშევრებს შორის </w:t>
            </w:r>
          </w:p>
        </w:tc>
        <w:tc>
          <w:tcPr>
            <w:tcW w:w="1450" w:type="dxa"/>
          </w:tcPr>
          <w:p w14:paraId="47992FC8" w14:textId="7CC9AA59" w:rsidR="00BA5534" w:rsidRPr="007F6CA8" w:rsidRDefault="00BA5534" w:rsidP="007F6CA8">
            <w:pPr>
              <w:spacing w:line="276" w:lineRule="auto"/>
              <w:rPr>
                <w:rFonts w:ascii="Sylfaen" w:hAnsi="Sylfaen"/>
              </w:rPr>
            </w:pPr>
            <w:r w:rsidRPr="007F6CA8">
              <w:rPr>
                <w:rFonts w:ascii="Sylfaen" w:hAnsi="Sylfaen"/>
              </w:rPr>
              <w:t>სამუშაო ძალის კვლევა</w:t>
            </w:r>
          </w:p>
        </w:tc>
        <w:tc>
          <w:tcPr>
            <w:tcW w:w="2248" w:type="dxa"/>
          </w:tcPr>
          <w:p w14:paraId="5ACAE678" w14:textId="39B4786D" w:rsidR="00BA5534" w:rsidRPr="007F6CA8" w:rsidRDefault="00BA5534" w:rsidP="007F6CA8">
            <w:pPr>
              <w:spacing w:line="276" w:lineRule="auto"/>
              <w:rPr>
                <w:rFonts w:ascii="Sylfaen" w:hAnsi="Sylfaen"/>
              </w:rPr>
            </w:pPr>
            <w:r w:rsidRPr="007F6CA8">
              <w:rPr>
                <w:rFonts w:ascii="Sylfaen" w:hAnsi="Sylfaen"/>
                <w:lang w:val="ka-GE"/>
              </w:rPr>
              <w:t xml:space="preserve">უფრო მაღალი დონე მიუთითებს უნარების შეუსაბამობის უფრო მაღალ ინციდენტობაზე </w:t>
            </w:r>
          </w:p>
        </w:tc>
      </w:tr>
      <w:tr w:rsidR="00BA5534" w:rsidRPr="007F6CA8" w14:paraId="26DB733F" w14:textId="77777777" w:rsidTr="00BA5534">
        <w:tc>
          <w:tcPr>
            <w:tcW w:w="1724" w:type="dxa"/>
          </w:tcPr>
          <w:p w14:paraId="7EE6524B" w14:textId="1E5302DA" w:rsidR="00BA5534" w:rsidRPr="007F6CA8" w:rsidRDefault="00BA5534" w:rsidP="007F6CA8">
            <w:pPr>
              <w:spacing w:line="276" w:lineRule="auto"/>
              <w:rPr>
                <w:rFonts w:ascii="Sylfaen" w:hAnsi="Sylfaen"/>
                <w:b/>
              </w:rPr>
            </w:pPr>
            <w:r w:rsidRPr="007F6CA8">
              <w:rPr>
                <w:rFonts w:ascii="Sylfaen" w:hAnsi="Sylfaen"/>
                <w:b/>
              </w:rPr>
              <w:t>(</w:t>
            </w:r>
            <w:r w:rsidRPr="007F6CA8">
              <w:rPr>
                <w:rFonts w:ascii="Sylfaen" w:hAnsi="Sylfaen"/>
                <w:b/>
                <w:lang w:val="ka-GE"/>
              </w:rPr>
              <w:t xml:space="preserve">შედარებითი) ხელფასის თანაფარდობა </w:t>
            </w:r>
          </w:p>
        </w:tc>
        <w:tc>
          <w:tcPr>
            <w:tcW w:w="1780" w:type="dxa"/>
          </w:tcPr>
          <w:p w14:paraId="64EFFDA2" w14:textId="6624A07F" w:rsidR="00BA5534" w:rsidRPr="007F6CA8" w:rsidRDefault="00BA5534" w:rsidP="007F6CA8">
            <w:pPr>
              <w:spacing w:line="276" w:lineRule="auto"/>
              <w:rPr>
                <w:rFonts w:ascii="Sylfaen" w:hAnsi="Sylfaen"/>
              </w:rPr>
            </w:pPr>
            <w:r w:rsidRPr="007F6CA8">
              <w:rPr>
                <w:rFonts w:ascii="Sylfaen" w:hAnsi="Sylfaen"/>
                <w:lang w:val="ka-GE"/>
              </w:rPr>
              <w:t xml:space="preserve">სხვადასხვა განმარტებები. ძირითადად აღნიშნავს სახელფასო ინდექსს საბაზისო წლისთვის (და კონკრეტული საბაზისო დონისათვის) </w:t>
            </w:r>
          </w:p>
        </w:tc>
        <w:tc>
          <w:tcPr>
            <w:tcW w:w="2144" w:type="dxa"/>
          </w:tcPr>
          <w:p w14:paraId="65E20964" w14:textId="58ADCEA3" w:rsidR="00BA5534" w:rsidRPr="007F6CA8" w:rsidRDefault="00BA5534" w:rsidP="007F6CA8">
            <w:pPr>
              <w:spacing w:line="276" w:lineRule="auto"/>
              <w:rPr>
                <w:rFonts w:ascii="Sylfaen" w:hAnsi="Sylfaen"/>
              </w:rPr>
            </w:pPr>
            <w:r w:rsidRPr="007F6CA8">
              <w:rPr>
                <w:rFonts w:ascii="Sylfaen" w:hAnsi="Sylfaen"/>
                <w:lang w:val="ka-GE"/>
              </w:rPr>
              <w:t>განიხილავს ზოგად დონეს კონკრეტული დროისათვის, და დროთა განმავლობაში განვითარებას.</w:t>
            </w:r>
          </w:p>
        </w:tc>
        <w:tc>
          <w:tcPr>
            <w:tcW w:w="1450" w:type="dxa"/>
          </w:tcPr>
          <w:p w14:paraId="2B8F1D7E" w14:textId="157F696C" w:rsidR="00BA5534" w:rsidRPr="007F6CA8" w:rsidRDefault="00BA5534" w:rsidP="007F6CA8">
            <w:pPr>
              <w:spacing w:line="276" w:lineRule="auto"/>
              <w:rPr>
                <w:rFonts w:ascii="Sylfaen" w:hAnsi="Sylfaen"/>
              </w:rPr>
            </w:pPr>
            <w:r w:rsidRPr="007F6CA8">
              <w:rPr>
                <w:rFonts w:ascii="Sylfaen" w:hAnsi="Sylfaen"/>
              </w:rPr>
              <w:t xml:space="preserve">სამუშაო ძალის კვლევა; </w:t>
            </w:r>
            <w:r w:rsidRPr="007F6CA8">
              <w:rPr>
                <w:rFonts w:ascii="Sylfaen" w:hAnsi="Sylfaen"/>
                <w:lang w:val="ka-GE"/>
              </w:rPr>
              <w:t>სახელფასო კვლევა; ადმინისტრაციული (საგახასახადო და სოც. უზრუნველყოფის) მონაცემები</w:t>
            </w:r>
          </w:p>
        </w:tc>
        <w:tc>
          <w:tcPr>
            <w:tcW w:w="2248" w:type="dxa"/>
          </w:tcPr>
          <w:p w14:paraId="2C6B2E49" w14:textId="1F258EB1" w:rsidR="00BA5534" w:rsidRPr="007F6CA8" w:rsidRDefault="00BA5534" w:rsidP="007F6CA8">
            <w:pPr>
              <w:spacing w:line="276" w:lineRule="auto"/>
              <w:rPr>
                <w:rFonts w:ascii="Sylfaen" w:hAnsi="Sylfaen"/>
              </w:rPr>
            </w:pPr>
            <w:r w:rsidRPr="007F6CA8">
              <w:rPr>
                <w:rFonts w:ascii="Sylfaen" w:hAnsi="Sylfaen"/>
                <w:lang w:val="ka-GE"/>
              </w:rPr>
              <w:t xml:space="preserve">შედარებითი ხელფასების ზრდა ნიშნავს შედარებით უფრო მაღალ მოთხოვნას სპეციფიკურ ჯგუფზე, ანუ, უმაღლესი განათლების მქონეთა ხელფასების ზრდა საშუალო განათლების მქონეებთან შედარებით აჩვენებს შედარებით უფრო მაღალ მოთხოვნას უფრო მაღალი </w:t>
            </w:r>
            <w:r w:rsidRPr="007F6CA8">
              <w:rPr>
                <w:rFonts w:ascii="Sylfaen" w:hAnsi="Sylfaen"/>
                <w:lang w:val="ka-GE"/>
              </w:rPr>
              <w:lastRenderedPageBreak/>
              <w:t>განათლების მქონე პირებზე</w:t>
            </w:r>
            <w:r w:rsidRPr="007F6CA8">
              <w:rPr>
                <w:rFonts w:ascii="Sylfaen" w:hAnsi="Sylfaen"/>
              </w:rPr>
              <w:t xml:space="preserve">. </w:t>
            </w:r>
          </w:p>
        </w:tc>
      </w:tr>
    </w:tbl>
    <w:p w14:paraId="0FDAB42E" w14:textId="24BE6CCF" w:rsidR="00A15288" w:rsidRPr="007F6CA8" w:rsidRDefault="00BA5534" w:rsidP="00731B1D">
      <w:pPr>
        <w:spacing w:beforeLines="60" w:before="144" w:afterLines="60" w:after="144" w:line="276" w:lineRule="auto"/>
        <w:jc w:val="both"/>
        <w:rPr>
          <w:rFonts w:ascii="Sylfaen" w:hAnsi="Sylfaen"/>
          <w:sz w:val="16"/>
        </w:rPr>
      </w:pPr>
      <w:r w:rsidRPr="007F6CA8">
        <w:rPr>
          <w:rFonts w:ascii="Sylfaen" w:hAnsi="Sylfaen"/>
          <w:b/>
          <w:sz w:val="16"/>
          <w:lang w:val="ka-GE"/>
        </w:rPr>
        <w:lastRenderedPageBreak/>
        <w:t>შენიშვნა</w:t>
      </w:r>
      <w:r w:rsidR="007E42AA" w:rsidRPr="007F6CA8">
        <w:rPr>
          <w:rFonts w:ascii="Sylfaen" w:hAnsi="Sylfaen"/>
          <w:sz w:val="16"/>
        </w:rPr>
        <w:t xml:space="preserve">: POP </w:t>
      </w:r>
      <w:r w:rsidRPr="007F6CA8">
        <w:rPr>
          <w:rFonts w:ascii="Sylfaen" w:hAnsi="Sylfaen"/>
          <w:sz w:val="16"/>
          <w:lang w:val="ka-GE"/>
        </w:rPr>
        <w:t>- მოსახლეობა</w:t>
      </w:r>
      <w:r w:rsidR="007E42AA" w:rsidRPr="007F6CA8">
        <w:rPr>
          <w:rFonts w:ascii="Sylfaen" w:hAnsi="Sylfaen"/>
          <w:sz w:val="16"/>
        </w:rPr>
        <w:t xml:space="preserve">, U </w:t>
      </w:r>
      <w:r w:rsidRPr="007F6CA8">
        <w:rPr>
          <w:rFonts w:ascii="Sylfaen" w:hAnsi="Sylfaen"/>
          <w:sz w:val="16"/>
          <w:lang w:val="ka-GE"/>
        </w:rPr>
        <w:t>- უმუშევარი</w:t>
      </w:r>
      <w:r w:rsidR="007E42AA" w:rsidRPr="007F6CA8">
        <w:rPr>
          <w:rFonts w:ascii="Sylfaen" w:hAnsi="Sylfaen"/>
          <w:sz w:val="16"/>
        </w:rPr>
        <w:t xml:space="preserve">, IA </w:t>
      </w:r>
      <w:r w:rsidRPr="007F6CA8">
        <w:rPr>
          <w:rFonts w:ascii="Sylfaen" w:hAnsi="Sylfaen"/>
          <w:sz w:val="16"/>
          <w:lang w:val="ka-GE"/>
        </w:rPr>
        <w:t>- არააქტიური</w:t>
      </w:r>
      <w:r w:rsidR="007E42AA" w:rsidRPr="007F6CA8">
        <w:rPr>
          <w:rFonts w:ascii="Sylfaen" w:hAnsi="Sylfaen"/>
          <w:sz w:val="16"/>
        </w:rPr>
        <w:t>.</w:t>
      </w:r>
      <w:r w:rsidRPr="007F6CA8">
        <w:rPr>
          <w:rFonts w:ascii="Sylfaen" w:hAnsi="Sylfaen"/>
          <w:sz w:val="16"/>
          <w:lang w:val="ka-GE"/>
        </w:rPr>
        <w:t xml:space="preserve"> მოსახლეობა განიმარტება, როგორც უმუშევრების, დასაქმებულებისა და არააქტიურების ჯამი</w:t>
      </w:r>
      <w:r w:rsidR="007E42AA" w:rsidRPr="007F6CA8">
        <w:rPr>
          <w:rFonts w:ascii="Sylfaen" w:hAnsi="Sylfaen"/>
          <w:sz w:val="16"/>
        </w:rPr>
        <w:t xml:space="preserve"> (POP=U+E+IA),</w:t>
      </w:r>
      <w:r w:rsidRPr="007F6CA8">
        <w:rPr>
          <w:rFonts w:ascii="Sylfaen" w:hAnsi="Sylfaen"/>
          <w:sz w:val="16"/>
          <w:lang w:val="ka-GE"/>
        </w:rPr>
        <w:t xml:space="preserve"> ხოლო სამუშაო ძალა განიმარტებამ როგორც უმუშევრებს დამატებული დასაქმებულები</w:t>
      </w:r>
      <w:r w:rsidR="007E42AA" w:rsidRPr="007F6CA8">
        <w:rPr>
          <w:rFonts w:ascii="Sylfaen" w:hAnsi="Sylfaen"/>
          <w:sz w:val="16"/>
        </w:rPr>
        <w:t xml:space="preserve"> (</w:t>
      </w:r>
      <w:r w:rsidR="00A15288" w:rsidRPr="007F6CA8">
        <w:rPr>
          <w:rFonts w:ascii="Sylfaen" w:hAnsi="Sylfaen"/>
          <w:sz w:val="16"/>
        </w:rPr>
        <w:t>LF=U+E</w:t>
      </w:r>
      <w:r w:rsidR="007E42AA" w:rsidRPr="007F6CA8">
        <w:rPr>
          <w:rFonts w:ascii="Sylfaen" w:hAnsi="Sylfaen"/>
          <w:sz w:val="16"/>
        </w:rPr>
        <w:t xml:space="preserve">). </w:t>
      </w:r>
    </w:p>
    <w:p w14:paraId="06D1B3F2" w14:textId="229B39BA" w:rsidR="00643ED8" w:rsidRDefault="00BA5534"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ქვემოთ განხილულია უნარების შეუსაბამობის მთელი რიგი ინდიკატორები, არსებული მონაცემების გამოყენებით და ქვეყანაში არსებული კონტექსტის ფარგლებში ინტერპრეტაციით. </w:t>
      </w:r>
    </w:p>
    <w:p w14:paraId="3802641A" w14:textId="77777777" w:rsidR="007F6CA8" w:rsidRPr="007F6CA8" w:rsidRDefault="007F6CA8" w:rsidP="00731B1D">
      <w:pPr>
        <w:spacing w:beforeLines="60" w:before="144" w:afterLines="60" w:after="144" w:line="276" w:lineRule="auto"/>
        <w:ind w:firstLine="709"/>
        <w:jc w:val="both"/>
        <w:rPr>
          <w:rFonts w:ascii="Sylfaen" w:hAnsi="Sylfaen"/>
          <w:sz w:val="22"/>
          <w:szCs w:val="22"/>
          <w:lang w:val="ka-GE"/>
        </w:rPr>
      </w:pPr>
    </w:p>
    <w:p w14:paraId="07E4A01B" w14:textId="230A5D7F" w:rsidR="00643ED8" w:rsidRPr="007F6CA8" w:rsidRDefault="008225AF" w:rsidP="00731B1D">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spacing w:beforeLines="60" w:before="144" w:afterLines="60" w:after="144" w:line="276" w:lineRule="auto"/>
        <w:rPr>
          <w:rFonts w:ascii="Sylfaen" w:hAnsi="Sylfaen"/>
          <w:b/>
          <w:sz w:val="22"/>
          <w:lang w:val="en-US"/>
        </w:rPr>
      </w:pPr>
      <w:r w:rsidRPr="007F6CA8">
        <w:rPr>
          <w:rFonts w:ascii="Sylfaen" w:hAnsi="Sylfaen"/>
          <w:b/>
          <w:sz w:val="22"/>
          <w:lang w:val="en-US"/>
        </w:rPr>
        <w:t>1</w:t>
      </w:r>
      <w:r w:rsidR="00BA5534" w:rsidRPr="007F6CA8">
        <w:rPr>
          <w:rFonts w:ascii="Sylfaen" w:hAnsi="Sylfaen"/>
          <w:b/>
          <w:sz w:val="22"/>
          <w:lang w:val="en-US"/>
        </w:rPr>
        <w:t xml:space="preserve">. </w:t>
      </w:r>
      <w:r w:rsidR="00BA5534" w:rsidRPr="007F6CA8">
        <w:rPr>
          <w:rFonts w:ascii="Sylfaen" w:hAnsi="Sylfaen"/>
          <w:b/>
          <w:sz w:val="22"/>
          <w:lang w:val="ka-GE"/>
        </w:rPr>
        <w:t xml:space="preserve">უნარების შეუსაბამობის </w:t>
      </w:r>
      <w:r w:rsidR="00731B1D" w:rsidRPr="007F6CA8">
        <w:rPr>
          <w:rFonts w:ascii="Sylfaen" w:hAnsi="Sylfaen"/>
          <w:b/>
          <w:sz w:val="22"/>
          <w:lang w:val="ka-GE"/>
        </w:rPr>
        <w:t>ინდი</w:t>
      </w:r>
      <w:r w:rsidR="00BA5534" w:rsidRPr="007F6CA8">
        <w:rPr>
          <w:rFonts w:ascii="Sylfaen" w:hAnsi="Sylfaen"/>
          <w:b/>
          <w:sz w:val="22"/>
          <w:lang w:val="ka-GE"/>
        </w:rPr>
        <w:t>კ</w:t>
      </w:r>
      <w:r w:rsidR="00731B1D" w:rsidRPr="007F6CA8">
        <w:rPr>
          <w:rFonts w:ascii="Sylfaen" w:hAnsi="Sylfaen"/>
          <w:b/>
          <w:sz w:val="22"/>
          <w:lang w:val="ka-GE"/>
        </w:rPr>
        <w:t>ა</w:t>
      </w:r>
      <w:r w:rsidR="00BA5534" w:rsidRPr="007F6CA8">
        <w:rPr>
          <w:rFonts w:ascii="Sylfaen" w:hAnsi="Sylfaen"/>
          <w:b/>
          <w:sz w:val="22"/>
          <w:lang w:val="ka-GE"/>
        </w:rPr>
        <w:t>ტორები: უმუშევრობის დონე და უმუშევრების / დასაქმებულების მაჩვენებლები</w:t>
      </w:r>
    </w:p>
    <w:p w14:paraId="479EF6E9" w14:textId="04071941" w:rsidR="00643ED8" w:rsidRPr="007F6CA8" w:rsidRDefault="00BA5534" w:rsidP="00731B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უმუშევრობის დონე გამოითვლება </w:t>
      </w:r>
      <w:r w:rsidR="00D9306A" w:rsidRPr="007F6CA8">
        <w:rPr>
          <w:rFonts w:ascii="Sylfaen" w:hAnsi="Sylfaen"/>
          <w:sz w:val="22"/>
          <w:szCs w:val="22"/>
          <w:lang w:val="ka-GE"/>
        </w:rPr>
        <w:t xml:space="preserve">უმუშევარი ადამიანების მაჩვენებლის შეფარდებით შრომით ბაზარზე აქტიურ </w:t>
      </w:r>
      <w:r w:rsidR="008F6DD3" w:rsidRPr="007F6CA8">
        <w:rPr>
          <w:rFonts w:ascii="Sylfaen" w:hAnsi="Sylfaen"/>
          <w:sz w:val="22"/>
          <w:szCs w:val="22"/>
          <w:lang w:val="ka-GE"/>
        </w:rPr>
        <w:t>ადამიანების რაოდენობასთან</w:t>
      </w:r>
      <w:r w:rsidR="00D9306A" w:rsidRPr="007F6CA8">
        <w:rPr>
          <w:rFonts w:ascii="Sylfaen" w:hAnsi="Sylfaen"/>
          <w:sz w:val="22"/>
          <w:szCs w:val="22"/>
          <w:lang w:val="ka-GE"/>
        </w:rPr>
        <w:t xml:space="preserve">, ანუ, წარმოადგენს დასაქმებულებისა და უმუშევრობის ჯამს. უფრო მაღალი მაჩვენებელი მიუთითებს მიწოდებასა და მოთხოვნას შორის უფრო დიდ შეუსაბამობაზე. ამას უკავშირდება უმუშევრებისა და დასაქმებულების შეფარდება, რაც უმუშევრობის მასშტაბის ასახვის კარგი გზაა. 0.1 შეფარდება ნიშნავს, რომ ყოველ უმუშევარ ადამიანზე 10 დასაქმებული მოდის, ხოლო 1 ნიშნავს ერთი-ერთზე შეფარდებას. </w:t>
      </w:r>
    </w:p>
    <w:p w14:paraId="570A3B15" w14:textId="23E1EBB8" w:rsidR="006B0C8A" w:rsidRPr="007F6CA8" w:rsidRDefault="00D9306A"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როგორც წინა თავებში აღინიშნა, ზოგადად უმუშევრობის დონე </w:t>
      </w:r>
      <w:r w:rsidR="00A750A3" w:rsidRPr="007F6CA8">
        <w:rPr>
          <w:rFonts w:ascii="Sylfaen" w:hAnsi="Sylfaen"/>
          <w:sz w:val="22"/>
          <w:szCs w:val="22"/>
          <w:lang w:val="ka-GE"/>
        </w:rPr>
        <w:t>საქარ</w:t>
      </w:r>
      <w:r w:rsidRPr="007F6CA8">
        <w:rPr>
          <w:rFonts w:ascii="Sylfaen" w:hAnsi="Sylfaen"/>
          <w:sz w:val="22"/>
          <w:szCs w:val="22"/>
          <w:lang w:val="ka-GE"/>
        </w:rPr>
        <w:t>თ</w:t>
      </w:r>
      <w:r w:rsidR="00A750A3" w:rsidRPr="007F6CA8">
        <w:rPr>
          <w:rFonts w:ascii="Sylfaen" w:hAnsi="Sylfaen"/>
          <w:sz w:val="22"/>
          <w:szCs w:val="22"/>
          <w:lang w:val="ka-GE"/>
        </w:rPr>
        <w:t>ვ</w:t>
      </w:r>
      <w:r w:rsidRPr="007F6CA8">
        <w:rPr>
          <w:rFonts w:ascii="Sylfaen" w:hAnsi="Sylfaen"/>
          <w:sz w:val="22"/>
          <w:szCs w:val="22"/>
          <w:lang w:val="ka-GE"/>
        </w:rPr>
        <w:t xml:space="preserve">ელოში 2009 წლიდან კლებულობს. ეს შეესაბამება სურათში 2 აღწერილ ზოგად ვითარებას, სადაც უმუშევრობის მაჩვენებლები ასაკობრივი ჯგუფების მიხედვითაა დაყოფილი. ისეთი დამატებითი განზომილებების გამოყენებით, როგორიცაა ასაკორივი ჯგუფები, განათლების დონე თუ სქესი, იძლევა საშუალებას უფრო კარგად იქნას გააზრებული უმუშევრობის განსხვავებული ზეგავლენა ამ ჯგუფებზე. </w:t>
      </w:r>
    </w:p>
    <w:p w14:paraId="60F8C076" w14:textId="76B1DC36" w:rsidR="00D9306A" w:rsidRPr="007F6CA8" w:rsidRDefault="00D9306A"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საქართველოში მაღალია უმუშევრობის მაჩვენებელი ახალგაზრდებს შორის, ანუ, 15-29 წლის ადამიანებს შორის. ეს ასაკობრფი ჯგუფი, როგორც ჩანს, განათლებიდან </w:t>
      </w:r>
      <w:r w:rsidR="00A750A3" w:rsidRPr="007F6CA8">
        <w:rPr>
          <w:rFonts w:ascii="Sylfaen" w:hAnsi="Sylfaen"/>
          <w:sz w:val="22"/>
          <w:szCs w:val="22"/>
          <w:lang w:val="ka-GE"/>
        </w:rPr>
        <w:t>შ</w:t>
      </w:r>
      <w:r w:rsidRPr="007F6CA8">
        <w:rPr>
          <w:rFonts w:ascii="Sylfaen" w:hAnsi="Sylfaen"/>
          <w:sz w:val="22"/>
          <w:szCs w:val="22"/>
          <w:lang w:val="ka-GE"/>
        </w:rPr>
        <w:t xml:space="preserve">რომით ბაზარზე გადასვლის რთულ ეტაპს გადის. </w:t>
      </w:r>
      <w:r w:rsidR="00A750A3" w:rsidRPr="007F6CA8">
        <w:rPr>
          <w:rFonts w:ascii="Sylfaen" w:hAnsi="Sylfaen"/>
          <w:sz w:val="22"/>
          <w:szCs w:val="22"/>
          <w:lang w:val="ka-GE"/>
        </w:rPr>
        <w:t>უმუშევ</w:t>
      </w:r>
      <w:r w:rsidRPr="007F6CA8">
        <w:rPr>
          <w:rFonts w:ascii="Sylfaen" w:hAnsi="Sylfaen"/>
          <w:sz w:val="22"/>
          <w:szCs w:val="22"/>
          <w:lang w:val="ka-GE"/>
        </w:rPr>
        <w:t xml:space="preserve">რობის გამოთვლისას გათვალისწინებულია მხოლოდ მოსახლეობის აქტიური, ანუ, შრომით ბაზარზე მყოფი რაოდენობა. ამას ორგვარი ზეგავლენა აქვს უფრო ახალგაზრდა ასაკობრივ ჯგუფზე: ერთის მხრივ, უფრო მცირეა ბაზა, ანუ აქტიური მოსახლეობა, ვინაიდან ბევრი ჯერ კიდევ განათლების პროცესშია და ამის გამო არ ერთვებიან შრომით ბაზარზე, ხოლო მეორეს მხრივ, გადასვლის პროცესი სწავლის დამთავრებიდან პირველ სამუშაო ადგილამდე შესაძლოა რთული იყოს, თუმცა, უნარების სეუსაბამობის კუთხით კარგი იქნება გამოკვლეულ იქნას კარგი შეთავსება მიღებულ კვალიფიკაციასა და შესავსებ პროფესიას შორის. </w:t>
      </w:r>
    </w:p>
    <w:p w14:paraId="0230B83D" w14:textId="192CF941" w:rsidR="00D9306A" w:rsidRPr="007F6CA8" w:rsidRDefault="00D9306A"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2011 წელთან შედარებით, 2016 წელს დასაქმების მაჩვენებელი შემცირდა ყველა ასაკობრივ ჯგუფში, განსაკუთრებით კი (თითქმის 25%) 25-29 წლის ახალგაზრდებში. </w:t>
      </w:r>
      <w:r w:rsidR="00B14475" w:rsidRPr="007F6CA8">
        <w:rPr>
          <w:rFonts w:ascii="Sylfaen" w:hAnsi="Sylfaen"/>
          <w:sz w:val="22"/>
          <w:szCs w:val="22"/>
          <w:lang w:val="ka-GE"/>
        </w:rPr>
        <w:t xml:space="preserve">ახალგაზრდული ჯგუფის განსაკუთრებით ძლიერი </w:t>
      </w:r>
      <w:r w:rsidR="00EB1C93" w:rsidRPr="007F6CA8">
        <w:rPr>
          <w:rFonts w:ascii="Sylfaen" w:hAnsi="Sylfaen"/>
          <w:sz w:val="22"/>
          <w:szCs w:val="22"/>
          <w:lang w:val="ka-GE"/>
        </w:rPr>
        <w:t xml:space="preserve">მერყეობა შესაძლოა სტატისტიკურ არტეფაქტად იქნას მიჩნეული, რაც გამოწვეულია შრომითი ძალის კვლევაში ამ ჯგუფის რესპონდენტების არასაკმარისად წარმოდგენიდან. ზოგადად, შრომით ბაზარზე მონაწილეობის მაჩვენებელი ზოგად მაჩვენებლებთან შედარებით უფრო დაბალია ახალგაზრდებს შორის. </w:t>
      </w:r>
    </w:p>
    <w:p w14:paraId="74E4123D" w14:textId="64E7BD27" w:rsidR="00E167DE" w:rsidRPr="007F6CA8" w:rsidRDefault="00EB1C93" w:rsidP="00731B1D">
      <w:pPr>
        <w:pStyle w:val="Caption"/>
        <w:keepNext/>
        <w:spacing w:beforeLines="60" w:before="144" w:afterLines="60" w:after="144" w:line="276" w:lineRule="auto"/>
        <w:rPr>
          <w:rFonts w:ascii="Sylfaen" w:hAnsi="Sylfaen"/>
          <w:b/>
          <w:i w:val="0"/>
          <w:color w:val="auto"/>
          <w:sz w:val="22"/>
          <w:szCs w:val="22"/>
          <w:lang w:val="en-GB"/>
        </w:rPr>
      </w:pPr>
      <w:bookmarkStart w:id="16" w:name="_Toc497904293"/>
      <w:r w:rsidRPr="007F6CA8">
        <w:rPr>
          <w:rFonts w:ascii="Sylfaen" w:hAnsi="Sylfaen"/>
          <w:b/>
          <w:i w:val="0"/>
          <w:color w:val="auto"/>
          <w:sz w:val="22"/>
          <w:szCs w:val="22"/>
          <w:lang w:val="ka-GE"/>
        </w:rPr>
        <w:lastRenderedPageBreak/>
        <w:t>სურათი</w:t>
      </w:r>
      <w:r w:rsidR="00E167DE" w:rsidRPr="007F6CA8">
        <w:rPr>
          <w:rFonts w:ascii="Sylfaen" w:hAnsi="Sylfaen"/>
          <w:b/>
          <w:i w:val="0"/>
          <w:color w:val="auto"/>
          <w:sz w:val="22"/>
          <w:szCs w:val="22"/>
          <w:lang w:val="en-GB"/>
        </w:rPr>
        <w:t xml:space="preserve"> </w:t>
      </w:r>
      <w:r w:rsidR="00E167DE" w:rsidRPr="007F6CA8">
        <w:rPr>
          <w:rFonts w:ascii="Sylfaen" w:hAnsi="Sylfaen"/>
          <w:lang w:val="en-GB"/>
        </w:rPr>
        <w:fldChar w:fldCharType="begin"/>
      </w:r>
      <w:r w:rsidR="00E167DE" w:rsidRPr="007F6CA8">
        <w:rPr>
          <w:rFonts w:ascii="Sylfaen" w:hAnsi="Sylfaen"/>
          <w:b/>
          <w:i w:val="0"/>
          <w:color w:val="auto"/>
          <w:sz w:val="22"/>
          <w:szCs w:val="22"/>
          <w:lang w:val="en-GB"/>
        </w:rPr>
        <w:instrText xml:space="preserve"> SEQ Figure \* ARABIC </w:instrText>
      </w:r>
      <w:r w:rsidR="00E167DE" w:rsidRPr="007F6CA8">
        <w:rPr>
          <w:rFonts w:ascii="Sylfaen" w:hAnsi="Sylfaen"/>
          <w:lang w:val="en-GB"/>
        </w:rPr>
        <w:fldChar w:fldCharType="separate"/>
      </w:r>
      <w:r w:rsidR="003120D1" w:rsidRPr="007F6CA8">
        <w:rPr>
          <w:rFonts w:ascii="Sylfaen" w:hAnsi="Sylfaen"/>
          <w:b/>
          <w:i w:val="0"/>
          <w:noProof/>
          <w:color w:val="auto"/>
          <w:sz w:val="22"/>
          <w:szCs w:val="22"/>
          <w:lang w:val="en-GB"/>
        </w:rPr>
        <w:t>2</w:t>
      </w:r>
      <w:r w:rsidR="00E167DE" w:rsidRPr="007F6CA8">
        <w:rPr>
          <w:rFonts w:ascii="Sylfaen" w:hAnsi="Sylfaen"/>
          <w:lang w:val="en-GB"/>
        </w:rPr>
        <w:fldChar w:fldCharType="end"/>
      </w:r>
      <w:r w:rsidR="00E167DE" w:rsidRPr="007F6CA8">
        <w:rPr>
          <w:rFonts w:ascii="Sylfaen" w:hAnsi="Sylfaen"/>
          <w:b/>
          <w:i w:val="0"/>
          <w:color w:val="auto"/>
          <w:sz w:val="22"/>
          <w:szCs w:val="22"/>
          <w:lang w:val="en-GB"/>
        </w:rPr>
        <w:tab/>
      </w:r>
      <w:r w:rsidRPr="007F6CA8">
        <w:rPr>
          <w:rFonts w:ascii="Sylfaen" w:hAnsi="Sylfaen"/>
          <w:b/>
          <w:i w:val="0"/>
          <w:color w:val="auto"/>
          <w:sz w:val="22"/>
          <w:szCs w:val="22"/>
          <w:lang w:val="ka-GE"/>
        </w:rPr>
        <w:t>საქართველო: უმუშევრობის მაჩვენებლები ასაკობრივი ჯგუფების მიხედვით</w:t>
      </w:r>
      <w:r w:rsidR="00E167DE" w:rsidRPr="007F6CA8">
        <w:rPr>
          <w:rFonts w:ascii="Sylfaen" w:hAnsi="Sylfaen"/>
          <w:b/>
          <w:i w:val="0"/>
          <w:color w:val="auto"/>
          <w:sz w:val="22"/>
          <w:szCs w:val="22"/>
          <w:lang w:val="en-GB"/>
        </w:rPr>
        <w:t>, 2011-2016</w:t>
      </w:r>
      <w:bookmarkEnd w:id="16"/>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346"/>
      </w:tblGrid>
      <w:tr w:rsidR="00E167DE" w:rsidRPr="007F6CA8" w14:paraId="4F6753B9"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6C9C9E07" w14:textId="77777777" w:rsidR="00E167DE" w:rsidRPr="007F6CA8" w:rsidRDefault="00E167DE"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49FFE563" wp14:editId="4955F291">
                  <wp:extent cx="5610225" cy="3286125"/>
                  <wp:effectExtent l="0" t="0" r="3175" b="3175"/>
                  <wp:docPr id="99" name="Diagramm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10E06C98" w14:textId="0954F150" w:rsidR="00E02592" w:rsidRPr="007F6CA8" w:rsidRDefault="006D434A" w:rsidP="00731B1D">
      <w:pPr>
        <w:spacing w:beforeLines="60" w:before="144" w:afterLines="60" w:after="144" w:line="276" w:lineRule="auto"/>
        <w:rPr>
          <w:rFonts w:ascii="Sylfaen" w:hAnsi="Sylfaen"/>
          <w:sz w:val="18"/>
        </w:rPr>
      </w:pPr>
      <w:r w:rsidRPr="007F6CA8">
        <w:rPr>
          <w:rFonts w:ascii="Sylfaen" w:hAnsi="Sylfaen"/>
          <w:sz w:val="18"/>
          <w:lang w:val="ka-GE"/>
        </w:rPr>
        <w:t>წყარო</w:t>
      </w:r>
      <w:r w:rsidR="005D1063" w:rsidRPr="007F6CA8">
        <w:rPr>
          <w:rFonts w:ascii="Sylfaen" w:hAnsi="Sylfaen"/>
          <w:sz w:val="18"/>
          <w:lang w:val="ka-GE"/>
        </w:rPr>
        <w:t>:</w:t>
      </w:r>
      <w:r w:rsidRPr="007F6CA8">
        <w:rPr>
          <w:rFonts w:ascii="Sylfaen" w:hAnsi="Sylfaen"/>
          <w:sz w:val="18"/>
          <w:lang w:val="ka-GE"/>
        </w:rPr>
        <w:t xml:space="preserve"> საკუთარი კალკულაციები, </w:t>
      </w:r>
      <w:r w:rsidRPr="007F6CA8">
        <w:rPr>
          <w:rFonts w:ascii="Sylfaen" w:hAnsi="Sylfaen"/>
          <w:sz w:val="18"/>
        </w:rPr>
        <w:t xml:space="preserve">2012-2016 </w:t>
      </w:r>
      <w:r w:rsidR="00226F10" w:rsidRPr="007F6CA8">
        <w:rPr>
          <w:rFonts w:ascii="Sylfaen" w:hAnsi="Sylfaen"/>
          <w:sz w:val="18"/>
        </w:rPr>
        <w:t xml:space="preserve">სამუშაო ძალის </w:t>
      </w:r>
      <w:r w:rsidRPr="007F6CA8">
        <w:rPr>
          <w:rFonts w:ascii="Sylfaen" w:hAnsi="Sylfaen"/>
          <w:sz w:val="18"/>
        </w:rPr>
        <w:t>კვლევ</w:t>
      </w:r>
      <w:r w:rsidRPr="007F6CA8">
        <w:rPr>
          <w:rFonts w:ascii="Sylfaen" w:hAnsi="Sylfaen"/>
          <w:sz w:val="18"/>
          <w:lang w:val="ka-GE"/>
        </w:rPr>
        <w:t>ის მიხედვით</w:t>
      </w:r>
      <w:r w:rsidR="00E02592" w:rsidRPr="007F6CA8">
        <w:rPr>
          <w:rFonts w:ascii="Sylfaen" w:hAnsi="Sylfaen"/>
          <w:sz w:val="18"/>
        </w:rPr>
        <w:t xml:space="preserve"> </w:t>
      </w:r>
    </w:p>
    <w:p w14:paraId="3B31CC0F" w14:textId="5A4CCA96" w:rsidR="00EB1C93" w:rsidRPr="007F6CA8" w:rsidRDefault="008C63CD"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უფრო დეტალური ინდიკატორები, რომელიც წარმოადგენს რესპონდენტების</w:t>
      </w:r>
      <w:r w:rsidRPr="007F6CA8">
        <w:rPr>
          <w:rStyle w:val="FootnoteReference"/>
          <w:rFonts w:ascii="Sylfaen" w:hAnsi="Sylfaen"/>
          <w:sz w:val="22"/>
          <w:szCs w:val="22"/>
        </w:rPr>
        <w:footnoteReference w:id="22"/>
      </w:r>
      <w:r w:rsidRPr="007F6CA8">
        <w:rPr>
          <w:rFonts w:ascii="Sylfaen" w:hAnsi="Sylfaen"/>
          <w:sz w:val="22"/>
          <w:szCs w:val="22"/>
          <w:lang w:val="ka-GE"/>
        </w:rPr>
        <w:t xml:space="preserve"> დასაქმების ცვლადის კომბინაციას ასაკთან და მიღებულ განათლებასთან (იხ. დანართი), ხანდახან არასწორ შედეგებს იძლევა კომბინირებული ცვლადების მცირე ზომიდან გამომდინარე.</w:t>
      </w:r>
      <w:r w:rsidRPr="007F6CA8">
        <w:rPr>
          <w:rStyle w:val="FootnoteReference"/>
          <w:rFonts w:ascii="Sylfaen" w:hAnsi="Sylfaen"/>
          <w:sz w:val="22"/>
          <w:szCs w:val="22"/>
        </w:rPr>
        <w:footnoteReference w:id="23"/>
      </w:r>
    </w:p>
    <w:p w14:paraId="5BCCF17A" w14:textId="77777777" w:rsidR="00FB4AEB" w:rsidRPr="007F6CA8" w:rsidRDefault="00FB4AEB"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უმუშევრებისა და დასაქმებულების შეფარდება ნაჩვენებია სურათებზე 3-6. ეს კალკულაციები ძირითადად დაკავშირებულია უმუშევრობის დონესთან, ვინაიდან განსხვავება მხოლდო საზომშია. სურათები 3-5 აჩვენებს ამ ინდიკატორის დაყოფას ახალგაზრდული ჯგუფისათვის </w:t>
      </w:r>
      <w:r w:rsidRPr="007F6CA8">
        <w:rPr>
          <w:rFonts w:ascii="Sylfaen" w:hAnsi="Sylfaen"/>
          <w:sz w:val="22"/>
          <w:szCs w:val="22"/>
        </w:rPr>
        <w:t xml:space="preserve">(15-19, 20-24, </w:t>
      </w:r>
      <w:r w:rsidRPr="007F6CA8">
        <w:rPr>
          <w:rFonts w:ascii="Sylfaen" w:hAnsi="Sylfaen"/>
          <w:sz w:val="22"/>
          <w:szCs w:val="22"/>
          <w:lang w:val="ka-GE"/>
        </w:rPr>
        <w:t>და</w:t>
      </w:r>
      <w:r w:rsidR="00E64622" w:rsidRPr="007F6CA8">
        <w:rPr>
          <w:rFonts w:ascii="Sylfaen" w:hAnsi="Sylfaen"/>
          <w:sz w:val="22"/>
          <w:szCs w:val="22"/>
        </w:rPr>
        <w:t xml:space="preserve"> 25-29</w:t>
      </w:r>
      <w:r w:rsidR="00EA1B79" w:rsidRPr="007F6CA8">
        <w:rPr>
          <w:rFonts w:ascii="Sylfaen" w:hAnsi="Sylfaen"/>
          <w:sz w:val="22"/>
          <w:szCs w:val="22"/>
        </w:rPr>
        <w:t xml:space="preserve">), </w:t>
      </w:r>
      <w:r w:rsidRPr="007F6CA8">
        <w:rPr>
          <w:rFonts w:ascii="Sylfaen" w:hAnsi="Sylfaen"/>
          <w:sz w:val="22"/>
          <w:szCs w:val="22"/>
          <w:lang w:val="ka-GE"/>
        </w:rPr>
        <w:t>ხოლო სურათი 6 გვთავაზობს იგივე დაყოფას მთელი მოსახლეობისათვის</w:t>
      </w:r>
      <w:r w:rsidR="00EA1B79" w:rsidRPr="007F6CA8">
        <w:rPr>
          <w:rFonts w:ascii="Sylfaen" w:hAnsi="Sylfaen"/>
          <w:sz w:val="22"/>
          <w:szCs w:val="22"/>
        </w:rPr>
        <w:t>.</w:t>
      </w:r>
    </w:p>
    <w:p w14:paraId="7ADA043B" w14:textId="1ABF0CBC" w:rsidR="00E64622" w:rsidRPr="007F6CA8" w:rsidRDefault="00EA1B79"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rPr>
        <w:t xml:space="preserve"> </w:t>
      </w:r>
      <w:r w:rsidR="001B701A" w:rsidRPr="007F6CA8">
        <w:rPr>
          <w:rFonts w:ascii="Sylfaen" w:hAnsi="Sylfaen"/>
          <w:sz w:val="22"/>
          <w:szCs w:val="22"/>
          <w:lang w:val="ka-GE"/>
        </w:rPr>
        <w:t xml:space="preserve">თუ მაგალითად ავიღებთ სურათს 3, დავინახავთ, რომ უმუშევრობისა და დასაქმების საშუალო შეფარდება 2011 წლისათვის არის 0.5; ეს მაჩვენებელი პიკს აღწევს 2013 წელს - 0.73, და შემდეგ 2016 წელს იკლებს 0.46-მდე. ამ ყველაზე ახალგაზრდა ასაკობრივ ჯგუფში </w:t>
      </w:r>
      <w:r w:rsidR="001B701A" w:rsidRPr="007F6CA8">
        <w:rPr>
          <w:rFonts w:ascii="Sylfaen" w:hAnsi="Sylfaen"/>
          <w:sz w:val="22"/>
          <w:szCs w:val="22"/>
          <w:lang w:val="ka-GE"/>
        </w:rPr>
        <w:lastRenderedPageBreak/>
        <w:t xml:space="preserve">განათლების დონეებად აღნიშნულია „არც ერთი“, „დაბალი“, და „საშუალო“, მაშინ როცა, უფრო მაღალი განათლების დონე უფრო დიდ ასაკში </w:t>
      </w:r>
      <w:r w:rsidR="009441EB" w:rsidRPr="007F6CA8">
        <w:rPr>
          <w:rFonts w:ascii="Sylfaen" w:hAnsi="Sylfaen"/>
          <w:sz w:val="22"/>
          <w:szCs w:val="22"/>
          <w:lang w:val="ka-GE"/>
        </w:rPr>
        <w:t>შეინიშნებ</w:t>
      </w:r>
      <w:r w:rsidR="001B701A" w:rsidRPr="007F6CA8">
        <w:rPr>
          <w:rFonts w:ascii="Sylfaen" w:hAnsi="Sylfaen"/>
          <w:sz w:val="22"/>
          <w:szCs w:val="22"/>
          <w:lang w:val="ka-GE"/>
        </w:rPr>
        <w:t>ა. ძირითადი ჯგუფი, რომელიც უმუშევრებისა და დასაქმებულების შეფარდებას უფრო მაღლა წევს, არის საშუალო განათლების მქონე ჯგუფი. ეს გასაგებიცაა, თუ გავითვალისწინებთ, რომ ამ ჯგუფის წევრთა დიდი ნაწილი ჯერ კიდევ საგანმანათლებლო სისტემაშია ჩართული და ამგვარად, სტატისტიკის ნაწილად არ მიიჩნევიან. ამ სტატისტიკაში შემოვლენ, როცა სამუშაოს ძიებას დაიწყებენ (უმუშევრები), ან დასაქმდებიან.</w:t>
      </w:r>
    </w:p>
    <w:p w14:paraId="637EC4FB" w14:textId="270A0DA9" w:rsidR="001B701A" w:rsidRPr="007F6CA8" w:rsidRDefault="001B701A"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სურათი 4 აჩვენებს, რომ 20-14 წლის ახალგაზრდებს შორის განათლების დონის მიხედვით განსხვავება უკვე იკლებს, რაც, ნაწილობრივ, </w:t>
      </w:r>
      <w:r w:rsidR="0046411D" w:rsidRPr="007F6CA8">
        <w:rPr>
          <w:rFonts w:ascii="Sylfaen" w:hAnsi="Sylfaen"/>
          <w:sz w:val="22"/>
          <w:szCs w:val="22"/>
          <w:lang w:val="ka-GE"/>
        </w:rPr>
        <w:t xml:space="preserve">სხვადასხვა განათლების დონის მქონე პირების უფრო დიდი რაოდენობიდან </w:t>
      </w:r>
      <w:r w:rsidR="004D3160" w:rsidRPr="007F6CA8">
        <w:rPr>
          <w:rFonts w:ascii="Sylfaen" w:hAnsi="Sylfaen"/>
          <w:sz w:val="22"/>
          <w:szCs w:val="22"/>
          <w:lang w:val="ka-GE"/>
        </w:rPr>
        <w:t>გამომდი</w:t>
      </w:r>
      <w:r w:rsidR="0046411D" w:rsidRPr="007F6CA8">
        <w:rPr>
          <w:rFonts w:ascii="Sylfaen" w:hAnsi="Sylfaen"/>
          <w:sz w:val="22"/>
          <w:szCs w:val="22"/>
          <w:lang w:val="ka-GE"/>
        </w:rPr>
        <w:t>ნ</w:t>
      </w:r>
      <w:r w:rsidR="004D3160" w:rsidRPr="007F6CA8">
        <w:rPr>
          <w:rFonts w:ascii="Sylfaen" w:hAnsi="Sylfaen"/>
          <w:sz w:val="22"/>
          <w:szCs w:val="22"/>
          <w:lang w:val="ka-GE"/>
        </w:rPr>
        <w:t>ა</w:t>
      </w:r>
      <w:r w:rsidR="0046411D" w:rsidRPr="007F6CA8">
        <w:rPr>
          <w:rFonts w:ascii="Sylfaen" w:hAnsi="Sylfaen"/>
          <w:sz w:val="22"/>
          <w:szCs w:val="22"/>
          <w:lang w:val="ka-GE"/>
        </w:rPr>
        <w:t>რეობს. ერთიანობაში, სურათი 4 ასახავს დროთა განმავლობაში უმუშევრობა/დასაქმების საკმაოდ სტაბილურ შეფარდებას, გარდა „არც ერთი“ კატეგორიისა. განათლების არმქონე პირების ჩართვა ამ კალკულაციაში შესაძლოა არაკონსისტენტურობის გამომწვევი გახდეს</w:t>
      </w:r>
      <w:r w:rsidR="00041FBB" w:rsidRPr="007F6CA8">
        <w:rPr>
          <w:rFonts w:ascii="Sylfaen" w:hAnsi="Sylfaen"/>
          <w:sz w:val="22"/>
          <w:szCs w:val="22"/>
          <w:lang w:val="ka-GE"/>
        </w:rPr>
        <w:t xml:space="preserve"> გარკვეული პერიოდის განმავლობაში, როგორც, მაგალითად, 30-39 წლის ჯგუფში საერთოდ არაა ჩართული განათლების არმქონე რესპონდენტები; იგივე ეხება 50-64 წლის ჯგუფსაც (2015 წლის გამოკლეით). შემდგომი ინდიკატორების კალკულაციის დროს, კვალიფიკაციებიდან ჩვეულებრივ, გამოირიცხება „არც ერთი“ განათლების დონის მქონე პირები. </w:t>
      </w:r>
    </w:p>
    <w:p w14:paraId="2E776440" w14:textId="6B930D37" w:rsidR="00646738" w:rsidRPr="007F6CA8" w:rsidRDefault="002D4846"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განათლების არმქონე მუშახელის მიუხედავად, შეგვიძლია დავასკვნათ, რომ რაც უფრო მაღალია განათლების დონე, მით უფრო მაღალია უმუშევრობის ინდიკატორი. ეს ამყარებს ჩვენს მიგნებას, რომ დაბალი უნარების მქონე </w:t>
      </w:r>
      <w:r w:rsidR="000033DB" w:rsidRPr="007F6CA8">
        <w:rPr>
          <w:rFonts w:ascii="Sylfaen" w:hAnsi="Sylfaen"/>
          <w:sz w:val="22"/>
          <w:szCs w:val="22"/>
          <w:lang w:val="ka-GE"/>
        </w:rPr>
        <w:t xml:space="preserve">მუშახელი ახლა უფრო მოთხოვნადია ქართულ შრომით ბაზარზე. თუმცა, არის გარკვეული მოლოდინები: მაგალითად, 20-24 და 25-29 ასაკობრივ ჯგუფში ეს განსხვავება არცთუ ისე მკაფიოა და ხანდახან შეფარდება საშუალო განათლების მქონე მუშახელის სასარგებლოდ იხრება. ეს შეესაბამება ზემოთ აღწერილ მიგნებებს, რომ პროფესიული განათლების მქონე პირები ცოტა უფრო კარგად მოქმედებენ ბაზარზე, ვიდრე უნივერსიტეტის კურსდამთავრებულები: </w:t>
      </w:r>
      <w:r w:rsidR="000033DB" w:rsidRPr="007F6CA8">
        <w:rPr>
          <w:rFonts w:ascii="Sylfaen" w:hAnsi="Sylfaen"/>
          <w:sz w:val="22"/>
          <w:szCs w:val="22"/>
        </w:rPr>
        <w:t>ETF</w:t>
      </w:r>
      <w:r w:rsidR="000033DB" w:rsidRPr="007F6CA8">
        <w:rPr>
          <w:rFonts w:ascii="Sylfaen" w:hAnsi="Sylfaen"/>
          <w:sz w:val="22"/>
          <w:szCs w:val="22"/>
          <w:lang w:val="ka-GE"/>
        </w:rPr>
        <w:t xml:space="preserve">-ის კვლევების მიხედვით, 2015 წელს უნივერსიტეტების კურსდამთავრებულთა უმუშევრობის დონე (14.4%) უფრო მაღალი იყო, ვიდრე პროფესიული სასწავლებლების (11%). ეს განსხვავება </w:t>
      </w:r>
      <w:r w:rsidR="005D1063" w:rsidRPr="007F6CA8">
        <w:rPr>
          <w:rFonts w:ascii="Sylfaen" w:hAnsi="Sylfaen"/>
          <w:sz w:val="22"/>
          <w:szCs w:val="22"/>
          <w:lang w:val="ka-GE"/>
        </w:rPr>
        <w:t xml:space="preserve">სხვადასხვა განთლების დონის მქონე ადამიანების შრომით ბაზარზე ინტეგრაციის კუთხით მცირდება რესპონდენტების ასაკის მატებასთან ერთად, მთელი საკვლევი პერიოდის განმავლობაში. მიზეზი ისაა, რომ ბოლო პერიოდში გაუმჯობესდა უმაღლესი განათლების მქონე ადამიანების დასაქმების შედეგები: იმ ასაკობრივ ჯგუფში, სადაც ყველაზე მეტი დასაქმებულია კონცენტრირებული (30-49 წელი), განათლების ფაქტორი უფრო მცირე როლს თამაშობს დასაქმების შესაძლებლობებზე: უმუშევრობა-დასაქმების შეფარდება ბოლო სამი წლის განმავლობაში 0.16 და 0.15 შორის მერყეობს ნებისმიერი ტიპის განათლების მქონე ადამიანებში. </w:t>
      </w:r>
    </w:p>
    <w:p w14:paraId="55216746" w14:textId="01C699F6" w:rsidR="00E167DE" w:rsidRPr="007F6CA8" w:rsidRDefault="005D1063"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r w:rsidRPr="007F6CA8">
        <w:rPr>
          <w:rFonts w:ascii="Sylfaen" w:hAnsi="Sylfaen"/>
          <w:b/>
          <w:i w:val="0"/>
          <w:color w:val="auto"/>
          <w:sz w:val="22"/>
          <w:szCs w:val="22"/>
          <w:lang w:val="ka-GE"/>
        </w:rPr>
        <w:lastRenderedPageBreak/>
        <w:t>სურათი</w:t>
      </w:r>
      <w:r w:rsidR="00E167DE" w:rsidRPr="007F6CA8">
        <w:rPr>
          <w:rFonts w:ascii="Sylfaen" w:hAnsi="Sylfaen"/>
          <w:b/>
          <w:i w:val="0"/>
          <w:color w:val="auto"/>
          <w:sz w:val="22"/>
          <w:szCs w:val="22"/>
          <w:lang w:val="en-GB"/>
        </w:rPr>
        <w:t xml:space="preserve"> </w:t>
      </w:r>
      <w:r w:rsidR="00E167DE" w:rsidRPr="007F6CA8">
        <w:rPr>
          <w:rFonts w:ascii="Sylfaen" w:hAnsi="Sylfaen"/>
          <w:lang w:val="en-GB"/>
        </w:rPr>
        <w:fldChar w:fldCharType="begin"/>
      </w:r>
      <w:r w:rsidR="00E167DE" w:rsidRPr="007F6CA8">
        <w:rPr>
          <w:rFonts w:ascii="Sylfaen" w:hAnsi="Sylfaen"/>
          <w:b/>
          <w:i w:val="0"/>
          <w:color w:val="auto"/>
          <w:sz w:val="22"/>
          <w:szCs w:val="22"/>
          <w:lang w:val="en-GB"/>
        </w:rPr>
        <w:instrText xml:space="preserve"> SEQ Figure \* ARABIC </w:instrText>
      </w:r>
      <w:r w:rsidR="00E167DE" w:rsidRPr="007F6CA8">
        <w:rPr>
          <w:rFonts w:ascii="Sylfaen" w:hAnsi="Sylfaen"/>
          <w:lang w:val="en-GB"/>
        </w:rPr>
        <w:fldChar w:fldCharType="separate"/>
      </w:r>
      <w:r w:rsidR="003120D1" w:rsidRPr="007F6CA8">
        <w:rPr>
          <w:rFonts w:ascii="Sylfaen" w:hAnsi="Sylfaen"/>
          <w:b/>
          <w:i w:val="0"/>
          <w:noProof/>
          <w:color w:val="auto"/>
          <w:sz w:val="22"/>
          <w:szCs w:val="22"/>
          <w:lang w:val="en-GB"/>
        </w:rPr>
        <w:t>3</w:t>
      </w:r>
      <w:r w:rsidR="00E167DE" w:rsidRPr="007F6CA8">
        <w:rPr>
          <w:rFonts w:ascii="Sylfaen" w:hAnsi="Sylfaen"/>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საქართველო</w:t>
      </w:r>
      <w:r w:rsidR="00E167DE" w:rsidRPr="007F6CA8">
        <w:rPr>
          <w:rFonts w:ascii="Sylfaen" w:hAnsi="Sylfaen"/>
          <w:b/>
          <w:i w:val="0"/>
          <w:color w:val="auto"/>
          <w:sz w:val="22"/>
          <w:szCs w:val="22"/>
          <w:lang w:val="en-GB"/>
        </w:rPr>
        <w:t>:</w:t>
      </w:r>
      <w:r w:rsidRPr="007F6CA8">
        <w:rPr>
          <w:rFonts w:ascii="Sylfaen" w:hAnsi="Sylfaen"/>
          <w:b/>
          <w:i w:val="0"/>
          <w:color w:val="auto"/>
          <w:sz w:val="22"/>
          <w:szCs w:val="22"/>
          <w:lang w:val="ka-GE"/>
        </w:rPr>
        <w:t xml:space="preserve"> უმუშევრობის-დასაქმების შეფარდება განთლების დონის მიხედვით</w:t>
      </w:r>
      <w:r w:rsidRPr="007F6CA8">
        <w:rPr>
          <w:rFonts w:ascii="Sylfaen" w:hAnsi="Sylfaen"/>
          <w:b/>
          <w:i w:val="0"/>
          <w:color w:val="auto"/>
          <w:sz w:val="22"/>
          <w:szCs w:val="22"/>
          <w:lang w:val="en-GB"/>
        </w:rPr>
        <w:t xml:space="preserve">, 2011-2016, </w:t>
      </w:r>
      <w:r w:rsidRPr="007F6CA8">
        <w:rPr>
          <w:rFonts w:ascii="Sylfaen" w:hAnsi="Sylfaen"/>
          <w:b/>
          <w:i w:val="0"/>
          <w:color w:val="auto"/>
          <w:sz w:val="22"/>
          <w:szCs w:val="22"/>
          <w:lang w:val="ka-GE"/>
        </w:rPr>
        <w:t>ასაკი</w:t>
      </w:r>
      <w:r w:rsidR="00E167DE" w:rsidRPr="007F6CA8">
        <w:rPr>
          <w:rFonts w:ascii="Sylfaen" w:hAnsi="Sylfaen"/>
          <w:b/>
          <w:i w:val="0"/>
          <w:color w:val="auto"/>
          <w:sz w:val="22"/>
          <w:szCs w:val="22"/>
          <w:lang w:val="en-GB"/>
        </w:rPr>
        <w:t xml:space="preserve"> 15-19</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346"/>
      </w:tblGrid>
      <w:tr w:rsidR="00E167DE" w:rsidRPr="007F6CA8" w14:paraId="467817EE" w14:textId="77777777" w:rsidTr="005D1063">
        <w:tc>
          <w:tcPr>
            <w:tcW w:w="9346" w:type="dxa"/>
            <w:tcBorders>
              <w:top w:val="single" w:sz="4" w:space="0" w:color="auto"/>
              <w:left w:val="single" w:sz="4" w:space="0" w:color="auto"/>
              <w:bottom w:val="single" w:sz="4" w:space="0" w:color="auto"/>
              <w:right w:val="single" w:sz="4" w:space="0" w:color="auto"/>
            </w:tcBorders>
            <w:hideMark/>
          </w:tcPr>
          <w:p w14:paraId="7D83DB11" w14:textId="77777777" w:rsidR="00E167DE" w:rsidRPr="007F6CA8" w:rsidRDefault="00E167DE"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6F390723" wp14:editId="29F17348">
                  <wp:extent cx="5581650" cy="3629025"/>
                  <wp:effectExtent l="0" t="0" r="0" b="3175"/>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0CB2C8D5" w14:textId="1A9B41C1" w:rsidR="00E02592" w:rsidRPr="007F6CA8" w:rsidRDefault="005D1063" w:rsidP="00731B1D">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 xml:space="preserve">ის მიხედვით </w:t>
      </w:r>
    </w:p>
    <w:p w14:paraId="581381EF" w14:textId="181A6907" w:rsidR="00E167DE" w:rsidRPr="007F6CA8" w:rsidRDefault="005D1063"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r w:rsidRPr="007F6CA8">
        <w:rPr>
          <w:rFonts w:ascii="Sylfaen" w:hAnsi="Sylfaen"/>
          <w:b/>
          <w:i w:val="0"/>
          <w:color w:val="auto"/>
          <w:sz w:val="22"/>
          <w:szCs w:val="22"/>
          <w:lang w:val="ka-GE"/>
        </w:rPr>
        <w:t>სურათი</w:t>
      </w:r>
      <w:r w:rsidR="00E167DE" w:rsidRPr="007F6CA8">
        <w:rPr>
          <w:rFonts w:ascii="Sylfaen" w:hAnsi="Sylfaen"/>
          <w:b/>
          <w:i w:val="0"/>
          <w:color w:val="auto"/>
          <w:sz w:val="22"/>
          <w:szCs w:val="22"/>
          <w:lang w:val="en-GB"/>
        </w:rPr>
        <w:t xml:space="preserve"> </w:t>
      </w:r>
      <w:r w:rsidR="00E167DE" w:rsidRPr="007F6CA8">
        <w:rPr>
          <w:rFonts w:ascii="Sylfaen" w:hAnsi="Sylfaen"/>
          <w:lang w:val="en-GB"/>
        </w:rPr>
        <w:fldChar w:fldCharType="begin"/>
      </w:r>
      <w:r w:rsidR="00E167DE" w:rsidRPr="007F6CA8">
        <w:rPr>
          <w:rFonts w:ascii="Sylfaen" w:hAnsi="Sylfaen"/>
          <w:b/>
          <w:i w:val="0"/>
          <w:color w:val="auto"/>
          <w:sz w:val="22"/>
          <w:szCs w:val="22"/>
          <w:lang w:val="en-GB"/>
        </w:rPr>
        <w:instrText xml:space="preserve"> SEQ Figure \* ARABIC </w:instrText>
      </w:r>
      <w:r w:rsidR="00E167DE" w:rsidRPr="007F6CA8">
        <w:rPr>
          <w:rFonts w:ascii="Sylfaen" w:hAnsi="Sylfaen"/>
          <w:lang w:val="en-GB"/>
        </w:rPr>
        <w:fldChar w:fldCharType="separate"/>
      </w:r>
      <w:r w:rsidR="003120D1" w:rsidRPr="007F6CA8">
        <w:rPr>
          <w:rFonts w:ascii="Sylfaen" w:hAnsi="Sylfaen"/>
          <w:b/>
          <w:i w:val="0"/>
          <w:noProof/>
          <w:color w:val="auto"/>
          <w:sz w:val="22"/>
          <w:szCs w:val="22"/>
          <w:lang w:val="en-GB"/>
        </w:rPr>
        <w:t>4</w:t>
      </w:r>
      <w:r w:rsidR="00E167DE" w:rsidRPr="007F6CA8">
        <w:rPr>
          <w:rFonts w:ascii="Sylfaen" w:hAnsi="Sylfaen"/>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საქართველო</w:t>
      </w:r>
      <w:r w:rsidRPr="007F6CA8">
        <w:rPr>
          <w:rFonts w:ascii="Sylfaen" w:hAnsi="Sylfaen"/>
          <w:b/>
          <w:i w:val="0"/>
          <w:color w:val="auto"/>
          <w:sz w:val="22"/>
          <w:szCs w:val="22"/>
          <w:lang w:val="en-GB"/>
        </w:rPr>
        <w:t>:</w:t>
      </w:r>
      <w:r w:rsidRPr="007F6CA8">
        <w:rPr>
          <w:rFonts w:ascii="Sylfaen" w:hAnsi="Sylfaen"/>
          <w:b/>
          <w:i w:val="0"/>
          <w:color w:val="auto"/>
          <w:sz w:val="22"/>
          <w:szCs w:val="22"/>
          <w:lang w:val="ka-GE"/>
        </w:rPr>
        <w:t xml:space="preserve"> უმუშევრობის-დასაქმების შეფარდება განთლების დონის მიხედვით</w:t>
      </w:r>
      <w:r w:rsidRPr="007F6CA8">
        <w:rPr>
          <w:rFonts w:ascii="Sylfaen" w:hAnsi="Sylfaen"/>
          <w:b/>
          <w:i w:val="0"/>
          <w:color w:val="auto"/>
          <w:sz w:val="22"/>
          <w:szCs w:val="22"/>
          <w:lang w:val="en-GB"/>
        </w:rPr>
        <w:t xml:space="preserve">, </w:t>
      </w:r>
      <w:r w:rsidRPr="007F6CA8">
        <w:rPr>
          <w:rFonts w:ascii="Sylfaen" w:hAnsi="Sylfaen"/>
          <w:b/>
          <w:i w:val="0"/>
          <w:color w:val="auto"/>
          <w:sz w:val="22"/>
          <w:szCs w:val="22"/>
          <w:lang w:val="ka-GE"/>
        </w:rPr>
        <w:t xml:space="preserve">2011-2016, ასაკი: </w:t>
      </w:r>
      <w:r w:rsidR="00E167DE" w:rsidRPr="007F6CA8">
        <w:rPr>
          <w:rFonts w:ascii="Sylfaen" w:hAnsi="Sylfaen"/>
          <w:b/>
          <w:i w:val="0"/>
          <w:color w:val="auto"/>
          <w:sz w:val="22"/>
          <w:szCs w:val="22"/>
          <w:lang w:val="en-GB"/>
        </w:rPr>
        <w:t>20-24</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346"/>
      </w:tblGrid>
      <w:tr w:rsidR="00E167DE" w:rsidRPr="007F6CA8" w14:paraId="026C4D1F" w14:textId="77777777" w:rsidTr="005D1063">
        <w:tc>
          <w:tcPr>
            <w:tcW w:w="9346" w:type="dxa"/>
            <w:tcBorders>
              <w:top w:val="single" w:sz="4" w:space="0" w:color="auto"/>
              <w:left w:val="single" w:sz="4" w:space="0" w:color="auto"/>
              <w:bottom w:val="single" w:sz="4" w:space="0" w:color="auto"/>
              <w:right w:val="single" w:sz="4" w:space="0" w:color="auto"/>
            </w:tcBorders>
            <w:hideMark/>
          </w:tcPr>
          <w:p w14:paraId="7F6C8D0E" w14:textId="77777777" w:rsidR="00E167DE" w:rsidRPr="007F6CA8" w:rsidRDefault="00E167DE"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4BBF9C16" wp14:editId="60144D8E">
                  <wp:extent cx="5581650" cy="3209925"/>
                  <wp:effectExtent l="0" t="0" r="0" b="3175"/>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53E30043" w14:textId="5136497A" w:rsidR="00E167DE" w:rsidRPr="007F6CA8" w:rsidRDefault="005D1063" w:rsidP="00731B1D">
      <w:pPr>
        <w:spacing w:beforeLines="60" w:before="144" w:afterLines="60" w:after="144" w:line="276" w:lineRule="auto"/>
        <w:rPr>
          <w:rFonts w:ascii="Sylfaen" w:hAnsi="Sylfaen"/>
          <w:sz w:val="22"/>
          <w:szCs w:val="22"/>
        </w:rPr>
      </w:pPr>
      <w:r w:rsidRPr="007F6CA8">
        <w:rPr>
          <w:rFonts w:ascii="Sylfaen" w:hAnsi="Sylfaen"/>
          <w:sz w:val="18"/>
          <w:lang w:val="ka-GE"/>
        </w:rPr>
        <w:lastRenderedPageBreak/>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p>
    <w:p w14:paraId="468DF3D7" w14:textId="7B3BB2A6" w:rsidR="00E167DE" w:rsidRPr="007F6CA8" w:rsidRDefault="005D1063"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r w:rsidRPr="007F6CA8">
        <w:rPr>
          <w:rFonts w:ascii="Sylfaen" w:hAnsi="Sylfaen"/>
          <w:b/>
          <w:i w:val="0"/>
          <w:color w:val="auto"/>
          <w:sz w:val="22"/>
          <w:szCs w:val="22"/>
          <w:lang w:val="ka-GE"/>
        </w:rPr>
        <w:t>სურათი</w:t>
      </w:r>
      <w:r w:rsidR="00E167DE" w:rsidRPr="007F6CA8">
        <w:rPr>
          <w:rFonts w:ascii="Sylfaen" w:hAnsi="Sylfaen"/>
          <w:b/>
          <w:i w:val="0"/>
          <w:color w:val="auto"/>
          <w:sz w:val="22"/>
          <w:szCs w:val="22"/>
          <w:lang w:val="en-GB"/>
        </w:rPr>
        <w:t xml:space="preserve"> </w:t>
      </w:r>
      <w:r w:rsidR="00E167DE" w:rsidRPr="007F6CA8">
        <w:rPr>
          <w:rFonts w:ascii="Sylfaen" w:hAnsi="Sylfaen"/>
          <w:lang w:val="en-GB"/>
        </w:rPr>
        <w:fldChar w:fldCharType="begin"/>
      </w:r>
      <w:r w:rsidR="00E167DE" w:rsidRPr="007F6CA8">
        <w:rPr>
          <w:rFonts w:ascii="Sylfaen" w:hAnsi="Sylfaen"/>
          <w:b/>
          <w:i w:val="0"/>
          <w:color w:val="auto"/>
          <w:sz w:val="22"/>
          <w:szCs w:val="22"/>
          <w:lang w:val="en-GB"/>
        </w:rPr>
        <w:instrText xml:space="preserve"> SEQ Figure \* ARABIC </w:instrText>
      </w:r>
      <w:r w:rsidR="00E167DE" w:rsidRPr="007F6CA8">
        <w:rPr>
          <w:rFonts w:ascii="Sylfaen" w:hAnsi="Sylfaen"/>
          <w:lang w:val="en-GB"/>
        </w:rPr>
        <w:fldChar w:fldCharType="separate"/>
      </w:r>
      <w:r w:rsidR="003120D1" w:rsidRPr="007F6CA8">
        <w:rPr>
          <w:rFonts w:ascii="Sylfaen" w:hAnsi="Sylfaen"/>
          <w:b/>
          <w:i w:val="0"/>
          <w:noProof/>
          <w:color w:val="auto"/>
          <w:sz w:val="22"/>
          <w:szCs w:val="22"/>
          <w:lang w:val="en-GB"/>
        </w:rPr>
        <w:t>5</w:t>
      </w:r>
      <w:r w:rsidR="00E167DE" w:rsidRPr="007F6CA8">
        <w:rPr>
          <w:rFonts w:ascii="Sylfaen" w:hAnsi="Sylfaen"/>
          <w:lang w:val="en-GB"/>
        </w:rPr>
        <w:fldChar w:fldCharType="end"/>
      </w:r>
      <w:r w:rsidR="00E167DE" w:rsidRPr="007F6CA8">
        <w:rPr>
          <w:rFonts w:ascii="Sylfaen" w:hAnsi="Sylfaen"/>
          <w:b/>
          <w:i w:val="0"/>
          <w:color w:val="auto"/>
          <w:sz w:val="22"/>
          <w:szCs w:val="22"/>
          <w:lang w:val="en-GB"/>
        </w:rPr>
        <w:tab/>
      </w:r>
      <w:r w:rsidRPr="007F6CA8">
        <w:rPr>
          <w:rFonts w:ascii="Sylfaen" w:hAnsi="Sylfaen"/>
          <w:b/>
          <w:i w:val="0"/>
          <w:color w:val="auto"/>
          <w:sz w:val="22"/>
          <w:szCs w:val="22"/>
          <w:lang w:val="ka-GE"/>
        </w:rPr>
        <w:t>საქართველო</w:t>
      </w:r>
      <w:r w:rsidRPr="007F6CA8">
        <w:rPr>
          <w:rFonts w:ascii="Sylfaen" w:hAnsi="Sylfaen"/>
          <w:b/>
          <w:i w:val="0"/>
          <w:color w:val="auto"/>
          <w:sz w:val="22"/>
          <w:szCs w:val="22"/>
          <w:lang w:val="en-GB"/>
        </w:rPr>
        <w:t>:</w:t>
      </w:r>
      <w:r w:rsidRPr="007F6CA8">
        <w:rPr>
          <w:rFonts w:ascii="Sylfaen" w:hAnsi="Sylfaen"/>
          <w:b/>
          <w:i w:val="0"/>
          <w:color w:val="auto"/>
          <w:sz w:val="22"/>
          <w:szCs w:val="22"/>
          <w:lang w:val="ka-GE"/>
        </w:rPr>
        <w:t xml:space="preserve"> უმუშევრობის-დასაქმების შეფარდება განთლების დონის მიხედვით</w:t>
      </w:r>
      <w:r w:rsidRPr="007F6CA8">
        <w:rPr>
          <w:rFonts w:ascii="Sylfaen" w:hAnsi="Sylfaen"/>
          <w:b/>
          <w:i w:val="0"/>
          <w:color w:val="auto"/>
          <w:sz w:val="22"/>
          <w:szCs w:val="22"/>
          <w:lang w:val="en-GB"/>
        </w:rPr>
        <w:t>,</w:t>
      </w:r>
      <w:r w:rsidRPr="007F6CA8">
        <w:rPr>
          <w:rFonts w:ascii="Sylfaen" w:hAnsi="Sylfaen"/>
          <w:b/>
          <w:i w:val="0"/>
          <w:color w:val="auto"/>
          <w:sz w:val="22"/>
          <w:szCs w:val="22"/>
          <w:lang w:val="ka-GE"/>
        </w:rPr>
        <w:t xml:space="preserve"> 2011-2016,</w:t>
      </w:r>
      <w:r w:rsidRPr="007F6CA8">
        <w:rPr>
          <w:rFonts w:ascii="Sylfaen" w:hAnsi="Sylfaen"/>
          <w:b/>
          <w:i w:val="0"/>
          <w:color w:val="auto"/>
          <w:sz w:val="22"/>
          <w:szCs w:val="22"/>
          <w:lang w:val="en-GB"/>
        </w:rPr>
        <w:t xml:space="preserve"> </w:t>
      </w:r>
      <w:r w:rsidRPr="007F6CA8">
        <w:rPr>
          <w:rFonts w:ascii="Sylfaen" w:hAnsi="Sylfaen"/>
          <w:b/>
          <w:i w:val="0"/>
          <w:color w:val="auto"/>
          <w:sz w:val="22"/>
          <w:szCs w:val="22"/>
          <w:lang w:val="ka-GE"/>
        </w:rPr>
        <w:t xml:space="preserve">ასაკი: </w:t>
      </w:r>
      <w:r w:rsidR="00E167DE" w:rsidRPr="007F6CA8">
        <w:rPr>
          <w:rFonts w:ascii="Sylfaen" w:hAnsi="Sylfaen"/>
          <w:b/>
          <w:i w:val="0"/>
          <w:color w:val="auto"/>
          <w:sz w:val="22"/>
          <w:szCs w:val="22"/>
          <w:lang w:val="en-GB"/>
        </w:rPr>
        <w:t>25-29</w:t>
      </w:r>
    </w:p>
    <w:tbl>
      <w:tblPr>
        <w:tblStyle w:val="TableGrid"/>
        <w:tblW w:w="4907" w:type="pct"/>
        <w:tblCellMar>
          <w:top w:w="57" w:type="dxa"/>
          <w:left w:w="70" w:type="dxa"/>
          <w:bottom w:w="57" w:type="dxa"/>
          <w:right w:w="70" w:type="dxa"/>
        </w:tblCellMar>
        <w:tblLook w:val="04A0" w:firstRow="1" w:lastRow="0" w:firstColumn="1" w:lastColumn="0" w:noHBand="0" w:noVBand="1"/>
      </w:tblPr>
      <w:tblGrid>
        <w:gridCol w:w="9172"/>
      </w:tblGrid>
      <w:tr w:rsidR="00E167DE" w:rsidRPr="007F6CA8" w14:paraId="28811E24" w14:textId="77777777" w:rsidTr="007F6CA8">
        <w:trPr>
          <w:trHeight w:val="5266"/>
        </w:trPr>
        <w:tc>
          <w:tcPr>
            <w:tcW w:w="9172" w:type="dxa"/>
            <w:tcBorders>
              <w:top w:val="single" w:sz="4" w:space="0" w:color="auto"/>
              <w:left w:val="single" w:sz="4" w:space="0" w:color="auto"/>
              <w:bottom w:val="single" w:sz="4" w:space="0" w:color="auto"/>
              <w:right w:val="single" w:sz="4" w:space="0" w:color="auto"/>
            </w:tcBorders>
            <w:hideMark/>
          </w:tcPr>
          <w:p w14:paraId="4ED04F5A" w14:textId="77777777" w:rsidR="00E167DE" w:rsidRPr="007F6CA8" w:rsidRDefault="00E167DE"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27D8390E" wp14:editId="4B618171">
                  <wp:extent cx="5629275" cy="3248025"/>
                  <wp:effectExtent l="0" t="0" r="0" b="3175"/>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4665822C" w14:textId="074D456E" w:rsidR="00E02592" w:rsidRPr="007F6CA8" w:rsidRDefault="005D1063" w:rsidP="00731B1D">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00E02592" w:rsidRPr="007F6CA8">
        <w:rPr>
          <w:rFonts w:ascii="Sylfaen" w:hAnsi="Sylfaen"/>
          <w:sz w:val="18"/>
        </w:rPr>
        <w:t xml:space="preserve"> </w:t>
      </w:r>
    </w:p>
    <w:p w14:paraId="2709EE60" w14:textId="3A268C4A" w:rsidR="00E167DE" w:rsidRPr="007F6CA8" w:rsidRDefault="005D1063"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r w:rsidRPr="007F6CA8">
        <w:rPr>
          <w:rFonts w:ascii="Sylfaen" w:hAnsi="Sylfaen"/>
          <w:b/>
          <w:i w:val="0"/>
          <w:color w:val="auto"/>
          <w:sz w:val="22"/>
          <w:szCs w:val="22"/>
          <w:lang w:val="ka-GE"/>
        </w:rPr>
        <w:lastRenderedPageBreak/>
        <w:t>სურათი</w:t>
      </w:r>
      <w:r w:rsidR="00E167DE" w:rsidRPr="007F6CA8">
        <w:rPr>
          <w:rFonts w:ascii="Sylfaen" w:hAnsi="Sylfaen"/>
          <w:b/>
          <w:i w:val="0"/>
          <w:color w:val="auto"/>
          <w:sz w:val="22"/>
          <w:szCs w:val="22"/>
          <w:lang w:val="en-GB"/>
        </w:rPr>
        <w:t xml:space="preserve"> </w:t>
      </w:r>
      <w:r w:rsidR="00E167DE" w:rsidRPr="007F6CA8">
        <w:rPr>
          <w:rFonts w:ascii="Sylfaen" w:hAnsi="Sylfaen"/>
          <w:lang w:val="en-GB"/>
        </w:rPr>
        <w:fldChar w:fldCharType="begin"/>
      </w:r>
      <w:r w:rsidR="00E167DE" w:rsidRPr="007F6CA8">
        <w:rPr>
          <w:rFonts w:ascii="Sylfaen" w:hAnsi="Sylfaen"/>
          <w:b/>
          <w:i w:val="0"/>
          <w:color w:val="auto"/>
          <w:sz w:val="22"/>
          <w:szCs w:val="22"/>
          <w:lang w:val="en-GB"/>
        </w:rPr>
        <w:instrText xml:space="preserve"> SEQ Figure \* ARABIC </w:instrText>
      </w:r>
      <w:r w:rsidR="00E167DE" w:rsidRPr="007F6CA8">
        <w:rPr>
          <w:rFonts w:ascii="Sylfaen" w:hAnsi="Sylfaen"/>
          <w:lang w:val="en-GB"/>
        </w:rPr>
        <w:fldChar w:fldCharType="separate"/>
      </w:r>
      <w:r w:rsidR="003120D1" w:rsidRPr="007F6CA8">
        <w:rPr>
          <w:rFonts w:ascii="Sylfaen" w:hAnsi="Sylfaen"/>
          <w:b/>
          <w:i w:val="0"/>
          <w:noProof/>
          <w:color w:val="auto"/>
          <w:sz w:val="22"/>
          <w:szCs w:val="22"/>
          <w:lang w:val="en-GB"/>
        </w:rPr>
        <w:t>6</w:t>
      </w:r>
      <w:r w:rsidR="00E167DE" w:rsidRPr="007F6CA8">
        <w:rPr>
          <w:rFonts w:ascii="Sylfaen" w:hAnsi="Sylfaen"/>
          <w:lang w:val="en-GB"/>
        </w:rPr>
        <w:fldChar w:fldCharType="end"/>
      </w:r>
      <w:r w:rsidR="00E167DE" w:rsidRPr="007F6CA8">
        <w:rPr>
          <w:rFonts w:ascii="Sylfaen" w:hAnsi="Sylfaen"/>
          <w:b/>
          <w:i w:val="0"/>
          <w:color w:val="auto"/>
          <w:sz w:val="22"/>
          <w:szCs w:val="22"/>
          <w:lang w:val="en-GB"/>
        </w:rPr>
        <w:tab/>
      </w:r>
      <w:r w:rsidRPr="007F6CA8">
        <w:rPr>
          <w:rFonts w:ascii="Sylfaen" w:hAnsi="Sylfaen"/>
          <w:b/>
          <w:i w:val="0"/>
          <w:color w:val="auto"/>
          <w:sz w:val="22"/>
          <w:szCs w:val="22"/>
          <w:lang w:val="ka-GE"/>
        </w:rPr>
        <w:t>საქართველო</w:t>
      </w:r>
      <w:r w:rsidRPr="007F6CA8">
        <w:rPr>
          <w:rFonts w:ascii="Sylfaen" w:hAnsi="Sylfaen"/>
          <w:b/>
          <w:i w:val="0"/>
          <w:color w:val="auto"/>
          <w:sz w:val="22"/>
          <w:szCs w:val="22"/>
          <w:lang w:val="en-GB"/>
        </w:rPr>
        <w:t>:</w:t>
      </w:r>
      <w:r w:rsidRPr="007F6CA8">
        <w:rPr>
          <w:rFonts w:ascii="Sylfaen" w:hAnsi="Sylfaen"/>
          <w:b/>
          <w:i w:val="0"/>
          <w:color w:val="auto"/>
          <w:sz w:val="22"/>
          <w:szCs w:val="22"/>
          <w:lang w:val="ka-GE"/>
        </w:rPr>
        <w:t xml:space="preserve"> უმუშევრობის-დასაქმების შეფარდება განთლების დონის მიხედვით</w:t>
      </w:r>
      <w:r w:rsidRPr="007F6CA8">
        <w:rPr>
          <w:rFonts w:ascii="Sylfaen" w:hAnsi="Sylfaen"/>
          <w:b/>
          <w:i w:val="0"/>
          <w:color w:val="auto"/>
          <w:sz w:val="22"/>
          <w:szCs w:val="22"/>
          <w:lang w:val="en-GB"/>
        </w:rPr>
        <w:t>,</w:t>
      </w:r>
      <w:r w:rsidRPr="007F6CA8">
        <w:rPr>
          <w:rFonts w:ascii="Sylfaen" w:hAnsi="Sylfaen"/>
          <w:b/>
          <w:i w:val="0"/>
          <w:color w:val="auto"/>
          <w:sz w:val="22"/>
          <w:szCs w:val="22"/>
          <w:lang w:val="ka-GE"/>
        </w:rPr>
        <w:t xml:space="preserve"> 2011-2016,</w:t>
      </w:r>
      <w:r w:rsidRPr="007F6CA8">
        <w:rPr>
          <w:rFonts w:ascii="Sylfaen" w:hAnsi="Sylfaen"/>
          <w:b/>
          <w:i w:val="0"/>
          <w:color w:val="auto"/>
          <w:sz w:val="22"/>
          <w:szCs w:val="22"/>
          <w:lang w:val="en-GB"/>
        </w:rPr>
        <w:t xml:space="preserve"> </w:t>
      </w:r>
      <w:r w:rsidRPr="007F6CA8">
        <w:rPr>
          <w:rFonts w:ascii="Sylfaen" w:hAnsi="Sylfaen"/>
          <w:b/>
          <w:i w:val="0"/>
          <w:color w:val="auto"/>
          <w:sz w:val="22"/>
          <w:szCs w:val="22"/>
          <w:lang w:val="ka-GE"/>
        </w:rPr>
        <w:t xml:space="preserve">ასაკი: </w:t>
      </w:r>
      <w:r w:rsidR="00E167DE" w:rsidRPr="007F6CA8">
        <w:rPr>
          <w:rFonts w:ascii="Sylfaen" w:hAnsi="Sylfaen"/>
          <w:b/>
          <w:i w:val="0"/>
          <w:color w:val="auto"/>
          <w:sz w:val="22"/>
          <w:szCs w:val="22"/>
          <w:lang w:val="en-GB"/>
        </w:rPr>
        <w:t>15-64</w:t>
      </w:r>
    </w:p>
    <w:tbl>
      <w:tblPr>
        <w:tblStyle w:val="TableGrid"/>
        <w:tblW w:w="4814" w:type="pct"/>
        <w:tblCellMar>
          <w:top w:w="57" w:type="dxa"/>
          <w:left w:w="70" w:type="dxa"/>
          <w:bottom w:w="57" w:type="dxa"/>
          <w:right w:w="70" w:type="dxa"/>
        </w:tblCellMar>
        <w:tblLook w:val="04A0" w:firstRow="1" w:lastRow="0" w:firstColumn="1" w:lastColumn="0" w:noHBand="0" w:noVBand="1"/>
      </w:tblPr>
      <w:tblGrid>
        <w:gridCol w:w="8998"/>
      </w:tblGrid>
      <w:tr w:rsidR="00E167DE" w:rsidRPr="007F6CA8" w14:paraId="08EA9106" w14:textId="77777777" w:rsidTr="007F6CA8">
        <w:trPr>
          <w:trHeight w:val="5713"/>
        </w:trPr>
        <w:tc>
          <w:tcPr>
            <w:tcW w:w="8998" w:type="dxa"/>
            <w:tcBorders>
              <w:top w:val="single" w:sz="4" w:space="0" w:color="auto"/>
              <w:left w:val="single" w:sz="4" w:space="0" w:color="auto"/>
              <w:bottom w:val="single" w:sz="4" w:space="0" w:color="auto"/>
              <w:right w:val="single" w:sz="4" w:space="0" w:color="auto"/>
            </w:tcBorders>
            <w:hideMark/>
          </w:tcPr>
          <w:p w14:paraId="430A9B09" w14:textId="77777777" w:rsidR="00E167DE" w:rsidRPr="007F6CA8" w:rsidRDefault="00E167DE"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1639653E" wp14:editId="47A36997">
                  <wp:extent cx="5600700" cy="3533775"/>
                  <wp:effectExtent l="0" t="0" r="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F3FAE26" w14:textId="1197EB98" w:rsidR="00E02592" w:rsidRPr="007F6CA8" w:rsidRDefault="005D1063" w:rsidP="00731B1D">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r w:rsidR="00E02592" w:rsidRPr="007F6CA8">
        <w:rPr>
          <w:rFonts w:ascii="Sylfaen" w:hAnsi="Sylfaen"/>
          <w:sz w:val="18"/>
        </w:rPr>
        <w:t xml:space="preserve"> </w:t>
      </w:r>
    </w:p>
    <w:p w14:paraId="0C45ECCD" w14:textId="490C8B5C" w:rsidR="005D1063" w:rsidRPr="007F6CA8" w:rsidRDefault="005D1063"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ამ ინდიკატორის ინტერპრეტაციის დროს აუცილებელია ქართული სპეციფიკური კონტექსტის გათვალისწინება. </w:t>
      </w:r>
      <w:r w:rsidR="003F5994" w:rsidRPr="007F6CA8">
        <w:rPr>
          <w:rFonts w:ascii="Sylfaen" w:hAnsi="Sylfaen"/>
          <w:sz w:val="22"/>
          <w:szCs w:val="22"/>
          <w:lang w:val="ka-GE"/>
        </w:rPr>
        <w:t>სამუშაო ძალის კვლევა უმუშევრად მიიჩნევს პირს, რომელიც არის 15 ან მეტი ასაკის, რომელიც არ ყოფილა დასაქმებული (ერთი საათითაც კი) გასაუბრებამდე 7 დღით ადრე პერიოდში, ეძებდა სამუშაოს ბოლო 4 კვირის განმავლობაში და მზად იყო დაეწყო მუშაობა შემდეგი ორი კვირის განმავლობაში.</w:t>
      </w:r>
      <w:r w:rsidR="003F5994" w:rsidRPr="007F6CA8">
        <w:rPr>
          <w:rFonts w:ascii="Sylfaen" w:hAnsi="Sylfaen"/>
          <w:sz w:val="22"/>
          <w:szCs w:val="22"/>
          <w:vertAlign w:val="superscript"/>
        </w:rPr>
        <w:footnoteReference w:id="24"/>
      </w:r>
      <w:r w:rsidR="003F5994" w:rsidRPr="007F6CA8">
        <w:rPr>
          <w:rFonts w:ascii="Sylfaen" w:hAnsi="Sylfaen"/>
          <w:sz w:val="22"/>
          <w:szCs w:val="22"/>
          <w:lang w:val="ka-GE"/>
        </w:rPr>
        <w:t xml:space="preserve"> ამ </w:t>
      </w:r>
      <w:r w:rsidR="00A60152" w:rsidRPr="007F6CA8">
        <w:rPr>
          <w:rFonts w:ascii="Sylfaen" w:hAnsi="Sylfaen"/>
          <w:sz w:val="22"/>
          <w:szCs w:val="22"/>
          <w:lang w:val="ka-GE"/>
        </w:rPr>
        <w:t xml:space="preserve">განმარტებიდან ნათლად ჩანს, რომ ქართული ეკონომიკის ტრადიციულ სტრუქტურაში, სადაც სოფლის მეურნეობას (ძირითადად საკუთარი მოხმარებისათვის) </w:t>
      </w:r>
      <w:r w:rsidR="00AE1639" w:rsidRPr="007F6CA8">
        <w:rPr>
          <w:rFonts w:ascii="Sylfaen" w:hAnsi="Sylfaen"/>
          <w:sz w:val="22"/>
          <w:szCs w:val="22"/>
          <w:lang w:val="ka-GE"/>
        </w:rPr>
        <w:t xml:space="preserve">46% უჭირავს, ხოლო სოფლად კომლში რამდენიმე თაობის ადამიანი ცხოვრობს, რომელთაგანაც ერთი მიწის მფლობელია და შესაბამისად ოჯახის დანაჩენი წევრები მისი დამხმარეები, შანსი იმისი, რომ უმუშევრად ჩაითვალონ, უფრო მაღალია ოჯახის ახალგაზრდა წევრებში, რომლებიც, უფრო ნაკლებად ერთვებიან სასოფლო-სამეურნეო საქმიანობაში. </w:t>
      </w:r>
    </w:p>
    <w:p w14:paraId="014B3419" w14:textId="2E969FED" w:rsidR="00AE1639" w:rsidRPr="007F6CA8" w:rsidRDefault="00AE1639"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ქალაქის ტერიტორიაზე ახალგაზრდა ადამიანებს ძირითადად მშობლები არჩენენ. აქედან გამომდინარე, ისინი უმუშევრად ითვლებიან, ვინაიდან კარგი სამუშაოს ძიებაში არიან. თუცა, მოგვიანებით, როცა მშობლების მხარდაჭერა უკვე აღარ აქვთ, იძულებულები არიან იშოვონ სამსახური და არჩინონ საკუთარი ოჯახები. ამის გამო, უფრო დიდია შანსი დათანხმდნენ ნებისმიერი სახის სამუშაოზე, ხშირად არაფორმალურზე, რომელიც არ შეესაბამება მათ </w:t>
      </w:r>
      <w:r w:rsidRPr="007F6CA8">
        <w:rPr>
          <w:rFonts w:ascii="Sylfaen" w:hAnsi="Sylfaen"/>
          <w:sz w:val="22"/>
          <w:szCs w:val="22"/>
          <w:lang w:val="ka-GE"/>
        </w:rPr>
        <w:lastRenderedPageBreak/>
        <w:t xml:space="preserve">განათლებასა თუ უნარებს. შესაბამისად, ოფიციალური სტატისტიკა მათ უკვე უმუშევრად აღარ მიიჩნევს. უმუშევრობის სტატისტიკა იკლებს მუშახელის ასაკის მატებასთან ერთად. </w:t>
      </w:r>
    </w:p>
    <w:p w14:paraId="515E7989" w14:textId="306956FC" w:rsidR="00A54FD9" w:rsidRPr="007F6CA8" w:rsidRDefault="00A54FD9" w:rsidP="00731B1D">
      <w:pPr>
        <w:spacing w:beforeLines="60" w:before="144" w:afterLines="60" w:after="144" w:line="276" w:lineRule="auto"/>
        <w:jc w:val="both"/>
        <w:rPr>
          <w:rFonts w:ascii="Sylfaen" w:hAnsi="Sylfaen"/>
        </w:rPr>
      </w:pPr>
    </w:p>
    <w:p w14:paraId="41A6506A" w14:textId="3B050C81" w:rsidR="00AE1639" w:rsidRPr="007F6CA8" w:rsidRDefault="00AE1639" w:rsidP="00731B1D">
      <w:pPr>
        <w:pStyle w:val="Heading3"/>
        <w:spacing w:beforeLines="60" w:before="144" w:afterLines="60" w:after="144" w:line="276" w:lineRule="auto"/>
        <w:rPr>
          <w:rFonts w:ascii="Sylfaen" w:hAnsi="Sylfaen"/>
        </w:rPr>
      </w:pPr>
      <w:bookmarkStart w:id="17" w:name="_Toc513596838"/>
      <w:r w:rsidRPr="007F6CA8">
        <w:rPr>
          <w:rFonts w:ascii="Sylfaen" w:hAnsi="Sylfaen"/>
          <w:lang w:val="ka-GE"/>
        </w:rPr>
        <w:t>დასაქმების შეფარდება მოსახლეობასთან: აქტივობის მაჩვენებელი</w:t>
      </w:r>
      <w:bookmarkEnd w:id="17"/>
    </w:p>
    <w:p w14:paraId="1C00687B" w14:textId="3E702DAC" w:rsidR="00EA2124" w:rsidRPr="007F6CA8" w:rsidRDefault="00EA2124"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დასაქმებისა და მოსახლეობის შეფარდება მოცემულია სურათში 7, სადაც</w:t>
      </w:r>
      <w:r w:rsidR="004078A3" w:rsidRPr="007F6CA8">
        <w:rPr>
          <w:rFonts w:ascii="Sylfaen" w:hAnsi="Sylfaen"/>
          <w:sz w:val="22"/>
          <w:szCs w:val="22"/>
          <w:lang w:val="ka-GE"/>
        </w:rPr>
        <w:t xml:space="preserve"> ჩანს, რომ შრომით ბაზარზე ასაკთან დაკავშირებული განსხვავება საკმაოდ მნიშვნელოვანია. უპირველეს ყოვლისა, მონაცემები აჩვენებს, რომ ორი მომიჯნავე ასაკობრივი ჯგუფი - 20-24 წლის და 25-29 წლის განსხვავებულად მონაწილეობენ შრომით ბაზარზე: როცა ათი 20-24 წლის ახალგაზრდიდან მხოლოდ ოთხია დასაქმებული, 25-29 ასაკის ათი ახალგაზრდიდან დასაქმებულია ექვსი. ეს, ძირითადად, საგანმანათლებლო სისტემაში ჩართულობის გამოა, და შემდეგ სექციაში აღწერილი </w:t>
      </w:r>
      <w:r w:rsidR="004078A3" w:rsidRPr="007F6CA8">
        <w:rPr>
          <w:rFonts w:ascii="Sylfaen" w:hAnsi="Sylfaen"/>
          <w:sz w:val="22"/>
          <w:szCs w:val="22"/>
        </w:rPr>
        <w:t xml:space="preserve">NEET </w:t>
      </w:r>
      <w:r w:rsidR="004078A3" w:rsidRPr="007F6CA8">
        <w:rPr>
          <w:rFonts w:ascii="Sylfaen" w:hAnsi="Sylfaen"/>
          <w:sz w:val="22"/>
          <w:szCs w:val="22"/>
          <w:lang w:val="ka-GE"/>
        </w:rPr>
        <w:t xml:space="preserve">მაჩვენებლები ამ ორი ასაკობრივი ჯგუფისთვის ძალიან მსგავსია. </w:t>
      </w:r>
    </w:p>
    <w:p w14:paraId="7094E22B" w14:textId="505F4B79" w:rsidR="004078A3" w:rsidRPr="007F6CA8" w:rsidRDefault="004078A3"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50-59 წლის ადამიანებს ყველა</w:t>
      </w:r>
      <w:r w:rsidR="00517E58" w:rsidRPr="007F6CA8">
        <w:rPr>
          <w:rFonts w:ascii="Sylfaen" w:hAnsi="Sylfaen"/>
          <w:sz w:val="22"/>
          <w:szCs w:val="22"/>
          <w:lang w:val="ka-GE"/>
        </w:rPr>
        <w:t>ზ</w:t>
      </w:r>
      <w:r w:rsidRPr="007F6CA8">
        <w:rPr>
          <w:rFonts w:ascii="Sylfaen" w:hAnsi="Sylfaen"/>
          <w:sz w:val="22"/>
          <w:szCs w:val="22"/>
          <w:lang w:val="ka-GE"/>
        </w:rPr>
        <w:t xml:space="preserve">ე დიდი დასაქმების მაჩვენებლი აქვთ მოსახლეობის მთლიან რაოდენობასთან შედარებით. გარდა ამისა, დასაქმების წილი კიდევ უფრო მაღალია უფრო ასაკოვან ადამიანებში - 60-74 წლის პირებში. ამის მიზეზი კავშირშია ქართული შრომითი ბაზრის </w:t>
      </w:r>
      <w:r w:rsidR="00A7727A" w:rsidRPr="007F6CA8">
        <w:rPr>
          <w:rFonts w:ascii="Sylfaen" w:hAnsi="Sylfaen"/>
          <w:sz w:val="22"/>
          <w:szCs w:val="22"/>
          <w:lang w:val="ka-GE"/>
        </w:rPr>
        <w:t xml:space="preserve">თავისებურებასთან და უმუშევრობის სტატუსის განმარტებასთან, რომელიც შრომითი ძალის კვლევაშია მოცემული - თვითდასაქმებულთა ნაწილი, სოფლის მეურნეობაში დასაქმებულეიბს ნაწილი და ბევრი, რომელიც ოჯახის წევრს ეხმარება რეალური ხელფასის გარეშე, არ ითვლება უმუშევრად. ამ მხრივ აუცილებელია აღინიშნოს, რომ საპენსიო </w:t>
      </w:r>
      <w:r w:rsidR="0047048A" w:rsidRPr="007F6CA8">
        <w:rPr>
          <w:rFonts w:ascii="Sylfaen" w:hAnsi="Sylfaen"/>
          <w:sz w:val="22"/>
          <w:szCs w:val="22"/>
          <w:lang w:val="ka-GE"/>
        </w:rPr>
        <w:t xml:space="preserve">სისტემა უნივერსალურად უზრუნველყოფს ყველა ხანშიშესულს და ვირტუალურად სრულყოფილია: ყველა მოქალაქე, მოქალაქეობის არმქონე პირი და უცხო ქვეყნის მოქალაქე, რომელიც საქართველოში ბოლო 10 წლის განმავლობაში ცხოვრობს და მიაღწევს საპენსიო ასაკს (60 ქლებისთვის, 65 მამაკაცებისთვის) ავტომატურად იღებს პენსიას რაიმე კონტრობუციისა თუ მდგომარეობის შემოწმების მოთხოვნის გარეშე. აქედან გამომდინარე, საპენსიო ასაკს მიტანებული ყველა ადამიანი იღებს საბაზისო პენსიას. ყველაზე მნიშვნელოვანი ისაა, რომ </w:t>
      </w:r>
      <w:r w:rsidR="00941D56" w:rsidRPr="007F6CA8">
        <w:rPr>
          <w:rFonts w:ascii="Sylfaen" w:hAnsi="Sylfaen"/>
          <w:sz w:val="22"/>
          <w:szCs w:val="22"/>
          <w:lang w:val="ka-GE"/>
        </w:rPr>
        <w:t>საპენსიო სტატუსი რაიმე წინააღმდეგობას არ წარმოშობს პენსიაზე გასულთა დასაქმების შესაძლებლობებთან, გარდა იმათ, ვინც საჯარო სექტორში საქმდებიან და სადაც მთლიანად საქართველოს დასაქმებულთა 15%</w:t>
      </w:r>
      <w:r w:rsidR="0047048A" w:rsidRPr="007F6CA8">
        <w:rPr>
          <w:rFonts w:ascii="Sylfaen" w:hAnsi="Sylfaen"/>
          <w:sz w:val="22"/>
          <w:szCs w:val="22"/>
          <w:lang w:val="ka-GE"/>
        </w:rPr>
        <w:t xml:space="preserve"> </w:t>
      </w:r>
      <w:r w:rsidR="00471553" w:rsidRPr="007F6CA8">
        <w:rPr>
          <w:rFonts w:ascii="Sylfaen" w:hAnsi="Sylfaen"/>
          <w:sz w:val="22"/>
          <w:szCs w:val="22"/>
          <w:lang w:val="ka-GE"/>
        </w:rPr>
        <w:t>არის ჩართული.</w:t>
      </w:r>
      <w:r w:rsidR="00471553" w:rsidRPr="007F6CA8">
        <w:rPr>
          <w:rStyle w:val="FootnoteReference"/>
          <w:rFonts w:ascii="Sylfaen" w:hAnsi="Sylfaen"/>
          <w:sz w:val="22"/>
          <w:szCs w:val="22"/>
        </w:rPr>
        <w:footnoteReference w:id="25"/>
      </w:r>
      <w:r w:rsidR="00471553" w:rsidRPr="007F6CA8">
        <w:rPr>
          <w:rFonts w:ascii="Sylfaen" w:hAnsi="Sylfaen"/>
          <w:sz w:val="22"/>
          <w:szCs w:val="22"/>
          <w:lang w:val="ka-GE"/>
        </w:rPr>
        <w:t xml:space="preserve"> იმის გამო, რომ საბაზისო პენსია ძალიან დაბალია და ოფიციალურ საბაზისო სამომხმარებლო კალათაზე ნაკლებიცაა, ყველა, ვისაც შეუძლია, აგრძელებს მუშაობას საპენსიო ასაკის გადალახვის შემდეგაც, ან ოჯახურ ბიზნესში ერთვება. </w:t>
      </w:r>
    </w:p>
    <w:p w14:paraId="7D4C1AD9" w14:textId="0CA5CD92" w:rsidR="0025460E" w:rsidRPr="007F6CA8" w:rsidRDefault="00471553"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სურათი 8 აჩვენებს დასაქმებისა და მოსახლეობის შეფარდებას მოსახლეობის ორი ჯგუფისათვის: ისინი, ვისაც პროფესიული განათლება აქვს გავლილი, და ისინი, ვისაც ეს განათლება არ აქვს. სურათი აჩვენებს განსვავებას შრომით ბაზარზე წარმატებით მონაწლე ორი ჯგუფისათვის. ერთიანობაში პროფესიული განათლების კვალიფიკაცია უფრო უკეთეს შეფარდებას იძლევა, ანუ, უმაღლესი განათლების მაჩვენებლები ყველა შესაძლო წლისათვის. </w:t>
      </w:r>
      <w:r w:rsidR="00DC2DC2" w:rsidRPr="007F6CA8">
        <w:rPr>
          <w:rFonts w:ascii="Sylfaen" w:hAnsi="Sylfaen"/>
          <w:sz w:val="22"/>
          <w:szCs w:val="22"/>
          <w:lang w:val="ka-GE"/>
        </w:rPr>
        <w:t xml:space="preserve">მაშინ, როცა განსხვავება 2011 წელს 9.2% იყო, ეს სხვაობა 6 პროცენტამდე შემცირდა 2016 წელს. სხვა ინდიკატორებია საჭირო, რომ შევაფასოთ, რამდენად მოიცავს ეს დინამიკა ზრდად </w:t>
      </w:r>
      <w:r w:rsidR="00DC2DC2" w:rsidRPr="007F6CA8">
        <w:rPr>
          <w:rFonts w:ascii="Sylfaen" w:hAnsi="Sylfaen"/>
          <w:sz w:val="22"/>
          <w:szCs w:val="22"/>
          <w:lang w:val="ka-GE"/>
        </w:rPr>
        <w:lastRenderedPageBreak/>
        <w:t xml:space="preserve">შრომითი ბაზრის პირობებს პროფესიული განათლების არმქონე მოსახლეობისათვის მიწოდების ან მოთხოვნის ეფექტისთვის.  </w:t>
      </w:r>
    </w:p>
    <w:p w14:paraId="0631920F" w14:textId="05E7B268" w:rsidR="00A54FD9" w:rsidRPr="007F6CA8" w:rsidRDefault="00DC2DC2" w:rsidP="00731B1D">
      <w:pPr>
        <w:pStyle w:val="Caption"/>
        <w:keepNext/>
        <w:spacing w:beforeLines="60" w:before="144" w:afterLines="60" w:after="144" w:line="276" w:lineRule="auto"/>
        <w:rPr>
          <w:rFonts w:ascii="Sylfaen" w:hAnsi="Sylfaen"/>
          <w:b/>
          <w:i w:val="0"/>
          <w:color w:val="auto"/>
          <w:sz w:val="22"/>
          <w:szCs w:val="22"/>
          <w:lang w:val="en-GB"/>
        </w:rPr>
      </w:pPr>
      <w:r w:rsidRPr="007F6CA8">
        <w:rPr>
          <w:rFonts w:ascii="Sylfaen" w:hAnsi="Sylfaen"/>
          <w:b/>
          <w:i w:val="0"/>
          <w:color w:val="auto"/>
          <w:sz w:val="22"/>
          <w:szCs w:val="22"/>
          <w:lang w:val="ka-GE"/>
        </w:rPr>
        <w:t xml:space="preserve">სურათი: </w:t>
      </w:r>
      <w:r w:rsidR="00A54FD9" w:rsidRPr="007F6CA8">
        <w:rPr>
          <w:rFonts w:ascii="Sylfaen" w:hAnsi="Sylfaen"/>
          <w:lang w:val="en-GB"/>
        </w:rPr>
        <w:fldChar w:fldCharType="begin"/>
      </w:r>
      <w:r w:rsidR="00A54FD9" w:rsidRPr="007F6CA8">
        <w:rPr>
          <w:rFonts w:ascii="Sylfaen" w:hAnsi="Sylfaen"/>
          <w:b/>
          <w:i w:val="0"/>
          <w:color w:val="auto"/>
          <w:sz w:val="22"/>
          <w:szCs w:val="22"/>
          <w:lang w:val="en-GB"/>
        </w:rPr>
        <w:instrText xml:space="preserve"> SEQ Figure \* ARABIC </w:instrText>
      </w:r>
      <w:r w:rsidR="00A54FD9" w:rsidRPr="007F6CA8">
        <w:rPr>
          <w:rFonts w:ascii="Sylfaen" w:hAnsi="Sylfaen"/>
          <w:lang w:val="en-GB"/>
        </w:rPr>
        <w:fldChar w:fldCharType="separate"/>
      </w:r>
      <w:r w:rsidR="003120D1" w:rsidRPr="007F6CA8">
        <w:rPr>
          <w:rFonts w:ascii="Sylfaen" w:hAnsi="Sylfaen"/>
          <w:b/>
          <w:i w:val="0"/>
          <w:noProof/>
          <w:color w:val="auto"/>
          <w:sz w:val="22"/>
          <w:szCs w:val="22"/>
          <w:lang w:val="en-GB"/>
        </w:rPr>
        <w:t>7</w:t>
      </w:r>
      <w:r w:rsidR="00A54FD9" w:rsidRPr="007F6CA8">
        <w:rPr>
          <w:rFonts w:ascii="Sylfaen" w:hAnsi="Sylfaen"/>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საქართველო</w:t>
      </w:r>
      <w:r w:rsidR="00A54FD9" w:rsidRPr="007F6CA8">
        <w:rPr>
          <w:rFonts w:ascii="Sylfaen" w:hAnsi="Sylfaen"/>
          <w:b/>
          <w:i w:val="0"/>
          <w:color w:val="auto"/>
          <w:sz w:val="22"/>
          <w:szCs w:val="22"/>
          <w:lang w:val="en-GB"/>
        </w:rPr>
        <w:t xml:space="preserve">: </w:t>
      </w:r>
      <w:r w:rsidRPr="007F6CA8">
        <w:rPr>
          <w:rFonts w:ascii="Sylfaen" w:hAnsi="Sylfaen"/>
          <w:b/>
          <w:i w:val="0"/>
          <w:color w:val="auto"/>
          <w:sz w:val="22"/>
          <w:szCs w:val="22"/>
          <w:lang w:val="ka-GE"/>
        </w:rPr>
        <w:t>დასაქმება-მოსახეობის შეფარდება ასაკობრივი ჯგუფების მიხედვით,</w:t>
      </w:r>
      <w:r w:rsidR="00A54FD9" w:rsidRPr="007F6CA8">
        <w:rPr>
          <w:rFonts w:ascii="Sylfaen" w:hAnsi="Sylfaen"/>
          <w:b/>
          <w:i w:val="0"/>
          <w:color w:val="auto"/>
          <w:sz w:val="22"/>
          <w:szCs w:val="22"/>
          <w:lang w:val="en-GB"/>
        </w:rPr>
        <w:t xml:space="preserve"> 2011-2016</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346"/>
      </w:tblGrid>
      <w:tr w:rsidR="00A54FD9" w:rsidRPr="007F6CA8" w14:paraId="0CAA117A" w14:textId="77777777" w:rsidTr="00F670BD">
        <w:tc>
          <w:tcPr>
            <w:tcW w:w="9346" w:type="dxa"/>
            <w:tcBorders>
              <w:top w:val="single" w:sz="4" w:space="0" w:color="auto"/>
              <w:left w:val="single" w:sz="4" w:space="0" w:color="auto"/>
              <w:bottom w:val="single" w:sz="4" w:space="0" w:color="auto"/>
              <w:right w:val="single" w:sz="4" w:space="0" w:color="auto"/>
            </w:tcBorders>
            <w:hideMark/>
          </w:tcPr>
          <w:p w14:paraId="36BD065E" w14:textId="77777777" w:rsidR="00A54FD9" w:rsidRPr="007F6CA8" w:rsidRDefault="00A54FD9"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7CAD96BC" wp14:editId="40CE31BE">
                  <wp:extent cx="5648325" cy="3848100"/>
                  <wp:effectExtent l="0" t="0" r="3175" b="0"/>
                  <wp:docPr id="100" name="Diagramm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3CC27D1B" w14:textId="6FA68EED" w:rsidR="0025460E" w:rsidRPr="007F6CA8" w:rsidRDefault="00F670BD" w:rsidP="00E67D65">
      <w:pPr>
        <w:spacing w:beforeLines="60" w:before="144" w:afterLines="60" w:after="144" w:line="276" w:lineRule="auto"/>
        <w:rPr>
          <w:rFonts w:ascii="Sylfaen" w:hAnsi="Sylfaen"/>
          <w:sz w:val="18"/>
          <w:szCs w:val="20"/>
          <w:lang w:val="en-GB"/>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405DCDC7" w14:textId="77EBD804" w:rsidR="00A54FD9" w:rsidRPr="007F6CA8" w:rsidRDefault="00DC2DC2" w:rsidP="00731B1D">
      <w:pPr>
        <w:pStyle w:val="Caption"/>
        <w:keepNext/>
        <w:spacing w:beforeLines="60" w:before="144" w:afterLines="60" w:after="144" w:line="276" w:lineRule="auto"/>
        <w:rPr>
          <w:rFonts w:ascii="Sylfaen" w:hAnsi="Sylfaen"/>
          <w:b/>
          <w:i w:val="0"/>
          <w:color w:val="auto"/>
          <w:sz w:val="22"/>
          <w:szCs w:val="22"/>
          <w:lang w:val="en-GB"/>
        </w:rPr>
      </w:pPr>
      <w:r w:rsidRPr="007F6CA8">
        <w:rPr>
          <w:rFonts w:ascii="Sylfaen" w:hAnsi="Sylfaen"/>
          <w:b/>
          <w:i w:val="0"/>
          <w:color w:val="auto"/>
          <w:sz w:val="22"/>
          <w:szCs w:val="22"/>
          <w:lang w:val="ka-GE"/>
        </w:rPr>
        <w:lastRenderedPageBreak/>
        <w:t>სურათი</w:t>
      </w:r>
      <w:r w:rsidR="00A54FD9" w:rsidRPr="007F6CA8">
        <w:rPr>
          <w:rFonts w:ascii="Sylfaen" w:hAnsi="Sylfaen"/>
          <w:b/>
          <w:i w:val="0"/>
          <w:color w:val="auto"/>
          <w:sz w:val="22"/>
          <w:szCs w:val="22"/>
          <w:lang w:val="en-GB"/>
        </w:rPr>
        <w:t xml:space="preserve"> </w:t>
      </w:r>
      <w:r w:rsidR="00A54FD9" w:rsidRPr="007F6CA8">
        <w:rPr>
          <w:rFonts w:ascii="Sylfaen" w:hAnsi="Sylfaen"/>
          <w:lang w:val="en-GB"/>
        </w:rPr>
        <w:fldChar w:fldCharType="begin"/>
      </w:r>
      <w:r w:rsidR="00A54FD9" w:rsidRPr="007F6CA8">
        <w:rPr>
          <w:rFonts w:ascii="Sylfaen" w:hAnsi="Sylfaen"/>
          <w:b/>
          <w:i w:val="0"/>
          <w:color w:val="auto"/>
          <w:sz w:val="22"/>
          <w:szCs w:val="22"/>
          <w:lang w:val="en-GB"/>
        </w:rPr>
        <w:instrText xml:space="preserve"> SEQ Figure \* ARABIC </w:instrText>
      </w:r>
      <w:r w:rsidR="00A54FD9" w:rsidRPr="007F6CA8">
        <w:rPr>
          <w:rFonts w:ascii="Sylfaen" w:hAnsi="Sylfaen"/>
          <w:lang w:val="en-GB"/>
        </w:rPr>
        <w:fldChar w:fldCharType="separate"/>
      </w:r>
      <w:r w:rsidR="003120D1" w:rsidRPr="007F6CA8">
        <w:rPr>
          <w:rFonts w:ascii="Sylfaen" w:hAnsi="Sylfaen"/>
          <w:b/>
          <w:i w:val="0"/>
          <w:noProof/>
          <w:color w:val="auto"/>
          <w:sz w:val="22"/>
          <w:szCs w:val="22"/>
          <w:lang w:val="en-GB"/>
        </w:rPr>
        <w:t>8</w:t>
      </w:r>
      <w:r w:rsidR="00A54FD9" w:rsidRPr="007F6CA8">
        <w:rPr>
          <w:rFonts w:ascii="Sylfaen" w:hAnsi="Sylfaen"/>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საქართველო: დასაქმებისა და მოსახლეობის შეფარდება განათლების მიხედვით,</w:t>
      </w:r>
      <w:r w:rsidR="00A54FD9" w:rsidRPr="007F6CA8">
        <w:rPr>
          <w:rFonts w:ascii="Sylfaen" w:hAnsi="Sylfaen"/>
          <w:b/>
          <w:i w:val="0"/>
          <w:color w:val="auto"/>
          <w:sz w:val="22"/>
          <w:szCs w:val="22"/>
          <w:lang w:val="en-GB"/>
        </w:rPr>
        <w:t xml:space="preserve"> 2011-2016</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346"/>
      </w:tblGrid>
      <w:tr w:rsidR="00A54FD9" w:rsidRPr="007F6CA8" w14:paraId="0C80D65F" w14:textId="77777777" w:rsidTr="00F670BD">
        <w:tc>
          <w:tcPr>
            <w:tcW w:w="9346" w:type="dxa"/>
            <w:tcBorders>
              <w:top w:val="single" w:sz="4" w:space="0" w:color="auto"/>
              <w:left w:val="single" w:sz="4" w:space="0" w:color="auto"/>
              <w:bottom w:val="single" w:sz="4" w:space="0" w:color="auto"/>
              <w:right w:val="single" w:sz="4" w:space="0" w:color="auto"/>
            </w:tcBorders>
            <w:hideMark/>
          </w:tcPr>
          <w:p w14:paraId="69AC27D4" w14:textId="77777777" w:rsidR="00A54FD9" w:rsidRPr="007F6CA8" w:rsidRDefault="00A54FD9"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0D634E48" wp14:editId="4F0821A5">
                  <wp:extent cx="5648325" cy="3362325"/>
                  <wp:effectExtent l="0" t="0" r="3175" b="3175"/>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53C759EB" w14:textId="77777777" w:rsidR="00F670BD" w:rsidRPr="007F6CA8" w:rsidRDefault="00F670BD" w:rsidP="00731B1D">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58B44540" w14:textId="77777777" w:rsidR="00A54FD9" w:rsidRPr="007F6CA8" w:rsidRDefault="00A54FD9" w:rsidP="00731B1D">
      <w:pPr>
        <w:spacing w:beforeLines="60" w:before="144" w:afterLines="60" w:after="144" w:line="276" w:lineRule="auto"/>
        <w:rPr>
          <w:rFonts w:ascii="Sylfaen" w:hAnsi="Sylfaen"/>
        </w:rPr>
      </w:pPr>
    </w:p>
    <w:p w14:paraId="07A4DECE" w14:textId="392E38C1" w:rsidR="009A69D1" w:rsidRPr="007F6CA8" w:rsidRDefault="00004349" w:rsidP="00731B1D">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spacing w:beforeLines="60" w:before="144" w:afterLines="60" w:after="144" w:line="276" w:lineRule="auto"/>
        <w:rPr>
          <w:rFonts w:ascii="Sylfaen" w:hAnsi="Sylfaen"/>
          <w:b/>
          <w:sz w:val="24"/>
          <w:lang w:val="en-US"/>
        </w:rPr>
      </w:pPr>
      <w:r w:rsidRPr="007F6CA8">
        <w:rPr>
          <w:rFonts w:ascii="Sylfaen" w:hAnsi="Sylfaen"/>
          <w:b/>
          <w:sz w:val="21"/>
          <w:lang w:val="en-US"/>
        </w:rPr>
        <w:t>2</w:t>
      </w:r>
      <w:r w:rsidR="009A69D1" w:rsidRPr="007F6CA8">
        <w:rPr>
          <w:rFonts w:ascii="Sylfaen" w:hAnsi="Sylfaen"/>
          <w:b/>
          <w:sz w:val="21"/>
          <w:lang w:val="en-US"/>
        </w:rPr>
        <w:t xml:space="preserve">. </w:t>
      </w:r>
      <w:r w:rsidR="00D31260" w:rsidRPr="007F6CA8">
        <w:rPr>
          <w:rFonts w:ascii="Sylfaen" w:hAnsi="Sylfaen"/>
          <w:b/>
          <w:sz w:val="24"/>
          <w:lang w:val="ka-GE"/>
        </w:rPr>
        <w:t>უნარების შეუსაბამობის ინდიკატორი: დასაქმების, განთლებისა თუ გადამზადების პროცესის მიღმა მყოფი პირი</w:t>
      </w:r>
    </w:p>
    <w:p w14:paraId="369C62BA" w14:textId="63C607A4" w:rsidR="00D31260" w:rsidRPr="007F6CA8" w:rsidRDefault="00D31260" w:rsidP="00731B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Lines="60" w:before="144" w:afterLines="60" w:after="144" w:line="276" w:lineRule="auto"/>
        <w:ind w:firstLine="851"/>
        <w:jc w:val="both"/>
        <w:rPr>
          <w:rFonts w:ascii="Sylfaen" w:hAnsi="Sylfaen"/>
          <w:sz w:val="22"/>
          <w:szCs w:val="22"/>
          <w:lang w:val="ka-GE"/>
        </w:rPr>
      </w:pPr>
      <w:r w:rsidRPr="007F6CA8">
        <w:rPr>
          <w:rFonts w:ascii="Sylfaen" w:hAnsi="Sylfaen"/>
          <w:sz w:val="22"/>
          <w:szCs w:val="22"/>
          <w:lang w:val="ka-GE"/>
        </w:rPr>
        <w:t>ეს მეთოდოლოგია თვლის იმ ახალგაზრდების მაჩვენებლებს, რომლებიც არც საგანმანათლებლო დაწესებულებაში არ</w:t>
      </w:r>
      <w:r w:rsidR="00E67D65" w:rsidRPr="007F6CA8">
        <w:rPr>
          <w:rFonts w:ascii="Sylfaen" w:hAnsi="Sylfaen"/>
          <w:sz w:val="22"/>
          <w:szCs w:val="22"/>
          <w:lang w:val="ka-GE"/>
        </w:rPr>
        <w:t>ი</w:t>
      </w:r>
      <w:r w:rsidRPr="007F6CA8">
        <w:rPr>
          <w:rFonts w:ascii="Sylfaen" w:hAnsi="Sylfaen"/>
          <w:sz w:val="22"/>
          <w:szCs w:val="22"/>
          <w:lang w:val="ka-GE"/>
        </w:rPr>
        <w:t>ან ჩართულები, არც დას</w:t>
      </w:r>
      <w:r w:rsidR="000F50CD" w:rsidRPr="007F6CA8">
        <w:rPr>
          <w:rFonts w:ascii="Sylfaen" w:hAnsi="Sylfaen"/>
          <w:sz w:val="22"/>
          <w:szCs w:val="22"/>
          <w:lang w:val="ka-GE"/>
        </w:rPr>
        <w:t>ა</w:t>
      </w:r>
      <w:r w:rsidRPr="007F6CA8">
        <w:rPr>
          <w:rFonts w:ascii="Sylfaen" w:hAnsi="Sylfaen"/>
          <w:sz w:val="22"/>
          <w:szCs w:val="22"/>
          <w:lang w:val="ka-GE"/>
        </w:rPr>
        <w:t>ქმებაში, და არც ტრენინგში. ამგვარად ითვლება იმ ახალგაზრდების მაჩვენებელი, რომელიც აქტიურად არაა ჩართული შრომის ბაზარზე ან განათლებაში. აქ ძირითდ მი</w:t>
      </w:r>
      <w:r w:rsidR="00F44518" w:rsidRPr="007F6CA8">
        <w:rPr>
          <w:rFonts w:ascii="Sylfaen" w:hAnsi="Sylfaen"/>
          <w:sz w:val="22"/>
          <w:szCs w:val="22"/>
          <w:lang w:val="ka-GE"/>
        </w:rPr>
        <w:t xml:space="preserve">ზეზია შეუსაბამობის რომელიმე ფორმა, ვინაიდან განათლების სისტემის გარეთ მყოფებს, სავარაუდოდ, უკვე დასრულებული აქვთ განათლება და რაიმე ფორმით უნდა დასაქმდნენ. ამგვარად, ეს ინდიკატორი ბაზარზე ჩაურთველობას და უმუშევრობას მოიცავს. </w:t>
      </w:r>
    </w:p>
    <w:p w14:paraId="56D6479A" w14:textId="6546A3CE" w:rsidR="00F44518" w:rsidRPr="007F6CA8" w:rsidRDefault="00F44518"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საქართველოს </w:t>
      </w:r>
      <w:r w:rsidR="0025460E" w:rsidRPr="007F6CA8">
        <w:rPr>
          <w:rFonts w:ascii="Sylfaen" w:hAnsi="Sylfaen"/>
          <w:sz w:val="22"/>
          <w:szCs w:val="22"/>
        </w:rPr>
        <w:t>NEET</w:t>
      </w:r>
      <w:r w:rsidRPr="007F6CA8">
        <w:rPr>
          <w:rFonts w:ascii="Sylfaen" w:hAnsi="Sylfaen"/>
          <w:sz w:val="22"/>
          <w:szCs w:val="22"/>
          <w:lang w:val="ka-GE"/>
        </w:rPr>
        <w:t xml:space="preserve"> მაჩვენებელი ასახავს, რომ 15-19 წლის ასაკის პირებს შორის ეს მაჩვენებელი ყველაზე დაბალია. ზოგადად, დაბალი მაჩვენებელი კარგია, ვინაიდან პირი ან დასაქმებულია, ან ემზადება დასაქმებისთვის და საამისოდ იღებს განათლებას ან გადის  გადამზადებას.</w:t>
      </w:r>
    </w:p>
    <w:p w14:paraId="6207099A" w14:textId="08672B34" w:rsidR="00F44518" w:rsidRPr="007F6CA8" w:rsidRDefault="00F44518"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ყველაზე ახალგაზრდა ჯგუფს, 15-19 წლის ასაკობრივი კატეგორიას, სავარაუდოდ ჯერ კიდევ არ დაუმავრებია განათლების მიღება და აქედან გამომდინარე, ჯერ კიდევ საგანმანათლებლო სისტემაშია. მონაწილეობასთან</w:t>
      </w:r>
      <w:r w:rsidR="0031422B" w:rsidRPr="007F6CA8">
        <w:rPr>
          <w:rFonts w:ascii="Sylfaen" w:hAnsi="Sylfaen"/>
          <w:sz w:val="22"/>
          <w:szCs w:val="22"/>
          <w:lang w:val="ka-GE"/>
        </w:rPr>
        <w:t>,</w:t>
      </w:r>
      <w:r w:rsidRPr="007F6CA8">
        <w:rPr>
          <w:rFonts w:ascii="Sylfaen" w:hAnsi="Sylfaen"/>
          <w:sz w:val="22"/>
          <w:szCs w:val="22"/>
          <w:lang w:val="ka-GE"/>
        </w:rPr>
        <w:t xml:space="preserve"> უმუშევრობა</w:t>
      </w:r>
      <w:r w:rsidR="0031422B" w:rsidRPr="007F6CA8">
        <w:rPr>
          <w:rFonts w:ascii="Sylfaen" w:hAnsi="Sylfaen"/>
          <w:sz w:val="22"/>
          <w:szCs w:val="22"/>
          <w:lang w:val="ka-GE"/>
        </w:rPr>
        <w:t>სთან</w:t>
      </w:r>
      <w:r w:rsidRPr="007F6CA8">
        <w:rPr>
          <w:rFonts w:ascii="Sylfaen" w:hAnsi="Sylfaen"/>
          <w:sz w:val="22"/>
          <w:szCs w:val="22"/>
          <w:lang w:val="ka-GE"/>
        </w:rPr>
        <w:t>, ან უმუშევრობის</w:t>
      </w:r>
      <w:r w:rsidR="0031422B" w:rsidRPr="007F6CA8">
        <w:rPr>
          <w:rFonts w:ascii="Sylfaen" w:hAnsi="Sylfaen"/>
          <w:sz w:val="22"/>
          <w:szCs w:val="22"/>
          <w:lang w:val="ka-GE"/>
        </w:rPr>
        <w:t xml:space="preserve">ა და დასაქმების შეფარდებასთან დაკავშირებულ წინა ინდიკატორთან შედარებით ვიცით, რომ </w:t>
      </w:r>
      <w:r w:rsidR="0031422B" w:rsidRPr="007F6CA8">
        <w:rPr>
          <w:rFonts w:ascii="Sylfaen" w:hAnsi="Sylfaen"/>
          <w:sz w:val="22"/>
          <w:szCs w:val="22"/>
          <w:lang w:val="ka-GE"/>
        </w:rPr>
        <w:lastRenderedPageBreak/>
        <w:t xml:space="preserve">მიუხედავად იმისა, რომ უმუშევრობა მაღალი იყო, იგი ზოგადი ჯგუფის მაინც მცირე ნაწილს წარმოადგენს. </w:t>
      </w:r>
    </w:p>
    <w:p w14:paraId="78F12561" w14:textId="6BB87483" w:rsidR="0031422B" w:rsidRPr="007F6CA8" w:rsidRDefault="0031422B"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იგივე არ ეხება 20-24 წლისა და 25-29 ასაკის ჯგუფების. აქ შეფარდება უფრო მაღალია, </w:t>
      </w:r>
      <w:r w:rsidR="00D32744" w:rsidRPr="007F6CA8">
        <w:rPr>
          <w:rFonts w:ascii="Sylfaen" w:hAnsi="Sylfaen"/>
          <w:sz w:val="22"/>
          <w:szCs w:val="22"/>
          <w:lang w:val="ka-GE"/>
        </w:rPr>
        <w:t>მერყეობბს 40% ფარგლებში (2012-2016). 20-24 წლის ასაკის შემთხვევაში, მეორე სურათი აჩვენებს უმუშევრობის მაღალ დონეს, ხოლო 25-29 წლის ასაკის დროს კი ამ მაჩვენებლის მნიშვნელოვნად კლებას (</w:t>
      </w:r>
      <w:r w:rsidR="00543B88" w:rsidRPr="007F6CA8">
        <w:rPr>
          <w:rFonts w:ascii="Sylfaen" w:hAnsi="Sylfaen"/>
          <w:sz w:val="22"/>
          <w:szCs w:val="22"/>
          <w:lang w:val="ka-GE"/>
        </w:rPr>
        <w:t xml:space="preserve">10 პროცენტული მაჩვენებლით). შესაბამისად, </w:t>
      </w:r>
      <w:r w:rsidR="00543B88" w:rsidRPr="007F6CA8">
        <w:rPr>
          <w:rFonts w:ascii="Sylfaen" w:hAnsi="Sylfaen"/>
          <w:sz w:val="22"/>
          <w:szCs w:val="22"/>
        </w:rPr>
        <w:t>NEET</w:t>
      </w:r>
      <w:r w:rsidR="00543B88" w:rsidRPr="007F6CA8">
        <w:rPr>
          <w:rFonts w:ascii="Sylfaen" w:hAnsi="Sylfaen"/>
          <w:sz w:val="22"/>
          <w:szCs w:val="22"/>
          <w:lang w:val="ka-GE"/>
        </w:rPr>
        <w:t xml:space="preserve">-ის მაჩვენებელი უნდა იყოს შედეგი შრომითი ბაზრიდან დროებითი გამოსვლის. </w:t>
      </w:r>
    </w:p>
    <w:p w14:paraId="4FAEF7B5" w14:textId="4A0AB73F" w:rsidR="001E6915" w:rsidRPr="007F6CA8" w:rsidRDefault="00543B88" w:rsidP="00731B1D">
      <w:pPr>
        <w:pStyle w:val="Caption"/>
        <w:keepNext/>
        <w:spacing w:beforeLines="60" w:before="144" w:afterLines="60" w:after="144" w:line="276" w:lineRule="auto"/>
        <w:rPr>
          <w:rFonts w:ascii="Sylfaen" w:hAnsi="Sylfaen"/>
          <w:b/>
          <w:i w:val="0"/>
          <w:color w:val="auto"/>
          <w:sz w:val="22"/>
          <w:szCs w:val="22"/>
          <w:lang w:val="en-GB"/>
        </w:rPr>
      </w:pPr>
      <w:bookmarkStart w:id="18" w:name="_Toc494972655"/>
      <w:bookmarkStart w:id="19" w:name="_Toc497904297"/>
      <w:r w:rsidRPr="007F6CA8">
        <w:rPr>
          <w:rFonts w:ascii="Sylfaen" w:hAnsi="Sylfaen"/>
          <w:b/>
          <w:i w:val="0"/>
          <w:color w:val="auto"/>
          <w:sz w:val="22"/>
          <w:szCs w:val="22"/>
          <w:lang w:val="ka-GE"/>
        </w:rPr>
        <w:t>სურათი</w:t>
      </w:r>
      <w:r w:rsidR="001E6915" w:rsidRPr="007F6CA8">
        <w:rPr>
          <w:rFonts w:ascii="Sylfaen" w:hAnsi="Sylfaen"/>
          <w:b/>
          <w:i w:val="0"/>
          <w:color w:val="auto"/>
          <w:sz w:val="22"/>
          <w:szCs w:val="22"/>
          <w:lang w:val="en-GB"/>
        </w:rPr>
        <w:t xml:space="preserve"> </w:t>
      </w:r>
      <w:r w:rsidR="001E6915" w:rsidRPr="007F6CA8">
        <w:rPr>
          <w:rFonts w:ascii="Sylfaen" w:hAnsi="Sylfaen"/>
          <w:b/>
          <w:i w:val="0"/>
          <w:color w:val="auto"/>
          <w:sz w:val="22"/>
          <w:szCs w:val="22"/>
          <w:lang w:val="en-GB"/>
        </w:rPr>
        <w:fldChar w:fldCharType="begin"/>
      </w:r>
      <w:r w:rsidR="001E6915" w:rsidRPr="007F6CA8">
        <w:rPr>
          <w:rFonts w:ascii="Sylfaen" w:hAnsi="Sylfaen"/>
          <w:b/>
          <w:i w:val="0"/>
          <w:color w:val="auto"/>
          <w:sz w:val="22"/>
          <w:szCs w:val="22"/>
          <w:lang w:val="en-GB"/>
        </w:rPr>
        <w:instrText xml:space="preserve"> SEQ Figure \* ARABIC </w:instrText>
      </w:r>
      <w:r w:rsidR="001E6915" w:rsidRPr="007F6CA8">
        <w:rPr>
          <w:rFonts w:ascii="Sylfaen" w:hAnsi="Sylfaen"/>
          <w:b/>
          <w:i w:val="0"/>
          <w:color w:val="auto"/>
          <w:sz w:val="22"/>
          <w:szCs w:val="22"/>
          <w:lang w:val="en-GB"/>
        </w:rPr>
        <w:fldChar w:fldCharType="separate"/>
      </w:r>
      <w:r w:rsidR="003120D1" w:rsidRPr="007F6CA8">
        <w:rPr>
          <w:rFonts w:ascii="Sylfaen" w:hAnsi="Sylfaen"/>
          <w:b/>
          <w:i w:val="0"/>
          <w:noProof/>
          <w:color w:val="auto"/>
          <w:sz w:val="22"/>
          <w:szCs w:val="22"/>
          <w:lang w:val="en-GB"/>
        </w:rPr>
        <w:t>9</w:t>
      </w:r>
      <w:r w:rsidR="001E6915" w:rsidRPr="007F6CA8">
        <w:rPr>
          <w:rFonts w:ascii="Sylfaen" w:hAnsi="Sylfaen"/>
          <w:b/>
          <w:i w:val="0"/>
          <w:color w:val="auto"/>
          <w:sz w:val="22"/>
          <w:szCs w:val="22"/>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ახალგაზრდები</w:t>
      </w:r>
      <w:r w:rsidR="001E6915" w:rsidRPr="007F6CA8">
        <w:rPr>
          <w:rFonts w:ascii="Sylfaen" w:hAnsi="Sylfaen"/>
          <w:b/>
          <w:i w:val="0"/>
          <w:color w:val="auto"/>
          <w:sz w:val="22"/>
          <w:szCs w:val="22"/>
          <w:lang w:val="en-GB"/>
        </w:rPr>
        <w:t xml:space="preserve"> (15-19, 20-24, 25-29)</w:t>
      </w:r>
      <w:r w:rsidRPr="007F6CA8">
        <w:rPr>
          <w:rFonts w:ascii="Sylfaen" w:hAnsi="Sylfaen"/>
          <w:b/>
          <w:i w:val="0"/>
          <w:color w:val="auto"/>
          <w:sz w:val="22"/>
          <w:szCs w:val="22"/>
          <w:lang w:val="ka-GE"/>
        </w:rPr>
        <w:t>, რომლებიც არ არიან ჩართულები დასაქმებაში, განათლებასა თუ გადამზადებაში</w:t>
      </w:r>
      <w:bookmarkEnd w:id="18"/>
      <w:bookmarkEnd w:id="19"/>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1E6915" w:rsidRPr="007F6CA8" w14:paraId="6DA4B987" w14:textId="77777777" w:rsidTr="00E02592">
        <w:tc>
          <w:tcPr>
            <w:tcW w:w="9061" w:type="dxa"/>
          </w:tcPr>
          <w:p w14:paraId="0661B68B" w14:textId="77777777" w:rsidR="001E6915" w:rsidRPr="007F6CA8" w:rsidRDefault="001E6915"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0761793A" wp14:editId="0DE23C10">
                  <wp:extent cx="5619750" cy="3286125"/>
                  <wp:effectExtent l="0" t="0" r="0" b="3175"/>
                  <wp:docPr id="103" name="Diagramm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39CF2502" w14:textId="357A48F0" w:rsidR="00E02592" w:rsidRPr="007F6CA8" w:rsidRDefault="00731B1D" w:rsidP="00731B1D">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00E02592" w:rsidRPr="007F6CA8">
        <w:rPr>
          <w:rFonts w:ascii="Sylfaen" w:hAnsi="Sylfaen"/>
          <w:sz w:val="18"/>
        </w:rPr>
        <w:t xml:space="preserve"> </w:t>
      </w:r>
    </w:p>
    <w:p w14:paraId="1B2952A6" w14:textId="77777777" w:rsidR="00731B1D" w:rsidRPr="007F6CA8" w:rsidRDefault="00731B1D" w:rsidP="00731B1D">
      <w:pPr>
        <w:spacing w:beforeLines="60" w:before="144" w:afterLines="60" w:after="144" w:line="276" w:lineRule="auto"/>
        <w:ind w:firstLine="709"/>
        <w:jc w:val="both"/>
        <w:rPr>
          <w:rFonts w:ascii="Sylfaen" w:hAnsi="Sylfaen"/>
          <w:sz w:val="22"/>
          <w:szCs w:val="22"/>
          <w:lang w:val="ka-GE"/>
        </w:rPr>
      </w:pPr>
    </w:p>
    <w:p w14:paraId="72DD61D6" w14:textId="3F28C91E" w:rsidR="00543B88" w:rsidRPr="007F6CA8" w:rsidRDefault="00543B88"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აქ ახსნა შესაძლოა გენდერული ფაქტორი იყოს: საქართველოში ქალები უფრო დიდხანს </w:t>
      </w:r>
      <w:r w:rsidR="00E67D65" w:rsidRPr="007F6CA8">
        <w:rPr>
          <w:rFonts w:ascii="Sylfaen" w:hAnsi="Sylfaen"/>
          <w:sz w:val="22"/>
          <w:szCs w:val="22"/>
          <w:lang w:val="ka-GE"/>
        </w:rPr>
        <w:t>რჩებ</w:t>
      </w:r>
      <w:r w:rsidRPr="007F6CA8">
        <w:rPr>
          <w:rFonts w:ascii="Sylfaen" w:hAnsi="Sylfaen"/>
          <w:sz w:val="22"/>
          <w:szCs w:val="22"/>
          <w:lang w:val="ka-GE"/>
        </w:rPr>
        <w:t xml:space="preserve">იან შრომითი ბაზრის მიღმა ოჯახური პასუხისმგებლობის გამო, ვინაიდან საქართველოში მეტ-ნაკლებად სწორედ ამ ასაკში ხდება ბავშვების გაჩენა. ოფიციალური სტატისტიკა აჩვენებს დიდ სხვაობას ქალებისა და მამაკაცების დასაქმებას შორის. გენდერული კვლევების მიხედვით ქართული ოჯახური ცხოვრება გენდერული უთანასწორობით ხასიათდება. ქალებსა და მამაკაცებს მკაფიოდ </w:t>
      </w:r>
      <w:r w:rsidR="00E67D65" w:rsidRPr="007F6CA8">
        <w:rPr>
          <w:rFonts w:ascii="Sylfaen" w:hAnsi="Sylfaen"/>
          <w:sz w:val="22"/>
          <w:szCs w:val="22"/>
          <w:lang w:val="ka-GE"/>
        </w:rPr>
        <w:t>გამოხატ</w:t>
      </w:r>
      <w:r w:rsidRPr="007F6CA8">
        <w:rPr>
          <w:rFonts w:ascii="Sylfaen" w:hAnsi="Sylfaen"/>
          <w:sz w:val="22"/>
          <w:szCs w:val="22"/>
          <w:lang w:val="ka-GE"/>
        </w:rPr>
        <w:t>ული არათანაბარი დასაქმების შესაძლელობები აქვთ.</w:t>
      </w:r>
    </w:p>
    <w:p w14:paraId="3364A209" w14:textId="4EF37F3C" w:rsidR="00543B88" w:rsidRPr="007F6CA8" w:rsidRDefault="00543B88"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ეს ხდება არამხოლოდ იმიტომ, რომ ბავშვებიან ქალებს არ შეუძლიათ ოჯახური პასუხისმგებლობების კომბინაცია სამსახურთან, მაგრამ ასევე იმიტომ, რომ გათხოვილი ქალები არცთუ ისე დამოუკიდებლები არიან გადაწყვეტილების მიღების დროს, რომელიც ეხება სამუშაოს არჩევას თუ სახლში დარჩენას</w:t>
      </w:r>
      <w:r w:rsidR="009E0125" w:rsidRPr="007F6CA8">
        <w:rPr>
          <w:rFonts w:ascii="Sylfaen" w:hAnsi="Sylfaen"/>
          <w:sz w:val="22"/>
          <w:szCs w:val="22"/>
          <w:lang w:val="ka-GE"/>
        </w:rPr>
        <w:t xml:space="preserve">. </w:t>
      </w:r>
    </w:p>
    <w:p w14:paraId="6E650426" w14:textId="0C86A792" w:rsidR="003A05CC" w:rsidRPr="007F6CA8" w:rsidRDefault="003A05CC"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lastRenderedPageBreak/>
        <w:t xml:space="preserve">თაობებისა და </w:t>
      </w:r>
      <w:r w:rsidR="00731B1D" w:rsidRPr="007F6CA8">
        <w:rPr>
          <w:rFonts w:ascii="Sylfaen" w:hAnsi="Sylfaen"/>
          <w:sz w:val="22"/>
          <w:szCs w:val="22"/>
          <w:lang w:val="ka-GE"/>
        </w:rPr>
        <w:t xml:space="preserve">გენდერის კვლევამ საქართველოში აჩვენა, რომ ქართველ კაცებს შეუძლიათ ერთპიროვნულად გადაწყვიტონ რა დროს დაუთმობენ ანაზღაურებად სამუშაოს, ხოლო ქალები კი ხშირად ითვალისწინებენ პარტნიორის მოსაზრებას იგივე საკითხზე (ბადურაშვილი და სხვები, 2011). </w:t>
      </w:r>
    </w:p>
    <w:p w14:paraId="48FA4427" w14:textId="64409E67" w:rsidR="004D35B5" w:rsidRPr="007F6CA8" w:rsidRDefault="00731B1D" w:rsidP="00731B1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აქედან გამომდინარე, ქალები უფრო ნაკლებად მონაწილეობენ შრომით ბაზარზე, ვიდრე კაცები: 15 და მეტი ასაკის ქალებისა და მამაკაცების შედარების შედეგად გამოვლინდა, რომ მამაკაცების 78% ეკონიმიკურად აქტიურები არიან, რაც არემატება ქალების 58%. ამის მსგავსად, დასაქმებული ქალების პროცენტი 53 შეადგენს, ხოლო იგივე მაჩვენებელი მამაკაცებისთვის 67% (საქსტატი, 2017)</w:t>
      </w:r>
      <w:r w:rsidR="001E6915" w:rsidRPr="007F6CA8">
        <w:rPr>
          <w:rFonts w:ascii="Sylfaen" w:hAnsi="Sylfaen"/>
          <w:sz w:val="22"/>
          <w:szCs w:val="22"/>
        </w:rPr>
        <w:t>.</w:t>
      </w:r>
      <w:r w:rsidR="001E6915" w:rsidRPr="007F6CA8">
        <w:rPr>
          <w:rStyle w:val="FootnoteReference"/>
          <w:rFonts w:ascii="Sylfaen" w:hAnsi="Sylfaen"/>
          <w:sz w:val="22"/>
          <w:szCs w:val="22"/>
        </w:rPr>
        <w:footnoteReference w:id="26"/>
      </w:r>
    </w:p>
    <w:p w14:paraId="32F86537" w14:textId="755CC357" w:rsidR="00004349" w:rsidRPr="007F6CA8" w:rsidRDefault="00004349" w:rsidP="00731B1D">
      <w:pPr>
        <w:spacing w:beforeLines="60" w:before="144" w:afterLines="60" w:after="144" w:line="276" w:lineRule="auto"/>
        <w:rPr>
          <w:rFonts w:ascii="Sylfaen" w:hAnsi="Sylfaen"/>
        </w:rPr>
      </w:pPr>
    </w:p>
    <w:p w14:paraId="066F60A6" w14:textId="45485034" w:rsidR="00513859" w:rsidRPr="007F6CA8" w:rsidRDefault="00004349" w:rsidP="00731B1D">
      <w:pPr>
        <w:pStyle w:val="Tablefirstcolumn"/>
        <w:pBdr>
          <w:top w:val="single" w:sz="4" w:space="1" w:color="auto"/>
          <w:left w:val="single" w:sz="4" w:space="4" w:color="auto"/>
          <w:bottom w:val="single" w:sz="4" w:space="1" w:color="auto"/>
          <w:right w:val="single" w:sz="4" w:space="4" w:color="auto"/>
        </w:pBdr>
        <w:shd w:val="clear" w:color="auto" w:fill="BFC0C1" w:themeFill="text2" w:themeFillTint="66"/>
        <w:spacing w:beforeLines="60" w:before="144" w:afterLines="60" w:after="144" w:line="276" w:lineRule="auto"/>
        <w:rPr>
          <w:rFonts w:ascii="Sylfaen" w:hAnsi="Sylfaen"/>
          <w:b/>
          <w:sz w:val="22"/>
          <w:lang w:val="en-US"/>
        </w:rPr>
      </w:pPr>
      <w:r w:rsidRPr="007F6CA8">
        <w:rPr>
          <w:rFonts w:ascii="Sylfaen" w:hAnsi="Sylfaen"/>
          <w:b/>
          <w:sz w:val="22"/>
          <w:lang w:val="en-US"/>
        </w:rPr>
        <w:t>3</w:t>
      </w:r>
      <w:r w:rsidR="00513859" w:rsidRPr="007F6CA8">
        <w:rPr>
          <w:rFonts w:ascii="Sylfaen" w:hAnsi="Sylfaen"/>
          <w:b/>
          <w:sz w:val="22"/>
          <w:lang w:val="en-US"/>
        </w:rPr>
        <w:t xml:space="preserve">. </w:t>
      </w:r>
      <w:r w:rsidR="00731B1D" w:rsidRPr="007F6CA8">
        <w:rPr>
          <w:rFonts w:ascii="Sylfaen" w:hAnsi="Sylfaen"/>
          <w:b/>
          <w:sz w:val="22"/>
          <w:lang w:val="ka-GE"/>
        </w:rPr>
        <w:t xml:space="preserve">უნარების შეუსაბამობის ინდიკატორი: შეფარდებითი უმუშევრობის მაჩვენებლების ვარიაცია (განათლების მიხედვით) </w:t>
      </w:r>
    </w:p>
    <w:p w14:paraId="724ED8D4" w14:textId="57C48343" w:rsidR="00513859" w:rsidRPr="007F6CA8" w:rsidRDefault="00731B1D" w:rsidP="00D04B7C">
      <w:pPr>
        <w:pBdr>
          <w:top w:val="single" w:sz="4" w:space="1" w:color="auto"/>
          <w:left w:val="single" w:sz="4" w:space="4" w:color="auto"/>
          <w:bottom w:val="single" w:sz="4" w:space="1" w:color="auto"/>
          <w:right w:val="single" w:sz="4" w:space="4" w:color="auto"/>
        </w:pBdr>
        <w:shd w:val="clear" w:color="auto" w:fill="BFC0C1" w:themeFill="text2" w:themeFillTint="66"/>
        <w:spacing w:beforeLines="60" w:before="144" w:afterLines="60" w:after="144" w:line="276" w:lineRule="auto"/>
        <w:ind w:firstLine="851"/>
        <w:jc w:val="both"/>
        <w:rPr>
          <w:rFonts w:ascii="Sylfaen" w:hAnsi="Sylfaen"/>
          <w:sz w:val="22"/>
        </w:rPr>
      </w:pPr>
      <w:r w:rsidRPr="007F6CA8">
        <w:rPr>
          <w:rFonts w:ascii="Sylfaen" w:hAnsi="Sylfaen"/>
          <w:sz w:val="22"/>
          <w:lang w:val="ka-GE"/>
        </w:rPr>
        <w:t>ინდიკატორი აჩვენებს, როგორ ხდება უმუშევრობის დევიაცია განათლების დონეებს შორის, მთელი ქვეყნის საშუალოს გამოთვლით. რაც უფრო მაღალია ვარიაციის ღირებულება, უფრო მაღალია შეუსაბამობა. მეთოდოლოგია ასევე შესაბამისი იქნება ისეთი ქვე-ჯგუფებისათვის, როგორიცაა ასაკი, ასაკი და სქესი, და (წინა) პროფესია.</w:t>
      </w:r>
      <w:r w:rsidR="00513859" w:rsidRPr="007F6CA8">
        <w:rPr>
          <w:rFonts w:ascii="Sylfaen" w:hAnsi="Sylfaen"/>
          <w:sz w:val="22"/>
        </w:rPr>
        <w:t xml:space="preserve"> </w:t>
      </w:r>
    </w:p>
    <w:p w14:paraId="56F404F5" w14:textId="72DF36ED" w:rsidR="00646738" w:rsidRPr="007F6CA8" w:rsidRDefault="00731B1D" w:rsidP="00396930">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შედარებითი უმუშევრობის </w:t>
      </w:r>
      <w:r w:rsidR="0092467A" w:rsidRPr="007F6CA8">
        <w:rPr>
          <w:rFonts w:ascii="Sylfaen" w:hAnsi="Sylfaen"/>
          <w:sz w:val="22"/>
          <w:szCs w:val="22"/>
          <w:lang w:val="ka-GE"/>
        </w:rPr>
        <w:t xml:space="preserve">მაჩვენებლები (იხ. სურათი 10) საშუალებას იძლევა სპეციფიკურ საგანმანათლებლო დონეზე არსებული ვარიაცია შევადაროთ მთელი ქვეყნის საშუალო მაჩვენებელს. უფრო მაღალი დონე აჩვენებს, რომ განათლების ამ დონის უფრო მეტი დევიაცია არსებობს, ანუ, სხვა სიტყვებით რომ ვთქვათ, უმუშევრობა განათლების სხვადასხვა დონეზე სხვადასხვანაირად მოქმედებს. ინდიკატორი მაღალია 2011 და 2012 წლებისათვის (0.13 და 0.14), ხოლო შემდგომ იკლებს - 0.05 2013 წელს და 0.02 2016 წელს. ეს საშუალებას გვაძლევს დავასკვნათ, რომ უმუშევრობის პოზიტიური ტრენდების ფონზე, რომელიც მნიშვნელოვნად შემცირდა 2011-2016 წლებში, </w:t>
      </w:r>
      <w:r w:rsidR="00396930" w:rsidRPr="007F6CA8">
        <w:rPr>
          <w:rFonts w:ascii="Sylfaen" w:hAnsi="Sylfaen"/>
          <w:sz w:val="22"/>
          <w:szCs w:val="22"/>
          <w:lang w:val="ka-GE"/>
        </w:rPr>
        <w:t>შეფარდებითი უმუშევრობის მაჩვენებლის ვარიაციის ინდიკატორი აქრობს საქართველოს შრომით ბაზარზე არსებულ პრობლემებს მოცემული პერიოდისათვის - მის ჰეტეროგენურობას საგანმანათლებლო განზომილებაში, კონკრეტულად კი, დასაქმებულების ზედმეტ განათლებაში. უნდა აღინიშნოს, რომ ზოგადად იგივე პოზიტიური მიმდინარეობა შეინიშნება მოცემულ დროშიც: ვარიაციის მაჩვენებლის მიხედვით უნარების შეუსაბამობის დონე საქართველოში მნიშვნელოვნად იკლებს, განსაკუთრებით 2011 და 2012 წლებში</w:t>
      </w:r>
      <w:r w:rsidR="00646738" w:rsidRPr="007F6CA8">
        <w:rPr>
          <w:rFonts w:ascii="Sylfaen" w:hAnsi="Sylfaen"/>
          <w:sz w:val="22"/>
          <w:szCs w:val="22"/>
        </w:rPr>
        <w:t>.</w:t>
      </w:r>
      <w:r w:rsidR="00646738" w:rsidRPr="007F6CA8">
        <w:rPr>
          <w:rStyle w:val="FootnoteReference"/>
          <w:rFonts w:ascii="Sylfaen" w:hAnsi="Sylfaen"/>
          <w:sz w:val="22"/>
          <w:szCs w:val="22"/>
        </w:rPr>
        <w:footnoteReference w:id="27"/>
      </w:r>
    </w:p>
    <w:p w14:paraId="6A6F0B82" w14:textId="477DE0F4" w:rsidR="00646738" w:rsidRPr="007F6CA8" w:rsidRDefault="00396930" w:rsidP="00731B1D">
      <w:pPr>
        <w:pStyle w:val="Caption"/>
        <w:keepNext/>
        <w:spacing w:beforeLines="60" w:before="144" w:afterLines="60" w:after="144" w:line="276" w:lineRule="auto"/>
        <w:ind w:left="1410" w:hanging="1410"/>
        <w:rPr>
          <w:rFonts w:ascii="Sylfaen" w:hAnsi="Sylfaen"/>
          <w:lang w:val="ka-GE"/>
        </w:rPr>
      </w:pPr>
      <w:bookmarkStart w:id="20" w:name="_Toc497904298"/>
      <w:r w:rsidRPr="007F6CA8">
        <w:rPr>
          <w:rFonts w:ascii="Sylfaen" w:hAnsi="Sylfaen"/>
          <w:b/>
          <w:i w:val="0"/>
          <w:color w:val="auto"/>
          <w:sz w:val="22"/>
          <w:szCs w:val="22"/>
          <w:lang w:val="ka-GE"/>
        </w:rPr>
        <w:lastRenderedPageBreak/>
        <w:t>სურათი</w:t>
      </w:r>
      <w:r w:rsidR="00646738" w:rsidRPr="007F6CA8">
        <w:rPr>
          <w:rFonts w:ascii="Sylfaen" w:hAnsi="Sylfaen"/>
          <w:b/>
          <w:i w:val="0"/>
          <w:color w:val="auto"/>
          <w:sz w:val="22"/>
          <w:szCs w:val="22"/>
          <w:lang w:val="en-GB"/>
        </w:rPr>
        <w:t xml:space="preserve"> </w:t>
      </w:r>
      <w:r w:rsidR="00646738" w:rsidRPr="007F6CA8">
        <w:rPr>
          <w:rFonts w:ascii="Sylfaen" w:hAnsi="Sylfaen"/>
          <w:lang w:val="en-GB"/>
        </w:rPr>
        <w:fldChar w:fldCharType="begin"/>
      </w:r>
      <w:r w:rsidR="00646738" w:rsidRPr="007F6CA8">
        <w:rPr>
          <w:rFonts w:ascii="Sylfaen" w:hAnsi="Sylfaen"/>
          <w:b/>
          <w:i w:val="0"/>
          <w:color w:val="auto"/>
          <w:sz w:val="22"/>
          <w:szCs w:val="22"/>
          <w:lang w:val="en-GB"/>
        </w:rPr>
        <w:instrText xml:space="preserve"> SEQ Figure \* ARABIC </w:instrText>
      </w:r>
      <w:r w:rsidR="00646738" w:rsidRPr="007F6CA8">
        <w:rPr>
          <w:rFonts w:ascii="Sylfaen" w:hAnsi="Sylfaen"/>
          <w:lang w:val="en-GB"/>
        </w:rPr>
        <w:fldChar w:fldCharType="separate"/>
      </w:r>
      <w:r w:rsidR="003120D1" w:rsidRPr="007F6CA8">
        <w:rPr>
          <w:rFonts w:ascii="Sylfaen" w:hAnsi="Sylfaen"/>
          <w:b/>
          <w:i w:val="0"/>
          <w:noProof/>
          <w:color w:val="auto"/>
          <w:sz w:val="22"/>
          <w:szCs w:val="22"/>
          <w:lang w:val="en-GB"/>
        </w:rPr>
        <w:t>10</w:t>
      </w:r>
      <w:r w:rsidR="00646738" w:rsidRPr="007F6CA8">
        <w:rPr>
          <w:rFonts w:ascii="Sylfaen" w:hAnsi="Sylfaen"/>
          <w:lang w:val="en-GB"/>
        </w:rPr>
        <w:fldChar w:fldCharType="end"/>
      </w:r>
      <w:r w:rsidRPr="007F6CA8">
        <w:rPr>
          <w:rFonts w:ascii="Sylfaen" w:hAnsi="Sylfaen"/>
          <w:b/>
          <w:i w:val="0"/>
          <w:color w:val="auto"/>
          <w:sz w:val="22"/>
          <w:szCs w:val="22"/>
          <w:lang w:val="en-GB"/>
        </w:rPr>
        <w:tab/>
      </w:r>
      <w:r w:rsidR="004049FB" w:rsidRPr="007F6CA8">
        <w:rPr>
          <w:rFonts w:ascii="Sylfaen" w:hAnsi="Sylfaen"/>
          <w:b/>
          <w:i w:val="0"/>
          <w:color w:val="auto"/>
          <w:sz w:val="22"/>
          <w:szCs w:val="22"/>
          <w:lang w:val="ka-GE"/>
        </w:rPr>
        <w:t>შედარებითი უმუშევრობის დონის ვარიაცია,</w:t>
      </w:r>
      <w:r w:rsidR="00646738" w:rsidRPr="007F6CA8">
        <w:rPr>
          <w:rFonts w:ascii="Sylfaen" w:hAnsi="Sylfaen"/>
          <w:b/>
          <w:i w:val="0"/>
          <w:color w:val="auto"/>
          <w:sz w:val="22"/>
          <w:szCs w:val="22"/>
          <w:lang w:val="en-GB"/>
        </w:rPr>
        <w:t xml:space="preserve"> 15-64</w:t>
      </w:r>
      <w:bookmarkEnd w:id="20"/>
      <w:r w:rsidR="004049FB" w:rsidRPr="007F6CA8">
        <w:rPr>
          <w:rFonts w:ascii="Sylfaen" w:hAnsi="Sylfaen"/>
          <w:b/>
          <w:i w:val="0"/>
          <w:color w:val="auto"/>
          <w:sz w:val="22"/>
          <w:szCs w:val="22"/>
          <w:lang w:val="ka-GE"/>
        </w:rPr>
        <w:t xml:space="preserve"> წელი</w:t>
      </w:r>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646738" w:rsidRPr="007F6CA8" w14:paraId="0935A2BE" w14:textId="77777777" w:rsidTr="00646738">
        <w:tc>
          <w:tcPr>
            <w:tcW w:w="9061" w:type="dxa"/>
            <w:tcBorders>
              <w:top w:val="single" w:sz="4" w:space="0" w:color="auto"/>
              <w:left w:val="single" w:sz="4" w:space="0" w:color="auto"/>
              <w:bottom w:val="single" w:sz="4" w:space="0" w:color="auto"/>
              <w:right w:val="single" w:sz="4" w:space="0" w:color="auto"/>
            </w:tcBorders>
            <w:hideMark/>
          </w:tcPr>
          <w:p w14:paraId="411978A1" w14:textId="77777777" w:rsidR="00646738" w:rsidRPr="007F6CA8" w:rsidRDefault="00646738"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3C0F53A6" wp14:editId="02CC8479">
                  <wp:extent cx="5657850" cy="2781300"/>
                  <wp:effectExtent l="0" t="0" r="0" b="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07B988C9" w14:textId="5FB74842" w:rsidR="00004349" w:rsidRPr="007F6CA8" w:rsidRDefault="00873A4A" w:rsidP="00731B1D">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155BEF42" w14:textId="77777777" w:rsidR="007523B0" w:rsidRPr="007F6CA8" w:rsidRDefault="007523B0" w:rsidP="00731B1D">
      <w:pPr>
        <w:spacing w:beforeLines="60" w:before="144" w:afterLines="60" w:after="144" w:line="276" w:lineRule="auto"/>
        <w:rPr>
          <w:rFonts w:ascii="Sylfaen" w:hAnsi="Sylfaen"/>
          <w:sz w:val="18"/>
        </w:rPr>
      </w:pPr>
    </w:p>
    <w:p w14:paraId="4C2EEB7B" w14:textId="704BA06A" w:rsidR="00513859" w:rsidRPr="007F6CA8" w:rsidRDefault="00004349" w:rsidP="00731B1D">
      <w:pPr>
        <w:pStyle w:val="Tablefirstcolumn"/>
        <w:pBdr>
          <w:top w:val="single" w:sz="4" w:space="1" w:color="auto"/>
          <w:left w:val="single" w:sz="4" w:space="4" w:color="auto"/>
          <w:bottom w:val="single" w:sz="4" w:space="1" w:color="auto"/>
          <w:right w:val="single" w:sz="4" w:space="4" w:color="auto"/>
        </w:pBdr>
        <w:shd w:val="clear" w:color="auto" w:fill="BFC0C1" w:themeFill="text2" w:themeFillTint="66"/>
        <w:spacing w:beforeLines="60" w:before="144" w:afterLines="60" w:after="144" w:line="276" w:lineRule="auto"/>
        <w:rPr>
          <w:rFonts w:ascii="Sylfaen" w:hAnsi="Sylfaen"/>
          <w:b/>
          <w:sz w:val="22"/>
          <w:lang w:val="en-US"/>
        </w:rPr>
      </w:pPr>
      <w:r w:rsidRPr="007F6CA8">
        <w:rPr>
          <w:rFonts w:ascii="Sylfaen" w:hAnsi="Sylfaen"/>
          <w:b/>
          <w:sz w:val="22"/>
          <w:lang w:val="en-US"/>
        </w:rPr>
        <w:t>4</w:t>
      </w:r>
      <w:r w:rsidR="007523B0" w:rsidRPr="007F6CA8">
        <w:rPr>
          <w:rFonts w:ascii="Sylfaen" w:hAnsi="Sylfaen"/>
          <w:b/>
          <w:sz w:val="22"/>
          <w:lang w:val="en-US"/>
        </w:rPr>
        <w:t xml:space="preserve">. </w:t>
      </w:r>
      <w:r w:rsidR="007523B0" w:rsidRPr="007F6CA8">
        <w:rPr>
          <w:rFonts w:ascii="Sylfaen" w:hAnsi="Sylfaen"/>
          <w:b/>
          <w:sz w:val="22"/>
          <w:lang w:val="ka-GE"/>
        </w:rPr>
        <w:t>უნარების შეუსაბამობის ინდიკატორი: ვარიაციის კოეფიციენტი უნარების მიხედვით</w:t>
      </w:r>
    </w:p>
    <w:p w14:paraId="3F0CBB9B" w14:textId="2D22B08C" w:rsidR="00513859" w:rsidRPr="007F6CA8" w:rsidRDefault="007523B0" w:rsidP="00704345">
      <w:pPr>
        <w:pBdr>
          <w:top w:val="single" w:sz="4" w:space="1" w:color="auto"/>
          <w:left w:val="single" w:sz="4" w:space="4" w:color="auto"/>
          <w:bottom w:val="single" w:sz="4" w:space="1" w:color="auto"/>
          <w:right w:val="single" w:sz="4" w:space="4" w:color="auto"/>
        </w:pBdr>
        <w:shd w:val="clear" w:color="auto" w:fill="BFC0C1" w:themeFill="text2" w:themeFillTint="66"/>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ინდიკატორი ადარებს უნარების გადანაწილებას სხვადასხვა ჯგუფებში </w:t>
      </w:r>
      <w:r w:rsidR="009C1DD0" w:rsidRPr="007F6CA8">
        <w:rPr>
          <w:rFonts w:ascii="Sylfaen" w:hAnsi="Sylfaen"/>
          <w:sz w:val="22"/>
          <w:szCs w:val="22"/>
          <w:lang w:val="ka-GE"/>
        </w:rPr>
        <w:t>და ამავდროულად ასწორებს სტატისტიკის მთლიან ზომას. განსხვავება დასაქმებულებისა და უმუშევრების უნარებს შორის  გამოხატულია მხოლოდ ერთი ციფრით, რომელიც ზომავს</w:t>
      </w:r>
      <w:r w:rsidR="009953E8" w:rsidRPr="007F6CA8">
        <w:rPr>
          <w:rFonts w:ascii="Sylfaen" w:hAnsi="Sylfaen"/>
          <w:sz w:val="22"/>
          <w:szCs w:val="22"/>
          <w:lang w:val="ka-GE"/>
        </w:rPr>
        <w:t xml:space="preserve"> </w:t>
      </w:r>
      <w:r w:rsidR="00824307" w:rsidRPr="007F6CA8">
        <w:rPr>
          <w:rFonts w:ascii="Sylfaen" w:hAnsi="Sylfaen"/>
          <w:sz w:val="22"/>
          <w:szCs w:val="22"/>
          <w:lang w:val="ka-GE"/>
        </w:rPr>
        <w:t xml:space="preserve">შეუსაბამობის მთლიან მასშტაბს. რაც უფრო მაღალია რიცხვი, მით უფრო დიდია განსხვავება შრომით ბაზარზე უკვე დასაქმებული ადამიანების უნარებსა და ბაზარზე შესვლის მსურველი ადამიანების უნარებს შორის. </w:t>
      </w:r>
      <w:r w:rsidR="00704345" w:rsidRPr="007F6CA8">
        <w:rPr>
          <w:rFonts w:ascii="Sylfaen" w:hAnsi="Sylfaen"/>
          <w:sz w:val="22"/>
          <w:szCs w:val="22"/>
          <w:lang w:val="ka-GE"/>
        </w:rPr>
        <w:t>გადანაწილების განსხვავების მასშტაბი შეიძლება ინტერპრეტირებული იქნას, როგორც არაეფექტურობის ზომა, რომელიც გამოწვეულია შრომის ბაზარზე მიწოდებისა და მოთხოვნის შესაბამისობის პროცესიდან</w:t>
      </w:r>
      <w:r w:rsidR="00513859" w:rsidRPr="007F6CA8">
        <w:rPr>
          <w:rFonts w:ascii="Sylfaen" w:hAnsi="Sylfaen"/>
          <w:sz w:val="22"/>
          <w:szCs w:val="22"/>
        </w:rPr>
        <w:t xml:space="preserve"> (ETF 2012: 6)</w:t>
      </w:r>
      <w:r w:rsidR="00704345" w:rsidRPr="007F6CA8">
        <w:rPr>
          <w:rFonts w:ascii="Sylfaen" w:hAnsi="Sylfaen"/>
          <w:sz w:val="22"/>
          <w:szCs w:val="22"/>
          <w:lang w:val="ka-GE"/>
        </w:rPr>
        <w:t>.</w:t>
      </w:r>
    </w:p>
    <w:p w14:paraId="5752617E" w14:textId="0E11DC06" w:rsidR="00704345" w:rsidRPr="007F6CA8" w:rsidRDefault="0050111B" w:rsidP="00704345">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ცოტა განსხვავებული მიდგომა სხვადასხვა კვალიფიკაციის დონეებზე უმუშევრობის განსხვავებული ეფექტის გამოსათვლელად არის ვარიაციის კოეფიციენტი. სურათები 11-13 აჩვენებს ვარიაციის კოეფიციენტს, რომელიც ასახავს განსხვავებას უმუშევრების უნარებს და ზოგადად </w:t>
      </w:r>
      <w:r w:rsidR="004B4832" w:rsidRPr="007F6CA8">
        <w:rPr>
          <w:rFonts w:ascii="Sylfaen" w:hAnsi="Sylfaen"/>
          <w:sz w:val="22"/>
          <w:szCs w:val="22"/>
          <w:lang w:val="ka-GE"/>
        </w:rPr>
        <w:t xml:space="preserve">შრომის ასაკში მყოფი </w:t>
      </w:r>
      <w:r w:rsidRPr="007F6CA8">
        <w:rPr>
          <w:rFonts w:ascii="Sylfaen" w:hAnsi="Sylfaen"/>
          <w:sz w:val="22"/>
          <w:szCs w:val="22"/>
          <w:lang w:val="ka-GE"/>
        </w:rPr>
        <w:t>მოსახლეობის უნარებს</w:t>
      </w:r>
      <w:r w:rsidR="004B4832" w:rsidRPr="007F6CA8">
        <w:rPr>
          <w:rFonts w:ascii="Sylfaen" w:hAnsi="Sylfaen"/>
          <w:sz w:val="22"/>
          <w:szCs w:val="22"/>
          <w:lang w:val="ka-GE"/>
        </w:rPr>
        <w:t>.</w:t>
      </w:r>
      <w:r w:rsidRPr="007F6CA8">
        <w:rPr>
          <w:rFonts w:ascii="Sylfaen" w:hAnsi="Sylfaen"/>
          <w:sz w:val="22"/>
          <w:szCs w:val="22"/>
          <w:lang w:val="ka-GE"/>
        </w:rPr>
        <w:t xml:space="preserve"> </w:t>
      </w:r>
    </w:p>
    <w:p w14:paraId="5E328940" w14:textId="5DE798C6" w:rsidR="004B4832" w:rsidRPr="007F6CA8" w:rsidRDefault="004B4832" w:rsidP="00704345">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მიუხედავად იმისა, რომ </w:t>
      </w:r>
      <w:r w:rsidRPr="007F6CA8">
        <w:rPr>
          <w:rFonts w:ascii="Sylfaen" w:hAnsi="Sylfaen"/>
          <w:sz w:val="22"/>
          <w:szCs w:val="22"/>
        </w:rPr>
        <w:t>CVAR</w:t>
      </w:r>
      <w:r w:rsidRPr="007F6CA8">
        <w:rPr>
          <w:rFonts w:ascii="Sylfaen" w:hAnsi="Sylfaen"/>
          <w:sz w:val="22"/>
          <w:szCs w:val="22"/>
          <w:lang w:val="ka-GE"/>
        </w:rPr>
        <w:t xml:space="preserve"> შედარებით სტაბილურია 2011-2016 წლებისათვის, 2014 გვხვდება ყველაზე მაღალი მაჩვენებელი და შესაბამისად, ყველაზე დიდი განსხვავება უმუშევრების კვალიფიკაციასა და მოსახლეობის კვალიფიკაციების ნაზავს სორის. </w:t>
      </w:r>
    </w:p>
    <w:p w14:paraId="79F1342F" w14:textId="7A9E68CD" w:rsidR="00E167DE" w:rsidRPr="007F6CA8" w:rsidRDefault="004B4832"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bookmarkStart w:id="21" w:name="_Toc497904299"/>
      <w:r w:rsidRPr="007F6CA8">
        <w:rPr>
          <w:rFonts w:ascii="Sylfaen" w:hAnsi="Sylfaen"/>
          <w:b/>
          <w:i w:val="0"/>
          <w:color w:val="auto"/>
          <w:sz w:val="22"/>
          <w:szCs w:val="22"/>
          <w:lang w:val="ka-GE"/>
        </w:rPr>
        <w:lastRenderedPageBreak/>
        <w:t>სურათი</w:t>
      </w:r>
      <w:r w:rsidR="00E167DE" w:rsidRPr="007F6CA8">
        <w:rPr>
          <w:rFonts w:ascii="Sylfaen" w:hAnsi="Sylfaen"/>
          <w:b/>
          <w:i w:val="0"/>
          <w:color w:val="auto"/>
          <w:sz w:val="22"/>
          <w:szCs w:val="22"/>
          <w:lang w:val="en-GB"/>
        </w:rPr>
        <w:t xml:space="preserve"> </w:t>
      </w:r>
      <w:r w:rsidR="00E167DE" w:rsidRPr="007F6CA8">
        <w:rPr>
          <w:rFonts w:ascii="Sylfaen" w:hAnsi="Sylfaen"/>
          <w:lang w:val="en-GB"/>
        </w:rPr>
        <w:fldChar w:fldCharType="begin"/>
      </w:r>
      <w:r w:rsidR="00E167DE" w:rsidRPr="007F6CA8">
        <w:rPr>
          <w:rFonts w:ascii="Sylfaen" w:hAnsi="Sylfaen"/>
          <w:b/>
          <w:i w:val="0"/>
          <w:color w:val="auto"/>
          <w:sz w:val="22"/>
          <w:szCs w:val="22"/>
          <w:lang w:val="en-GB"/>
        </w:rPr>
        <w:instrText xml:space="preserve"> SEQ Figure \* ARABIC </w:instrText>
      </w:r>
      <w:r w:rsidR="00E167DE" w:rsidRPr="007F6CA8">
        <w:rPr>
          <w:rFonts w:ascii="Sylfaen" w:hAnsi="Sylfaen"/>
          <w:lang w:val="en-GB"/>
        </w:rPr>
        <w:fldChar w:fldCharType="separate"/>
      </w:r>
      <w:r w:rsidR="003120D1" w:rsidRPr="007F6CA8">
        <w:rPr>
          <w:rFonts w:ascii="Sylfaen" w:hAnsi="Sylfaen"/>
          <w:b/>
          <w:i w:val="0"/>
          <w:noProof/>
          <w:color w:val="auto"/>
          <w:sz w:val="22"/>
          <w:szCs w:val="22"/>
          <w:lang w:val="en-GB"/>
        </w:rPr>
        <w:t>11</w:t>
      </w:r>
      <w:r w:rsidR="00E167DE" w:rsidRPr="007F6CA8">
        <w:rPr>
          <w:rFonts w:ascii="Sylfaen" w:hAnsi="Sylfaen"/>
          <w:lang w:val="en-GB"/>
        </w:rPr>
        <w:fldChar w:fldCharType="end"/>
      </w:r>
      <w:r w:rsidR="00E167DE" w:rsidRPr="007F6CA8">
        <w:rPr>
          <w:rFonts w:ascii="Sylfaen" w:hAnsi="Sylfaen"/>
          <w:b/>
          <w:i w:val="0"/>
          <w:color w:val="auto"/>
          <w:sz w:val="22"/>
          <w:szCs w:val="22"/>
          <w:lang w:val="en-GB"/>
        </w:rPr>
        <w:tab/>
      </w:r>
      <w:r w:rsidRPr="007F6CA8">
        <w:rPr>
          <w:rFonts w:ascii="Sylfaen" w:hAnsi="Sylfaen"/>
          <w:b/>
          <w:i w:val="0"/>
          <w:color w:val="auto"/>
          <w:sz w:val="22"/>
          <w:szCs w:val="22"/>
          <w:lang w:val="ka-GE"/>
        </w:rPr>
        <w:t xml:space="preserve">კვალიფიკაციების შემადგენლობის </w:t>
      </w:r>
      <w:r w:rsidR="00B12321" w:rsidRPr="007F6CA8">
        <w:rPr>
          <w:rFonts w:ascii="Sylfaen" w:hAnsi="Sylfaen"/>
          <w:b/>
          <w:i w:val="0"/>
          <w:color w:val="auto"/>
          <w:sz w:val="22"/>
          <w:szCs w:val="22"/>
          <w:lang w:val="en-GB"/>
        </w:rPr>
        <w:t>CVAR</w:t>
      </w:r>
      <w:r w:rsidR="0066704D" w:rsidRPr="007F6CA8">
        <w:rPr>
          <w:rFonts w:ascii="Sylfaen" w:hAnsi="Sylfaen"/>
          <w:b/>
          <w:i w:val="0"/>
          <w:color w:val="auto"/>
          <w:sz w:val="22"/>
          <w:szCs w:val="22"/>
          <w:lang w:val="ka-GE"/>
        </w:rPr>
        <w:t>, 15-64 წლისთვის</w:t>
      </w:r>
      <w:bookmarkEnd w:id="21"/>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rsidRPr="007F6CA8" w14:paraId="083D4EC0"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356BEBAE" w14:textId="77777777" w:rsidR="00E167DE" w:rsidRPr="007F6CA8" w:rsidRDefault="00E167DE" w:rsidP="00731B1D">
            <w:pPr>
              <w:spacing w:beforeLines="60" w:before="144" w:afterLines="60" w:after="144" w:line="276" w:lineRule="auto"/>
              <w:rPr>
                <w:rFonts w:ascii="Sylfaen" w:hAnsi="Sylfaen"/>
              </w:rPr>
            </w:pPr>
            <w:r w:rsidRPr="007F6CA8">
              <w:rPr>
                <w:rFonts w:ascii="Sylfaen" w:hAnsi="Sylfaen"/>
                <w:noProof/>
                <w:lang w:eastAsia="en-GB"/>
              </w:rPr>
              <w:drawing>
                <wp:inline distT="0" distB="0" distL="0" distR="0" wp14:anchorId="19478D14" wp14:editId="23883330">
                  <wp:extent cx="5600700" cy="2631882"/>
                  <wp:effectExtent l="0" t="0" r="0" b="0"/>
                  <wp:docPr id="67" name="Diagram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662EFDCC" w14:textId="77777777" w:rsidR="0066704D" w:rsidRPr="007F6CA8" w:rsidRDefault="0066704D" w:rsidP="0066704D">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3BC7402F" w14:textId="355FD915" w:rsidR="004B4832" w:rsidRPr="007F6CA8" w:rsidRDefault="004B4832" w:rsidP="004B4832">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სურათი 12 საშუალებას გვაძლევს მოვიკვლიოთ </w:t>
      </w:r>
      <w:r w:rsidRPr="007F6CA8">
        <w:rPr>
          <w:rFonts w:ascii="Sylfaen" w:hAnsi="Sylfaen"/>
          <w:sz w:val="22"/>
          <w:szCs w:val="22"/>
        </w:rPr>
        <w:t>CVAR,</w:t>
      </w:r>
      <w:r w:rsidRPr="007F6CA8">
        <w:rPr>
          <w:rFonts w:ascii="Sylfaen" w:hAnsi="Sylfaen"/>
          <w:sz w:val="22"/>
          <w:szCs w:val="22"/>
          <w:lang w:val="ka-GE"/>
        </w:rPr>
        <w:t xml:space="preserve"> თუ ინდიკატორს სპეფიციკური ასაკობრივი ჯგუფით შემოვსაზღვრავთ. იგი საშუალებას იძლევა </w:t>
      </w:r>
      <w:r w:rsidR="00567DD1" w:rsidRPr="007F6CA8">
        <w:rPr>
          <w:rFonts w:ascii="Sylfaen" w:hAnsi="Sylfaen"/>
          <w:sz w:val="22"/>
          <w:szCs w:val="22"/>
          <w:lang w:val="ka-GE"/>
        </w:rPr>
        <w:t>დავინახოთ</w:t>
      </w:r>
      <w:r w:rsidR="00B57A1F" w:rsidRPr="007F6CA8">
        <w:rPr>
          <w:rFonts w:ascii="Sylfaen" w:hAnsi="Sylfaen"/>
          <w:sz w:val="22"/>
          <w:szCs w:val="22"/>
          <w:lang w:val="ka-GE"/>
        </w:rPr>
        <w:t xml:space="preserve">, იგივენაირია თუ არა განსხვავება უმუშევრების კვალიფიკაციებს შორის ყველა ასაკობრივ ჯგუფში. ეს, თავისთავად, ასე არ არის, ვინაიდან უფრო ახალგაზრდებში ეს ინდიკატორი უფრო მაღალია ვიდრე საშუალო ასაკის მოსახლეობაში, ხოლო ბოლოსკენ ინდიკატორი ისევ იზრდება. </w:t>
      </w:r>
      <w:r w:rsidR="00C158BA" w:rsidRPr="007F6CA8">
        <w:rPr>
          <w:rFonts w:ascii="Sylfaen" w:hAnsi="Sylfaen"/>
          <w:sz w:val="22"/>
          <w:szCs w:val="22"/>
          <w:lang w:val="ka-GE"/>
        </w:rPr>
        <w:t xml:space="preserve">საშუალო ასაკში დაბალი დონე აჩვენებს, რომ ამ ასაკში უმუშევრები გვანან სამუშაო ასაკის მოსახლეობას. უფრო ახალგაზრდა ასაკში, უფრო დიდია  განსხვავება უმუშევრებს შორის, რაც აჩვენებს, რომ უმუშვერობა დაკავშირეულია განათლების დონესთან, განსაკუთრებით კი ამ ასაკობრივ ჯგუფებში. ეს ადასტურებს ნაწილობრივ სურათს, რაც უმუშევრობის დონემ და </w:t>
      </w:r>
      <w:r w:rsidR="00165EC0" w:rsidRPr="007F6CA8">
        <w:rPr>
          <w:rFonts w:ascii="Sylfaen" w:hAnsi="Sylfaen"/>
          <w:sz w:val="22"/>
          <w:szCs w:val="22"/>
          <w:lang w:val="ka-GE"/>
        </w:rPr>
        <w:t>ჭარბი</w:t>
      </w:r>
      <w:r w:rsidR="00C158BA" w:rsidRPr="007F6CA8">
        <w:rPr>
          <w:rFonts w:ascii="Sylfaen" w:hAnsi="Sylfaen"/>
          <w:sz w:val="22"/>
          <w:szCs w:val="22"/>
          <w:lang w:val="ka-GE"/>
        </w:rPr>
        <w:t>/ნაკლები განათლების ინდიკატორმა შესძინა ამ ასაკობრივ ჯგუფს.</w:t>
      </w:r>
    </w:p>
    <w:p w14:paraId="243C2728" w14:textId="59D86904" w:rsidR="00E167DE" w:rsidRPr="007F6CA8" w:rsidRDefault="0066704D"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bookmarkStart w:id="22" w:name="_Toc497904300"/>
      <w:r w:rsidRPr="007F6CA8">
        <w:rPr>
          <w:rFonts w:ascii="Sylfaen" w:hAnsi="Sylfaen"/>
          <w:b/>
          <w:i w:val="0"/>
          <w:color w:val="auto"/>
          <w:sz w:val="22"/>
          <w:szCs w:val="22"/>
          <w:lang w:val="ka-GE"/>
        </w:rPr>
        <w:t>სურათი</w:t>
      </w:r>
      <w:r w:rsidR="00E167DE" w:rsidRPr="007F6CA8">
        <w:rPr>
          <w:rFonts w:ascii="Sylfaen" w:hAnsi="Sylfaen"/>
          <w:b/>
          <w:i w:val="0"/>
          <w:color w:val="auto"/>
          <w:sz w:val="22"/>
          <w:szCs w:val="22"/>
          <w:lang w:val="en-GB"/>
        </w:rPr>
        <w:t xml:space="preserve"> </w:t>
      </w:r>
      <w:r w:rsidR="00E167DE" w:rsidRPr="007F6CA8">
        <w:rPr>
          <w:rFonts w:ascii="Sylfaen" w:hAnsi="Sylfaen"/>
          <w:lang w:val="en-GB"/>
        </w:rPr>
        <w:fldChar w:fldCharType="begin"/>
      </w:r>
      <w:r w:rsidR="00E167DE" w:rsidRPr="007F6CA8">
        <w:rPr>
          <w:rFonts w:ascii="Sylfaen" w:hAnsi="Sylfaen"/>
          <w:b/>
          <w:i w:val="0"/>
          <w:color w:val="auto"/>
          <w:sz w:val="22"/>
          <w:szCs w:val="22"/>
          <w:lang w:val="en-GB"/>
        </w:rPr>
        <w:instrText xml:space="preserve"> SEQ Figure \* ARABIC </w:instrText>
      </w:r>
      <w:r w:rsidR="00E167DE" w:rsidRPr="007F6CA8">
        <w:rPr>
          <w:rFonts w:ascii="Sylfaen" w:hAnsi="Sylfaen"/>
          <w:lang w:val="en-GB"/>
        </w:rPr>
        <w:fldChar w:fldCharType="separate"/>
      </w:r>
      <w:r w:rsidR="003120D1" w:rsidRPr="007F6CA8">
        <w:rPr>
          <w:rFonts w:ascii="Sylfaen" w:hAnsi="Sylfaen"/>
          <w:b/>
          <w:i w:val="0"/>
          <w:noProof/>
          <w:color w:val="auto"/>
          <w:sz w:val="22"/>
          <w:szCs w:val="22"/>
          <w:lang w:val="en-GB"/>
        </w:rPr>
        <w:t>12</w:t>
      </w:r>
      <w:r w:rsidR="00E167DE" w:rsidRPr="007F6CA8">
        <w:rPr>
          <w:rFonts w:ascii="Sylfaen" w:hAnsi="Sylfaen"/>
          <w:lang w:val="en-GB"/>
        </w:rPr>
        <w:fldChar w:fldCharType="end"/>
      </w:r>
      <w:r w:rsidR="00E167DE" w:rsidRPr="007F6CA8">
        <w:rPr>
          <w:rFonts w:ascii="Sylfaen" w:hAnsi="Sylfaen"/>
          <w:b/>
          <w:i w:val="0"/>
          <w:color w:val="auto"/>
          <w:sz w:val="22"/>
          <w:szCs w:val="22"/>
          <w:lang w:val="en-GB"/>
        </w:rPr>
        <w:tab/>
      </w:r>
      <w:r w:rsidRPr="007F6CA8">
        <w:rPr>
          <w:rFonts w:ascii="Sylfaen" w:hAnsi="Sylfaen"/>
          <w:b/>
          <w:i w:val="0"/>
          <w:color w:val="auto"/>
          <w:sz w:val="22"/>
          <w:szCs w:val="22"/>
          <w:lang w:val="ka-GE"/>
        </w:rPr>
        <w:t xml:space="preserve">კვალიფიკაციის შემადგენლობის </w:t>
      </w:r>
      <w:r w:rsidRPr="007F6CA8">
        <w:rPr>
          <w:rFonts w:ascii="Sylfaen" w:hAnsi="Sylfaen"/>
          <w:b/>
          <w:i w:val="0"/>
          <w:color w:val="auto"/>
          <w:sz w:val="22"/>
          <w:szCs w:val="22"/>
          <w:lang w:val="en-US"/>
        </w:rPr>
        <w:t xml:space="preserve">CVAT, </w:t>
      </w:r>
      <w:r w:rsidRPr="007F6CA8">
        <w:rPr>
          <w:rFonts w:ascii="Sylfaen" w:hAnsi="Sylfaen"/>
          <w:b/>
          <w:i w:val="0"/>
          <w:color w:val="auto"/>
          <w:sz w:val="22"/>
          <w:szCs w:val="22"/>
          <w:lang w:val="ka-GE"/>
        </w:rPr>
        <w:t xml:space="preserve">2014 წლის რომაა? </w:t>
      </w:r>
      <w:bookmarkEnd w:id="22"/>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rsidRPr="007F6CA8" w14:paraId="2E2C51AC"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32B6E999" w14:textId="77777777" w:rsidR="00E167DE" w:rsidRPr="007F6CA8" w:rsidRDefault="00E167DE"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23506C8B" wp14:editId="46D07FA4">
                  <wp:extent cx="5076825" cy="2295525"/>
                  <wp:effectExtent l="0" t="0" r="3175" b="3175"/>
                  <wp:docPr id="68" name="Diagram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5E41AD58" w14:textId="77777777" w:rsidR="0066704D" w:rsidRPr="007F6CA8" w:rsidRDefault="0066704D" w:rsidP="0066704D">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576BF023" w14:textId="6CA78632" w:rsidR="00E167DE" w:rsidRPr="007F6CA8" w:rsidRDefault="0066704D" w:rsidP="00731B1D">
      <w:pPr>
        <w:pStyle w:val="Caption"/>
        <w:keepNext/>
        <w:spacing w:beforeLines="60" w:before="144" w:afterLines="60" w:after="144" w:line="276" w:lineRule="auto"/>
        <w:rPr>
          <w:rFonts w:ascii="Sylfaen" w:hAnsi="Sylfaen"/>
          <w:b/>
          <w:i w:val="0"/>
          <w:color w:val="auto"/>
          <w:sz w:val="22"/>
          <w:szCs w:val="22"/>
          <w:lang w:val="en-GB"/>
        </w:rPr>
      </w:pPr>
      <w:r w:rsidRPr="007F6CA8">
        <w:rPr>
          <w:rFonts w:ascii="Sylfaen" w:hAnsi="Sylfaen"/>
          <w:b/>
          <w:i w:val="0"/>
          <w:color w:val="auto"/>
          <w:sz w:val="22"/>
          <w:szCs w:val="22"/>
          <w:lang w:val="ka-GE"/>
        </w:rPr>
        <w:lastRenderedPageBreak/>
        <w:t>სურათი</w:t>
      </w:r>
      <w:r w:rsidR="00E167DE" w:rsidRPr="007F6CA8">
        <w:rPr>
          <w:rFonts w:ascii="Sylfaen" w:hAnsi="Sylfaen"/>
          <w:b/>
          <w:i w:val="0"/>
          <w:color w:val="auto"/>
          <w:sz w:val="22"/>
          <w:szCs w:val="22"/>
          <w:lang w:val="en-GB"/>
        </w:rPr>
        <w:t xml:space="preserve"> </w:t>
      </w:r>
      <w:r w:rsidR="00E167DE" w:rsidRPr="007F6CA8">
        <w:rPr>
          <w:rFonts w:ascii="Sylfaen" w:hAnsi="Sylfaen"/>
          <w:lang w:val="en-GB"/>
        </w:rPr>
        <w:fldChar w:fldCharType="begin"/>
      </w:r>
      <w:r w:rsidR="00E167DE" w:rsidRPr="007F6CA8">
        <w:rPr>
          <w:rFonts w:ascii="Sylfaen" w:hAnsi="Sylfaen"/>
          <w:b/>
          <w:i w:val="0"/>
          <w:color w:val="auto"/>
          <w:sz w:val="22"/>
          <w:szCs w:val="22"/>
          <w:lang w:val="en-GB"/>
        </w:rPr>
        <w:instrText xml:space="preserve"> SEQ Figure \* ARABIC </w:instrText>
      </w:r>
      <w:r w:rsidR="00E167DE" w:rsidRPr="007F6CA8">
        <w:rPr>
          <w:rFonts w:ascii="Sylfaen" w:hAnsi="Sylfaen"/>
          <w:lang w:val="en-GB"/>
        </w:rPr>
        <w:fldChar w:fldCharType="separate"/>
      </w:r>
      <w:r w:rsidR="003120D1" w:rsidRPr="007F6CA8">
        <w:rPr>
          <w:rFonts w:ascii="Sylfaen" w:hAnsi="Sylfaen"/>
          <w:b/>
          <w:i w:val="0"/>
          <w:noProof/>
          <w:color w:val="auto"/>
          <w:sz w:val="22"/>
          <w:szCs w:val="22"/>
          <w:lang w:val="en-GB"/>
        </w:rPr>
        <w:t>13</w:t>
      </w:r>
      <w:r w:rsidR="00E167DE" w:rsidRPr="007F6CA8">
        <w:rPr>
          <w:rFonts w:ascii="Sylfaen" w:hAnsi="Sylfaen"/>
          <w:lang w:val="en-GB"/>
        </w:rPr>
        <w:fldChar w:fldCharType="end"/>
      </w:r>
      <w:r w:rsidR="00E167DE" w:rsidRPr="007F6CA8">
        <w:rPr>
          <w:rFonts w:ascii="Sylfaen" w:hAnsi="Sylfaen"/>
          <w:b/>
          <w:i w:val="0"/>
          <w:color w:val="auto"/>
          <w:sz w:val="22"/>
          <w:szCs w:val="22"/>
          <w:lang w:val="en-GB"/>
        </w:rPr>
        <w:tab/>
      </w:r>
      <w:r w:rsidRPr="007F6CA8">
        <w:rPr>
          <w:rFonts w:ascii="Sylfaen" w:hAnsi="Sylfaen"/>
          <w:b/>
          <w:i w:val="0"/>
          <w:color w:val="auto"/>
          <w:sz w:val="22"/>
          <w:szCs w:val="22"/>
          <w:lang w:val="ka-GE"/>
        </w:rPr>
        <w:t xml:space="preserve">კვალიფიციების შემადგენლობის </w:t>
      </w:r>
      <w:r w:rsidR="00AB3E5A" w:rsidRPr="007F6CA8">
        <w:rPr>
          <w:rFonts w:ascii="Sylfaen" w:hAnsi="Sylfaen"/>
          <w:b/>
          <w:i w:val="0"/>
          <w:color w:val="auto"/>
          <w:sz w:val="22"/>
          <w:szCs w:val="22"/>
          <w:lang w:val="en-GB"/>
        </w:rPr>
        <w:t xml:space="preserve">CVAR, </w:t>
      </w:r>
      <w:r w:rsidRPr="007F6CA8">
        <w:rPr>
          <w:rFonts w:ascii="Sylfaen" w:hAnsi="Sylfaen"/>
          <w:b/>
          <w:i w:val="0"/>
          <w:color w:val="auto"/>
          <w:sz w:val="22"/>
          <w:szCs w:val="22"/>
          <w:lang w:val="en-GB"/>
        </w:rPr>
        <w:t xml:space="preserve">2011-2016 (15-64): </w:t>
      </w:r>
      <w:r w:rsidRPr="007F6CA8">
        <w:rPr>
          <w:rFonts w:ascii="Sylfaen" w:hAnsi="Sylfaen"/>
          <w:b/>
          <w:i w:val="0"/>
          <w:color w:val="auto"/>
          <w:sz w:val="22"/>
          <w:szCs w:val="22"/>
          <w:lang w:val="ka-GE"/>
        </w:rPr>
        <w:t>პროფესიული და არაპროფესიული განათლება ერთმანეთის საწინააღმდეგოდ</w:t>
      </w:r>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rsidRPr="007F6CA8" w14:paraId="066D67A8" w14:textId="77777777" w:rsidTr="00E167DE">
        <w:tc>
          <w:tcPr>
            <w:tcW w:w="9061" w:type="dxa"/>
            <w:tcBorders>
              <w:top w:val="single" w:sz="4" w:space="0" w:color="auto"/>
              <w:left w:val="single" w:sz="4" w:space="0" w:color="auto"/>
              <w:bottom w:val="single" w:sz="4" w:space="0" w:color="auto"/>
              <w:right w:val="single" w:sz="4" w:space="0" w:color="auto"/>
            </w:tcBorders>
            <w:hideMark/>
          </w:tcPr>
          <w:p w14:paraId="62E85763" w14:textId="77777777" w:rsidR="00E167DE" w:rsidRPr="007F6CA8" w:rsidRDefault="00E167DE" w:rsidP="00731B1D">
            <w:pPr>
              <w:spacing w:beforeLines="60" w:before="144" w:afterLines="60" w:after="144" w:line="276" w:lineRule="auto"/>
              <w:rPr>
                <w:rFonts w:ascii="Sylfaen" w:hAnsi="Sylfaen"/>
                <w:sz w:val="22"/>
                <w:szCs w:val="22"/>
              </w:rPr>
            </w:pPr>
            <w:r w:rsidRPr="007F6CA8">
              <w:rPr>
                <w:rFonts w:ascii="Sylfaen" w:hAnsi="Sylfaen"/>
                <w:noProof/>
                <w:lang w:eastAsia="en-GB"/>
              </w:rPr>
              <w:drawing>
                <wp:inline distT="0" distB="0" distL="0" distR="0" wp14:anchorId="205061DA" wp14:editId="6DA0D3A7">
                  <wp:extent cx="5210175" cy="2533650"/>
                  <wp:effectExtent l="0" t="0" r="0" b="0"/>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44ECB0A" w14:textId="77777777" w:rsidR="0066704D" w:rsidRPr="007F6CA8" w:rsidRDefault="0066704D" w:rsidP="0066704D">
      <w:pPr>
        <w:spacing w:beforeLines="60" w:before="144" w:afterLines="60" w:after="144" w:line="276" w:lineRule="auto"/>
        <w:rPr>
          <w:rFonts w:ascii="Sylfaen" w:hAnsi="Sylfaen"/>
          <w:sz w:val="18"/>
        </w:rPr>
      </w:pPr>
      <w:bookmarkStart w:id="23" w:name="_Toc497904294"/>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08E82CEF" w14:textId="3C0E9ABF" w:rsidR="00C158BA" w:rsidRPr="007F6CA8" w:rsidRDefault="00C158BA" w:rsidP="00C158BA">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სურათი 13 ოდნავ განსხვავებულადაა </w:t>
      </w:r>
      <w:r w:rsidR="0066704D" w:rsidRPr="007F6CA8">
        <w:rPr>
          <w:rFonts w:ascii="Sylfaen" w:hAnsi="Sylfaen"/>
          <w:sz w:val="22"/>
          <w:szCs w:val="22"/>
          <w:lang w:val="ka-GE"/>
        </w:rPr>
        <w:t xml:space="preserve">გამოთვლილი. </w:t>
      </w:r>
      <w:r w:rsidRPr="007F6CA8">
        <w:rPr>
          <w:rFonts w:ascii="Sylfaen" w:hAnsi="Sylfaen"/>
          <w:sz w:val="22"/>
          <w:szCs w:val="22"/>
          <w:lang w:val="ka-GE"/>
        </w:rPr>
        <w:t xml:space="preserve">იგი კვალიფიკაციას განასხვავებს მხოლოდ </w:t>
      </w:r>
      <w:r w:rsidR="0066704D" w:rsidRPr="007F6CA8">
        <w:rPr>
          <w:rFonts w:ascii="Sylfaen" w:hAnsi="Sylfaen"/>
          <w:sz w:val="22"/>
          <w:szCs w:val="22"/>
          <w:lang w:val="ka-GE"/>
        </w:rPr>
        <w:t>პროფე</w:t>
      </w:r>
      <w:r w:rsidRPr="007F6CA8">
        <w:rPr>
          <w:rFonts w:ascii="Sylfaen" w:hAnsi="Sylfaen"/>
          <w:sz w:val="22"/>
          <w:szCs w:val="22"/>
          <w:lang w:val="ka-GE"/>
        </w:rPr>
        <w:t>ს</w:t>
      </w:r>
      <w:r w:rsidR="0066704D" w:rsidRPr="007F6CA8">
        <w:rPr>
          <w:rFonts w:ascii="Sylfaen" w:hAnsi="Sylfaen"/>
          <w:sz w:val="22"/>
          <w:szCs w:val="22"/>
          <w:lang w:val="ka-GE"/>
        </w:rPr>
        <w:t>იულ</w:t>
      </w:r>
      <w:r w:rsidRPr="007F6CA8">
        <w:rPr>
          <w:rFonts w:ascii="Sylfaen" w:hAnsi="Sylfaen"/>
          <w:sz w:val="22"/>
          <w:szCs w:val="22"/>
          <w:lang w:val="ka-GE"/>
        </w:rPr>
        <w:t xml:space="preserve"> გ</w:t>
      </w:r>
      <w:r w:rsidR="0066704D" w:rsidRPr="007F6CA8">
        <w:rPr>
          <w:rFonts w:ascii="Sylfaen" w:hAnsi="Sylfaen"/>
          <w:sz w:val="22"/>
          <w:szCs w:val="22"/>
          <w:lang w:val="ka-GE"/>
        </w:rPr>
        <w:t xml:space="preserve">ანათლებად </w:t>
      </w:r>
      <w:r w:rsidRPr="007F6CA8">
        <w:rPr>
          <w:rFonts w:ascii="Sylfaen" w:hAnsi="Sylfaen"/>
          <w:sz w:val="22"/>
          <w:szCs w:val="22"/>
          <w:lang w:val="ka-GE"/>
        </w:rPr>
        <w:t>და არაპროფესიულ განათლებად</w:t>
      </w:r>
      <w:r w:rsidRPr="007F6CA8">
        <w:rPr>
          <w:rStyle w:val="FootnoteReference"/>
          <w:rFonts w:ascii="Sylfaen" w:hAnsi="Sylfaen"/>
          <w:sz w:val="22"/>
          <w:szCs w:val="22"/>
        </w:rPr>
        <w:footnoteReference w:id="28"/>
      </w:r>
      <w:r w:rsidRPr="007F6CA8">
        <w:rPr>
          <w:rFonts w:ascii="Sylfaen" w:hAnsi="Sylfaen"/>
          <w:sz w:val="22"/>
          <w:szCs w:val="22"/>
          <w:lang w:val="ka-GE"/>
        </w:rPr>
        <w:t xml:space="preserve"> და არა დონეებად. </w:t>
      </w:r>
      <w:r w:rsidR="00E61A9C" w:rsidRPr="007F6CA8">
        <w:rPr>
          <w:rFonts w:ascii="Sylfaen" w:hAnsi="Sylfaen"/>
          <w:sz w:val="22"/>
          <w:szCs w:val="22"/>
          <w:lang w:val="ka-GE"/>
        </w:rPr>
        <w:t xml:space="preserve">ამისი მიზანია გამოვთვალოთ, არის თუ არა განსხვავება პროფესიული განათლების მქონე ადამიანების უმუშევრობასა და სხვა ტიპის განათლების მქონეთა შორის. </w:t>
      </w:r>
    </w:p>
    <w:p w14:paraId="2B1CCFBD" w14:textId="03750CB7" w:rsidR="00E61A9C" w:rsidRPr="007F6CA8" w:rsidRDefault="00E61A9C" w:rsidP="00C158BA">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ვარიაციის კოეფიციენტი, რომელიც განასხვავებს პროფესიული და არაპროფესიული მომზადების მქონე მოსახლეობას სურათზე 13, აჩვენებს ნელა შემცირებად ვარიაციას დროთა განმავლობაში, რაც გულისხმობს, რომ პროფესიული განათლების მქონეთა უკეთესი დასაქმების მაჩვენებლები თანდათან კლებულობს, ე.ი., ვარიაცია იკლებს, რაც ნიშნავს, რომ ორი ჯგუფი უფრო თანაბრდება უმუშევრობასთან მიმართებით. ეს ძირითადად გამოწვეულია </w:t>
      </w:r>
      <w:r w:rsidR="0088556F" w:rsidRPr="007F6CA8">
        <w:rPr>
          <w:rFonts w:ascii="Sylfaen" w:hAnsi="Sylfaen"/>
          <w:sz w:val="22"/>
          <w:szCs w:val="22"/>
          <w:lang w:val="ka-GE"/>
        </w:rPr>
        <w:t>პროფესიულის მიღმა განათლების მქონე პოპულაციის დაბალი დასაქმების მაჩვენებლებით.</w:t>
      </w:r>
    </w:p>
    <w:p w14:paraId="6C493E33" w14:textId="77777777" w:rsidR="00004349" w:rsidRPr="007F6CA8" w:rsidRDefault="00004349" w:rsidP="00731B1D">
      <w:pPr>
        <w:spacing w:beforeLines="60" w:before="144" w:afterLines="60" w:after="144" w:line="276" w:lineRule="auto"/>
        <w:jc w:val="both"/>
        <w:rPr>
          <w:rFonts w:ascii="Sylfaen" w:hAnsi="Sylfaen"/>
        </w:rPr>
      </w:pPr>
    </w:p>
    <w:bookmarkEnd w:id="23"/>
    <w:p w14:paraId="1763C842" w14:textId="68580C49" w:rsidR="00513859" w:rsidRPr="007F6CA8" w:rsidRDefault="00004349" w:rsidP="00731B1D">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spacing w:beforeLines="60" w:before="144" w:afterLines="60" w:after="144" w:line="276" w:lineRule="auto"/>
        <w:rPr>
          <w:rFonts w:ascii="Sylfaen" w:hAnsi="Sylfaen"/>
          <w:b/>
          <w:sz w:val="22"/>
          <w:szCs w:val="22"/>
          <w:lang w:val="en-US"/>
        </w:rPr>
      </w:pPr>
      <w:r w:rsidRPr="007F6CA8">
        <w:rPr>
          <w:rFonts w:ascii="Sylfaen" w:hAnsi="Sylfaen"/>
          <w:b/>
          <w:sz w:val="22"/>
          <w:szCs w:val="22"/>
          <w:lang w:val="en-US"/>
        </w:rPr>
        <w:t>5</w:t>
      </w:r>
      <w:r w:rsidR="0088556F" w:rsidRPr="007F6CA8">
        <w:rPr>
          <w:rFonts w:ascii="Sylfaen" w:hAnsi="Sylfaen"/>
          <w:b/>
          <w:sz w:val="22"/>
          <w:szCs w:val="22"/>
          <w:lang w:val="en-US"/>
        </w:rPr>
        <w:t xml:space="preserve">. </w:t>
      </w:r>
      <w:r w:rsidR="0088556F" w:rsidRPr="007F6CA8">
        <w:rPr>
          <w:rFonts w:ascii="Sylfaen" w:hAnsi="Sylfaen"/>
          <w:b/>
          <w:sz w:val="22"/>
          <w:szCs w:val="22"/>
          <w:lang w:val="ka-GE"/>
        </w:rPr>
        <w:t>უნარების შეუსაბამობის ინდიკატორი: შედარებითი ხელფასები</w:t>
      </w:r>
    </w:p>
    <w:p w14:paraId="5F814905" w14:textId="1183305F" w:rsidR="0088556F" w:rsidRPr="007F6CA8" w:rsidRDefault="0088556F" w:rsidP="0088556F">
      <w:pPr>
        <w:pBdr>
          <w:top w:val="single" w:sz="4" w:space="1" w:color="auto"/>
          <w:left w:val="single" w:sz="4" w:space="4" w:color="auto"/>
          <w:bottom w:val="single" w:sz="4" w:space="1" w:color="auto"/>
          <w:right w:val="single" w:sz="4" w:space="4" w:color="auto"/>
        </w:pBdr>
        <w:shd w:val="clear" w:color="auto" w:fill="D9D9D9" w:themeFill="background1" w:themeFillShade="D9"/>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ეს მეთოდოლოგია ადარებს ხელფასებს განათლების დონეების მიხედვით და დროის პერიოდებში, ან ნიშნულ ხელფასთან შეფარდებით, ან საბაზისო წელიწადის ინდექსთან. შესაძლებელია მისი დიაგრამად გამოსახვა, ვინაიდან ადვილად ჩანს</w:t>
      </w:r>
      <w:r w:rsidR="00B447D9" w:rsidRPr="007F6CA8">
        <w:rPr>
          <w:rFonts w:ascii="Sylfaen" w:hAnsi="Sylfaen"/>
          <w:sz w:val="22"/>
          <w:szCs w:val="22"/>
          <w:lang w:val="ka-GE"/>
        </w:rPr>
        <w:t>, რამდენად მეტ-ნაკლებად კარგად ანაზღაურებადია განათლების კონკრეტული დონეები სხვებთან შედარებით, გარკვეული დროის განმავლობაში. როგორც ჩანს, განათლე</w:t>
      </w:r>
      <w:r w:rsidR="000E0810" w:rsidRPr="007F6CA8">
        <w:rPr>
          <w:rFonts w:ascii="Sylfaen" w:hAnsi="Sylfaen"/>
          <w:sz w:val="22"/>
          <w:szCs w:val="22"/>
          <w:lang w:val="ka-GE"/>
        </w:rPr>
        <w:t>ბ</w:t>
      </w:r>
      <w:r w:rsidR="00B447D9" w:rsidRPr="007F6CA8">
        <w:rPr>
          <w:rFonts w:ascii="Sylfaen" w:hAnsi="Sylfaen"/>
          <w:sz w:val="22"/>
          <w:szCs w:val="22"/>
          <w:lang w:val="ka-GE"/>
        </w:rPr>
        <w:t xml:space="preserve">ის დონე უფრო მაღალ </w:t>
      </w:r>
      <w:r w:rsidR="00B447D9" w:rsidRPr="007F6CA8">
        <w:rPr>
          <w:rFonts w:ascii="Sylfaen" w:hAnsi="Sylfaen"/>
          <w:sz w:val="22"/>
          <w:szCs w:val="22"/>
          <w:lang w:val="ka-GE"/>
        </w:rPr>
        <w:lastRenderedPageBreak/>
        <w:t xml:space="preserve">შემოსავალს იზიდავს, ვიდრე განათლების სხვა დონეების მქონე ადამიანები. ეს, შესაძლოა, იყოს ნიშანი, რომ განათლება უფრო მოთხოვნადია შრომით ბაზარზე. </w:t>
      </w:r>
    </w:p>
    <w:p w14:paraId="7DAE1238" w14:textId="15526A56" w:rsidR="00B447D9" w:rsidRPr="007F6CA8" w:rsidRDefault="00B447D9" w:rsidP="00B447D9">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სურათზე 14 წარმოდგენილი მონაცემები, რომელიც 2011-2016 წლებში ხელფასების ტენდენციებს ასახავს, აჩვენებს, რომ მთლიანობაში ზრდა 65% შეადგენდა, საიდანაც უმაღლესი განათლების მაჩვენებელი იყო 51%, საშუალო - 66%, ხოლო დაბალი განათლება - 182%. </w:t>
      </w:r>
      <w:r w:rsidR="00B5278B" w:rsidRPr="007F6CA8">
        <w:rPr>
          <w:rFonts w:ascii="Sylfaen" w:hAnsi="Sylfaen"/>
          <w:sz w:val="22"/>
          <w:szCs w:val="22"/>
          <w:lang w:val="ka-GE"/>
        </w:rPr>
        <w:t>ეს მონაცემები ასევე აჩვენებს, რომ დაბალი განათლების მქონე მუშახელის ხელფასები სხვა კატეგორიებთან შედარებით მნიშვნელოვნად გაიზარდა. ეს მიუთითებს, რომ ქართულ დასაქმების ბაზარზე ამ ტიპის განათლება უფრო მოთხოვნადი გა</w:t>
      </w:r>
      <w:bookmarkStart w:id="24" w:name="_GoBack"/>
      <w:bookmarkEnd w:id="24"/>
      <w:r w:rsidR="00B5278B" w:rsidRPr="007F6CA8">
        <w:rPr>
          <w:rFonts w:ascii="Sylfaen" w:hAnsi="Sylfaen"/>
          <w:sz w:val="22"/>
          <w:szCs w:val="22"/>
          <w:lang w:val="ka-GE"/>
        </w:rPr>
        <w:t xml:space="preserve">ხდა. თუმცა, 2014 წლის მონაცემებზე დაყრდნობით შეიძლება ითქვას, რომ უმაღლესი განათლების მქონეებს ექვსჯერ უფრო მაღალი ხელფასი აქვთ, ვიდრე დაბალი განათლების მქონეებს, ხოლო საშუალო განათლების მქონეებს დაბალთან შედარებით 2.5-ჯერ უფრო მაღალი ხელფასი აქვთ, რაც უნარებზე მოთხოვნაზე მიუთითებს. აქედან გამომდინარე, </w:t>
      </w:r>
      <w:r w:rsidR="00533D61" w:rsidRPr="007F6CA8">
        <w:rPr>
          <w:rFonts w:ascii="Sylfaen" w:hAnsi="Sylfaen"/>
          <w:sz w:val="22"/>
          <w:szCs w:val="22"/>
          <w:lang w:val="ka-GE"/>
        </w:rPr>
        <w:t xml:space="preserve">ერთ-ერთი ინტერპრეტაცია დაბალი განათლების </w:t>
      </w:r>
      <w:r w:rsidR="000E6CC1" w:rsidRPr="007F6CA8">
        <w:rPr>
          <w:rFonts w:ascii="Sylfaen" w:hAnsi="Sylfaen"/>
          <w:sz w:val="22"/>
          <w:szCs w:val="22"/>
          <w:lang w:val="ka-GE"/>
        </w:rPr>
        <w:t xml:space="preserve">მქონეთა ხელფასის ზრდისა შესაძლოა იყოს ამ ხელფასების ეკონომიკურ გაუმჯობესებასთან ერთად ზრდა, ვიდრე უმაღლეს და საშუალო განათლების შემთხვევაშია. აქედან გამომდინარე, ეს ადამიანები უფრო მეტ სარგებელს ღებულობენ ეკონომიკური წინსვლიდან. </w:t>
      </w:r>
    </w:p>
    <w:p w14:paraId="15C61AD2" w14:textId="03F64922" w:rsidR="000E6CC1" w:rsidRPr="007F6CA8" w:rsidRDefault="000E6CC1" w:rsidP="00B447D9">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ეს ასევე შესაძლოა უკავშირდებოდეს მუშაკების ანაზღაურებასთან დაკავშირებულ ტრენდებს სხვადასხვა ეკონომიკურ სექტორებში: თუ დასაქმებულთა საშუალო ყოველთვიური ნომინალური ხელფასის ტატისტიკას</w:t>
      </w:r>
      <w:r w:rsidRPr="007F6CA8">
        <w:rPr>
          <w:rStyle w:val="FootnoteReference"/>
          <w:rFonts w:ascii="Sylfaen" w:hAnsi="Sylfaen"/>
          <w:sz w:val="22"/>
          <w:szCs w:val="22"/>
        </w:rPr>
        <w:footnoteReference w:id="29"/>
      </w:r>
      <w:r w:rsidRPr="007F6CA8">
        <w:rPr>
          <w:rFonts w:ascii="Sylfaen" w:hAnsi="Sylfaen"/>
          <w:sz w:val="22"/>
          <w:szCs w:val="22"/>
          <w:lang w:val="ka-GE"/>
        </w:rPr>
        <w:t xml:space="preserve"> შევხედავთ, დავინახავთ, რომ 2014-2016 წლებში ყველაზე მნიშვნელოვანი ზრდა მშენებლობაში, წარმოებაში, სასტუმროსა და რესტორნების ბიზნესებში შეინიშნებოდა. ესაა სექტორები, სადაც </w:t>
      </w:r>
      <w:r w:rsidR="00114127" w:rsidRPr="007F6CA8">
        <w:rPr>
          <w:rFonts w:ascii="Sylfaen" w:hAnsi="Sylfaen"/>
          <w:sz w:val="22"/>
          <w:szCs w:val="22"/>
          <w:lang w:val="ka-GE"/>
        </w:rPr>
        <w:t xml:space="preserve">დიდი რაოდენობით საქმდებიან დაბალი განათლების მქონე ადამიანები. სურათი 15 აჩვენებს სხვადასხვა პროფესიულ ჯგუფებს შორის ხელფასების განვითარებასა და გადანაწილებას, როგორც </w:t>
      </w:r>
      <w:r w:rsidR="00114127" w:rsidRPr="007F6CA8">
        <w:rPr>
          <w:rFonts w:ascii="Sylfaen" w:hAnsi="Sylfaen"/>
          <w:sz w:val="22"/>
          <w:szCs w:val="22"/>
        </w:rPr>
        <w:t xml:space="preserve">ISCO </w:t>
      </w:r>
      <w:r w:rsidR="00114127" w:rsidRPr="007F6CA8">
        <w:rPr>
          <w:rFonts w:ascii="Sylfaen" w:hAnsi="Sylfaen"/>
          <w:sz w:val="22"/>
          <w:szCs w:val="22"/>
          <w:lang w:val="ka-GE"/>
        </w:rPr>
        <w:t xml:space="preserve">კლასიფიკაციის პირველი ციფრითაა აღნიშნული. საინტერესოა ასევე „კვალიფიციური სასოფლო-სამეურნეო და მეთევზეობის მუშაკების“ შემოსავლის დაბალი ოდენობა, რაც, სავარაუდოდ, წარმოადგენს საქართველოში თვითმოხმარებისათვის განკუთვნილი ფერმერობის ძლიერ ზეგავლენას. ამ ჯგუფს საბაზის პროფესიების შემოსავლის ნახევარი აქვს. შემოსავლის პროდუქტიულობის დონესთან თეორიულად გათანაბრება ნიშნავს, რომ სოფლის მეურნეობის პროფესიებში დასაქმება უნარების არასათანადოდ გამოყენებაზე მიუთითებს. </w:t>
      </w:r>
    </w:p>
    <w:p w14:paraId="74C4435B" w14:textId="42FFA79C" w:rsidR="00E167DE" w:rsidRPr="007F6CA8" w:rsidRDefault="00F129DF" w:rsidP="00731B1D">
      <w:pPr>
        <w:pStyle w:val="Caption"/>
        <w:keepNext/>
        <w:spacing w:beforeLines="60" w:before="144" w:afterLines="60" w:after="144" w:line="276" w:lineRule="auto"/>
        <w:rPr>
          <w:rFonts w:ascii="Sylfaen" w:hAnsi="Sylfaen"/>
          <w:b/>
          <w:i w:val="0"/>
          <w:color w:val="000000" w:themeColor="text1"/>
          <w:sz w:val="22"/>
          <w:lang w:val="en-GB"/>
        </w:rPr>
      </w:pPr>
      <w:r w:rsidRPr="007F6CA8">
        <w:rPr>
          <w:rFonts w:ascii="Sylfaen" w:hAnsi="Sylfaen"/>
          <w:b/>
          <w:i w:val="0"/>
          <w:color w:val="000000" w:themeColor="text1"/>
          <w:sz w:val="22"/>
          <w:lang w:val="ka-GE"/>
        </w:rPr>
        <w:lastRenderedPageBreak/>
        <w:t>სურათი</w:t>
      </w:r>
      <w:r w:rsidR="00E167DE" w:rsidRPr="007F6CA8">
        <w:rPr>
          <w:rFonts w:ascii="Sylfaen" w:hAnsi="Sylfaen"/>
          <w:b/>
          <w:i w:val="0"/>
          <w:color w:val="000000" w:themeColor="text1"/>
          <w:sz w:val="22"/>
          <w:lang w:val="en-GB"/>
        </w:rPr>
        <w:t xml:space="preserve"> </w:t>
      </w:r>
      <w:r w:rsidR="00E167DE" w:rsidRPr="007F6CA8">
        <w:rPr>
          <w:rFonts w:ascii="Sylfaen" w:hAnsi="Sylfaen"/>
          <w:b/>
          <w:i w:val="0"/>
          <w:color w:val="000000" w:themeColor="text1"/>
          <w:sz w:val="22"/>
          <w:lang w:val="en-GB"/>
        </w:rPr>
        <w:fldChar w:fldCharType="begin"/>
      </w:r>
      <w:r w:rsidR="00E167DE" w:rsidRPr="007F6CA8">
        <w:rPr>
          <w:rFonts w:ascii="Sylfaen" w:hAnsi="Sylfaen"/>
          <w:b/>
          <w:i w:val="0"/>
          <w:color w:val="000000" w:themeColor="text1"/>
          <w:sz w:val="22"/>
          <w:lang w:val="en-GB"/>
        </w:rPr>
        <w:instrText xml:space="preserve"> SEQ Figure \* ARABIC </w:instrText>
      </w:r>
      <w:r w:rsidR="00E167DE" w:rsidRPr="007F6CA8">
        <w:rPr>
          <w:rFonts w:ascii="Sylfaen" w:hAnsi="Sylfaen"/>
          <w:b/>
          <w:i w:val="0"/>
          <w:color w:val="000000" w:themeColor="text1"/>
          <w:sz w:val="22"/>
          <w:lang w:val="en-GB"/>
        </w:rPr>
        <w:fldChar w:fldCharType="separate"/>
      </w:r>
      <w:r w:rsidR="003120D1" w:rsidRPr="007F6CA8">
        <w:rPr>
          <w:rFonts w:ascii="Sylfaen" w:hAnsi="Sylfaen"/>
          <w:b/>
          <w:i w:val="0"/>
          <w:noProof/>
          <w:color w:val="000000" w:themeColor="text1"/>
          <w:sz w:val="22"/>
          <w:lang w:val="en-GB"/>
        </w:rPr>
        <w:t>14</w:t>
      </w:r>
      <w:r w:rsidR="00E167DE" w:rsidRPr="007F6CA8">
        <w:rPr>
          <w:rFonts w:ascii="Sylfaen" w:hAnsi="Sylfaen"/>
          <w:b/>
          <w:i w:val="0"/>
          <w:color w:val="000000" w:themeColor="text1"/>
          <w:sz w:val="22"/>
          <w:lang w:val="en-GB"/>
        </w:rPr>
        <w:fldChar w:fldCharType="end"/>
      </w:r>
      <w:r w:rsidR="00E167DE" w:rsidRPr="007F6CA8">
        <w:rPr>
          <w:rFonts w:ascii="Sylfaen" w:hAnsi="Sylfaen"/>
          <w:b/>
          <w:i w:val="0"/>
          <w:color w:val="000000" w:themeColor="text1"/>
          <w:sz w:val="22"/>
          <w:lang w:val="en-GB"/>
        </w:rPr>
        <w:tab/>
      </w:r>
      <w:r w:rsidRPr="007F6CA8">
        <w:rPr>
          <w:rFonts w:ascii="Sylfaen" w:hAnsi="Sylfaen"/>
          <w:b/>
          <w:i w:val="0"/>
          <w:color w:val="000000" w:themeColor="text1"/>
          <w:sz w:val="22"/>
          <w:lang w:val="ka-GE"/>
        </w:rPr>
        <w:t>შემოსავალი საქართველოში</w:t>
      </w:r>
      <w:r w:rsidR="00E167DE" w:rsidRPr="007F6CA8">
        <w:rPr>
          <w:rFonts w:ascii="Sylfaen" w:hAnsi="Sylfaen"/>
          <w:b/>
          <w:i w:val="0"/>
          <w:color w:val="000000" w:themeColor="text1"/>
          <w:sz w:val="22"/>
          <w:lang w:val="en-GB"/>
        </w:rPr>
        <w:t xml:space="preserve"> (</w:t>
      </w:r>
      <w:r w:rsidRPr="007F6CA8">
        <w:rPr>
          <w:rFonts w:ascii="Sylfaen" w:hAnsi="Sylfaen"/>
          <w:b/>
          <w:i w:val="0"/>
          <w:color w:val="000000" w:themeColor="text1"/>
          <w:sz w:val="22"/>
          <w:lang w:val="ka-GE"/>
        </w:rPr>
        <w:t>დაბალი განათლების ინდექსი 2014 წელს</w:t>
      </w:r>
      <w:r w:rsidR="00E167DE" w:rsidRPr="007F6CA8">
        <w:rPr>
          <w:rFonts w:ascii="Sylfaen" w:hAnsi="Sylfaen"/>
          <w:b/>
          <w:i w:val="0"/>
          <w:color w:val="000000" w:themeColor="text1"/>
          <w:sz w:val="22"/>
          <w:lang w:val="en-GB"/>
        </w:rPr>
        <w:t xml:space="preserve"> = 100)</w:t>
      </w:r>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rsidRPr="007F6CA8" w14:paraId="7743BC91" w14:textId="77777777" w:rsidTr="00565155">
        <w:tc>
          <w:tcPr>
            <w:tcW w:w="9061" w:type="dxa"/>
            <w:tcBorders>
              <w:top w:val="single" w:sz="4" w:space="0" w:color="auto"/>
              <w:left w:val="single" w:sz="4" w:space="0" w:color="auto"/>
              <w:bottom w:val="single" w:sz="4" w:space="0" w:color="auto"/>
              <w:right w:val="single" w:sz="4" w:space="0" w:color="auto"/>
            </w:tcBorders>
            <w:hideMark/>
          </w:tcPr>
          <w:p w14:paraId="2858F1DF" w14:textId="77777777" w:rsidR="00E167DE" w:rsidRPr="007F6CA8" w:rsidRDefault="00E167DE" w:rsidP="00731B1D">
            <w:pPr>
              <w:spacing w:beforeLines="60" w:before="144" w:afterLines="60" w:after="144" w:line="276" w:lineRule="auto"/>
              <w:rPr>
                <w:rFonts w:ascii="Sylfaen" w:hAnsi="Sylfaen"/>
                <w:sz w:val="22"/>
              </w:rPr>
            </w:pPr>
            <w:r w:rsidRPr="007F6CA8">
              <w:rPr>
                <w:rFonts w:ascii="Sylfaen" w:hAnsi="Sylfaen"/>
                <w:noProof/>
                <w:lang w:eastAsia="en-GB"/>
              </w:rPr>
              <w:drawing>
                <wp:inline distT="0" distB="0" distL="0" distR="0" wp14:anchorId="1E5FD58D" wp14:editId="79B1FAF2">
                  <wp:extent cx="5286375" cy="2590800"/>
                  <wp:effectExtent l="0" t="0" r="9525" b="1270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2C7D6B17" w14:textId="32BD0F5C" w:rsidR="00E167DE" w:rsidRPr="007F6CA8" w:rsidRDefault="00F129DF" w:rsidP="00731B1D">
      <w:pPr>
        <w:spacing w:beforeLines="60" w:before="144" w:afterLines="60" w:after="144" w:line="276" w:lineRule="auto"/>
        <w:rPr>
          <w:rFonts w:ascii="Sylfaen" w:hAnsi="Sylfaen" w:cs="Arial"/>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62821E88" w14:textId="509EB29B" w:rsidR="00E167DE" w:rsidRPr="007F6CA8" w:rsidRDefault="00F129DF" w:rsidP="00731B1D">
      <w:pPr>
        <w:pStyle w:val="Caption"/>
        <w:keepNext/>
        <w:spacing w:beforeLines="60" w:before="144" w:afterLines="60" w:after="144" w:line="276" w:lineRule="auto"/>
        <w:ind w:left="1410" w:hanging="1410"/>
        <w:rPr>
          <w:rFonts w:ascii="Sylfaen" w:hAnsi="Sylfaen"/>
          <w:b/>
          <w:i w:val="0"/>
          <w:color w:val="auto"/>
          <w:sz w:val="22"/>
          <w:lang w:val="en-US"/>
        </w:rPr>
      </w:pPr>
      <w:r w:rsidRPr="007F6CA8">
        <w:rPr>
          <w:rFonts w:ascii="Sylfaen" w:hAnsi="Sylfaen"/>
          <w:b/>
          <w:i w:val="0"/>
          <w:color w:val="auto"/>
          <w:sz w:val="22"/>
          <w:lang w:val="ka-GE"/>
        </w:rPr>
        <w:lastRenderedPageBreak/>
        <w:t>სურათი</w:t>
      </w:r>
      <w:r w:rsidR="00E167DE" w:rsidRPr="007F6CA8">
        <w:rPr>
          <w:rFonts w:ascii="Sylfaen" w:hAnsi="Sylfaen"/>
          <w:b/>
          <w:i w:val="0"/>
          <w:color w:val="auto"/>
          <w:sz w:val="22"/>
          <w:lang w:val="en-US"/>
        </w:rPr>
        <w:t xml:space="preserve"> </w:t>
      </w:r>
      <w:r w:rsidR="00E167DE" w:rsidRPr="007F6CA8">
        <w:rPr>
          <w:rFonts w:ascii="Sylfaen" w:hAnsi="Sylfaen"/>
          <w:b/>
          <w:i w:val="0"/>
          <w:color w:val="auto"/>
          <w:sz w:val="22"/>
        </w:rPr>
        <w:fldChar w:fldCharType="begin"/>
      </w:r>
      <w:r w:rsidR="00E167DE" w:rsidRPr="007F6CA8">
        <w:rPr>
          <w:rFonts w:ascii="Sylfaen" w:hAnsi="Sylfaen"/>
          <w:b/>
          <w:i w:val="0"/>
          <w:color w:val="auto"/>
          <w:sz w:val="22"/>
          <w:lang w:val="en-US"/>
        </w:rPr>
        <w:instrText xml:space="preserve"> SEQ Figure \* ARABIC </w:instrText>
      </w:r>
      <w:r w:rsidR="00E167DE" w:rsidRPr="007F6CA8">
        <w:rPr>
          <w:rFonts w:ascii="Sylfaen" w:hAnsi="Sylfaen"/>
          <w:b/>
          <w:i w:val="0"/>
          <w:color w:val="auto"/>
          <w:sz w:val="22"/>
        </w:rPr>
        <w:fldChar w:fldCharType="separate"/>
      </w:r>
      <w:r w:rsidR="003120D1" w:rsidRPr="007F6CA8">
        <w:rPr>
          <w:rFonts w:ascii="Sylfaen" w:hAnsi="Sylfaen"/>
          <w:b/>
          <w:i w:val="0"/>
          <w:noProof/>
          <w:color w:val="auto"/>
          <w:sz w:val="22"/>
          <w:lang w:val="en-US"/>
        </w:rPr>
        <w:t>15</w:t>
      </w:r>
      <w:r w:rsidR="00E167DE" w:rsidRPr="007F6CA8">
        <w:rPr>
          <w:rFonts w:ascii="Sylfaen" w:hAnsi="Sylfaen"/>
          <w:b/>
          <w:i w:val="0"/>
          <w:color w:val="auto"/>
          <w:sz w:val="22"/>
        </w:rPr>
        <w:fldChar w:fldCharType="end"/>
      </w:r>
      <w:r w:rsidRPr="007F6CA8">
        <w:rPr>
          <w:rFonts w:ascii="Sylfaen" w:hAnsi="Sylfaen"/>
          <w:b/>
          <w:i w:val="0"/>
          <w:color w:val="auto"/>
          <w:sz w:val="22"/>
          <w:lang w:val="en-US"/>
        </w:rPr>
        <w:tab/>
      </w:r>
      <w:r w:rsidRPr="007F6CA8">
        <w:rPr>
          <w:rFonts w:ascii="Sylfaen" w:hAnsi="Sylfaen"/>
          <w:b/>
          <w:i w:val="0"/>
          <w:color w:val="auto"/>
          <w:sz w:val="22"/>
          <w:lang w:val="ka-GE"/>
        </w:rPr>
        <w:t>საქართველო</w:t>
      </w:r>
      <w:r w:rsidR="00E167DE" w:rsidRPr="007F6CA8">
        <w:rPr>
          <w:rFonts w:ascii="Sylfaen" w:hAnsi="Sylfaen"/>
          <w:b/>
          <w:i w:val="0"/>
          <w:color w:val="auto"/>
          <w:sz w:val="22"/>
          <w:lang w:val="en-US"/>
        </w:rPr>
        <w:t>:</w:t>
      </w:r>
      <w:r w:rsidRPr="007F6CA8">
        <w:rPr>
          <w:rFonts w:ascii="Sylfaen" w:hAnsi="Sylfaen"/>
          <w:b/>
          <w:i w:val="0"/>
          <w:color w:val="auto"/>
          <w:sz w:val="22"/>
          <w:lang w:val="ka-GE"/>
        </w:rPr>
        <w:t xml:space="preserve"> პროფესიებით მომუშავე პირების საშუალო ხელფასი (საბაზისო პროფესოები</w:t>
      </w:r>
      <w:r w:rsidR="00E167DE" w:rsidRPr="007F6CA8">
        <w:rPr>
          <w:rFonts w:ascii="Sylfaen" w:hAnsi="Sylfaen"/>
          <w:b/>
          <w:i w:val="0"/>
          <w:color w:val="auto"/>
          <w:sz w:val="22"/>
          <w:lang w:val="en-US"/>
        </w:rPr>
        <w:t xml:space="preserve"> 2014 = 100)</w:t>
      </w:r>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rsidRPr="007F6CA8" w14:paraId="2FBE799C"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34DA24B1" w14:textId="77777777" w:rsidR="00E167DE" w:rsidRPr="007F6CA8" w:rsidRDefault="00E167DE" w:rsidP="00731B1D">
            <w:pPr>
              <w:spacing w:beforeLines="60" w:before="144" w:afterLines="60" w:after="144" w:line="276" w:lineRule="auto"/>
              <w:rPr>
                <w:rFonts w:ascii="Sylfaen" w:hAnsi="Sylfaen"/>
                <w:sz w:val="22"/>
                <w:lang w:val="de-DE"/>
              </w:rPr>
            </w:pPr>
            <w:r w:rsidRPr="007F6CA8">
              <w:rPr>
                <w:rFonts w:ascii="Sylfaen" w:hAnsi="Sylfaen"/>
                <w:noProof/>
                <w:lang w:eastAsia="en-GB"/>
              </w:rPr>
              <w:drawing>
                <wp:inline distT="0" distB="0" distL="0" distR="0" wp14:anchorId="00604617" wp14:editId="4DCBDDA8">
                  <wp:extent cx="5600700" cy="5181600"/>
                  <wp:effectExtent l="0" t="0" r="0" b="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617931D" w14:textId="2892CCAE" w:rsidR="0078575C" w:rsidRPr="007F6CA8" w:rsidRDefault="0078575C" w:rsidP="00B45DA0">
      <w:pPr>
        <w:spacing w:beforeLines="60" w:before="144" w:afterLines="60" w:after="144" w:line="276" w:lineRule="auto"/>
        <w:rPr>
          <w:rFonts w:ascii="Sylfaen" w:hAnsi="Sylfaen"/>
          <w:i/>
          <w:sz w:val="18"/>
          <w:lang w:val="ka-GE"/>
        </w:rPr>
      </w:pPr>
      <w:r w:rsidRPr="007F6CA8">
        <w:rPr>
          <w:rFonts w:ascii="Sylfaen" w:hAnsi="Sylfaen"/>
          <w:i/>
          <w:sz w:val="18"/>
          <w:lang w:val="ka-GE"/>
        </w:rPr>
        <w:t xml:space="preserve">01 </w:t>
      </w:r>
      <w:r w:rsidR="00B45DA0" w:rsidRPr="007F6CA8">
        <w:rPr>
          <w:rFonts w:ascii="Sylfaen" w:hAnsi="Sylfaen"/>
          <w:i/>
          <w:sz w:val="18"/>
          <w:lang w:val="ka-GE"/>
        </w:rPr>
        <w:t>კანონმდებლები, უფროსი რანგის ოფიციალური პირები და მენეჯერები</w:t>
      </w:r>
      <w:r w:rsidRPr="007F6CA8">
        <w:rPr>
          <w:rFonts w:ascii="Sylfaen" w:hAnsi="Sylfaen"/>
          <w:i/>
          <w:sz w:val="18"/>
          <w:lang w:val="ka-GE"/>
        </w:rPr>
        <w:t>; 02 პროფესიონალები; 03 ტექნიკოსები და ასოცირებული პროფესიონალები; 04 მოხელეები; 05 მომსახურების მუშაკები და მაღაზიის და მარკეტების გაყიდვების მუშაკები; 06 კვალიფიციური სასოფლო-სამეურნეო და მეთევზეობის მუშაკები; 07 ხელოვნების და მასთან დაკავშირებული ვაჭრობის მუშაკები; 08 ქარხნების და მასთან დაკავშირებული დანადგარების ოპერატორები და ამწყობები; 09 საბაზისო პროფესიები; ინფორმაციის არქონა პროფესიის შესახებ; ყველა პროფესია</w:t>
      </w:r>
    </w:p>
    <w:p w14:paraId="12CF99A7" w14:textId="41466420" w:rsidR="00B45DA0" w:rsidRPr="007F6CA8" w:rsidRDefault="00B45DA0" w:rsidP="00B45DA0">
      <w:pPr>
        <w:spacing w:beforeLines="60" w:before="144" w:afterLines="60" w:after="144" w:line="276" w:lineRule="auto"/>
        <w:rPr>
          <w:rFonts w:ascii="Sylfaen" w:hAnsi="Sylfaen"/>
          <w:sz w:val="18"/>
        </w:rPr>
      </w:pP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4A28E82D" w14:textId="77A26006" w:rsidR="00E167DE" w:rsidRPr="007F6CA8" w:rsidRDefault="00E167DE" w:rsidP="00731B1D">
      <w:pPr>
        <w:spacing w:beforeLines="60" w:before="144" w:afterLines="60" w:after="144" w:line="276" w:lineRule="auto"/>
        <w:jc w:val="both"/>
        <w:rPr>
          <w:rFonts w:ascii="Sylfaen" w:hAnsi="Sylfaen"/>
        </w:rPr>
      </w:pPr>
    </w:p>
    <w:p w14:paraId="639D7579" w14:textId="2DF7D9A0" w:rsidR="0042031B" w:rsidRPr="007F6CA8" w:rsidRDefault="00004349" w:rsidP="00731B1D">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spacing w:beforeLines="60" w:before="144" w:afterLines="60" w:after="144" w:line="276" w:lineRule="auto"/>
        <w:rPr>
          <w:rFonts w:ascii="Sylfaen" w:hAnsi="Sylfaen"/>
          <w:b/>
          <w:sz w:val="22"/>
          <w:szCs w:val="22"/>
          <w:lang w:val="en-US"/>
        </w:rPr>
      </w:pPr>
      <w:r w:rsidRPr="007F6CA8">
        <w:rPr>
          <w:rFonts w:ascii="Sylfaen" w:hAnsi="Sylfaen"/>
          <w:b/>
          <w:sz w:val="22"/>
          <w:szCs w:val="22"/>
          <w:lang w:val="en-US"/>
        </w:rPr>
        <w:t>6</w:t>
      </w:r>
      <w:r w:rsidR="00114127" w:rsidRPr="007F6CA8">
        <w:rPr>
          <w:rFonts w:ascii="Sylfaen" w:hAnsi="Sylfaen"/>
          <w:b/>
          <w:sz w:val="22"/>
          <w:szCs w:val="22"/>
          <w:lang w:val="en-US"/>
        </w:rPr>
        <w:t xml:space="preserve">. უნარების შეუსაბამობის ინდიკატორი: პროფესიული შეუსაბამობა </w:t>
      </w:r>
    </w:p>
    <w:p w14:paraId="2AB089AF" w14:textId="5B9D959A" w:rsidR="0042031B" w:rsidRPr="007F6CA8" w:rsidRDefault="00114127" w:rsidP="007455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ეს მეთოდი </w:t>
      </w:r>
      <w:r w:rsidR="003D14F3" w:rsidRPr="007F6CA8">
        <w:rPr>
          <w:rFonts w:ascii="Sylfaen" w:hAnsi="Sylfaen"/>
          <w:sz w:val="22"/>
          <w:szCs w:val="22"/>
          <w:lang w:val="ka-GE"/>
        </w:rPr>
        <w:t xml:space="preserve">ეფუძნება </w:t>
      </w:r>
      <w:r w:rsidR="007455F5" w:rsidRPr="007F6CA8">
        <w:rPr>
          <w:rFonts w:ascii="Sylfaen" w:hAnsi="Sylfaen"/>
          <w:sz w:val="22"/>
          <w:szCs w:val="22"/>
          <w:lang w:val="ka-GE"/>
        </w:rPr>
        <w:t>შეუსაბამო სამუშაოზე</w:t>
      </w:r>
      <w:r w:rsidR="007455F5" w:rsidRPr="007F6CA8">
        <w:rPr>
          <w:rFonts w:ascii="Sylfaen" w:hAnsi="Sylfaen"/>
          <w:sz w:val="22"/>
          <w:szCs w:val="22"/>
        </w:rPr>
        <w:t xml:space="preserve"> (</w:t>
      </w:r>
      <w:r w:rsidR="007455F5" w:rsidRPr="007F6CA8">
        <w:rPr>
          <w:rFonts w:ascii="Sylfaen" w:hAnsi="Sylfaen"/>
          <w:sz w:val="22"/>
          <w:szCs w:val="22"/>
          <w:lang w:val="ka-GE"/>
        </w:rPr>
        <w:t xml:space="preserve">იზომება პროფესიების კლასიფიკაციის საერთაშორისო სტანდარტის, </w:t>
      </w:r>
      <w:r w:rsidR="007455F5" w:rsidRPr="007F6CA8">
        <w:rPr>
          <w:rFonts w:ascii="Sylfaen" w:hAnsi="Sylfaen"/>
          <w:sz w:val="22"/>
          <w:szCs w:val="22"/>
        </w:rPr>
        <w:t xml:space="preserve">ISCED </w:t>
      </w:r>
      <w:r w:rsidR="007455F5" w:rsidRPr="007F6CA8">
        <w:rPr>
          <w:rFonts w:ascii="Sylfaen" w:hAnsi="Sylfaen"/>
          <w:sz w:val="22"/>
          <w:szCs w:val="22"/>
          <w:lang w:val="ka-GE"/>
        </w:rPr>
        <w:t>მიერ</w:t>
      </w:r>
      <w:r w:rsidR="007455F5" w:rsidRPr="007F6CA8">
        <w:rPr>
          <w:rFonts w:ascii="Sylfaen" w:hAnsi="Sylfaen"/>
          <w:sz w:val="22"/>
          <w:szCs w:val="22"/>
        </w:rPr>
        <w:t>)</w:t>
      </w:r>
      <w:r w:rsidR="007455F5" w:rsidRPr="007F6CA8">
        <w:rPr>
          <w:rFonts w:ascii="Sylfaen" w:hAnsi="Sylfaen"/>
          <w:sz w:val="22"/>
          <w:szCs w:val="22"/>
          <w:lang w:val="ka-GE"/>
        </w:rPr>
        <w:t xml:space="preserve"> მყოფი კონკრეტული განათლების მქონე (</w:t>
      </w:r>
      <w:r w:rsidR="007455F5" w:rsidRPr="007F6CA8">
        <w:rPr>
          <w:rFonts w:ascii="Sylfaen" w:hAnsi="Sylfaen"/>
          <w:sz w:val="22"/>
          <w:szCs w:val="22"/>
        </w:rPr>
        <w:t>ISCED</w:t>
      </w:r>
      <w:r w:rsidR="007455F5" w:rsidRPr="007F6CA8">
        <w:rPr>
          <w:rFonts w:ascii="Sylfaen" w:hAnsi="Sylfaen"/>
          <w:sz w:val="22"/>
          <w:szCs w:val="22"/>
          <w:lang w:val="ka-GE"/>
        </w:rPr>
        <w:t xml:space="preserve">) ადამიანების შეფარდებას ყველა მუშაკებთან </w:t>
      </w:r>
      <w:r w:rsidR="007455F5" w:rsidRPr="007F6CA8">
        <w:rPr>
          <w:rFonts w:ascii="Sylfaen" w:hAnsi="Sylfaen"/>
          <w:sz w:val="22"/>
          <w:szCs w:val="22"/>
        </w:rPr>
        <w:t xml:space="preserve">ISCED </w:t>
      </w:r>
      <w:r w:rsidR="007455F5" w:rsidRPr="007F6CA8">
        <w:rPr>
          <w:rFonts w:ascii="Sylfaen" w:hAnsi="Sylfaen"/>
          <w:sz w:val="22"/>
          <w:szCs w:val="22"/>
          <w:lang w:val="ka-GE"/>
        </w:rPr>
        <w:t xml:space="preserve">დონეზე. </w:t>
      </w:r>
    </w:p>
    <w:p w14:paraId="3E51B8FC" w14:textId="75362521" w:rsidR="007455F5" w:rsidRPr="007F6CA8" w:rsidRDefault="007455F5" w:rsidP="007455F5">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lastRenderedPageBreak/>
        <w:t xml:space="preserve">ცხრილებში 2 და 3 მოცემულია განათლების სისტემაში არმყოფი 15-59 წლის ადამიანების პროფესიული შეუსაბამობის ინდიკატორები. უმაღლესი საშუალო განათლების მოქნეთათვის ეს ინდიკატორი ზომავს ელემენტარულ პროფესიებზე (ფიზიკური შრომის დონე) დასაქმებულების პროპორციას, ხოლო უმაღლესი განათლების შემთხვევაში კი - ნახევრად კვალიფიციურ სამუშაოებზე დასაქმებას. ორივე შემთხვევაში, ეს მიდგომა აჩვენებს უნარების შეუსაბამობის ინდიკატორებს. </w:t>
      </w:r>
    </w:p>
    <w:p w14:paraId="393B47FE" w14:textId="5F5652C2" w:rsidR="007455F5" w:rsidRPr="007F6CA8" w:rsidRDefault="007455F5" w:rsidP="007455F5">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რაც უფრო მაღალია განათლების დონე საქართველოში, მით უფრო მაღალია შეუსაბამობა </w:t>
      </w:r>
      <w:r w:rsidR="00C53CB3" w:rsidRPr="007F6CA8">
        <w:rPr>
          <w:rFonts w:ascii="Sylfaen" w:hAnsi="Sylfaen"/>
          <w:sz w:val="22"/>
          <w:szCs w:val="22"/>
          <w:lang w:val="ka-GE"/>
        </w:rPr>
        <w:t>დასაქმებულთა პროფესიებთან. ეს ადრე ჩატარებულ</w:t>
      </w:r>
      <w:r w:rsidR="00D30B6E" w:rsidRPr="007F6CA8">
        <w:rPr>
          <w:rFonts w:ascii="Sylfaen" w:hAnsi="Sylfaen"/>
          <w:sz w:val="22"/>
          <w:szCs w:val="22"/>
          <w:lang w:val="ka-GE"/>
        </w:rPr>
        <w:t>ი</w:t>
      </w:r>
      <w:r w:rsidR="00C53CB3" w:rsidRPr="007F6CA8">
        <w:rPr>
          <w:rFonts w:ascii="Sylfaen" w:hAnsi="Sylfaen"/>
          <w:sz w:val="22"/>
          <w:szCs w:val="22"/>
          <w:lang w:val="ka-GE"/>
        </w:rPr>
        <w:t xml:space="preserve"> </w:t>
      </w:r>
      <w:r w:rsidR="00D30B6E" w:rsidRPr="007F6CA8">
        <w:rPr>
          <w:rFonts w:ascii="Sylfaen" w:hAnsi="Sylfaen"/>
          <w:sz w:val="22"/>
          <w:szCs w:val="22"/>
          <w:lang w:val="ka-GE"/>
        </w:rPr>
        <w:t>კვლევების შედეგებსაც</w:t>
      </w:r>
      <w:r w:rsidR="00C53CB3" w:rsidRPr="007F6CA8">
        <w:rPr>
          <w:rFonts w:ascii="Sylfaen" w:hAnsi="Sylfaen"/>
          <w:sz w:val="22"/>
          <w:szCs w:val="22"/>
          <w:lang w:val="ka-GE"/>
        </w:rPr>
        <w:t xml:space="preserve"> </w:t>
      </w:r>
      <w:r w:rsidR="00D30B6E" w:rsidRPr="007F6CA8">
        <w:rPr>
          <w:rFonts w:ascii="Sylfaen" w:hAnsi="Sylfaen"/>
          <w:sz w:val="22"/>
          <w:szCs w:val="22"/>
          <w:lang w:val="ka-GE"/>
        </w:rPr>
        <w:t xml:space="preserve">ამყარებს (მსოფლიო ბანკის მიერ ჩატარებული </w:t>
      </w:r>
      <w:r w:rsidR="00D30B6E" w:rsidRPr="007F6CA8">
        <w:rPr>
          <w:rFonts w:ascii="Sylfaen" w:hAnsi="Sylfaen"/>
          <w:sz w:val="22"/>
          <w:szCs w:val="22"/>
        </w:rPr>
        <w:t>STEP</w:t>
      </w:r>
      <w:r w:rsidR="00D30B6E" w:rsidRPr="007F6CA8">
        <w:rPr>
          <w:rFonts w:ascii="Sylfaen" w:hAnsi="Sylfaen"/>
          <w:sz w:val="22"/>
          <w:szCs w:val="22"/>
          <w:lang w:val="ka-GE"/>
        </w:rPr>
        <w:t xml:space="preserve"> კვლევა): საბაზისო პროფესიებში დაბალი განათლების მქონე ადამიანების მხოლოდ 8.5% არის ჩართული, ხოლო უმაღლესი განათლების მქონე ადამიანების მესამედზე მეტი (38.2%) ნახევრად კვალიფიციურ სამუშაოებშია ჩართული. </w:t>
      </w:r>
      <w:r w:rsidR="00165EC0" w:rsidRPr="007F6CA8">
        <w:rPr>
          <w:rFonts w:ascii="Sylfaen" w:hAnsi="Sylfaen"/>
          <w:sz w:val="22"/>
          <w:szCs w:val="22"/>
          <w:lang w:val="ka-GE"/>
        </w:rPr>
        <w:t>ჭარბი</w:t>
      </w:r>
      <w:r w:rsidR="00D30B6E" w:rsidRPr="007F6CA8">
        <w:rPr>
          <w:rFonts w:ascii="Sylfaen" w:hAnsi="Sylfaen"/>
          <w:sz w:val="22"/>
          <w:szCs w:val="22"/>
          <w:lang w:val="ka-GE"/>
        </w:rPr>
        <w:t xml:space="preserve"> კვალიფიკაციის პრევალენტობა უფრო მაღალია მამაკაცებში, ვიდრე ქალებში, მიუხედავად მიღებული განათლების დონისა. უფრო მეტიც, გენდერული </w:t>
      </w:r>
      <w:r w:rsidR="008E6031" w:rsidRPr="007F6CA8">
        <w:rPr>
          <w:rFonts w:ascii="Sylfaen" w:hAnsi="Sylfaen"/>
          <w:sz w:val="22"/>
          <w:szCs w:val="22"/>
          <w:lang w:val="ka-GE"/>
        </w:rPr>
        <w:t xml:space="preserve">განსხვავება ამ ინდიკატორში უფრო დიდია უმაღლესი განათლების მქონე ადამიანებს შორის. </w:t>
      </w:r>
    </w:p>
    <w:p w14:paraId="0BA963A6" w14:textId="116CF25F" w:rsidR="0033474A" w:rsidRPr="007F6CA8" w:rsidRDefault="008E6031"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bookmarkStart w:id="25" w:name="_Toc497904302"/>
      <w:r w:rsidRPr="007F6CA8">
        <w:rPr>
          <w:rFonts w:ascii="Sylfaen" w:hAnsi="Sylfaen"/>
          <w:b/>
          <w:i w:val="0"/>
          <w:color w:val="auto"/>
          <w:sz w:val="22"/>
          <w:szCs w:val="22"/>
          <w:lang w:val="ka-GE"/>
        </w:rPr>
        <w:t>ცხილი</w:t>
      </w:r>
      <w:r w:rsidR="0033474A" w:rsidRPr="007F6CA8">
        <w:rPr>
          <w:rFonts w:ascii="Sylfaen" w:hAnsi="Sylfaen"/>
          <w:b/>
          <w:i w:val="0"/>
          <w:color w:val="auto"/>
          <w:sz w:val="22"/>
          <w:szCs w:val="22"/>
          <w:lang w:val="en-GB"/>
        </w:rPr>
        <w:t xml:space="preserve"> </w:t>
      </w:r>
      <w:r w:rsidR="0033474A" w:rsidRPr="007F6CA8">
        <w:rPr>
          <w:rFonts w:ascii="Sylfaen" w:hAnsi="Sylfaen"/>
          <w:lang w:val="en-GB"/>
        </w:rPr>
        <w:fldChar w:fldCharType="begin"/>
      </w:r>
      <w:r w:rsidR="0033474A" w:rsidRPr="007F6CA8">
        <w:rPr>
          <w:rFonts w:ascii="Sylfaen" w:hAnsi="Sylfaen"/>
          <w:b/>
          <w:i w:val="0"/>
          <w:color w:val="auto"/>
          <w:sz w:val="22"/>
          <w:szCs w:val="22"/>
          <w:lang w:val="en-GB"/>
        </w:rPr>
        <w:instrText xml:space="preserve"> SEQ Table \* ARABIC </w:instrText>
      </w:r>
      <w:r w:rsidR="0033474A" w:rsidRPr="007F6CA8">
        <w:rPr>
          <w:rFonts w:ascii="Sylfaen" w:hAnsi="Sylfaen"/>
          <w:lang w:val="en-GB"/>
        </w:rPr>
        <w:fldChar w:fldCharType="separate"/>
      </w:r>
      <w:r w:rsidR="003120D1" w:rsidRPr="007F6CA8">
        <w:rPr>
          <w:rFonts w:ascii="Sylfaen" w:hAnsi="Sylfaen"/>
          <w:b/>
          <w:i w:val="0"/>
          <w:noProof/>
          <w:color w:val="auto"/>
          <w:sz w:val="22"/>
          <w:szCs w:val="22"/>
          <w:lang w:val="en-GB"/>
        </w:rPr>
        <w:t>2</w:t>
      </w:r>
      <w:r w:rsidR="0033474A" w:rsidRPr="007F6CA8">
        <w:rPr>
          <w:rFonts w:ascii="Sylfaen" w:hAnsi="Sylfaen"/>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პროფესიული შეუსაბამობა საქართველოში: პირები, რომლებიც არ არიან განათლების სისტემაში, საშუალო დონე</w:t>
      </w:r>
      <w:r w:rsidR="0033474A" w:rsidRPr="007F6CA8">
        <w:rPr>
          <w:rFonts w:ascii="Sylfaen" w:hAnsi="Sylfaen"/>
          <w:b/>
          <w:i w:val="0"/>
          <w:color w:val="auto"/>
          <w:sz w:val="22"/>
          <w:szCs w:val="22"/>
          <w:lang w:val="en-GB"/>
        </w:rPr>
        <w:t>, 2012-2016</w:t>
      </w:r>
      <w:bookmarkEnd w:id="25"/>
      <w:r w:rsidR="0033474A" w:rsidRPr="007F6CA8">
        <w:rPr>
          <w:rFonts w:ascii="Sylfaen" w:hAnsi="Sylfaen"/>
          <w:b/>
          <w:i w:val="0"/>
          <w:color w:val="auto"/>
          <w:sz w:val="22"/>
          <w:szCs w:val="22"/>
          <w:lang w:val="en-GB"/>
        </w:rPr>
        <w:t xml:space="preserve"> </w:t>
      </w:r>
    </w:p>
    <w:tbl>
      <w:tblPr>
        <w:tblW w:w="5000" w:type="pct"/>
        <w:tblCellMar>
          <w:left w:w="70" w:type="dxa"/>
          <w:right w:w="70" w:type="dxa"/>
        </w:tblCellMar>
        <w:tblLook w:val="04A0" w:firstRow="1" w:lastRow="0" w:firstColumn="1" w:lastColumn="0" w:noHBand="0" w:noVBand="1"/>
      </w:tblPr>
      <w:tblGrid>
        <w:gridCol w:w="2638"/>
        <w:gridCol w:w="1342"/>
        <w:gridCol w:w="1342"/>
        <w:gridCol w:w="1342"/>
        <w:gridCol w:w="1342"/>
        <w:gridCol w:w="1340"/>
      </w:tblGrid>
      <w:tr w:rsidR="00B877EA" w:rsidRPr="007F6CA8" w14:paraId="6BFF79E1" w14:textId="77777777" w:rsidTr="00F927E6">
        <w:trPr>
          <w:trHeight w:val="353"/>
        </w:trPr>
        <w:tc>
          <w:tcPr>
            <w:tcW w:w="1411" w:type="pct"/>
            <w:vMerge w:val="restart"/>
            <w:tcBorders>
              <w:top w:val="single" w:sz="4" w:space="0" w:color="auto"/>
              <w:left w:val="single" w:sz="4" w:space="0" w:color="auto"/>
              <w:bottom w:val="nil"/>
              <w:right w:val="nil"/>
            </w:tcBorders>
            <w:shd w:val="clear" w:color="auto" w:fill="auto"/>
            <w:noWrap/>
            <w:vAlign w:val="center"/>
            <w:hideMark/>
          </w:tcPr>
          <w:p w14:paraId="7C609E09" w14:textId="4F45C9CA" w:rsidR="00B877EA" w:rsidRPr="007F6CA8" w:rsidRDefault="008E6031" w:rsidP="00F927E6">
            <w:pPr>
              <w:spacing w:line="276" w:lineRule="auto"/>
              <w:jc w:val="center"/>
              <w:rPr>
                <w:rFonts w:ascii="Sylfaen" w:hAnsi="Sylfaen"/>
                <w:sz w:val="18"/>
                <w:szCs w:val="18"/>
                <w:lang w:val="ka-GE" w:eastAsia="de-DE"/>
              </w:rPr>
            </w:pPr>
            <w:r w:rsidRPr="007F6CA8">
              <w:rPr>
                <w:rFonts w:ascii="Sylfaen" w:hAnsi="Sylfaen"/>
                <w:sz w:val="18"/>
                <w:szCs w:val="18"/>
                <w:lang w:val="ka-GE" w:eastAsia="de-DE"/>
              </w:rPr>
              <w:t>სქესი</w:t>
            </w:r>
          </w:p>
        </w:tc>
        <w:tc>
          <w:tcPr>
            <w:tcW w:w="3589" w:type="pct"/>
            <w:gridSpan w:val="5"/>
            <w:tcBorders>
              <w:top w:val="single" w:sz="4" w:space="0" w:color="auto"/>
              <w:left w:val="single" w:sz="4" w:space="0" w:color="auto"/>
              <w:bottom w:val="nil"/>
              <w:right w:val="single" w:sz="4" w:space="0" w:color="000000"/>
            </w:tcBorders>
            <w:shd w:val="clear" w:color="auto" w:fill="auto"/>
            <w:noWrap/>
            <w:vAlign w:val="bottom"/>
            <w:hideMark/>
          </w:tcPr>
          <w:p w14:paraId="219BAB18" w14:textId="69655F3E" w:rsidR="00B877EA" w:rsidRPr="007F6CA8" w:rsidRDefault="008E6031" w:rsidP="00F927E6">
            <w:pPr>
              <w:spacing w:line="276" w:lineRule="auto"/>
              <w:jc w:val="center"/>
              <w:rPr>
                <w:rFonts w:ascii="Sylfaen" w:hAnsi="Sylfaen"/>
                <w:sz w:val="18"/>
                <w:szCs w:val="18"/>
                <w:lang w:val="ka-GE" w:eastAsia="de-DE"/>
              </w:rPr>
            </w:pPr>
            <w:r w:rsidRPr="007F6CA8">
              <w:rPr>
                <w:rFonts w:ascii="Sylfaen" w:hAnsi="Sylfaen"/>
                <w:sz w:val="18"/>
                <w:szCs w:val="18"/>
                <w:lang w:val="ka-GE" w:eastAsia="de-DE"/>
              </w:rPr>
              <w:t>საქართველო</w:t>
            </w:r>
          </w:p>
        </w:tc>
      </w:tr>
      <w:tr w:rsidR="00B877EA" w:rsidRPr="007F6CA8" w14:paraId="36928B10" w14:textId="77777777" w:rsidTr="00B877EA">
        <w:trPr>
          <w:trHeight w:val="600"/>
        </w:trPr>
        <w:tc>
          <w:tcPr>
            <w:tcW w:w="1411" w:type="pct"/>
            <w:vMerge/>
            <w:tcBorders>
              <w:top w:val="single" w:sz="4" w:space="0" w:color="auto"/>
              <w:left w:val="single" w:sz="4" w:space="0" w:color="auto"/>
              <w:bottom w:val="nil"/>
              <w:right w:val="nil"/>
            </w:tcBorders>
            <w:vAlign w:val="center"/>
            <w:hideMark/>
          </w:tcPr>
          <w:p w14:paraId="42F3957D" w14:textId="77777777" w:rsidR="00B877EA" w:rsidRPr="007F6CA8" w:rsidRDefault="00B877EA" w:rsidP="00F927E6">
            <w:pPr>
              <w:spacing w:line="276" w:lineRule="auto"/>
              <w:rPr>
                <w:rFonts w:ascii="Sylfaen" w:hAnsi="Sylfaen"/>
                <w:sz w:val="18"/>
                <w:szCs w:val="18"/>
                <w:lang w:eastAsia="de-DE"/>
              </w:rPr>
            </w:pPr>
          </w:p>
        </w:tc>
        <w:tc>
          <w:tcPr>
            <w:tcW w:w="3589" w:type="pct"/>
            <w:gridSpan w:val="5"/>
            <w:tcBorders>
              <w:top w:val="nil"/>
              <w:left w:val="single" w:sz="4" w:space="0" w:color="auto"/>
              <w:bottom w:val="nil"/>
              <w:right w:val="single" w:sz="4" w:space="0" w:color="000000"/>
            </w:tcBorders>
            <w:shd w:val="clear" w:color="auto" w:fill="auto"/>
            <w:vAlign w:val="center"/>
            <w:hideMark/>
          </w:tcPr>
          <w:p w14:paraId="15BAB3DB" w14:textId="2B911951" w:rsidR="00B877EA" w:rsidRPr="007F6CA8" w:rsidRDefault="008E6031" w:rsidP="00F927E6">
            <w:pPr>
              <w:spacing w:line="276" w:lineRule="auto"/>
              <w:jc w:val="center"/>
              <w:rPr>
                <w:rFonts w:ascii="Sylfaen" w:hAnsi="Sylfaen"/>
                <w:sz w:val="18"/>
                <w:szCs w:val="18"/>
                <w:lang w:val="ka-GE" w:eastAsia="de-DE"/>
              </w:rPr>
            </w:pPr>
            <w:r w:rsidRPr="007F6CA8">
              <w:rPr>
                <w:rFonts w:ascii="Sylfaen" w:hAnsi="Sylfaen"/>
                <w:sz w:val="18"/>
                <w:szCs w:val="18"/>
                <w:lang w:val="ka-GE" w:eastAsia="de-DE"/>
              </w:rPr>
              <w:t>უმაღლესი საშუალო განათლების მქონე ელემენტარულ პროფესიებში დასაქმებული ადამიანები,</w:t>
            </w:r>
            <w:r w:rsidR="00B877EA" w:rsidRPr="007F6CA8">
              <w:rPr>
                <w:rFonts w:ascii="Sylfaen" w:hAnsi="Sylfaen"/>
                <w:sz w:val="18"/>
                <w:szCs w:val="18"/>
                <w:lang w:eastAsia="de-DE"/>
              </w:rPr>
              <w:t xml:space="preserve"> 15-64</w:t>
            </w:r>
            <w:r w:rsidRPr="007F6CA8">
              <w:rPr>
                <w:rFonts w:ascii="Sylfaen" w:hAnsi="Sylfaen"/>
                <w:sz w:val="18"/>
                <w:szCs w:val="18"/>
                <w:lang w:val="ka-GE" w:eastAsia="de-DE"/>
              </w:rPr>
              <w:t xml:space="preserve"> წელი</w:t>
            </w:r>
          </w:p>
        </w:tc>
      </w:tr>
      <w:tr w:rsidR="00B877EA" w:rsidRPr="007F6CA8" w14:paraId="10FBED25" w14:textId="77777777" w:rsidTr="00B877EA">
        <w:trPr>
          <w:trHeight w:val="300"/>
        </w:trPr>
        <w:tc>
          <w:tcPr>
            <w:tcW w:w="1411" w:type="pct"/>
            <w:vMerge/>
            <w:tcBorders>
              <w:top w:val="single" w:sz="4" w:space="0" w:color="auto"/>
              <w:left w:val="single" w:sz="4" w:space="0" w:color="auto"/>
              <w:bottom w:val="nil"/>
              <w:right w:val="nil"/>
            </w:tcBorders>
            <w:vAlign w:val="center"/>
            <w:hideMark/>
          </w:tcPr>
          <w:p w14:paraId="2EEDA8A0" w14:textId="77777777" w:rsidR="00B877EA" w:rsidRPr="007F6CA8" w:rsidRDefault="00B877EA" w:rsidP="00F927E6">
            <w:pPr>
              <w:spacing w:line="276" w:lineRule="auto"/>
              <w:rPr>
                <w:rFonts w:ascii="Sylfaen" w:hAnsi="Sylfaen"/>
                <w:sz w:val="18"/>
                <w:szCs w:val="18"/>
                <w:lang w:eastAsia="de-DE"/>
              </w:rPr>
            </w:pPr>
          </w:p>
        </w:tc>
        <w:tc>
          <w:tcPr>
            <w:tcW w:w="3589" w:type="pct"/>
            <w:gridSpan w:val="5"/>
            <w:tcBorders>
              <w:top w:val="nil"/>
              <w:left w:val="single" w:sz="4" w:space="0" w:color="auto"/>
              <w:bottom w:val="nil"/>
              <w:right w:val="single" w:sz="4" w:space="0" w:color="000000"/>
            </w:tcBorders>
            <w:shd w:val="clear" w:color="auto" w:fill="auto"/>
            <w:noWrap/>
            <w:vAlign w:val="center"/>
            <w:hideMark/>
          </w:tcPr>
          <w:p w14:paraId="6E6AC45C" w14:textId="5CBCDF4E" w:rsidR="00B877EA" w:rsidRPr="007F6CA8" w:rsidRDefault="008E6031" w:rsidP="00F927E6">
            <w:pPr>
              <w:spacing w:line="276" w:lineRule="auto"/>
              <w:jc w:val="center"/>
              <w:rPr>
                <w:rFonts w:ascii="Sylfaen" w:hAnsi="Sylfaen"/>
                <w:sz w:val="18"/>
                <w:szCs w:val="18"/>
                <w:lang w:eastAsia="de-DE"/>
              </w:rPr>
            </w:pPr>
            <w:r w:rsidRPr="007F6CA8">
              <w:rPr>
                <w:rFonts w:ascii="Sylfaen" w:hAnsi="Sylfaen"/>
                <w:sz w:val="18"/>
                <w:szCs w:val="18"/>
                <w:lang w:val="ka-GE" w:eastAsia="de-DE"/>
              </w:rPr>
              <w:t xml:space="preserve">უმაღლესი საშუალო განათლების მქონე ყველა ადამიანის </w:t>
            </w:r>
            <w:r w:rsidR="00B877EA" w:rsidRPr="007F6CA8">
              <w:rPr>
                <w:rFonts w:ascii="Sylfaen" w:hAnsi="Sylfaen"/>
                <w:sz w:val="18"/>
                <w:szCs w:val="18"/>
                <w:lang w:eastAsia="de-DE"/>
              </w:rPr>
              <w:t>% (15-64)</w:t>
            </w:r>
          </w:p>
        </w:tc>
      </w:tr>
      <w:tr w:rsidR="00B877EA" w:rsidRPr="007F6CA8" w14:paraId="6B7C80C0" w14:textId="77777777" w:rsidTr="00B877EA">
        <w:trPr>
          <w:trHeight w:val="300"/>
        </w:trPr>
        <w:tc>
          <w:tcPr>
            <w:tcW w:w="1411" w:type="pct"/>
            <w:vMerge/>
            <w:tcBorders>
              <w:top w:val="single" w:sz="4" w:space="0" w:color="auto"/>
              <w:left w:val="single" w:sz="4" w:space="0" w:color="auto"/>
              <w:bottom w:val="nil"/>
              <w:right w:val="nil"/>
            </w:tcBorders>
            <w:vAlign w:val="center"/>
            <w:hideMark/>
          </w:tcPr>
          <w:p w14:paraId="2BC55153" w14:textId="77777777" w:rsidR="00B877EA" w:rsidRPr="007F6CA8" w:rsidRDefault="00B877EA" w:rsidP="00F927E6">
            <w:pPr>
              <w:spacing w:line="276" w:lineRule="auto"/>
              <w:rPr>
                <w:rFonts w:ascii="Sylfaen" w:hAnsi="Sylfaen"/>
                <w:sz w:val="18"/>
                <w:szCs w:val="18"/>
                <w:lang w:eastAsia="de-DE"/>
              </w:rPr>
            </w:pPr>
          </w:p>
        </w:tc>
        <w:tc>
          <w:tcPr>
            <w:tcW w:w="718" w:type="pct"/>
            <w:tcBorders>
              <w:top w:val="nil"/>
              <w:left w:val="single" w:sz="4" w:space="0" w:color="auto"/>
              <w:bottom w:val="nil"/>
              <w:right w:val="nil"/>
            </w:tcBorders>
            <w:shd w:val="clear" w:color="auto" w:fill="auto"/>
            <w:noWrap/>
            <w:vAlign w:val="center"/>
            <w:hideMark/>
          </w:tcPr>
          <w:p w14:paraId="4BCDAF6C"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2012</w:t>
            </w:r>
          </w:p>
        </w:tc>
        <w:tc>
          <w:tcPr>
            <w:tcW w:w="718" w:type="pct"/>
            <w:tcBorders>
              <w:top w:val="nil"/>
              <w:left w:val="nil"/>
              <w:bottom w:val="nil"/>
              <w:right w:val="nil"/>
            </w:tcBorders>
            <w:shd w:val="clear" w:color="auto" w:fill="auto"/>
            <w:noWrap/>
            <w:vAlign w:val="center"/>
            <w:hideMark/>
          </w:tcPr>
          <w:p w14:paraId="2CCFAD02"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2013</w:t>
            </w:r>
          </w:p>
        </w:tc>
        <w:tc>
          <w:tcPr>
            <w:tcW w:w="718" w:type="pct"/>
            <w:tcBorders>
              <w:top w:val="nil"/>
              <w:left w:val="nil"/>
              <w:bottom w:val="nil"/>
              <w:right w:val="nil"/>
            </w:tcBorders>
            <w:shd w:val="clear" w:color="auto" w:fill="auto"/>
            <w:noWrap/>
            <w:vAlign w:val="center"/>
            <w:hideMark/>
          </w:tcPr>
          <w:p w14:paraId="362CF959"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2014</w:t>
            </w:r>
          </w:p>
        </w:tc>
        <w:tc>
          <w:tcPr>
            <w:tcW w:w="718" w:type="pct"/>
            <w:tcBorders>
              <w:top w:val="nil"/>
              <w:left w:val="nil"/>
              <w:bottom w:val="nil"/>
              <w:right w:val="nil"/>
            </w:tcBorders>
            <w:shd w:val="clear" w:color="auto" w:fill="auto"/>
            <w:noWrap/>
            <w:vAlign w:val="center"/>
            <w:hideMark/>
          </w:tcPr>
          <w:p w14:paraId="76669A14"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2015</w:t>
            </w:r>
          </w:p>
        </w:tc>
        <w:tc>
          <w:tcPr>
            <w:tcW w:w="718" w:type="pct"/>
            <w:tcBorders>
              <w:top w:val="nil"/>
              <w:left w:val="nil"/>
              <w:bottom w:val="nil"/>
              <w:right w:val="single" w:sz="4" w:space="0" w:color="auto"/>
            </w:tcBorders>
            <w:shd w:val="clear" w:color="auto" w:fill="auto"/>
            <w:noWrap/>
            <w:vAlign w:val="center"/>
            <w:hideMark/>
          </w:tcPr>
          <w:p w14:paraId="5931EDCC"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2016</w:t>
            </w:r>
          </w:p>
        </w:tc>
      </w:tr>
      <w:tr w:rsidR="00B877EA" w:rsidRPr="007F6CA8" w14:paraId="16EBCEC2" w14:textId="77777777" w:rsidTr="00B877EA">
        <w:trPr>
          <w:trHeight w:val="300"/>
        </w:trPr>
        <w:tc>
          <w:tcPr>
            <w:tcW w:w="1411" w:type="pct"/>
            <w:tcBorders>
              <w:top w:val="single" w:sz="4" w:space="0" w:color="auto"/>
              <w:left w:val="single" w:sz="4" w:space="0" w:color="auto"/>
              <w:bottom w:val="nil"/>
              <w:right w:val="nil"/>
            </w:tcBorders>
            <w:shd w:val="clear" w:color="auto" w:fill="auto"/>
            <w:noWrap/>
            <w:vAlign w:val="center"/>
            <w:hideMark/>
          </w:tcPr>
          <w:p w14:paraId="22643732" w14:textId="6B813169" w:rsidR="00B877EA" w:rsidRPr="007F6CA8" w:rsidRDefault="008E6031" w:rsidP="00F927E6">
            <w:pPr>
              <w:spacing w:line="276" w:lineRule="auto"/>
              <w:rPr>
                <w:rFonts w:ascii="Sylfaen" w:hAnsi="Sylfaen"/>
                <w:sz w:val="18"/>
                <w:szCs w:val="18"/>
                <w:lang w:val="ka-GE" w:eastAsia="de-DE"/>
              </w:rPr>
            </w:pPr>
            <w:r w:rsidRPr="007F6CA8">
              <w:rPr>
                <w:rFonts w:ascii="Sylfaen" w:hAnsi="Sylfaen"/>
                <w:sz w:val="18"/>
                <w:szCs w:val="18"/>
                <w:lang w:val="ka-GE" w:eastAsia="de-DE"/>
              </w:rPr>
              <w:t>სულ</w:t>
            </w:r>
          </w:p>
        </w:tc>
        <w:tc>
          <w:tcPr>
            <w:tcW w:w="718" w:type="pct"/>
            <w:tcBorders>
              <w:top w:val="single" w:sz="4" w:space="0" w:color="auto"/>
              <w:left w:val="single" w:sz="4" w:space="0" w:color="auto"/>
              <w:bottom w:val="nil"/>
              <w:right w:val="nil"/>
            </w:tcBorders>
            <w:shd w:val="clear" w:color="auto" w:fill="auto"/>
            <w:noWrap/>
            <w:vAlign w:val="center"/>
            <w:hideMark/>
          </w:tcPr>
          <w:p w14:paraId="79A62CF0"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8,3</w:t>
            </w:r>
          </w:p>
        </w:tc>
        <w:tc>
          <w:tcPr>
            <w:tcW w:w="718" w:type="pct"/>
            <w:tcBorders>
              <w:top w:val="single" w:sz="4" w:space="0" w:color="auto"/>
              <w:left w:val="nil"/>
              <w:bottom w:val="nil"/>
              <w:right w:val="nil"/>
            </w:tcBorders>
            <w:shd w:val="clear" w:color="auto" w:fill="auto"/>
            <w:noWrap/>
            <w:vAlign w:val="center"/>
            <w:hideMark/>
          </w:tcPr>
          <w:p w14:paraId="7716E0BB"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7,3</w:t>
            </w:r>
          </w:p>
        </w:tc>
        <w:tc>
          <w:tcPr>
            <w:tcW w:w="718" w:type="pct"/>
            <w:tcBorders>
              <w:top w:val="single" w:sz="4" w:space="0" w:color="auto"/>
              <w:left w:val="nil"/>
              <w:bottom w:val="nil"/>
              <w:right w:val="nil"/>
            </w:tcBorders>
            <w:shd w:val="clear" w:color="auto" w:fill="auto"/>
            <w:noWrap/>
            <w:vAlign w:val="center"/>
            <w:hideMark/>
          </w:tcPr>
          <w:p w14:paraId="43B8555A"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6,9</w:t>
            </w:r>
          </w:p>
        </w:tc>
        <w:tc>
          <w:tcPr>
            <w:tcW w:w="718" w:type="pct"/>
            <w:tcBorders>
              <w:top w:val="single" w:sz="4" w:space="0" w:color="auto"/>
              <w:left w:val="nil"/>
              <w:bottom w:val="nil"/>
              <w:right w:val="nil"/>
            </w:tcBorders>
            <w:shd w:val="clear" w:color="auto" w:fill="auto"/>
            <w:noWrap/>
            <w:vAlign w:val="center"/>
            <w:hideMark/>
          </w:tcPr>
          <w:p w14:paraId="11AF3B6F"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9,3</w:t>
            </w:r>
          </w:p>
        </w:tc>
        <w:tc>
          <w:tcPr>
            <w:tcW w:w="718" w:type="pct"/>
            <w:tcBorders>
              <w:top w:val="single" w:sz="4" w:space="0" w:color="auto"/>
              <w:left w:val="nil"/>
              <w:bottom w:val="nil"/>
              <w:right w:val="single" w:sz="4" w:space="0" w:color="auto"/>
            </w:tcBorders>
            <w:shd w:val="clear" w:color="auto" w:fill="auto"/>
            <w:noWrap/>
            <w:vAlign w:val="bottom"/>
            <w:hideMark/>
          </w:tcPr>
          <w:p w14:paraId="0A87CDB8"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8,5</w:t>
            </w:r>
          </w:p>
        </w:tc>
      </w:tr>
      <w:tr w:rsidR="00B877EA" w:rsidRPr="007F6CA8" w14:paraId="36DB7ADD" w14:textId="77777777" w:rsidTr="00B877EA">
        <w:trPr>
          <w:trHeight w:val="300"/>
        </w:trPr>
        <w:tc>
          <w:tcPr>
            <w:tcW w:w="1411" w:type="pct"/>
            <w:tcBorders>
              <w:top w:val="nil"/>
              <w:left w:val="single" w:sz="4" w:space="0" w:color="auto"/>
              <w:bottom w:val="nil"/>
              <w:right w:val="nil"/>
            </w:tcBorders>
            <w:shd w:val="clear" w:color="auto" w:fill="auto"/>
            <w:noWrap/>
            <w:vAlign w:val="center"/>
            <w:hideMark/>
          </w:tcPr>
          <w:p w14:paraId="6F67A3D1" w14:textId="12BCC79F" w:rsidR="00B877EA" w:rsidRPr="007F6CA8" w:rsidRDefault="008E6031" w:rsidP="00F927E6">
            <w:pPr>
              <w:spacing w:line="276" w:lineRule="auto"/>
              <w:rPr>
                <w:rFonts w:ascii="Sylfaen" w:hAnsi="Sylfaen"/>
                <w:sz w:val="18"/>
                <w:szCs w:val="18"/>
                <w:lang w:val="ka-GE" w:eastAsia="de-DE"/>
              </w:rPr>
            </w:pPr>
            <w:r w:rsidRPr="007F6CA8">
              <w:rPr>
                <w:rFonts w:ascii="Sylfaen" w:hAnsi="Sylfaen"/>
                <w:sz w:val="18"/>
                <w:szCs w:val="18"/>
                <w:lang w:val="ka-GE" w:eastAsia="de-DE"/>
              </w:rPr>
              <w:t>მამაკაცები</w:t>
            </w:r>
          </w:p>
        </w:tc>
        <w:tc>
          <w:tcPr>
            <w:tcW w:w="718" w:type="pct"/>
            <w:tcBorders>
              <w:top w:val="nil"/>
              <w:left w:val="single" w:sz="4" w:space="0" w:color="auto"/>
              <w:bottom w:val="nil"/>
              <w:right w:val="nil"/>
            </w:tcBorders>
            <w:shd w:val="clear" w:color="auto" w:fill="auto"/>
            <w:noWrap/>
            <w:vAlign w:val="center"/>
            <w:hideMark/>
          </w:tcPr>
          <w:p w14:paraId="760483BB"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10,6</w:t>
            </w:r>
          </w:p>
        </w:tc>
        <w:tc>
          <w:tcPr>
            <w:tcW w:w="718" w:type="pct"/>
            <w:tcBorders>
              <w:top w:val="nil"/>
              <w:left w:val="nil"/>
              <w:bottom w:val="nil"/>
              <w:right w:val="nil"/>
            </w:tcBorders>
            <w:shd w:val="clear" w:color="auto" w:fill="auto"/>
            <w:noWrap/>
            <w:vAlign w:val="center"/>
            <w:hideMark/>
          </w:tcPr>
          <w:p w14:paraId="263E920C"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8,9</w:t>
            </w:r>
          </w:p>
        </w:tc>
        <w:tc>
          <w:tcPr>
            <w:tcW w:w="718" w:type="pct"/>
            <w:tcBorders>
              <w:top w:val="nil"/>
              <w:left w:val="nil"/>
              <w:bottom w:val="nil"/>
              <w:right w:val="nil"/>
            </w:tcBorders>
            <w:shd w:val="clear" w:color="auto" w:fill="auto"/>
            <w:noWrap/>
            <w:vAlign w:val="center"/>
            <w:hideMark/>
          </w:tcPr>
          <w:p w14:paraId="4975AC9A"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7,8</w:t>
            </w:r>
          </w:p>
        </w:tc>
        <w:tc>
          <w:tcPr>
            <w:tcW w:w="718" w:type="pct"/>
            <w:tcBorders>
              <w:top w:val="nil"/>
              <w:left w:val="nil"/>
              <w:bottom w:val="nil"/>
              <w:right w:val="nil"/>
            </w:tcBorders>
            <w:shd w:val="clear" w:color="auto" w:fill="auto"/>
            <w:noWrap/>
            <w:vAlign w:val="center"/>
            <w:hideMark/>
          </w:tcPr>
          <w:p w14:paraId="426B6C68"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10,8</w:t>
            </w:r>
          </w:p>
        </w:tc>
        <w:tc>
          <w:tcPr>
            <w:tcW w:w="718" w:type="pct"/>
            <w:tcBorders>
              <w:top w:val="nil"/>
              <w:left w:val="nil"/>
              <w:bottom w:val="nil"/>
              <w:right w:val="single" w:sz="4" w:space="0" w:color="auto"/>
            </w:tcBorders>
            <w:shd w:val="clear" w:color="auto" w:fill="auto"/>
            <w:noWrap/>
            <w:vAlign w:val="bottom"/>
            <w:hideMark/>
          </w:tcPr>
          <w:p w14:paraId="2E2AB12B"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9,6</w:t>
            </w:r>
          </w:p>
        </w:tc>
      </w:tr>
      <w:tr w:rsidR="00B877EA" w:rsidRPr="007F6CA8" w14:paraId="711C98A9" w14:textId="77777777" w:rsidTr="00B877EA">
        <w:trPr>
          <w:trHeight w:val="300"/>
        </w:trPr>
        <w:tc>
          <w:tcPr>
            <w:tcW w:w="1411" w:type="pct"/>
            <w:tcBorders>
              <w:top w:val="nil"/>
              <w:left w:val="single" w:sz="4" w:space="0" w:color="auto"/>
              <w:bottom w:val="single" w:sz="4" w:space="0" w:color="auto"/>
              <w:right w:val="nil"/>
            </w:tcBorders>
            <w:shd w:val="clear" w:color="auto" w:fill="auto"/>
            <w:noWrap/>
            <w:vAlign w:val="center"/>
            <w:hideMark/>
          </w:tcPr>
          <w:p w14:paraId="1D054BA0" w14:textId="55B6DB16" w:rsidR="00B877EA" w:rsidRPr="007F6CA8" w:rsidRDefault="008E6031" w:rsidP="00F927E6">
            <w:pPr>
              <w:spacing w:line="276" w:lineRule="auto"/>
              <w:rPr>
                <w:rFonts w:ascii="Sylfaen" w:hAnsi="Sylfaen"/>
                <w:sz w:val="18"/>
                <w:szCs w:val="18"/>
                <w:lang w:val="ka-GE" w:eastAsia="de-DE"/>
              </w:rPr>
            </w:pPr>
            <w:r w:rsidRPr="007F6CA8">
              <w:rPr>
                <w:rFonts w:ascii="Sylfaen" w:hAnsi="Sylfaen"/>
                <w:sz w:val="18"/>
                <w:szCs w:val="18"/>
                <w:lang w:val="ka-GE" w:eastAsia="de-DE"/>
              </w:rPr>
              <w:t>ქალები</w:t>
            </w:r>
          </w:p>
        </w:tc>
        <w:tc>
          <w:tcPr>
            <w:tcW w:w="718" w:type="pct"/>
            <w:tcBorders>
              <w:top w:val="nil"/>
              <w:left w:val="single" w:sz="4" w:space="0" w:color="auto"/>
              <w:bottom w:val="single" w:sz="4" w:space="0" w:color="auto"/>
              <w:right w:val="nil"/>
            </w:tcBorders>
            <w:shd w:val="clear" w:color="auto" w:fill="auto"/>
            <w:noWrap/>
            <w:vAlign w:val="center"/>
            <w:hideMark/>
          </w:tcPr>
          <w:p w14:paraId="6F32FCB5"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5,4</w:t>
            </w:r>
          </w:p>
        </w:tc>
        <w:tc>
          <w:tcPr>
            <w:tcW w:w="718" w:type="pct"/>
            <w:tcBorders>
              <w:top w:val="nil"/>
              <w:left w:val="nil"/>
              <w:bottom w:val="single" w:sz="4" w:space="0" w:color="auto"/>
              <w:right w:val="nil"/>
            </w:tcBorders>
            <w:shd w:val="clear" w:color="auto" w:fill="auto"/>
            <w:noWrap/>
            <w:vAlign w:val="center"/>
            <w:hideMark/>
          </w:tcPr>
          <w:p w14:paraId="1215A5D1"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5,2</w:t>
            </w:r>
          </w:p>
        </w:tc>
        <w:tc>
          <w:tcPr>
            <w:tcW w:w="718" w:type="pct"/>
            <w:tcBorders>
              <w:top w:val="nil"/>
              <w:left w:val="nil"/>
              <w:bottom w:val="single" w:sz="4" w:space="0" w:color="auto"/>
              <w:right w:val="nil"/>
            </w:tcBorders>
            <w:shd w:val="clear" w:color="auto" w:fill="auto"/>
            <w:noWrap/>
            <w:vAlign w:val="center"/>
            <w:hideMark/>
          </w:tcPr>
          <w:p w14:paraId="6386F25B"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5,6</w:t>
            </w:r>
          </w:p>
        </w:tc>
        <w:tc>
          <w:tcPr>
            <w:tcW w:w="718" w:type="pct"/>
            <w:tcBorders>
              <w:top w:val="nil"/>
              <w:left w:val="nil"/>
              <w:bottom w:val="single" w:sz="4" w:space="0" w:color="auto"/>
              <w:right w:val="nil"/>
            </w:tcBorders>
            <w:shd w:val="clear" w:color="auto" w:fill="auto"/>
            <w:noWrap/>
            <w:vAlign w:val="center"/>
            <w:hideMark/>
          </w:tcPr>
          <w:p w14:paraId="4B0C6613"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7,1</w:t>
            </w:r>
          </w:p>
        </w:tc>
        <w:tc>
          <w:tcPr>
            <w:tcW w:w="718" w:type="pct"/>
            <w:tcBorders>
              <w:top w:val="nil"/>
              <w:left w:val="nil"/>
              <w:bottom w:val="single" w:sz="4" w:space="0" w:color="auto"/>
              <w:right w:val="single" w:sz="4" w:space="0" w:color="auto"/>
            </w:tcBorders>
            <w:shd w:val="clear" w:color="auto" w:fill="auto"/>
            <w:noWrap/>
            <w:vAlign w:val="bottom"/>
            <w:hideMark/>
          </w:tcPr>
          <w:p w14:paraId="35B4B8A6"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7,0</w:t>
            </w:r>
          </w:p>
        </w:tc>
      </w:tr>
    </w:tbl>
    <w:p w14:paraId="0EEEBDE3" w14:textId="77777777" w:rsidR="00F927E6" w:rsidRPr="007F6CA8" w:rsidRDefault="00F927E6" w:rsidP="00F927E6">
      <w:pPr>
        <w:spacing w:beforeLines="60" w:before="144" w:afterLines="60" w:after="144" w:line="276" w:lineRule="auto"/>
        <w:rPr>
          <w:rFonts w:ascii="Sylfaen" w:hAnsi="Sylfaen"/>
          <w:sz w:val="18"/>
        </w:rPr>
      </w:pPr>
      <w:r w:rsidRPr="007F6CA8">
        <w:rPr>
          <w:rFonts w:ascii="Sylfaen" w:hAnsi="Sylfaen"/>
          <w:sz w:val="18"/>
          <w:lang w:val="ka-GE"/>
        </w:rPr>
        <w:t>შენიშვნა</w:t>
      </w:r>
      <w:r w:rsidR="00AC7F97" w:rsidRPr="007F6CA8">
        <w:rPr>
          <w:rFonts w:ascii="Sylfaen" w:hAnsi="Sylfaen"/>
          <w:sz w:val="18"/>
        </w:rPr>
        <w:t>:</w:t>
      </w:r>
      <w:r w:rsidRPr="007F6CA8">
        <w:rPr>
          <w:rFonts w:ascii="Sylfaen" w:hAnsi="Sylfaen"/>
          <w:sz w:val="18"/>
          <w:lang w:val="ka-GE"/>
        </w:rPr>
        <w:t xml:space="preserve"> პროფესიული კლასიფიკაცია</w:t>
      </w:r>
      <w:r w:rsidR="00AC7F97" w:rsidRPr="007F6CA8">
        <w:rPr>
          <w:rFonts w:ascii="Sylfaen" w:hAnsi="Sylfaen"/>
          <w:sz w:val="18"/>
        </w:rPr>
        <w:t>: ISCO 88</w:t>
      </w:r>
      <w:r w:rsidR="00AC7F97" w:rsidRPr="007F6CA8">
        <w:rPr>
          <w:rFonts w:ascii="Sylfaen" w:hAnsi="Sylfaen"/>
          <w:sz w:val="18"/>
          <w:lang w:eastAsia="de-DE"/>
        </w:rPr>
        <w:t xml:space="preserve">; </w:t>
      </w:r>
      <w:r w:rsidRPr="007F6CA8">
        <w:rPr>
          <w:rFonts w:ascii="Sylfaen" w:hAnsi="Sylfaen"/>
          <w:sz w:val="18"/>
          <w:lang w:val="ka-GE"/>
        </w:rPr>
        <w:t>შდრ.</w:t>
      </w:r>
      <w:r w:rsidR="00AC7F97" w:rsidRPr="007F6CA8">
        <w:rPr>
          <w:rFonts w:ascii="Sylfaen" w:hAnsi="Sylfaen"/>
          <w:sz w:val="18"/>
        </w:rPr>
        <w:t xml:space="preserve"> </w:t>
      </w:r>
      <w:r w:rsidR="00824307" w:rsidRPr="007F6CA8">
        <w:rPr>
          <w:rFonts w:ascii="Sylfaen" w:hAnsi="Sylfaen"/>
        </w:rPr>
        <w:fldChar w:fldCharType="begin"/>
      </w:r>
      <w:r w:rsidR="00824307" w:rsidRPr="007F6CA8">
        <w:rPr>
          <w:rFonts w:ascii="Sylfaen" w:hAnsi="Sylfaen"/>
        </w:rPr>
        <w:instrText xml:space="preserve"> HYPERLINK "http://www.oecd-ilibrary.org/education/education-at-a-glance-2010/education-and-occupational-mismatches-for-young-individuals-2003-2007_eag-2010-table175-en" </w:instrText>
      </w:r>
      <w:r w:rsidR="00824307" w:rsidRPr="007F6CA8">
        <w:rPr>
          <w:rFonts w:ascii="Sylfaen" w:hAnsi="Sylfaen"/>
        </w:rPr>
        <w:fldChar w:fldCharType="separate"/>
      </w:r>
      <w:r w:rsidR="00AC7F97" w:rsidRPr="007F6CA8">
        <w:rPr>
          <w:rStyle w:val="Hyperlink"/>
          <w:rFonts w:ascii="Sylfaen" w:hAnsi="Sylfaen"/>
          <w:szCs w:val="22"/>
        </w:rPr>
        <w:t>http://www.oecd-ilibrary.org/education/education-at-a-glance-2010/education-and-occupational-mismatches-for-young-individuals-2003-2007_eag-2010-table175-en</w:t>
      </w:r>
      <w:r w:rsidR="00824307" w:rsidRPr="007F6CA8">
        <w:rPr>
          <w:rStyle w:val="Hyperlink"/>
          <w:rFonts w:ascii="Sylfaen" w:hAnsi="Sylfaen"/>
          <w:szCs w:val="22"/>
        </w:rPr>
        <w:fldChar w:fldCharType="end"/>
      </w:r>
      <w:r w:rsidR="00AC7F97" w:rsidRPr="007F6CA8">
        <w:rPr>
          <w:rFonts w:ascii="Sylfaen" w:hAnsi="Sylfaen"/>
          <w:sz w:val="18"/>
          <w:lang w:eastAsia="de-DE"/>
        </w:rPr>
        <w:br/>
      </w: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71197BDC" w14:textId="6A3F06A4" w:rsidR="00AC7F97" w:rsidRPr="007F6CA8" w:rsidRDefault="00AC7F97" w:rsidP="00731B1D">
      <w:pPr>
        <w:spacing w:beforeLines="60" w:before="144" w:afterLines="60" w:after="144" w:line="276" w:lineRule="auto"/>
        <w:rPr>
          <w:rFonts w:ascii="Sylfaen" w:hAnsi="Sylfaen"/>
          <w:sz w:val="18"/>
        </w:rPr>
      </w:pPr>
    </w:p>
    <w:p w14:paraId="7586FCD7" w14:textId="4B66F35E" w:rsidR="0033474A" w:rsidRPr="007F6CA8" w:rsidRDefault="008E6031"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bookmarkStart w:id="26" w:name="_Toc497904303"/>
      <w:r w:rsidRPr="007F6CA8">
        <w:rPr>
          <w:rFonts w:ascii="Sylfaen" w:hAnsi="Sylfaen"/>
          <w:b/>
          <w:i w:val="0"/>
          <w:color w:val="auto"/>
          <w:sz w:val="22"/>
          <w:szCs w:val="22"/>
          <w:lang w:val="ka-GE"/>
        </w:rPr>
        <w:t>ცხრილი</w:t>
      </w:r>
      <w:r w:rsidR="0033474A" w:rsidRPr="007F6CA8">
        <w:rPr>
          <w:rFonts w:ascii="Sylfaen" w:hAnsi="Sylfaen"/>
          <w:b/>
          <w:i w:val="0"/>
          <w:color w:val="auto"/>
          <w:sz w:val="22"/>
          <w:szCs w:val="22"/>
          <w:lang w:val="en-GB"/>
        </w:rPr>
        <w:t xml:space="preserve"> </w:t>
      </w:r>
      <w:r w:rsidR="0033474A" w:rsidRPr="007F6CA8">
        <w:rPr>
          <w:rFonts w:ascii="Sylfaen" w:hAnsi="Sylfaen"/>
          <w:lang w:val="en-GB"/>
        </w:rPr>
        <w:fldChar w:fldCharType="begin"/>
      </w:r>
      <w:r w:rsidR="0033474A" w:rsidRPr="007F6CA8">
        <w:rPr>
          <w:rFonts w:ascii="Sylfaen" w:hAnsi="Sylfaen"/>
          <w:b/>
          <w:i w:val="0"/>
          <w:color w:val="auto"/>
          <w:sz w:val="22"/>
          <w:szCs w:val="22"/>
          <w:lang w:val="en-GB"/>
        </w:rPr>
        <w:instrText xml:space="preserve"> SEQ Table \* ARABIC </w:instrText>
      </w:r>
      <w:r w:rsidR="0033474A" w:rsidRPr="007F6CA8">
        <w:rPr>
          <w:rFonts w:ascii="Sylfaen" w:hAnsi="Sylfaen"/>
          <w:lang w:val="en-GB"/>
        </w:rPr>
        <w:fldChar w:fldCharType="separate"/>
      </w:r>
      <w:r w:rsidR="003120D1" w:rsidRPr="007F6CA8">
        <w:rPr>
          <w:rFonts w:ascii="Sylfaen" w:hAnsi="Sylfaen"/>
          <w:b/>
          <w:i w:val="0"/>
          <w:noProof/>
          <w:color w:val="auto"/>
          <w:sz w:val="22"/>
          <w:szCs w:val="22"/>
          <w:lang w:val="en-GB"/>
        </w:rPr>
        <w:t>3</w:t>
      </w:r>
      <w:r w:rsidR="0033474A" w:rsidRPr="007F6CA8">
        <w:rPr>
          <w:rFonts w:ascii="Sylfaen" w:hAnsi="Sylfaen"/>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პროფესიული შეუსაბამობა საქართველოში: პირები, რომლებიც არ არიან განათლების სისტემაში, უმაღლესი დონე</w:t>
      </w:r>
      <w:r w:rsidR="0033474A" w:rsidRPr="007F6CA8">
        <w:rPr>
          <w:rFonts w:ascii="Sylfaen" w:hAnsi="Sylfaen"/>
          <w:b/>
          <w:i w:val="0"/>
          <w:color w:val="auto"/>
          <w:sz w:val="22"/>
          <w:szCs w:val="22"/>
          <w:lang w:val="en-GB"/>
        </w:rPr>
        <w:t>, 2012-2016</w:t>
      </w:r>
      <w:bookmarkEnd w:id="26"/>
    </w:p>
    <w:tbl>
      <w:tblPr>
        <w:tblW w:w="5000" w:type="pct"/>
        <w:tblCellMar>
          <w:left w:w="70" w:type="dxa"/>
          <w:right w:w="70" w:type="dxa"/>
        </w:tblCellMar>
        <w:tblLook w:val="04A0" w:firstRow="1" w:lastRow="0" w:firstColumn="1" w:lastColumn="0" w:noHBand="0" w:noVBand="1"/>
      </w:tblPr>
      <w:tblGrid>
        <w:gridCol w:w="2638"/>
        <w:gridCol w:w="1342"/>
        <w:gridCol w:w="1342"/>
        <w:gridCol w:w="1342"/>
        <w:gridCol w:w="1342"/>
        <w:gridCol w:w="1340"/>
      </w:tblGrid>
      <w:tr w:rsidR="00B877EA" w:rsidRPr="007F6CA8" w14:paraId="4688C43B" w14:textId="77777777" w:rsidTr="00B877EA">
        <w:trPr>
          <w:trHeight w:val="300"/>
        </w:trPr>
        <w:tc>
          <w:tcPr>
            <w:tcW w:w="1411" w:type="pct"/>
            <w:vMerge w:val="restart"/>
            <w:tcBorders>
              <w:top w:val="single" w:sz="4" w:space="0" w:color="auto"/>
              <w:left w:val="single" w:sz="4" w:space="0" w:color="auto"/>
              <w:bottom w:val="nil"/>
              <w:right w:val="nil"/>
            </w:tcBorders>
            <w:shd w:val="clear" w:color="auto" w:fill="auto"/>
            <w:noWrap/>
            <w:vAlign w:val="center"/>
            <w:hideMark/>
          </w:tcPr>
          <w:p w14:paraId="569EC415" w14:textId="02BBE19C" w:rsidR="00B877EA" w:rsidRPr="007F6CA8" w:rsidRDefault="008E6031" w:rsidP="00F927E6">
            <w:pPr>
              <w:spacing w:line="276" w:lineRule="auto"/>
              <w:jc w:val="center"/>
              <w:rPr>
                <w:rFonts w:ascii="Sylfaen" w:hAnsi="Sylfaen"/>
                <w:sz w:val="18"/>
                <w:szCs w:val="18"/>
                <w:lang w:val="ka-GE" w:eastAsia="de-DE"/>
              </w:rPr>
            </w:pPr>
            <w:r w:rsidRPr="007F6CA8">
              <w:rPr>
                <w:rFonts w:ascii="Sylfaen" w:hAnsi="Sylfaen"/>
                <w:sz w:val="18"/>
                <w:szCs w:val="18"/>
                <w:lang w:val="ka-GE" w:eastAsia="de-DE"/>
              </w:rPr>
              <w:t>სქესი</w:t>
            </w:r>
          </w:p>
        </w:tc>
        <w:tc>
          <w:tcPr>
            <w:tcW w:w="3589" w:type="pct"/>
            <w:gridSpan w:val="5"/>
            <w:tcBorders>
              <w:top w:val="single" w:sz="4" w:space="0" w:color="auto"/>
              <w:left w:val="single" w:sz="4" w:space="0" w:color="auto"/>
              <w:bottom w:val="nil"/>
              <w:right w:val="single" w:sz="4" w:space="0" w:color="000000"/>
            </w:tcBorders>
            <w:shd w:val="clear" w:color="auto" w:fill="auto"/>
            <w:noWrap/>
            <w:vAlign w:val="bottom"/>
            <w:hideMark/>
          </w:tcPr>
          <w:p w14:paraId="23D53CC3" w14:textId="61B69C91" w:rsidR="00B877EA" w:rsidRPr="007F6CA8" w:rsidRDefault="008E6031" w:rsidP="00F927E6">
            <w:pPr>
              <w:spacing w:line="276" w:lineRule="auto"/>
              <w:jc w:val="center"/>
              <w:rPr>
                <w:rFonts w:ascii="Sylfaen" w:hAnsi="Sylfaen"/>
                <w:sz w:val="18"/>
                <w:szCs w:val="18"/>
                <w:lang w:val="ka-GE" w:eastAsia="de-DE"/>
              </w:rPr>
            </w:pPr>
            <w:r w:rsidRPr="007F6CA8">
              <w:rPr>
                <w:rFonts w:ascii="Sylfaen" w:hAnsi="Sylfaen"/>
                <w:sz w:val="18"/>
                <w:szCs w:val="18"/>
                <w:lang w:val="ka-GE" w:eastAsia="de-DE"/>
              </w:rPr>
              <w:t>საქართველო</w:t>
            </w:r>
          </w:p>
        </w:tc>
      </w:tr>
      <w:tr w:rsidR="00B877EA" w:rsidRPr="007F6CA8" w14:paraId="4A00ED6C" w14:textId="77777777" w:rsidTr="00B877EA">
        <w:trPr>
          <w:trHeight w:val="435"/>
        </w:trPr>
        <w:tc>
          <w:tcPr>
            <w:tcW w:w="1411" w:type="pct"/>
            <w:vMerge/>
            <w:tcBorders>
              <w:top w:val="single" w:sz="4" w:space="0" w:color="auto"/>
              <w:left w:val="single" w:sz="4" w:space="0" w:color="auto"/>
              <w:bottom w:val="nil"/>
              <w:right w:val="nil"/>
            </w:tcBorders>
            <w:vAlign w:val="center"/>
            <w:hideMark/>
          </w:tcPr>
          <w:p w14:paraId="07DCD88A" w14:textId="77777777" w:rsidR="00B877EA" w:rsidRPr="007F6CA8" w:rsidRDefault="00B877EA" w:rsidP="00F927E6">
            <w:pPr>
              <w:spacing w:line="276" w:lineRule="auto"/>
              <w:rPr>
                <w:rFonts w:ascii="Sylfaen" w:hAnsi="Sylfaen"/>
                <w:sz w:val="18"/>
                <w:szCs w:val="18"/>
                <w:lang w:eastAsia="de-DE"/>
              </w:rPr>
            </w:pPr>
          </w:p>
        </w:tc>
        <w:tc>
          <w:tcPr>
            <w:tcW w:w="3589" w:type="pct"/>
            <w:gridSpan w:val="5"/>
            <w:tcBorders>
              <w:top w:val="nil"/>
              <w:left w:val="single" w:sz="4" w:space="0" w:color="auto"/>
              <w:bottom w:val="nil"/>
              <w:right w:val="single" w:sz="4" w:space="0" w:color="000000"/>
            </w:tcBorders>
            <w:shd w:val="clear" w:color="auto" w:fill="auto"/>
            <w:vAlign w:val="center"/>
            <w:hideMark/>
          </w:tcPr>
          <w:p w14:paraId="3E6BD616" w14:textId="7FC5EFD8" w:rsidR="00B877EA" w:rsidRPr="007F6CA8" w:rsidRDefault="008E6031" w:rsidP="00F927E6">
            <w:pPr>
              <w:spacing w:line="276" w:lineRule="auto"/>
              <w:jc w:val="center"/>
              <w:rPr>
                <w:rFonts w:ascii="Sylfaen" w:hAnsi="Sylfaen"/>
                <w:sz w:val="18"/>
                <w:szCs w:val="18"/>
                <w:lang w:eastAsia="de-DE"/>
              </w:rPr>
            </w:pPr>
            <w:r w:rsidRPr="007F6CA8">
              <w:rPr>
                <w:rFonts w:ascii="Sylfaen" w:hAnsi="Sylfaen"/>
                <w:sz w:val="18"/>
                <w:szCs w:val="18"/>
                <w:lang w:val="ka-GE" w:eastAsia="de-DE"/>
              </w:rPr>
              <w:t>უმაღლესი განათლების მქონე ნახევრად კვალიფიციურ პროფესიებში დასაქმებული ადამიანები,</w:t>
            </w:r>
            <w:r w:rsidRPr="007F6CA8">
              <w:rPr>
                <w:rFonts w:ascii="Sylfaen" w:hAnsi="Sylfaen"/>
                <w:sz w:val="18"/>
                <w:szCs w:val="18"/>
                <w:lang w:eastAsia="de-DE"/>
              </w:rPr>
              <w:t xml:space="preserve"> 15-64</w:t>
            </w:r>
            <w:r w:rsidRPr="007F6CA8">
              <w:rPr>
                <w:rFonts w:ascii="Sylfaen" w:hAnsi="Sylfaen"/>
                <w:sz w:val="18"/>
                <w:szCs w:val="18"/>
                <w:lang w:val="ka-GE" w:eastAsia="de-DE"/>
              </w:rPr>
              <w:t xml:space="preserve"> წელი</w:t>
            </w:r>
          </w:p>
        </w:tc>
      </w:tr>
      <w:tr w:rsidR="00B877EA" w:rsidRPr="007F6CA8" w14:paraId="64E730B6" w14:textId="77777777" w:rsidTr="00B877EA">
        <w:trPr>
          <w:trHeight w:val="300"/>
        </w:trPr>
        <w:tc>
          <w:tcPr>
            <w:tcW w:w="1411" w:type="pct"/>
            <w:vMerge/>
            <w:tcBorders>
              <w:top w:val="single" w:sz="4" w:space="0" w:color="auto"/>
              <w:left w:val="single" w:sz="4" w:space="0" w:color="auto"/>
              <w:bottom w:val="nil"/>
              <w:right w:val="nil"/>
            </w:tcBorders>
            <w:vAlign w:val="center"/>
            <w:hideMark/>
          </w:tcPr>
          <w:p w14:paraId="20A12380" w14:textId="77777777" w:rsidR="00B877EA" w:rsidRPr="007F6CA8" w:rsidRDefault="00B877EA" w:rsidP="00F927E6">
            <w:pPr>
              <w:spacing w:line="276" w:lineRule="auto"/>
              <w:rPr>
                <w:rFonts w:ascii="Sylfaen" w:hAnsi="Sylfaen"/>
                <w:sz w:val="18"/>
                <w:szCs w:val="18"/>
                <w:lang w:eastAsia="de-DE"/>
              </w:rPr>
            </w:pPr>
          </w:p>
        </w:tc>
        <w:tc>
          <w:tcPr>
            <w:tcW w:w="3589" w:type="pct"/>
            <w:gridSpan w:val="5"/>
            <w:tcBorders>
              <w:top w:val="nil"/>
              <w:left w:val="single" w:sz="4" w:space="0" w:color="auto"/>
              <w:bottom w:val="nil"/>
              <w:right w:val="single" w:sz="4" w:space="0" w:color="000000"/>
            </w:tcBorders>
            <w:shd w:val="clear" w:color="auto" w:fill="auto"/>
            <w:noWrap/>
            <w:vAlign w:val="center"/>
            <w:hideMark/>
          </w:tcPr>
          <w:p w14:paraId="60DBA21E" w14:textId="435F2309" w:rsidR="00B877EA" w:rsidRPr="007F6CA8" w:rsidRDefault="008E6031" w:rsidP="00F927E6">
            <w:pPr>
              <w:spacing w:line="276" w:lineRule="auto"/>
              <w:jc w:val="center"/>
              <w:rPr>
                <w:rFonts w:ascii="Sylfaen" w:hAnsi="Sylfaen"/>
                <w:sz w:val="18"/>
                <w:szCs w:val="18"/>
                <w:lang w:eastAsia="de-DE"/>
              </w:rPr>
            </w:pPr>
            <w:r w:rsidRPr="007F6CA8">
              <w:rPr>
                <w:rFonts w:ascii="Sylfaen" w:hAnsi="Sylfaen"/>
                <w:sz w:val="18"/>
                <w:szCs w:val="18"/>
                <w:lang w:val="ka-GE" w:eastAsia="de-DE"/>
              </w:rPr>
              <w:t xml:space="preserve">უმაღლესი განათლების მქონე ყველა ადამიანის </w:t>
            </w:r>
            <w:r w:rsidRPr="007F6CA8">
              <w:rPr>
                <w:rFonts w:ascii="Sylfaen" w:hAnsi="Sylfaen"/>
                <w:sz w:val="18"/>
                <w:szCs w:val="18"/>
                <w:lang w:eastAsia="de-DE"/>
              </w:rPr>
              <w:t>% (15-64)</w:t>
            </w:r>
          </w:p>
        </w:tc>
      </w:tr>
      <w:tr w:rsidR="00B877EA" w:rsidRPr="007F6CA8" w14:paraId="32686CFD" w14:textId="77777777" w:rsidTr="00F927E6">
        <w:trPr>
          <w:trHeight w:val="300"/>
        </w:trPr>
        <w:tc>
          <w:tcPr>
            <w:tcW w:w="1411" w:type="pct"/>
            <w:vMerge/>
            <w:tcBorders>
              <w:top w:val="single" w:sz="4" w:space="0" w:color="auto"/>
              <w:left w:val="single" w:sz="4" w:space="0" w:color="auto"/>
              <w:bottom w:val="nil"/>
              <w:right w:val="nil"/>
            </w:tcBorders>
            <w:vAlign w:val="center"/>
            <w:hideMark/>
          </w:tcPr>
          <w:p w14:paraId="1444B1D4" w14:textId="77777777" w:rsidR="00B877EA" w:rsidRPr="007F6CA8" w:rsidRDefault="00B877EA" w:rsidP="00F927E6">
            <w:pPr>
              <w:spacing w:line="276" w:lineRule="auto"/>
              <w:rPr>
                <w:rFonts w:ascii="Sylfaen" w:hAnsi="Sylfaen"/>
                <w:sz w:val="18"/>
                <w:szCs w:val="18"/>
                <w:lang w:eastAsia="de-DE"/>
              </w:rPr>
            </w:pPr>
          </w:p>
        </w:tc>
        <w:tc>
          <w:tcPr>
            <w:tcW w:w="718" w:type="pct"/>
            <w:tcBorders>
              <w:top w:val="nil"/>
              <w:left w:val="single" w:sz="4" w:space="0" w:color="auto"/>
              <w:bottom w:val="nil"/>
              <w:right w:val="nil"/>
            </w:tcBorders>
            <w:shd w:val="clear" w:color="auto" w:fill="auto"/>
            <w:noWrap/>
            <w:vAlign w:val="center"/>
            <w:hideMark/>
          </w:tcPr>
          <w:p w14:paraId="2A66C139"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2012</w:t>
            </w:r>
          </w:p>
        </w:tc>
        <w:tc>
          <w:tcPr>
            <w:tcW w:w="718" w:type="pct"/>
            <w:tcBorders>
              <w:top w:val="nil"/>
              <w:left w:val="nil"/>
              <w:bottom w:val="nil"/>
              <w:right w:val="nil"/>
            </w:tcBorders>
            <w:shd w:val="clear" w:color="auto" w:fill="auto"/>
            <w:noWrap/>
            <w:vAlign w:val="center"/>
            <w:hideMark/>
          </w:tcPr>
          <w:p w14:paraId="430F6BD1"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2013</w:t>
            </w:r>
          </w:p>
        </w:tc>
        <w:tc>
          <w:tcPr>
            <w:tcW w:w="718" w:type="pct"/>
            <w:tcBorders>
              <w:top w:val="nil"/>
              <w:left w:val="nil"/>
              <w:bottom w:val="nil"/>
              <w:right w:val="nil"/>
            </w:tcBorders>
            <w:shd w:val="clear" w:color="auto" w:fill="auto"/>
            <w:noWrap/>
            <w:vAlign w:val="center"/>
            <w:hideMark/>
          </w:tcPr>
          <w:p w14:paraId="41A80F09"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2014</w:t>
            </w:r>
          </w:p>
        </w:tc>
        <w:tc>
          <w:tcPr>
            <w:tcW w:w="718" w:type="pct"/>
            <w:tcBorders>
              <w:top w:val="nil"/>
              <w:left w:val="nil"/>
              <w:bottom w:val="nil"/>
              <w:right w:val="nil"/>
            </w:tcBorders>
            <w:shd w:val="clear" w:color="auto" w:fill="auto"/>
            <w:noWrap/>
            <w:vAlign w:val="center"/>
            <w:hideMark/>
          </w:tcPr>
          <w:p w14:paraId="6755AB80"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2015</w:t>
            </w:r>
          </w:p>
        </w:tc>
        <w:tc>
          <w:tcPr>
            <w:tcW w:w="717" w:type="pct"/>
            <w:tcBorders>
              <w:top w:val="nil"/>
              <w:left w:val="nil"/>
              <w:bottom w:val="nil"/>
              <w:right w:val="single" w:sz="4" w:space="0" w:color="auto"/>
            </w:tcBorders>
            <w:shd w:val="clear" w:color="auto" w:fill="auto"/>
            <w:noWrap/>
            <w:vAlign w:val="center"/>
            <w:hideMark/>
          </w:tcPr>
          <w:p w14:paraId="5CA14888" w14:textId="77777777" w:rsidR="00B877EA" w:rsidRPr="007F6CA8" w:rsidRDefault="00B877EA" w:rsidP="00F927E6">
            <w:pPr>
              <w:spacing w:line="276" w:lineRule="auto"/>
              <w:jc w:val="center"/>
              <w:rPr>
                <w:rFonts w:ascii="Sylfaen" w:hAnsi="Sylfaen"/>
                <w:sz w:val="18"/>
                <w:szCs w:val="18"/>
                <w:lang w:eastAsia="de-DE"/>
              </w:rPr>
            </w:pPr>
            <w:r w:rsidRPr="007F6CA8">
              <w:rPr>
                <w:rFonts w:ascii="Sylfaen" w:hAnsi="Sylfaen"/>
                <w:sz w:val="18"/>
                <w:szCs w:val="18"/>
                <w:lang w:eastAsia="de-DE"/>
              </w:rPr>
              <w:t>2016</w:t>
            </w:r>
          </w:p>
        </w:tc>
      </w:tr>
      <w:tr w:rsidR="00B877EA" w:rsidRPr="007F6CA8" w14:paraId="0E3769F3" w14:textId="77777777" w:rsidTr="00F927E6">
        <w:trPr>
          <w:trHeight w:val="300"/>
        </w:trPr>
        <w:tc>
          <w:tcPr>
            <w:tcW w:w="1411" w:type="pct"/>
            <w:tcBorders>
              <w:top w:val="single" w:sz="4" w:space="0" w:color="auto"/>
              <w:left w:val="single" w:sz="4" w:space="0" w:color="auto"/>
              <w:bottom w:val="nil"/>
              <w:right w:val="nil"/>
            </w:tcBorders>
            <w:shd w:val="clear" w:color="auto" w:fill="auto"/>
            <w:noWrap/>
            <w:vAlign w:val="center"/>
            <w:hideMark/>
          </w:tcPr>
          <w:p w14:paraId="6B29E8BE" w14:textId="10ED1C76" w:rsidR="00B877EA" w:rsidRPr="007F6CA8" w:rsidRDefault="008E6031" w:rsidP="00F927E6">
            <w:pPr>
              <w:spacing w:line="276" w:lineRule="auto"/>
              <w:rPr>
                <w:rFonts w:ascii="Sylfaen" w:hAnsi="Sylfaen"/>
                <w:sz w:val="18"/>
                <w:szCs w:val="18"/>
                <w:lang w:val="ka-GE" w:eastAsia="de-DE"/>
              </w:rPr>
            </w:pPr>
            <w:r w:rsidRPr="007F6CA8">
              <w:rPr>
                <w:rFonts w:ascii="Sylfaen" w:hAnsi="Sylfaen"/>
                <w:sz w:val="18"/>
                <w:szCs w:val="18"/>
                <w:lang w:val="ka-GE" w:eastAsia="de-DE"/>
              </w:rPr>
              <w:t>სულ</w:t>
            </w:r>
          </w:p>
        </w:tc>
        <w:tc>
          <w:tcPr>
            <w:tcW w:w="718" w:type="pct"/>
            <w:tcBorders>
              <w:top w:val="single" w:sz="4" w:space="0" w:color="auto"/>
              <w:left w:val="single" w:sz="4" w:space="0" w:color="auto"/>
              <w:bottom w:val="nil"/>
              <w:right w:val="nil"/>
            </w:tcBorders>
            <w:shd w:val="clear" w:color="auto" w:fill="auto"/>
            <w:noWrap/>
            <w:vAlign w:val="center"/>
            <w:hideMark/>
          </w:tcPr>
          <w:p w14:paraId="41D2C220"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38,2</w:t>
            </w:r>
          </w:p>
        </w:tc>
        <w:tc>
          <w:tcPr>
            <w:tcW w:w="718" w:type="pct"/>
            <w:tcBorders>
              <w:top w:val="single" w:sz="4" w:space="0" w:color="auto"/>
              <w:left w:val="nil"/>
              <w:bottom w:val="nil"/>
              <w:right w:val="nil"/>
            </w:tcBorders>
            <w:shd w:val="clear" w:color="auto" w:fill="auto"/>
            <w:noWrap/>
            <w:vAlign w:val="center"/>
            <w:hideMark/>
          </w:tcPr>
          <w:p w14:paraId="4D6E1E44"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37,3</w:t>
            </w:r>
          </w:p>
        </w:tc>
        <w:tc>
          <w:tcPr>
            <w:tcW w:w="718" w:type="pct"/>
            <w:tcBorders>
              <w:top w:val="single" w:sz="4" w:space="0" w:color="auto"/>
              <w:left w:val="nil"/>
              <w:bottom w:val="nil"/>
              <w:right w:val="nil"/>
            </w:tcBorders>
            <w:shd w:val="clear" w:color="auto" w:fill="auto"/>
            <w:noWrap/>
            <w:vAlign w:val="center"/>
            <w:hideMark/>
          </w:tcPr>
          <w:p w14:paraId="148BEBF9"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35,6</w:t>
            </w:r>
          </w:p>
        </w:tc>
        <w:tc>
          <w:tcPr>
            <w:tcW w:w="718" w:type="pct"/>
            <w:tcBorders>
              <w:top w:val="single" w:sz="4" w:space="0" w:color="auto"/>
              <w:left w:val="nil"/>
              <w:bottom w:val="nil"/>
              <w:right w:val="nil"/>
            </w:tcBorders>
            <w:shd w:val="clear" w:color="auto" w:fill="auto"/>
            <w:noWrap/>
            <w:vAlign w:val="center"/>
            <w:hideMark/>
          </w:tcPr>
          <w:p w14:paraId="56E87E0E"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36,5</w:t>
            </w:r>
          </w:p>
        </w:tc>
        <w:tc>
          <w:tcPr>
            <w:tcW w:w="717" w:type="pct"/>
            <w:tcBorders>
              <w:top w:val="single" w:sz="4" w:space="0" w:color="auto"/>
              <w:left w:val="nil"/>
              <w:bottom w:val="nil"/>
              <w:right w:val="single" w:sz="4" w:space="0" w:color="auto"/>
            </w:tcBorders>
            <w:shd w:val="clear" w:color="auto" w:fill="auto"/>
            <w:noWrap/>
            <w:vAlign w:val="bottom"/>
            <w:hideMark/>
          </w:tcPr>
          <w:p w14:paraId="3038CDAE"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38,2</w:t>
            </w:r>
          </w:p>
        </w:tc>
      </w:tr>
      <w:tr w:rsidR="00B877EA" w:rsidRPr="007F6CA8" w14:paraId="7E4986D7" w14:textId="77777777" w:rsidTr="00F927E6">
        <w:trPr>
          <w:trHeight w:val="300"/>
        </w:trPr>
        <w:tc>
          <w:tcPr>
            <w:tcW w:w="1411" w:type="pct"/>
            <w:tcBorders>
              <w:top w:val="nil"/>
              <w:left w:val="single" w:sz="4" w:space="0" w:color="auto"/>
              <w:bottom w:val="nil"/>
              <w:right w:val="nil"/>
            </w:tcBorders>
            <w:shd w:val="clear" w:color="auto" w:fill="auto"/>
            <w:noWrap/>
            <w:vAlign w:val="center"/>
            <w:hideMark/>
          </w:tcPr>
          <w:p w14:paraId="7EE84BAB" w14:textId="0314C4E3" w:rsidR="00B877EA" w:rsidRPr="007F6CA8" w:rsidRDefault="008E6031" w:rsidP="00F927E6">
            <w:pPr>
              <w:spacing w:line="276" w:lineRule="auto"/>
              <w:rPr>
                <w:rFonts w:ascii="Sylfaen" w:hAnsi="Sylfaen"/>
                <w:sz w:val="18"/>
                <w:szCs w:val="18"/>
                <w:lang w:val="ka-GE" w:eastAsia="de-DE"/>
              </w:rPr>
            </w:pPr>
            <w:r w:rsidRPr="007F6CA8">
              <w:rPr>
                <w:rFonts w:ascii="Sylfaen" w:hAnsi="Sylfaen"/>
                <w:sz w:val="18"/>
                <w:szCs w:val="18"/>
                <w:lang w:val="ka-GE" w:eastAsia="de-DE"/>
              </w:rPr>
              <w:t>მამაკაცები</w:t>
            </w:r>
          </w:p>
        </w:tc>
        <w:tc>
          <w:tcPr>
            <w:tcW w:w="718" w:type="pct"/>
            <w:tcBorders>
              <w:top w:val="nil"/>
              <w:left w:val="single" w:sz="4" w:space="0" w:color="auto"/>
              <w:bottom w:val="nil"/>
              <w:right w:val="nil"/>
            </w:tcBorders>
            <w:shd w:val="clear" w:color="auto" w:fill="auto"/>
            <w:noWrap/>
            <w:vAlign w:val="center"/>
            <w:hideMark/>
          </w:tcPr>
          <w:p w14:paraId="30ABC866"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44,8</w:t>
            </w:r>
          </w:p>
        </w:tc>
        <w:tc>
          <w:tcPr>
            <w:tcW w:w="718" w:type="pct"/>
            <w:tcBorders>
              <w:top w:val="nil"/>
              <w:left w:val="nil"/>
              <w:bottom w:val="nil"/>
              <w:right w:val="nil"/>
            </w:tcBorders>
            <w:shd w:val="clear" w:color="auto" w:fill="auto"/>
            <w:noWrap/>
            <w:vAlign w:val="center"/>
            <w:hideMark/>
          </w:tcPr>
          <w:p w14:paraId="4933AC79"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46,8</w:t>
            </w:r>
          </w:p>
        </w:tc>
        <w:tc>
          <w:tcPr>
            <w:tcW w:w="718" w:type="pct"/>
            <w:tcBorders>
              <w:top w:val="nil"/>
              <w:left w:val="nil"/>
              <w:bottom w:val="nil"/>
              <w:right w:val="nil"/>
            </w:tcBorders>
            <w:shd w:val="clear" w:color="auto" w:fill="auto"/>
            <w:noWrap/>
            <w:vAlign w:val="center"/>
            <w:hideMark/>
          </w:tcPr>
          <w:p w14:paraId="5E6C795E"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44,8</w:t>
            </w:r>
          </w:p>
        </w:tc>
        <w:tc>
          <w:tcPr>
            <w:tcW w:w="718" w:type="pct"/>
            <w:tcBorders>
              <w:top w:val="nil"/>
              <w:left w:val="nil"/>
              <w:bottom w:val="nil"/>
              <w:right w:val="nil"/>
            </w:tcBorders>
            <w:shd w:val="clear" w:color="auto" w:fill="auto"/>
            <w:noWrap/>
            <w:vAlign w:val="center"/>
            <w:hideMark/>
          </w:tcPr>
          <w:p w14:paraId="0278FC12"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43,9</w:t>
            </w:r>
          </w:p>
        </w:tc>
        <w:tc>
          <w:tcPr>
            <w:tcW w:w="717" w:type="pct"/>
            <w:tcBorders>
              <w:top w:val="nil"/>
              <w:left w:val="nil"/>
              <w:bottom w:val="nil"/>
              <w:right w:val="single" w:sz="4" w:space="0" w:color="auto"/>
            </w:tcBorders>
            <w:shd w:val="clear" w:color="auto" w:fill="auto"/>
            <w:noWrap/>
            <w:vAlign w:val="bottom"/>
            <w:hideMark/>
          </w:tcPr>
          <w:p w14:paraId="766AE7BF"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48,7</w:t>
            </w:r>
          </w:p>
        </w:tc>
      </w:tr>
      <w:tr w:rsidR="00B877EA" w:rsidRPr="007F6CA8" w14:paraId="1B7610F7" w14:textId="77777777" w:rsidTr="00F927E6">
        <w:trPr>
          <w:trHeight w:val="300"/>
        </w:trPr>
        <w:tc>
          <w:tcPr>
            <w:tcW w:w="1411" w:type="pct"/>
            <w:tcBorders>
              <w:top w:val="nil"/>
              <w:left w:val="single" w:sz="4" w:space="0" w:color="auto"/>
              <w:bottom w:val="single" w:sz="4" w:space="0" w:color="auto"/>
              <w:right w:val="nil"/>
            </w:tcBorders>
            <w:shd w:val="clear" w:color="auto" w:fill="auto"/>
            <w:noWrap/>
            <w:vAlign w:val="center"/>
            <w:hideMark/>
          </w:tcPr>
          <w:p w14:paraId="65C6F1FF" w14:textId="378C7369" w:rsidR="00B877EA" w:rsidRPr="007F6CA8" w:rsidRDefault="008E6031" w:rsidP="00F927E6">
            <w:pPr>
              <w:spacing w:line="276" w:lineRule="auto"/>
              <w:rPr>
                <w:rFonts w:ascii="Sylfaen" w:hAnsi="Sylfaen"/>
                <w:sz w:val="18"/>
                <w:szCs w:val="18"/>
                <w:lang w:val="ka-GE" w:eastAsia="de-DE"/>
              </w:rPr>
            </w:pPr>
            <w:r w:rsidRPr="007F6CA8">
              <w:rPr>
                <w:rFonts w:ascii="Sylfaen" w:hAnsi="Sylfaen"/>
                <w:sz w:val="18"/>
                <w:szCs w:val="18"/>
                <w:lang w:val="ka-GE" w:eastAsia="de-DE"/>
              </w:rPr>
              <w:t>ქალები</w:t>
            </w:r>
          </w:p>
        </w:tc>
        <w:tc>
          <w:tcPr>
            <w:tcW w:w="718" w:type="pct"/>
            <w:tcBorders>
              <w:top w:val="nil"/>
              <w:left w:val="single" w:sz="4" w:space="0" w:color="auto"/>
              <w:bottom w:val="single" w:sz="4" w:space="0" w:color="auto"/>
              <w:right w:val="nil"/>
            </w:tcBorders>
            <w:shd w:val="clear" w:color="auto" w:fill="auto"/>
            <w:noWrap/>
            <w:vAlign w:val="center"/>
            <w:hideMark/>
          </w:tcPr>
          <w:p w14:paraId="1C3EA246"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31,1</w:t>
            </w:r>
          </w:p>
        </w:tc>
        <w:tc>
          <w:tcPr>
            <w:tcW w:w="718" w:type="pct"/>
            <w:tcBorders>
              <w:top w:val="nil"/>
              <w:left w:val="nil"/>
              <w:bottom w:val="single" w:sz="4" w:space="0" w:color="auto"/>
              <w:right w:val="nil"/>
            </w:tcBorders>
            <w:shd w:val="clear" w:color="auto" w:fill="auto"/>
            <w:noWrap/>
            <w:vAlign w:val="center"/>
            <w:hideMark/>
          </w:tcPr>
          <w:p w14:paraId="29E41AB8"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27,6</w:t>
            </w:r>
          </w:p>
        </w:tc>
        <w:tc>
          <w:tcPr>
            <w:tcW w:w="718" w:type="pct"/>
            <w:tcBorders>
              <w:top w:val="nil"/>
              <w:left w:val="nil"/>
              <w:bottom w:val="single" w:sz="4" w:space="0" w:color="auto"/>
              <w:right w:val="nil"/>
            </w:tcBorders>
            <w:shd w:val="clear" w:color="auto" w:fill="auto"/>
            <w:noWrap/>
            <w:vAlign w:val="center"/>
            <w:hideMark/>
          </w:tcPr>
          <w:p w14:paraId="2EE1BCAB"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26,2</w:t>
            </w:r>
          </w:p>
        </w:tc>
        <w:tc>
          <w:tcPr>
            <w:tcW w:w="718" w:type="pct"/>
            <w:tcBorders>
              <w:top w:val="nil"/>
              <w:left w:val="nil"/>
              <w:bottom w:val="single" w:sz="4" w:space="0" w:color="auto"/>
              <w:right w:val="nil"/>
            </w:tcBorders>
            <w:shd w:val="clear" w:color="auto" w:fill="auto"/>
            <w:noWrap/>
            <w:vAlign w:val="center"/>
            <w:hideMark/>
          </w:tcPr>
          <w:p w14:paraId="250FABF6"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28,8</w:t>
            </w:r>
          </w:p>
        </w:tc>
        <w:tc>
          <w:tcPr>
            <w:tcW w:w="717" w:type="pct"/>
            <w:tcBorders>
              <w:top w:val="nil"/>
              <w:left w:val="nil"/>
              <w:bottom w:val="single" w:sz="4" w:space="0" w:color="auto"/>
              <w:right w:val="single" w:sz="4" w:space="0" w:color="auto"/>
            </w:tcBorders>
            <w:shd w:val="clear" w:color="auto" w:fill="auto"/>
            <w:noWrap/>
            <w:vAlign w:val="bottom"/>
            <w:hideMark/>
          </w:tcPr>
          <w:p w14:paraId="6544CCEA" w14:textId="77777777" w:rsidR="00B877EA" w:rsidRPr="007F6CA8" w:rsidRDefault="00B877EA" w:rsidP="00F927E6">
            <w:pPr>
              <w:spacing w:line="276" w:lineRule="auto"/>
              <w:jc w:val="right"/>
              <w:rPr>
                <w:rFonts w:ascii="Sylfaen" w:hAnsi="Sylfaen"/>
                <w:sz w:val="18"/>
                <w:szCs w:val="18"/>
                <w:lang w:eastAsia="de-DE"/>
              </w:rPr>
            </w:pPr>
            <w:r w:rsidRPr="007F6CA8">
              <w:rPr>
                <w:rFonts w:ascii="Sylfaen" w:hAnsi="Sylfaen"/>
                <w:sz w:val="18"/>
                <w:szCs w:val="18"/>
                <w:lang w:eastAsia="de-DE"/>
              </w:rPr>
              <w:t>28,2</w:t>
            </w:r>
          </w:p>
        </w:tc>
      </w:tr>
    </w:tbl>
    <w:p w14:paraId="22A2BE52" w14:textId="06DA66A0" w:rsidR="00F927E6" w:rsidRPr="007F6CA8" w:rsidRDefault="00F927E6" w:rsidP="00F927E6">
      <w:pPr>
        <w:spacing w:beforeLines="60" w:before="144" w:afterLines="60" w:after="144" w:line="276" w:lineRule="auto"/>
        <w:rPr>
          <w:rFonts w:ascii="Sylfaen" w:hAnsi="Sylfaen"/>
          <w:sz w:val="18"/>
        </w:rPr>
      </w:pPr>
      <w:r w:rsidRPr="007F6CA8">
        <w:rPr>
          <w:rFonts w:ascii="Sylfaen" w:hAnsi="Sylfaen"/>
          <w:sz w:val="18"/>
          <w:lang w:val="ka-GE"/>
        </w:rPr>
        <w:lastRenderedPageBreak/>
        <w:t>შენიშვნა</w:t>
      </w:r>
      <w:r w:rsidRPr="007F6CA8">
        <w:rPr>
          <w:rFonts w:ascii="Sylfaen" w:hAnsi="Sylfaen"/>
          <w:sz w:val="18"/>
        </w:rPr>
        <w:t>:</w:t>
      </w:r>
      <w:r w:rsidRPr="007F6CA8">
        <w:rPr>
          <w:rFonts w:ascii="Sylfaen" w:hAnsi="Sylfaen"/>
          <w:sz w:val="18"/>
          <w:lang w:val="ka-GE"/>
        </w:rPr>
        <w:t xml:space="preserve"> პროფესიული კლასიფიკაცია</w:t>
      </w:r>
      <w:r w:rsidRPr="007F6CA8">
        <w:rPr>
          <w:rFonts w:ascii="Sylfaen" w:hAnsi="Sylfaen"/>
          <w:sz w:val="18"/>
        </w:rPr>
        <w:t>: ISCO 88</w:t>
      </w:r>
      <w:r w:rsidRPr="007F6CA8">
        <w:rPr>
          <w:rFonts w:ascii="Sylfaen" w:hAnsi="Sylfaen"/>
          <w:sz w:val="18"/>
          <w:lang w:eastAsia="de-DE"/>
        </w:rPr>
        <w:t xml:space="preserve">; </w:t>
      </w:r>
      <w:r w:rsidRPr="007F6CA8">
        <w:rPr>
          <w:rFonts w:ascii="Sylfaen" w:hAnsi="Sylfaen"/>
          <w:sz w:val="18"/>
          <w:lang w:val="ka-GE"/>
        </w:rPr>
        <w:t>შდრ.</w:t>
      </w:r>
      <w:r w:rsidRPr="007F6CA8">
        <w:rPr>
          <w:rFonts w:ascii="Sylfaen" w:hAnsi="Sylfaen"/>
          <w:sz w:val="18"/>
        </w:rPr>
        <w:t xml:space="preserve"> </w:t>
      </w:r>
      <w:r w:rsidR="00824307" w:rsidRPr="007F6CA8">
        <w:rPr>
          <w:rFonts w:ascii="Sylfaen" w:hAnsi="Sylfaen"/>
        </w:rPr>
        <w:fldChar w:fldCharType="begin"/>
      </w:r>
      <w:r w:rsidR="00824307" w:rsidRPr="007F6CA8">
        <w:rPr>
          <w:rFonts w:ascii="Sylfaen" w:hAnsi="Sylfaen"/>
        </w:rPr>
        <w:instrText xml:space="preserve"> HYPERLINK "http://www.oecd-ilibrary.org/education/education-at-a-glance-2010/education-and-occupational-mismatches-for-young-individuals-2003-2007_eag-2010-table175-en" </w:instrText>
      </w:r>
      <w:r w:rsidR="00824307" w:rsidRPr="007F6CA8">
        <w:rPr>
          <w:rFonts w:ascii="Sylfaen" w:hAnsi="Sylfaen"/>
        </w:rPr>
        <w:fldChar w:fldCharType="separate"/>
      </w:r>
      <w:r w:rsidR="00AC7F97" w:rsidRPr="007F6CA8">
        <w:rPr>
          <w:rStyle w:val="Hyperlink"/>
          <w:rFonts w:ascii="Sylfaen" w:hAnsi="Sylfaen"/>
          <w:szCs w:val="22"/>
        </w:rPr>
        <w:t>http://www.oecd-ilibrary.org/education/education-at-a-glance-2010/education-and-occupational-mismatches-for-young-individuals-2003-2007_eag-2010-table175-en</w:t>
      </w:r>
      <w:r w:rsidR="00824307" w:rsidRPr="007F6CA8">
        <w:rPr>
          <w:rStyle w:val="Hyperlink"/>
          <w:rFonts w:ascii="Sylfaen" w:hAnsi="Sylfaen"/>
          <w:szCs w:val="22"/>
        </w:rPr>
        <w:fldChar w:fldCharType="end"/>
      </w:r>
      <w:r w:rsidR="00AC7F97" w:rsidRPr="007F6CA8">
        <w:rPr>
          <w:rFonts w:ascii="Sylfaen" w:hAnsi="Sylfaen"/>
          <w:sz w:val="18"/>
          <w:lang w:eastAsia="de-DE"/>
        </w:rPr>
        <w:br/>
      </w:r>
      <w:r w:rsidRPr="007F6CA8">
        <w:rPr>
          <w:rFonts w:ascii="Sylfaen" w:hAnsi="Sylfaen"/>
          <w:sz w:val="18"/>
          <w:lang w:val="ka-GE"/>
        </w:rPr>
        <w:t xml:space="preserve">წყარო: საკუთარი კალკულაციები, </w:t>
      </w:r>
      <w:r w:rsidRPr="007F6CA8">
        <w:rPr>
          <w:rFonts w:ascii="Sylfaen" w:hAnsi="Sylfaen"/>
          <w:sz w:val="18"/>
        </w:rPr>
        <w:t>2012-2016 სამუშაო ძალის კვლევ</w:t>
      </w:r>
      <w:r w:rsidRPr="007F6CA8">
        <w:rPr>
          <w:rFonts w:ascii="Sylfaen" w:hAnsi="Sylfaen"/>
          <w:sz w:val="18"/>
          <w:lang w:val="ka-GE"/>
        </w:rPr>
        <w:t>ის მიხედვით</w:t>
      </w:r>
      <w:r w:rsidRPr="007F6CA8">
        <w:rPr>
          <w:rFonts w:ascii="Sylfaen" w:hAnsi="Sylfaen"/>
          <w:sz w:val="18"/>
        </w:rPr>
        <w:t xml:space="preserve"> </w:t>
      </w:r>
    </w:p>
    <w:p w14:paraId="4417AEA9" w14:textId="1CAD8E8F" w:rsidR="00DB2B4E" w:rsidRPr="007F6CA8" w:rsidRDefault="00DB2B4E" w:rsidP="00731B1D">
      <w:pPr>
        <w:spacing w:beforeLines="60" w:before="144" w:afterLines="60" w:after="144" w:line="276" w:lineRule="auto"/>
        <w:rPr>
          <w:rFonts w:ascii="Sylfaen" w:hAnsi="Sylfaen"/>
          <w:sz w:val="18"/>
        </w:rPr>
      </w:pPr>
    </w:p>
    <w:p w14:paraId="7D3714A7" w14:textId="7A54FD6D" w:rsidR="00004349" w:rsidRPr="007F6CA8" w:rsidRDefault="008E6031" w:rsidP="00731B1D">
      <w:pPr>
        <w:pStyle w:val="Tablefirstcolumn"/>
        <w:pBdr>
          <w:top w:val="single" w:sz="4" w:space="1" w:color="auto"/>
          <w:left w:val="single" w:sz="4" w:space="4" w:color="auto"/>
          <w:bottom w:val="single" w:sz="4" w:space="1" w:color="auto"/>
          <w:right w:val="single" w:sz="4" w:space="4" w:color="auto"/>
        </w:pBdr>
        <w:shd w:val="clear" w:color="auto" w:fill="BFC0C1" w:themeFill="text2" w:themeFillTint="66"/>
        <w:spacing w:beforeLines="60" w:before="144" w:afterLines="60" w:after="144" w:line="276" w:lineRule="auto"/>
        <w:jc w:val="both"/>
        <w:rPr>
          <w:rFonts w:ascii="Sylfaen" w:hAnsi="Sylfaen"/>
          <w:b/>
          <w:sz w:val="22"/>
          <w:szCs w:val="22"/>
          <w:lang w:val="en-US"/>
        </w:rPr>
      </w:pPr>
      <w:r w:rsidRPr="007F6CA8">
        <w:rPr>
          <w:rFonts w:ascii="Sylfaen" w:hAnsi="Sylfaen"/>
          <w:b/>
          <w:sz w:val="22"/>
          <w:szCs w:val="22"/>
          <w:lang w:val="en-US"/>
        </w:rPr>
        <w:t xml:space="preserve">7. </w:t>
      </w:r>
      <w:r w:rsidRPr="007F6CA8">
        <w:rPr>
          <w:rFonts w:ascii="Sylfaen" w:hAnsi="Sylfaen"/>
          <w:b/>
          <w:sz w:val="22"/>
          <w:szCs w:val="22"/>
          <w:lang w:val="ka-GE"/>
        </w:rPr>
        <w:t xml:space="preserve">უნარების შეუსაბამობის ინდიკატორი: </w:t>
      </w:r>
      <w:r w:rsidR="00165EC0" w:rsidRPr="007F6CA8">
        <w:rPr>
          <w:rFonts w:ascii="Sylfaen" w:hAnsi="Sylfaen"/>
          <w:b/>
          <w:sz w:val="22"/>
          <w:szCs w:val="22"/>
          <w:lang w:val="ka-GE"/>
        </w:rPr>
        <w:t>ჭარბი</w:t>
      </w:r>
      <w:r w:rsidRPr="007F6CA8">
        <w:rPr>
          <w:rFonts w:ascii="Sylfaen" w:hAnsi="Sylfaen"/>
          <w:b/>
          <w:sz w:val="22"/>
          <w:szCs w:val="22"/>
          <w:lang w:val="ka-GE"/>
        </w:rPr>
        <w:t xml:space="preserve"> განათლება</w:t>
      </w:r>
    </w:p>
    <w:p w14:paraId="1646B60B" w14:textId="7FF6BD70" w:rsidR="00004349" w:rsidRPr="007F6CA8" w:rsidRDefault="00682583" w:rsidP="00DE5A04">
      <w:pPr>
        <w:pBdr>
          <w:top w:val="single" w:sz="4" w:space="1" w:color="auto"/>
          <w:left w:val="single" w:sz="4" w:space="4" w:color="auto"/>
          <w:bottom w:val="single" w:sz="4" w:space="1" w:color="auto"/>
          <w:right w:val="single" w:sz="4" w:space="4" w:color="auto"/>
        </w:pBdr>
        <w:shd w:val="clear" w:color="auto" w:fill="BFC0C1" w:themeFill="text2" w:themeFillTint="66"/>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ამ მეთოდის გამოყენება შესაძლებელია ისეთ შემთხვევებში, როცა მონაცემთა სისტემა არ მოიცავს სპეციფიკურ კითვებს </w:t>
      </w:r>
      <w:r w:rsidR="003844C6" w:rsidRPr="007F6CA8">
        <w:rPr>
          <w:rFonts w:ascii="Sylfaen" w:hAnsi="Sylfaen"/>
          <w:sz w:val="22"/>
          <w:szCs w:val="22"/>
          <w:lang w:val="ka-GE"/>
        </w:rPr>
        <w:t>ჭარბ</w:t>
      </w:r>
      <w:r w:rsidRPr="007F6CA8">
        <w:rPr>
          <w:rFonts w:ascii="Sylfaen" w:hAnsi="Sylfaen"/>
          <w:sz w:val="22"/>
          <w:szCs w:val="22"/>
          <w:lang w:val="ka-GE"/>
        </w:rPr>
        <w:t xml:space="preserve"> განათლებასა თუ </w:t>
      </w:r>
      <w:r w:rsidR="003844C6" w:rsidRPr="007F6CA8">
        <w:rPr>
          <w:rFonts w:ascii="Sylfaen" w:hAnsi="Sylfaen"/>
          <w:sz w:val="22"/>
          <w:szCs w:val="22"/>
          <w:lang w:val="ka-GE"/>
        </w:rPr>
        <w:t>ჭარბ</w:t>
      </w:r>
      <w:r w:rsidRPr="007F6CA8">
        <w:rPr>
          <w:rFonts w:ascii="Sylfaen" w:hAnsi="Sylfaen"/>
          <w:sz w:val="22"/>
          <w:szCs w:val="22"/>
          <w:lang w:val="ka-GE"/>
        </w:rPr>
        <w:t xml:space="preserve"> უნარებზე. ეს უფრო მარტივი საზომია და აუცილებელია მისი ინტერპრეტირება </w:t>
      </w:r>
      <w:r w:rsidR="00900DBA" w:rsidRPr="007F6CA8">
        <w:rPr>
          <w:rFonts w:ascii="Sylfaen" w:hAnsi="Sylfaen"/>
          <w:sz w:val="22"/>
          <w:szCs w:val="22"/>
          <w:lang w:val="ka-GE"/>
        </w:rPr>
        <w:t>მიმანიშნებელი ცვლადის (</w:t>
      </w:r>
      <w:r w:rsidRPr="007F6CA8">
        <w:rPr>
          <w:rFonts w:ascii="Sylfaen" w:hAnsi="Sylfaen"/>
          <w:sz w:val="22"/>
          <w:szCs w:val="22"/>
        </w:rPr>
        <w:t>proxy</w:t>
      </w:r>
      <w:r w:rsidR="00900DBA" w:rsidRPr="007F6CA8">
        <w:rPr>
          <w:rFonts w:ascii="Sylfaen" w:hAnsi="Sylfaen"/>
          <w:sz w:val="22"/>
          <w:szCs w:val="22"/>
          <w:lang w:val="ka-GE"/>
        </w:rPr>
        <w:t>)</w:t>
      </w:r>
      <w:r w:rsidRPr="007F6CA8">
        <w:rPr>
          <w:rFonts w:ascii="Sylfaen" w:hAnsi="Sylfaen"/>
          <w:sz w:val="22"/>
          <w:szCs w:val="22"/>
        </w:rPr>
        <w:t xml:space="preserve"> </w:t>
      </w:r>
      <w:r w:rsidRPr="007F6CA8">
        <w:rPr>
          <w:rFonts w:ascii="Sylfaen" w:hAnsi="Sylfaen"/>
          <w:sz w:val="22"/>
          <w:szCs w:val="22"/>
          <w:lang w:val="ka-GE"/>
        </w:rPr>
        <w:t xml:space="preserve">სახით. </w:t>
      </w:r>
      <w:r w:rsidR="00496BF0" w:rsidRPr="007F6CA8">
        <w:rPr>
          <w:rFonts w:ascii="Sylfaen" w:hAnsi="Sylfaen"/>
          <w:sz w:val="22"/>
          <w:szCs w:val="22"/>
          <w:lang w:val="ka-GE"/>
        </w:rPr>
        <w:t xml:space="preserve">ემპირიული მეთოდი სტატისტიკური ზომაა, სადაც განათლების გადანაწილება გამოთვლილია ყოველი პროფესიისათვის. </w:t>
      </w:r>
      <w:r w:rsidR="00165EC0" w:rsidRPr="007F6CA8">
        <w:rPr>
          <w:rFonts w:ascii="Sylfaen" w:hAnsi="Sylfaen"/>
          <w:sz w:val="22"/>
          <w:szCs w:val="22"/>
          <w:lang w:val="ka-GE"/>
        </w:rPr>
        <w:t>ჭარბი</w:t>
      </w:r>
      <w:r w:rsidR="00496BF0" w:rsidRPr="007F6CA8">
        <w:rPr>
          <w:rFonts w:ascii="Sylfaen" w:hAnsi="Sylfaen"/>
          <w:sz w:val="22"/>
          <w:szCs w:val="22"/>
          <w:lang w:val="ka-GE"/>
        </w:rPr>
        <w:t xml:space="preserve"> განათლება განმარტებულია, როგორც </w:t>
      </w:r>
      <w:r w:rsidR="00DE5A04" w:rsidRPr="007F6CA8">
        <w:rPr>
          <w:rFonts w:ascii="Sylfaen" w:hAnsi="Sylfaen"/>
          <w:sz w:val="22"/>
          <w:szCs w:val="22"/>
          <w:lang w:val="ka-GE"/>
        </w:rPr>
        <w:t xml:space="preserve">მოვლენა, რომელიც არსებობს, როცა განათლების დონე უფრო მაღალია, ვიდრე საშუალოზე მაღალი ერთი სტანდარტული დევიაცია </w:t>
      </w:r>
      <w:r w:rsidR="00DE5A04" w:rsidRPr="007F6CA8">
        <w:rPr>
          <w:rFonts w:ascii="Sylfaen" w:hAnsi="Sylfaen"/>
          <w:sz w:val="22"/>
          <w:szCs w:val="22"/>
        </w:rPr>
        <w:t>(Bauer, 2002)</w:t>
      </w:r>
      <w:r w:rsidR="00DE5A04" w:rsidRPr="007F6CA8">
        <w:rPr>
          <w:rFonts w:ascii="Sylfaen" w:hAnsi="Sylfaen"/>
          <w:sz w:val="22"/>
          <w:szCs w:val="22"/>
          <w:lang w:val="ka-GE"/>
        </w:rPr>
        <w:t xml:space="preserve"> ან მოცემული პროფესიისათვის განათლების დონის მახასიათებელზე მაღალი</w:t>
      </w:r>
      <w:r w:rsidR="00004349" w:rsidRPr="007F6CA8">
        <w:rPr>
          <w:rFonts w:ascii="Sylfaen" w:hAnsi="Sylfaen"/>
          <w:sz w:val="22"/>
          <w:szCs w:val="22"/>
        </w:rPr>
        <w:t xml:space="preserve"> (Mendes de Oliveira et al., 2000)</w:t>
      </w:r>
      <w:r w:rsidR="00DE5A04" w:rsidRPr="007F6CA8">
        <w:rPr>
          <w:rFonts w:ascii="Sylfaen" w:hAnsi="Sylfaen"/>
          <w:sz w:val="22"/>
          <w:szCs w:val="22"/>
          <w:lang w:val="ka-GE"/>
        </w:rPr>
        <w:t>. განათლების საშუალო ან მახასიათებელი ყოველი პროფესიისათვის მიჩნეულია ამ პროფესიის შესაბამისობად, მაგრამ ეს შესაძლოა არასწორი მოსაზრება იყოს. თეორიულად, მოცემულ კონტექსტში დასაქმებული ყველა ადამიანი შეიძლება იყოს შეუსაბამო</w:t>
      </w:r>
      <w:r w:rsidR="00004349" w:rsidRPr="007F6CA8">
        <w:rPr>
          <w:rFonts w:ascii="Sylfaen" w:hAnsi="Sylfaen"/>
          <w:sz w:val="22"/>
          <w:szCs w:val="22"/>
        </w:rPr>
        <w:t xml:space="preserve"> (ETF 2012: 12)</w:t>
      </w:r>
      <w:r w:rsidR="00DE5A04" w:rsidRPr="007F6CA8">
        <w:rPr>
          <w:rFonts w:ascii="Sylfaen" w:hAnsi="Sylfaen"/>
          <w:sz w:val="22"/>
          <w:szCs w:val="22"/>
          <w:lang w:val="ka-GE"/>
        </w:rPr>
        <w:t xml:space="preserve">. განათლების დისტრიბუცია გამოთვლილია ყოველი პროფესიისათვის. </w:t>
      </w:r>
      <w:r w:rsidR="00165EC0" w:rsidRPr="007F6CA8">
        <w:rPr>
          <w:rFonts w:ascii="Sylfaen" w:hAnsi="Sylfaen"/>
          <w:sz w:val="22"/>
          <w:szCs w:val="22"/>
          <w:lang w:val="ka-GE"/>
        </w:rPr>
        <w:t>ჭარბი</w:t>
      </w:r>
      <w:r w:rsidR="00DE5A04" w:rsidRPr="007F6CA8">
        <w:rPr>
          <w:rFonts w:ascii="Sylfaen" w:hAnsi="Sylfaen"/>
          <w:sz w:val="22"/>
          <w:szCs w:val="22"/>
          <w:lang w:val="ka-GE"/>
        </w:rPr>
        <w:t xml:space="preserve"> განათლება განიმარტება, როგორც იმ დროს არსებული, როცა განათლების დონე უფრო მაღალია, ვიდრე ერთი სტანდარტული დევიაცია საშუალოს მაღლა. მოდელის კალკულაცია (განათლების დონის გაზომვა განათლების ეროვნული კლასიფიკატორების მიერ).</w:t>
      </w:r>
    </w:p>
    <w:p w14:paraId="26E2C7AD" w14:textId="0FBF2F58" w:rsidR="00473880" w:rsidRPr="007F6CA8" w:rsidRDefault="00DE5A04" w:rsidP="00A411ED">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საქართველოში </w:t>
      </w:r>
      <w:r w:rsidR="00165EC0" w:rsidRPr="007F6CA8">
        <w:rPr>
          <w:rFonts w:ascii="Sylfaen" w:hAnsi="Sylfaen"/>
          <w:sz w:val="22"/>
          <w:szCs w:val="22"/>
          <w:lang w:val="ka-GE"/>
        </w:rPr>
        <w:t>ჭარბი</w:t>
      </w:r>
      <w:r w:rsidRPr="007F6CA8">
        <w:rPr>
          <w:rFonts w:ascii="Sylfaen" w:hAnsi="Sylfaen"/>
          <w:sz w:val="22"/>
          <w:szCs w:val="22"/>
          <w:lang w:val="ka-GE"/>
        </w:rPr>
        <w:t xml:space="preserve"> კვალიფიკაცია </w:t>
      </w:r>
      <w:r w:rsidR="00165EC0" w:rsidRPr="007F6CA8">
        <w:rPr>
          <w:rFonts w:ascii="Sylfaen" w:hAnsi="Sylfaen"/>
          <w:sz w:val="22"/>
          <w:szCs w:val="22"/>
          <w:lang w:val="ka-GE"/>
        </w:rPr>
        <w:t>ჭარბი</w:t>
      </w:r>
      <w:r w:rsidRPr="007F6CA8">
        <w:rPr>
          <w:rFonts w:ascii="Sylfaen" w:hAnsi="Sylfaen"/>
          <w:sz w:val="22"/>
          <w:szCs w:val="22"/>
          <w:lang w:val="ka-GE"/>
        </w:rPr>
        <w:t xml:space="preserve"> განათლების პირდაპირი შედეგია. ეს გამომდინარეობს ცხრილში 4 ასახული მონაცემებისგან, სადაც ნაჩვენებია </w:t>
      </w:r>
      <w:r w:rsidR="00165EC0" w:rsidRPr="007F6CA8">
        <w:rPr>
          <w:rFonts w:ascii="Sylfaen" w:hAnsi="Sylfaen"/>
          <w:sz w:val="22"/>
          <w:szCs w:val="22"/>
          <w:lang w:val="ka-GE"/>
        </w:rPr>
        <w:t>ჭარბი</w:t>
      </w:r>
      <w:r w:rsidRPr="007F6CA8">
        <w:rPr>
          <w:rFonts w:ascii="Sylfaen" w:hAnsi="Sylfaen"/>
          <w:sz w:val="22"/>
          <w:szCs w:val="22"/>
          <w:lang w:val="ka-GE"/>
        </w:rPr>
        <w:t xml:space="preserve"> განათლების მქონე დასაქმებულების პროპორცია ემპირიული მეთოდის გამოყენებით. ცხრილი აჩვენებს </w:t>
      </w:r>
      <w:r w:rsidR="00165EC0" w:rsidRPr="007F6CA8">
        <w:rPr>
          <w:rFonts w:ascii="Sylfaen" w:hAnsi="Sylfaen"/>
          <w:sz w:val="22"/>
          <w:szCs w:val="22"/>
          <w:lang w:val="ka-GE"/>
        </w:rPr>
        <w:t>ჭარბი</w:t>
      </w:r>
      <w:r w:rsidRPr="007F6CA8">
        <w:rPr>
          <w:rFonts w:ascii="Sylfaen" w:hAnsi="Sylfaen"/>
          <w:sz w:val="22"/>
          <w:szCs w:val="22"/>
          <w:lang w:val="ka-GE"/>
        </w:rPr>
        <w:t xml:space="preserve"> უნარების ქონის ყველაზე </w:t>
      </w:r>
      <w:r w:rsidR="003844C6" w:rsidRPr="007F6CA8">
        <w:rPr>
          <w:rFonts w:ascii="Sylfaen" w:hAnsi="Sylfaen"/>
          <w:sz w:val="22"/>
          <w:szCs w:val="22"/>
          <w:lang w:val="ka-GE"/>
        </w:rPr>
        <w:t>მაღალ</w:t>
      </w:r>
      <w:r w:rsidRPr="007F6CA8">
        <w:rPr>
          <w:rFonts w:ascii="Sylfaen" w:hAnsi="Sylfaen"/>
          <w:sz w:val="22"/>
          <w:szCs w:val="22"/>
          <w:lang w:val="ka-GE"/>
        </w:rPr>
        <w:t xml:space="preserve"> ინციდენტობა ნახევრად კვალიფიციურ პროფესიებში გვხვდება (მოხელეები, სერვისის და გაყიდვების მუშაკები, ოპერატორები და ტექნიკოსები). ეს იმის გამოა, რომ უმაღლესი განათლების მქონე </w:t>
      </w:r>
      <w:r w:rsidR="00187657" w:rsidRPr="007F6CA8">
        <w:rPr>
          <w:rFonts w:ascii="Sylfaen" w:hAnsi="Sylfaen"/>
          <w:sz w:val="22"/>
          <w:szCs w:val="22"/>
          <w:lang w:val="ka-GE"/>
        </w:rPr>
        <w:t xml:space="preserve">მუშახელის დიდი ნაწილი დასაქმებულია ისეთ სამუშაოზე, რომელიც არ საჭიროებს </w:t>
      </w:r>
      <w:r w:rsidR="00A411ED" w:rsidRPr="007F6CA8">
        <w:rPr>
          <w:rFonts w:ascii="Sylfaen" w:hAnsi="Sylfaen"/>
          <w:sz w:val="22"/>
          <w:szCs w:val="22"/>
          <w:lang w:val="ka-GE"/>
        </w:rPr>
        <w:t xml:space="preserve">ამ დონის განათლებას. უმაღლესი განათლების მქონე პირები იძულებულები არიან ნაკლებადკვალიფიციური სამუშაო შეასრულონ, ვინაიდან საქართველოში არაა საკმარისი სამუშაო, რომელიც უმაღლეს უნარებს საჭიროებს. ზოგიერთი კვლევა აჩვენებს, რომ უმაღლესი განათლების მქონე მხოლოდ ყოველი მეორე პირი მუშაობს პროფესიონალურ ან მენეჯერულ თანამდებობაზე, ხოლო დანარჩენები კი ისეთ პოზიციებზე, რომელიც არ საჭიროებს საუნივერსიტეტო განათლებას </w:t>
      </w:r>
      <w:r w:rsidR="00E84D9A" w:rsidRPr="007F6CA8">
        <w:rPr>
          <w:rFonts w:ascii="Sylfaen" w:hAnsi="Sylfaen"/>
          <w:sz w:val="22"/>
          <w:szCs w:val="22"/>
        </w:rPr>
        <w:t xml:space="preserve">(ETF, 2015, p.21). </w:t>
      </w:r>
    </w:p>
    <w:p w14:paraId="1F04A745" w14:textId="79B50422" w:rsidR="00D049F9" w:rsidRPr="007F6CA8" w:rsidRDefault="00A411ED" w:rsidP="00900DBA">
      <w:pPr>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t xml:space="preserve">ამავდროულად, არასაკმარისი განათლების დონე ემპირიული მეთოდს მიხედვით მოცემულია ცხრილში 5 და აჩვენებს, რომ არასაკმარისი განათლება ასევე გვხვდება ზემოთაღწერილ პროფესიებში. მიუხედავად მეთოდოლოგიური სირთულისა, რომელიც უკავშირდება </w:t>
      </w:r>
      <w:r w:rsidR="00165EC0" w:rsidRPr="007F6CA8">
        <w:rPr>
          <w:rFonts w:ascii="Sylfaen" w:hAnsi="Sylfaen"/>
          <w:sz w:val="22"/>
          <w:szCs w:val="22"/>
          <w:lang w:val="ka-GE"/>
        </w:rPr>
        <w:t>ჭარბი</w:t>
      </w:r>
      <w:r w:rsidRPr="007F6CA8">
        <w:rPr>
          <w:rFonts w:ascii="Sylfaen" w:hAnsi="Sylfaen"/>
          <w:sz w:val="22"/>
          <w:szCs w:val="22"/>
          <w:lang w:val="ka-GE"/>
        </w:rPr>
        <w:t xml:space="preserve"> და არსაკმარისი განათლების გამოვლენას ემპირიული მეთოდის მეშვეობით, საქართველოს შემთხვევაში მაინც შესაძლებელია</w:t>
      </w:r>
      <w:r w:rsidR="00900DBA" w:rsidRPr="007F6CA8">
        <w:rPr>
          <w:rFonts w:ascii="Sylfaen" w:hAnsi="Sylfaen"/>
          <w:sz w:val="22"/>
          <w:szCs w:val="22"/>
          <w:lang w:val="ka-GE"/>
        </w:rPr>
        <w:t xml:space="preserve">: იმის გამო, რომ პროფესიულ საგანმანათლებლო დაწესებულებებს არ აქვთ მრავალმხრივი </w:t>
      </w:r>
      <w:r w:rsidR="00852655" w:rsidRPr="007F6CA8">
        <w:rPr>
          <w:rFonts w:ascii="Sylfaen" w:hAnsi="Sylfaen"/>
          <w:sz w:val="22"/>
          <w:szCs w:val="22"/>
          <w:lang w:val="ka-GE"/>
        </w:rPr>
        <w:t>სასწავ</w:t>
      </w:r>
      <w:r w:rsidR="00900DBA" w:rsidRPr="007F6CA8">
        <w:rPr>
          <w:rFonts w:ascii="Sylfaen" w:hAnsi="Sylfaen"/>
          <w:sz w:val="22"/>
          <w:szCs w:val="22"/>
          <w:lang w:val="ka-GE"/>
        </w:rPr>
        <w:t xml:space="preserve">ლო პროგრამა ტექნიკოსებისა და ასოცირებული პროფესიონალებისათვის, განსაკუთრებით კი სპეციფიკურ </w:t>
      </w:r>
      <w:r w:rsidR="00900DBA" w:rsidRPr="007F6CA8">
        <w:rPr>
          <w:rFonts w:ascii="Sylfaen" w:hAnsi="Sylfaen"/>
          <w:sz w:val="22"/>
          <w:szCs w:val="22"/>
          <w:lang w:val="ka-GE"/>
        </w:rPr>
        <w:lastRenderedPageBreak/>
        <w:t>ინდუსტრიებში, შესაძლოა ეს ზოგ შემთხვევაში იწვევდეს არასაკმარისი განათლების პრობლემას ზოგიერთ ნაწილობრივ კვალიფიციურ სამუშაო პ</w:t>
      </w:r>
      <w:r w:rsidR="00852655" w:rsidRPr="007F6CA8">
        <w:rPr>
          <w:rFonts w:ascii="Sylfaen" w:hAnsi="Sylfaen"/>
          <w:sz w:val="22"/>
          <w:szCs w:val="22"/>
          <w:lang w:val="ka-GE"/>
        </w:rPr>
        <w:t>ოზი</w:t>
      </w:r>
      <w:r w:rsidR="00900DBA" w:rsidRPr="007F6CA8">
        <w:rPr>
          <w:rFonts w:ascii="Sylfaen" w:hAnsi="Sylfaen"/>
          <w:sz w:val="22"/>
          <w:szCs w:val="22"/>
          <w:lang w:val="ka-GE"/>
        </w:rPr>
        <w:t xml:space="preserve">ციებზე, მათ შორის, </w:t>
      </w:r>
      <w:r w:rsidR="00852655" w:rsidRPr="007F6CA8">
        <w:rPr>
          <w:rFonts w:ascii="Sylfaen" w:hAnsi="Sylfaen"/>
          <w:sz w:val="22"/>
          <w:szCs w:val="22"/>
          <w:lang w:val="ka-GE"/>
        </w:rPr>
        <w:t>კვალიფიციურ</w:t>
      </w:r>
      <w:r w:rsidR="00900DBA" w:rsidRPr="007F6CA8">
        <w:rPr>
          <w:rFonts w:ascii="Sylfaen" w:hAnsi="Sylfaen"/>
          <w:sz w:val="22"/>
          <w:szCs w:val="22"/>
          <w:lang w:val="ka-GE"/>
        </w:rPr>
        <w:t xml:space="preserve">ი მოხელეების პოზიციებზე. ქართულ დასაქმების ბაზარს გამოარჩევს ტექნიკური უნარების მქონე მუშახელის ნაკლებობა: შრომითი ბაზრის კვლევები, რომელიც </w:t>
      </w:r>
      <w:r w:rsidR="00900DBA" w:rsidRPr="007F6CA8">
        <w:rPr>
          <w:rFonts w:ascii="Sylfaen" w:hAnsi="Sylfaen"/>
          <w:sz w:val="22"/>
          <w:szCs w:val="22"/>
        </w:rPr>
        <w:t>GIZ-</w:t>
      </w:r>
      <w:r w:rsidR="00900DBA" w:rsidRPr="007F6CA8">
        <w:rPr>
          <w:rFonts w:ascii="Sylfaen" w:hAnsi="Sylfaen"/>
          <w:sz w:val="22"/>
          <w:szCs w:val="22"/>
          <w:lang w:val="ka-GE"/>
        </w:rPr>
        <w:t>მა ჩაატარა, ავლენს მეწარმეობის სფეროებს, რომელიც საჭიროებს ისეთ პროფესიებს, რაც ქართულ პროფესიულ საგანმანათლებლო დაწესებულებებში არაა წარმოდგენილი (იხ. ზემოთ)</w:t>
      </w:r>
      <w:bookmarkStart w:id="27" w:name="_Toc497904304"/>
      <w:bookmarkStart w:id="28" w:name="_Toc494972660"/>
      <w:r w:rsidR="00D049F9" w:rsidRPr="007F6CA8">
        <w:rPr>
          <w:rFonts w:ascii="Sylfaen" w:hAnsi="Sylfaen"/>
          <w:sz w:val="22"/>
          <w:szCs w:val="22"/>
        </w:rPr>
        <w:t>.</w:t>
      </w:r>
    </w:p>
    <w:p w14:paraId="497FE4D3" w14:textId="1FEB250E" w:rsidR="0033474A" w:rsidRPr="007F6CA8" w:rsidRDefault="00741F90"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r w:rsidRPr="007F6CA8">
        <w:rPr>
          <w:rFonts w:ascii="Sylfaen" w:hAnsi="Sylfaen"/>
          <w:b/>
          <w:i w:val="0"/>
          <w:color w:val="auto"/>
          <w:sz w:val="22"/>
          <w:szCs w:val="22"/>
          <w:lang w:val="ka-GE"/>
        </w:rPr>
        <w:t>ცხრილი</w:t>
      </w:r>
      <w:r w:rsidR="0033474A" w:rsidRPr="007F6CA8">
        <w:rPr>
          <w:rFonts w:ascii="Sylfaen" w:hAnsi="Sylfaen"/>
          <w:b/>
          <w:i w:val="0"/>
          <w:color w:val="auto"/>
          <w:sz w:val="22"/>
          <w:szCs w:val="22"/>
          <w:lang w:val="en-GB"/>
        </w:rPr>
        <w:t xml:space="preserve"> </w:t>
      </w:r>
      <w:r w:rsidR="0033474A" w:rsidRPr="007F6CA8">
        <w:rPr>
          <w:rFonts w:ascii="Sylfaen" w:hAnsi="Sylfaen"/>
          <w:lang w:val="en-GB"/>
        </w:rPr>
        <w:fldChar w:fldCharType="begin"/>
      </w:r>
      <w:r w:rsidR="0033474A" w:rsidRPr="007F6CA8">
        <w:rPr>
          <w:rFonts w:ascii="Sylfaen" w:hAnsi="Sylfaen"/>
          <w:b/>
          <w:i w:val="0"/>
          <w:color w:val="auto"/>
          <w:sz w:val="22"/>
          <w:szCs w:val="22"/>
          <w:lang w:val="en-GB"/>
        </w:rPr>
        <w:instrText xml:space="preserve"> SEQ Table \* ARABIC </w:instrText>
      </w:r>
      <w:r w:rsidR="0033474A" w:rsidRPr="007F6CA8">
        <w:rPr>
          <w:rFonts w:ascii="Sylfaen" w:hAnsi="Sylfaen"/>
          <w:lang w:val="en-GB"/>
        </w:rPr>
        <w:fldChar w:fldCharType="separate"/>
      </w:r>
      <w:r w:rsidR="003120D1" w:rsidRPr="007F6CA8">
        <w:rPr>
          <w:rFonts w:ascii="Sylfaen" w:hAnsi="Sylfaen"/>
          <w:b/>
          <w:i w:val="0"/>
          <w:noProof/>
          <w:color w:val="auto"/>
          <w:sz w:val="22"/>
          <w:szCs w:val="22"/>
          <w:lang w:val="en-GB"/>
        </w:rPr>
        <w:t>4</w:t>
      </w:r>
      <w:r w:rsidR="0033474A" w:rsidRPr="007F6CA8">
        <w:rPr>
          <w:rFonts w:ascii="Sylfaen" w:hAnsi="Sylfaen"/>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 xml:space="preserve">ემპირიული მეთოდი (საქართველო): </w:t>
      </w:r>
      <w:r w:rsidR="00165EC0" w:rsidRPr="007F6CA8">
        <w:rPr>
          <w:rFonts w:ascii="Sylfaen" w:hAnsi="Sylfaen"/>
          <w:b/>
          <w:i w:val="0"/>
          <w:color w:val="auto"/>
          <w:sz w:val="22"/>
          <w:szCs w:val="22"/>
          <w:lang w:val="ka-GE"/>
        </w:rPr>
        <w:t>ჭარბი</w:t>
      </w:r>
      <w:r w:rsidRPr="007F6CA8">
        <w:rPr>
          <w:rFonts w:ascii="Sylfaen" w:hAnsi="Sylfaen"/>
          <w:b/>
          <w:i w:val="0"/>
          <w:color w:val="auto"/>
          <w:sz w:val="22"/>
          <w:szCs w:val="22"/>
          <w:lang w:val="ka-GE"/>
        </w:rPr>
        <w:t xml:space="preserve"> </w:t>
      </w:r>
      <w:r w:rsidR="00CA0922" w:rsidRPr="007F6CA8">
        <w:rPr>
          <w:rFonts w:ascii="Sylfaen" w:hAnsi="Sylfaen"/>
          <w:b/>
          <w:i w:val="0"/>
          <w:color w:val="auto"/>
          <w:sz w:val="22"/>
          <w:szCs w:val="22"/>
          <w:lang w:val="ka-GE"/>
        </w:rPr>
        <w:t>გ</w:t>
      </w:r>
      <w:r w:rsidRPr="007F6CA8">
        <w:rPr>
          <w:rFonts w:ascii="Sylfaen" w:hAnsi="Sylfaen"/>
          <w:b/>
          <w:i w:val="0"/>
          <w:color w:val="auto"/>
          <w:sz w:val="22"/>
          <w:szCs w:val="22"/>
          <w:lang w:val="ka-GE"/>
        </w:rPr>
        <w:t>ანათლება პროფესიების მიხედვით</w:t>
      </w:r>
      <w:r w:rsidR="00CF0EAD" w:rsidRPr="007F6CA8">
        <w:rPr>
          <w:rFonts w:ascii="Sylfaen" w:hAnsi="Sylfaen"/>
          <w:b/>
          <w:i w:val="0"/>
          <w:color w:val="auto"/>
          <w:sz w:val="22"/>
          <w:szCs w:val="22"/>
          <w:lang w:val="en-GB"/>
        </w:rPr>
        <w:t xml:space="preserve"> (</w:t>
      </w:r>
      <w:r w:rsidRPr="007F6CA8">
        <w:rPr>
          <w:rFonts w:ascii="Sylfaen" w:hAnsi="Sylfaen"/>
          <w:b/>
          <w:i w:val="0"/>
          <w:color w:val="auto"/>
          <w:sz w:val="22"/>
          <w:szCs w:val="22"/>
          <w:lang w:val="ka-GE"/>
        </w:rPr>
        <w:t>ასაკი</w:t>
      </w:r>
      <w:r w:rsidR="00CF0EAD" w:rsidRPr="007F6CA8">
        <w:rPr>
          <w:rFonts w:ascii="Sylfaen" w:hAnsi="Sylfaen"/>
          <w:b/>
          <w:i w:val="0"/>
          <w:color w:val="auto"/>
          <w:sz w:val="22"/>
          <w:szCs w:val="22"/>
          <w:lang w:val="en-GB"/>
        </w:rPr>
        <w:t xml:space="preserve"> 15-64</w:t>
      </w:r>
      <w:r w:rsidR="0033474A" w:rsidRPr="007F6CA8">
        <w:rPr>
          <w:rFonts w:ascii="Sylfaen" w:hAnsi="Sylfaen"/>
          <w:b/>
          <w:i w:val="0"/>
          <w:color w:val="auto"/>
          <w:sz w:val="22"/>
          <w:szCs w:val="22"/>
          <w:lang w:val="en-GB"/>
        </w:rPr>
        <w:t>), 2011-2016</w:t>
      </w:r>
      <w:bookmarkEnd w:id="27"/>
      <w:bookmarkEnd w:id="28"/>
    </w:p>
    <w:tbl>
      <w:tblPr>
        <w:tblW w:w="5079" w:type="pct"/>
        <w:tblLayout w:type="fixed"/>
        <w:tblCellMar>
          <w:left w:w="70" w:type="dxa"/>
          <w:right w:w="70" w:type="dxa"/>
        </w:tblCellMar>
        <w:tblLook w:val="04A0" w:firstRow="1" w:lastRow="0" w:firstColumn="1" w:lastColumn="0" w:noHBand="0" w:noVBand="1"/>
      </w:tblPr>
      <w:tblGrid>
        <w:gridCol w:w="5501"/>
        <w:gridCol w:w="689"/>
        <w:gridCol w:w="760"/>
        <w:gridCol w:w="651"/>
        <w:gridCol w:w="687"/>
        <w:gridCol w:w="634"/>
        <w:gridCol w:w="572"/>
      </w:tblGrid>
      <w:tr w:rsidR="00CA0922" w:rsidRPr="007F6CA8" w14:paraId="704A8B48" w14:textId="77777777" w:rsidTr="00CA0922">
        <w:trPr>
          <w:trHeight w:val="300"/>
        </w:trPr>
        <w:tc>
          <w:tcPr>
            <w:tcW w:w="2897" w:type="pct"/>
            <w:tcBorders>
              <w:top w:val="single" w:sz="4" w:space="0" w:color="auto"/>
              <w:left w:val="single" w:sz="4" w:space="0" w:color="auto"/>
              <w:bottom w:val="nil"/>
              <w:right w:val="nil"/>
            </w:tcBorders>
            <w:shd w:val="clear" w:color="auto" w:fill="auto"/>
            <w:noWrap/>
            <w:vAlign w:val="center"/>
            <w:hideMark/>
          </w:tcPr>
          <w:p w14:paraId="4A7A599A"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ISCO 88</w:t>
            </w:r>
          </w:p>
        </w:tc>
        <w:tc>
          <w:tcPr>
            <w:tcW w:w="363" w:type="pct"/>
            <w:tcBorders>
              <w:top w:val="single" w:sz="4" w:space="0" w:color="auto"/>
              <w:left w:val="single" w:sz="4" w:space="0" w:color="auto"/>
              <w:bottom w:val="nil"/>
              <w:right w:val="nil"/>
            </w:tcBorders>
            <w:shd w:val="clear" w:color="auto" w:fill="auto"/>
            <w:noWrap/>
            <w:vAlign w:val="center"/>
            <w:hideMark/>
          </w:tcPr>
          <w:p w14:paraId="52CC58D0"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2011</w:t>
            </w:r>
          </w:p>
        </w:tc>
        <w:tc>
          <w:tcPr>
            <w:tcW w:w="400" w:type="pct"/>
            <w:tcBorders>
              <w:top w:val="single" w:sz="4" w:space="0" w:color="auto"/>
              <w:left w:val="nil"/>
              <w:bottom w:val="nil"/>
              <w:right w:val="nil"/>
            </w:tcBorders>
            <w:shd w:val="clear" w:color="auto" w:fill="auto"/>
            <w:noWrap/>
            <w:vAlign w:val="center"/>
            <w:hideMark/>
          </w:tcPr>
          <w:p w14:paraId="047804AC"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2012</w:t>
            </w:r>
          </w:p>
        </w:tc>
        <w:tc>
          <w:tcPr>
            <w:tcW w:w="343" w:type="pct"/>
            <w:tcBorders>
              <w:top w:val="single" w:sz="4" w:space="0" w:color="auto"/>
              <w:left w:val="nil"/>
              <w:bottom w:val="nil"/>
              <w:right w:val="nil"/>
            </w:tcBorders>
            <w:shd w:val="clear" w:color="auto" w:fill="auto"/>
            <w:noWrap/>
            <w:vAlign w:val="center"/>
            <w:hideMark/>
          </w:tcPr>
          <w:p w14:paraId="0B57FD8C"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2013</w:t>
            </w:r>
          </w:p>
        </w:tc>
        <w:tc>
          <w:tcPr>
            <w:tcW w:w="362" w:type="pct"/>
            <w:tcBorders>
              <w:top w:val="single" w:sz="4" w:space="0" w:color="auto"/>
              <w:left w:val="nil"/>
              <w:bottom w:val="nil"/>
              <w:right w:val="nil"/>
            </w:tcBorders>
            <w:shd w:val="clear" w:color="auto" w:fill="auto"/>
            <w:noWrap/>
            <w:vAlign w:val="center"/>
            <w:hideMark/>
          </w:tcPr>
          <w:p w14:paraId="49A6AD24"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2014</w:t>
            </w:r>
          </w:p>
        </w:tc>
        <w:tc>
          <w:tcPr>
            <w:tcW w:w="334" w:type="pct"/>
            <w:tcBorders>
              <w:top w:val="single" w:sz="4" w:space="0" w:color="auto"/>
              <w:left w:val="nil"/>
              <w:bottom w:val="nil"/>
              <w:right w:val="nil"/>
            </w:tcBorders>
            <w:shd w:val="clear" w:color="auto" w:fill="auto"/>
            <w:noWrap/>
            <w:vAlign w:val="center"/>
            <w:hideMark/>
          </w:tcPr>
          <w:p w14:paraId="1A4D0A48"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2015</w:t>
            </w:r>
          </w:p>
        </w:tc>
        <w:tc>
          <w:tcPr>
            <w:tcW w:w="301" w:type="pct"/>
            <w:tcBorders>
              <w:top w:val="single" w:sz="4" w:space="0" w:color="auto"/>
              <w:left w:val="nil"/>
              <w:bottom w:val="nil"/>
              <w:right w:val="single" w:sz="4" w:space="0" w:color="auto"/>
            </w:tcBorders>
            <w:shd w:val="clear" w:color="auto" w:fill="auto"/>
            <w:noWrap/>
            <w:vAlign w:val="center"/>
            <w:hideMark/>
          </w:tcPr>
          <w:p w14:paraId="18903B95"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2016</w:t>
            </w:r>
          </w:p>
        </w:tc>
      </w:tr>
      <w:tr w:rsidR="00CA0922" w:rsidRPr="007F6CA8" w14:paraId="52D5F115" w14:textId="77777777" w:rsidTr="00CA0922">
        <w:trPr>
          <w:trHeight w:val="300"/>
        </w:trPr>
        <w:tc>
          <w:tcPr>
            <w:tcW w:w="2897" w:type="pct"/>
            <w:tcBorders>
              <w:top w:val="single" w:sz="4" w:space="0" w:color="auto"/>
              <w:left w:val="single" w:sz="4" w:space="0" w:color="auto"/>
              <w:bottom w:val="nil"/>
              <w:right w:val="nil"/>
            </w:tcBorders>
            <w:shd w:val="clear" w:color="auto" w:fill="auto"/>
            <w:noWrap/>
            <w:vAlign w:val="center"/>
            <w:hideMark/>
          </w:tcPr>
          <w:p w14:paraId="76CE4649" w14:textId="5EB02CFB" w:rsidR="00CF0EAD" w:rsidRPr="007F6CA8" w:rsidRDefault="00CF0EAD" w:rsidP="00852655">
            <w:pPr>
              <w:rPr>
                <w:rFonts w:ascii="Sylfaen" w:hAnsi="Sylfaen"/>
                <w:sz w:val="18"/>
                <w:szCs w:val="18"/>
                <w:lang w:eastAsia="de-DE"/>
              </w:rPr>
            </w:pPr>
            <w:r w:rsidRPr="007F6CA8">
              <w:rPr>
                <w:rFonts w:ascii="Sylfaen" w:hAnsi="Sylfaen"/>
                <w:sz w:val="18"/>
                <w:szCs w:val="18"/>
                <w:lang w:eastAsia="de-DE"/>
              </w:rPr>
              <w:t xml:space="preserve">01 </w:t>
            </w:r>
            <w:r w:rsidR="00741F90" w:rsidRPr="007F6CA8">
              <w:rPr>
                <w:rFonts w:ascii="Sylfaen" w:hAnsi="Sylfaen"/>
                <w:sz w:val="18"/>
                <w:szCs w:val="18"/>
                <w:lang w:val="ka-GE" w:eastAsia="de-DE"/>
              </w:rPr>
              <w:t>კანონმდებლები, უფროსი რანგის ოფიციალური პირები და მენეჯერები</w:t>
            </w:r>
          </w:p>
        </w:tc>
        <w:tc>
          <w:tcPr>
            <w:tcW w:w="363" w:type="pct"/>
            <w:tcBorders>
              <w:top w:val="single" w:sz="4" w:space="0" w:color="auto"/>
              <w:left w:val="single" w:sz="4" w:space="0" w:color="auto"/>
              <w:bottom w:val="nil"/>
              <w:right w:val="nil"/>
            </w:tcBorders>
            <w:shd w:val="clear" w:color="auto" w:fill="auto"/>
            <w:noWrap/>
            <w:vAlign w:val="center"/>
            <w:hideMark/>
          </w:tcPr>
          <w:p w14:paraId="626B458B"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0,5</w:t>
            </w:r>
          </w:p>
        </w:tc>
        <w:tc>
          <w:tcPr>
            <w:tcW w:w="400" w:type="pct"/>
            <w:tcBorders>
              <w:top w:val="single" w:sz="4" w:space="0" w:color="auto"/>
              <w:left w:val="nil"/>
              <w:bottom w:val="nil"/>
              <w:right w:val="nil"/>
            </w:tcBorders>
            <w:shd w:val="clear" w:color="auto" w:fill="auto"/>
            <w:noWrap/>
            <w:vAlign w:val="center"/>
            <w:hideMark/>
          </w:tcPr>
          <w:p w14:paraId="4857DC68"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0,5</w:t>
            </w:r>
          </w:p>
        </w:tc>
        <w:tc>
          <w:tcPr>
            <w:tcW w:w="343" w:type="pct"/>
            <w:tcBorders>
              <w:top w:val="single" w:sz="4" w:space="0" w:color="auto"/>
              <w:left w:val="nil"/>
              <w:bottom w:val="nil"/>
              <w:right w:val="nil"/>
            </w:tcBorders>
            <w:shd w:val="clear" w:color="auto" w:fill="auto"/>
            <w:noWrap/>
            <w:vAlign w:val="center"/>
            <w:hideMark/>
          </w:tcPr>
          <w:p w14:paraId="6DAF65BC"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0,5</w:t>
            </w:r>
          </w:p>
        </w:tc>
        <w:tc>
          <w:tcPr>
            <w:tcW w:w="362" w:type="pct"/>
            <w:tcBorders>
              <w:top w:val="single" w:sz="4" w:space="0" w:color="auto"/>
              <w:left w:val="nil"/>
              <w:bottom w:val="nil"/>
              <w:right w:val="nil"/>
            </w:tcBorders>
            <w:shd w:val="clear" w:color="auto" w:fill="auto"/>
            <w:noWrap/>
            <w:vAlign w:val="center"/>
            <w:hideMark/>
          </w:tcPr>
          <w:p w14:paraId="7CDEC2F9"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0,7</w:t>
            </w:r>
          </w:p>
        </w:tc>
        <w:tc>
          <w:tcPr>
            <w:tcW w:w="334" w:type="pct"/>
            <w:tcBorders>
              <w:top w:val="single" w:sz="4" w:space="0" w:color="auto"/>
              <w:left w:val="nil"/>
              <w:bottom w:val="nil"/>
              <w:right w:val="nil"/>
            </w:tcBorders>
            <w:shd w:val="clear" w:color="auto" w:fill="auto"/>
            <w:noWrap/>
            <w:vAlign w:val="center"/>
            <w:hideMark/>
          </w:tcPr>
          <w:p w14:paraId="08EAB708"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3,3</w:t>
            </w:r>
          </w:p>
        </w:tc>
        <w:tc>
          <w:tcPr>
            <w:tcW w:w="301" w:type="pct"/>
            <w:tcBorders>
              <w:top w:val="single" w:sz="4" w:space="0" w:color="auto"/>
              <w:left w:val="nil"/>
              <w:bottom w:val="nil"/>
              <w:right w:val="single" w:sz="4" w:space="0" w:color="auto"/>
            </w:tcBorders>
            <w:shd w:val="clear" w:color="auto" w:fill="auto"/>
            <w:noWrap/>
            <w:vAlign w:val="center"/>
            <w:hideMark/>
          </w:tcPr>
          <w:p w14:paraId="2F7C6907"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1,7</w:t>
            </w:r>
          </w:p>
        </w:tc>
      </w:tr>
      <w:tr w:rsidR="00CA0922" w:rsidRPr="007F6CA8" w14:paraId="1CC20FE9" w14:textId="77777777" w:rsidTr="00CA0922">
        <w:trPr>
          <w:trHeight w:val="300"/>
        </w:trPr>
        <w:tc>
          <w:tcPr>
            <w:tcW w:w="2897" w:type="pct"/>
            <w:tcBorders>
              <w:top w:val="nil"/>
              <w:left w:val="single" w:sz="4" w:space="0" w:color="auto"/>
              <w:bottom w:val="nil"/>
              <w:right w:val="nil"/>
            </w:tcBorders>
            <w:shd w:val="clear" w:color="auto" w:fill="auto"/>
            <w:noWrap/>
            <w:vAlign w:val="center"/>
            <w:hideMark/>
          </w:tcPr>
          <w:p w14:paraId="748E8DAA" w14:textId="0499C786" w:rsidR="00CF0EAD" w:rsidRPr="007F6CA8" w:rsidRDefault="00CF0EAD" w:rsidP="00852655">
            <w:pPr>
              <w:rPr>
                <w:rFonts w:ascii="Sylfaen" w:hAnsi="Sylfaen"/>
                <w:sz w:val="18"/>
                <w:szCs w:val="18"/>
                <w:lang w:val="ka-GE" w:eastAsia="de-DE"/>
              </w:rPr>
            </w:pPr>
            <w:r w:rsidRPr="007F6CA8">
              <w:rPr>
                <w:rFonts w:ascii="Sylfaen" w:hAnsi="Sylfaen"/>
                <w:sz w:val="18"/>
                <w:szCs w:val="18"/>
                <w:lang w:eastAsia="de-DE"/>
              </w:rPr>
              <w:t xml:space="preserve">02 </w:t>
            </w:r>
            <w:r w:rsidR="00741F90" w:rsidRPr="007F6CA8">
              <w:rPr>
                <w:rFonts w:ascii="Sylfaen" w:hAnsi="Sylfaen"/>
                <w:sz w:val="18"/>
                <w:szCs w:val="18"/>
                <w:lang w:val="ka-GE" w:eastAsia="de-DE"/>
              </w:rPr>
              <w:t>პროფესიონალები</w:t>
            </w:r>
          </w:p>
        </w:tc>
        <w:tc>
          <w:tcPr>
            <w:tcW w:w="363" w:type="pct"/>
            <w:tcBorders>
              <w:top w:val="nil"/>
              <w:left w:val="single" w:sz="4" w:space="0" w:color="auto"/>
              <w:bottom w:val="nil"/>
              <w:right w:val="nil"/>
            </w:tcBorders>
            <w:shd w:val="clear" w:color="auto" w:fill="auto"/>
            <w:noWrap/>
            <w:vAlign w:val="center"/>
            <w:hideMark/>
          </w:tcPr>
          <w:p w14:paraId="1BDDA733"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2,1</w:t>
            </w:r>
          </w:p>
        </w:tc>
        <w:tc>
          <w:tcPr>
            <w:tcW w:w="400" w:type="pct"/>
            <w:tcBorders>
              <w:top w:val="nil"/>
              <w:left w:val="nil"/>
              <w:bottom w:val="nil"/>
              <w:right w:val="nil"/>
            </w:tcBorders>
            <w:shd w:val="clear" w:color="auto" w:fill="auto"/>
            <w:noWrap/>
            <w:vAlign w:val="center"/>
            <w:hideMark/>
          </w:tcPr>
          <w:p w14:paraId="21640D7F"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1,6</w:t>
            </w:r>
          </w:p>
        </w:tc>
        <w:tc>
          <w:tcPr>
            <w:tcW w:w="343" w:type="pct"/>
            <w:tcBorders>
              <w:top w:val="nil"/>
              <w:left w:val="nil"/>
              <w:bottom w:val="nil"/>
              <w:right w:val="nil"/>
            </w:tcBorders>
            <w:shd w:val="clear" w:color="auto" w:fill="auto"/>
            <w:noWrap/>
            <w:vAlign w:val="center"/>
            <w:hideMark/>
          </w:tcPr>
          <w:p w14:paraId="16667CEF"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1,0</w:t>
            </w:r>
          </w:p>
        </w:tc>
        <w:tc>
          <w:tcPr>
            <w:tcW w:w="362" w:type="pct"/>
            <w:tcBorders>
              <w:top w:val="nil"/>
              <w:left w:val="nil"/>
              <w:bottom w:val="nil"/>
              <w:right w:val="nil"/>
            </w:tcBorders>
            <w:shd w:val="clear" w:color="auto" w:fill="auto"/>
            <w:noWrap/>
            <w:vAlign w:val="center"/>
            <w:hideMark/>
          </w:tcPr>
          <w:p w14:paraId="74D38E59"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0,9</w:t>
            </w:r>
          </w:p>
        </w:tc>
        <w:tc>
          <w:tcPr>
            <w:tcW w:w="334" w:type="pct"/>
            <w:tcBorders>
              <w:top w:val="nil"/>
              <w:left w:val="nil"/>
              <w:bottom w:val="nil"/>
              <w:right w:val="nil"/>
            </w:tcBorders>
            <w:shd w:val="clear" w:color="auto" w:fill="auto"/>
            <w:noWrap/>
            <w:vAlign w:val="center"/>
            <w:hideMark/>
          </w:tcPr>
          <w:p w14:paraId="7308EF01"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1,2</w:t>
            </w:r>
          </w:p>
        </w:tc>
        <w:tc>
          <w:tcPr>
            <w:tcW w:w="301" w:type="pct"/>
            <w:tcBorders>
              <w:top w:val="nil"/>
              <w:left w:val="nil"/>
              <w:bottom w:val="nil"/>
              <w:right w:val="single" w:sz="4" w:space="0" w:color="auto"/>
            </w:tcBorders>
            <w:shd w:val="clear" w:color="auto" w:fill="auto"/>
            <w:noWrap/>
            <w:vAlign w:val="center"/>
            <w:hideMark/>
          </w:tcPr>
          <w:p w14:paraId="38C5F12D"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1,4</w:t>
            </w:r>
          </w:p>
        </w:tc>
      </w:tr>
      <w:tr w:rsidR="00CA0922" w:rsidRPr="007F6CA8" w14:paraId="0A25B908" w14:textId="77777777" w:rsidTr="00CA0922">
        <w:trPr>
          <w:trHeight w:val="300"/>
        </w:trPr>
        <w:tc>
          <w:tcPr>
            <w:tcW w:w="2897" w:type="pct"/>
            <w:tcBorders>
              <w:top w:val="nil"/>
              <w:left w:val="single" w:sz="4" w:space="0" w:color="auto"/>
              <w:bottom w:val="nil"/>
              <w:right w:val="nil"/>
            </w:tcBorders>
            <w:shd w:val="clear" w:color="auto" w:fill="auto"/>
            <w:noWrap/>
            <w:vAlign w:val="center"/>
            <w:hideMark/>
          </w:tcPr>
          <w:p w14:paraId="5BE918D6" w14:textId="0D3B24BA" w:rsidR="00CF0EAD" w:rsidRPr="007F6CA8" w:rsidRDefault="00CF0EAD" w:rsidP="00852655">
            <w:pPr>
              <w:rPr>
                <w:rFonts w:ascii="Sylfaen" w:hAnsi="Sylfaen"/>
                <w:sz w:val="18"/>
                <w:szCs w:val="18"/>
                <w:lang w:eastAsia="de-DE"/>
              </w:rPr>
            </w:pPr>
            <w:r w:rsidRPr="007F6CA8">
              <w:rPr>
                <w:rFonts w:ascii="Sylfaen" w:hAnsi="Sylfaen"/>
                <w:sz w:val="18"/>
                <w:szCs w:val="18"/>
                <w:lang w:eastAsia="de-DE"/>
              </w:rPr>
              <w:t xml:space="preserve">03 </w:t>
            </w:r>
            <w:r w:rsidR="00741F90" w:rsidRPr="007F6CA8">
              <w:rPr>
                <w:rFonts w:ascii="Sylfaen" w:hAnsi="Sylfaen"/>
                <w:sz w:val="18"/>
                <w:szCs w:val="18"/>
                <w:lang w:val="ka-GE" w:eastAsia="de-DE"/>
              </w:rPr>
              <w:t>ტექნიკოსები და ასოცირებული პროფესორები</w:t>
            </w:r>
          </w:p>
        </w:tc>
        <w:tc>
          <w:tcPr>
            <w:tcW w:w="363" w:type="pct"/>
            <w:tcBorders>
              <w:top w:val="nil"/>
              <w:left w:val="single" w:sz="4" w:space="0" w:color="auto"/>
              <w:bottom w:val="nil"/>
              <w:right w:val="nil"/>
            </w:tcBorders>
            <w:shd w:val="clear" w:color="auto" w:fill="auto"/>
            <w:noWrap/>
            <w:vAlign w:val="center"/>
            <w:hideMark/>
          </w:tcPr>
          <w:p w14:paraId="186AB69E"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41,6</w:t>
            </w:r>
          </w:p>
        </w:tc>
        <w:tc>
          <w:tcPr>
            <w:tcW w:w="400" w:type="pct"/>
            <w:tcBorders>
              <w:top w:val="nil"/>
              <w:left w:val="nil"/>
              <w:bottom w:val="nil"/>
              <w:right w:val="nil"/>
            </w:tcBorders>
            <w:shd w:val="clear" w:color="auto" w:fill="auto"/>
            <w:noWrap/>
            <w:vAlign w:val="center"/>
            <w:hideMark/>
          </w:tcPr>
          <w:p w14:paraId="50EC7BF4"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38,8</w:t>
            </w:r>
          </w:p>
        </w:tc>
        <w:tc>
          <w:tcPr>
            <w:tcW w:w="343" w:type="pct"/>
            <w:tcBorders>
              <w:top w:val="nil"/>
              <w:left w:val="nil"/>
              <w:bottom w:val="nil"/>
              <w:right w:val="nil"/>
            </w:tcBorders>
            <w:shd w:val="clear" w:color="auto" w:fill="auto"/>
            <w:noWrap/>
            <w:vAlign w:val="center"/>
            <w:hideMark/>
          </w:tcPr>
          <w:p w14:paraId="1B5C0E18"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40,2</w:t>
            </w:r>
          </w:p>
        </w:tc>
        <w:tc>
          <w:tcPr>
            <w:tcW w:w="362" w:type="pct"/>
            <w:tcBorders>
              <w:top w:val="nil"/>
              <w:left w:val="nil"/>
              <w:bottom w:val="nil"/>
              <w:right w:val="nil"/>
            </w:tcBorders>
            <w:shd w:val="clear" w:color="auto" w:fill="auto"/>
            <w:noWrap/>
            <w:vAlign w:val="center"/>
            <w:hideMark/>
          </w:tcPr>
          <w:p w14:paraId="35956904"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38,0</w:t>
            </w:r>
          </w:p>
        </w:tc>
        <w:tc>
          <w:tcPr>
            <w:tcW w:w="334" w:type="pct"/>
            <w:tcBorders>
              <w:top w:val="nil"/>
              <w:left w:val="nil"/>
              <w:bottom w:val="nil"/>
              <w:right w:val="nil"/>
            </w:tcBorders>
            <w:shd w:val="clear" w:color="auto" w:fill="auto"/>
            <w:noWrap/>
            <w:vAlign w:val="center"/>
            <w:hideMark/>
          </w:tcPr>
          <w:p w14:paraId="3FEA7E11"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39,3</w:t>
            </w:r>
          </w:p>
        </w:tc>
        <w:tc>
          <w:tcPr>
            <w:tcW w:w="301" w:type="pct"/>
            <w:tcBorders>
              <w:top w:val="nil"/>
              <w:left w:val="nil"/>
              <w:bottom w:val="nil"/>
              <w:right w:val="single" w:sz="4" w:space="0" w:color="auto"/>
            </w:tcBorders>
            <w:shd w:val="clear" w:color="auto" w:fill="auto"/>
            <w:noWrap/>
            <w:vAlign w:val="center"/>
            <w:hideMark/>
          </w:tcPr>
          <w:p w14:paraId="21F3342F"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0,0</w:t>
            </w:r>
          </w:p>
        </w:tc>
      </w:tr>
      <w:tr w:rsidR="00CA0922" w:rsidRPr="007F6CA8" w14:paraId="33BF4273" w14:textId="77777777" w:rsidTr="00CA0922">
        <w:trPr>
          <w:trHeight w:val="300"/>
        </w:trPr>
        <w:tc>
          <w:tcPr>
            <w:tcW w:w="2897" w:type="pct"/>
            <w:tcBorders>
              <w:top w:val="nil"/>
              <w:left w:val="single" w:sz="4" w:space="0" w:color="auto"/>
              <w:bottom w:val="nil"/>
              <w:right w:val="nil"/>
            </w:tcBorders>
            <w:shd w:val="clear" w:color="auto" w:fill="auto"/>
            <w:noWrap/>
            <w:vAlign w:val="center"/>
            <w:hideMark/>
          </w:tcPr>
          <w:p w14:paraId="64382618" w14:textId="5BF981A8" w:rsidR="00CF0EAD" w:rsidRPr="007F6CA8" w:rsidRDefault="00741F90" w:rsidP="00852655">
            <w:pPr>
              <w:rPr>
                <w:rFonts w:ascii="Sylfaen" w:hAnsi="Sylfaen"/>
                <w:sz w:val="18"/>
                <w:szCs w:val="18"/>
                <w:lang w:val="ka-GE" w:eastAsia="de-DE"/>
              </w:rPr>
            </w:pPr>
            <w:r w:rsidRPr="007F6CA8">
              <w:rPr>
                <w:rFonts w:ascii="Sylfaen" w:hAnsi="Sylfaen"/>
                <w:sz w:val="18"/>
                <w:szCs w:val="18"/>
                <w:lang w:eastAsia="de-DE"/>
              </w:rPr>
              <w:t xml:space="preserve">04 </w:t>
            </w:r>
            <w:r w:rsidRPr="007F6CA8">
              <w:rPr>
                <w:rFonts w:ascii="Sylfaen" w:hAnsi="Sylfaen"/>
                <w:sz w:val="18"/>
                <w:szCs w:val="18"/>
                <w:lang w:val="ka-GE" w:eastAsia="de-DE"/>
              </w:rPr>
              <w:t>მოხელეები</w:t>
            </w:r>
          </w:p>
        </w:tc>
        <w:tc>
          <w:tcPr>
            <w:tcW w:w="363" w:type="pct"/>
            <w:tcBorders>
              <w:top w:val="nil"/>
              <w:left w:val="single" w:sz="4" w:space="0" w:color="auto"/>
              <w:bottom w:val="nil"/>
              <w:right w:val="nil"/>
            </w:tcBorders>
            <w:shd w:val="clear" w:color="auto" w:fill="auto"/>
            <w:noWrap/>
            <w:vAlign w:val="center"/>
            <w:hideMark/>
          </w:tcPr>
          <w:p w14:paraId="591A5DC7"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0,0</w:t>
            </w:r>
          </w:p>
        </w:tc>
        <w:tc>
          <w:tcPr>
            <w:tcW w:w="400" w:type="pct"/>
            <w:tcBorders>
              <w:top w:val="nil"/>
              <w:left w:val="nil"/>
              <w:bottom w:val="nil"/>
              <w:right w:val="nil"/>
            </w:tcBorders>
            <w:shd w:val="clear" w:color="auto" w:fill="auto"/>
            <w:noWrap/>
            <w:vAlign w:val="center"/>
            <w:hideMark/>
          </w:tcPr>
          <w:p w14:paraId="638C8D2F"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0,0</w:t>
            </w:r>
          </w:p>
        </w:tc>
        <w:tc>
          <w:tcPr>
            <w:tcW w:w="343" w:type="pct"/>
            <w:tcBorders>
              <w:top w:val="nil"/>
              <w:left w:val="nil"/>
              <w:bottom w:val="nil"/>
              <w:right w:val="nil"/>
            </w:tcBorders>
            <w:shd w:val="clear" w:color="auto" w:fill="auto"/>
            <w:noWrap/>
            <w:vAlign w:val="center"/>
            <w:hideMark/>
          </w:tcPr>
          <w:p w14:paraId="22112183"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32,1</w:t>
            </w:r>
          </w:p>
        </w:tc>
        <w:tc>
          <w:tcPr>
            <w:tcW w:w="362" w:type="pct"/>
            <w:tcBorders>
              <w:top w:val="nil"/>
              <w:left w:val="nil"/>
              <w:bottom w:val="nil"/>
              <w:right w:val="nil"/>
            </w:tcBorders>
            <w:shd w:val="clear" w:color="auto" w:fill="auto"/>
            <w:noWrap/>
            <w:vAlign w:val="center"/>
            <w:hideMark/>
          </w:tcPr>
          <w:p w14:paraId="063F657A"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38,4</w:t>
            </w:r>
          </w:p>
        </w:tc>
        <w:tc>
          <w:tcPr>
            <w:tcW w:w="334" w:type="pct"/>
            <w:tcBorders>
              <w:top w:val="nil"/>
              <w:left w:val="nil"/>
              <w:bottom w:val="nil"/>
              <w:right w:val="nil"/>
            </w:tcBorders>
            <w:shd w:val="clear" w:color="auto" w:fill="auto"/>
            <w:noWrap/>
            <w:vAlign w:val="center"/>
            <w:hideMark/>
          </w:tcPr>
          <w:p w14:paraId="4924A65A"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0,0</w:t>
            </w:r>
          </w:p>
        </w:tc>
        <w:tc>
          <w:tcPr>
            <w:tcW w:w="301" w:type="pct"/>
            <w:tcBorders>
              <w:top w:val="nil"/>
              <w:left w:val="nil"/>
              <w:bottom w:val="nil"/>
              <w:right w:val="single" w:sz="4" w:space="0" w:color="auto"/>
            </w:tcBorders>
            <w:shd w:val="clear" w:color="auto" w:fill="auto"/>
            <w:noWrap/>
            <w:vAlign w:val="center"/>
            <w:hideMark/>
          </w:tcPr>
          <w:p w14:paraId="1E0EAAE8"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0,0</w:t>
            </w:r>
          </w:p>
        </w:tc>
      </w:tr>
      <w:tr w:rsidR="00CA0922" w:rsidRPr="007F6CA8" w14:paraId="71E03841" w14:textId="77777777" w:rsidTr="00CA0922">
        <w:trPr>
          <w:trHeight w:val="300"/>
        </w:trPr>
        <w:tc>
          <w:tcPr>
            <w:tcW w:w="2897" w:type="pct"/>
            <w:tcBorders>
              <w:top w:val="nil"/>
              <w:left w:val="single" w:sz="4" w:space="0" w:color="auto"/>
              <w:bottom w:val="nil"/>
              <w:right w:val="nil"/>
            </w:tcBorders>
            <w:shd w:val="clear" w:color="auto" w:fill="auto"/>
            <w:noWrap/>
            <w:vAlign w:val="center"/>
            <w:hideMark/>
          </w:tcPr>
          <w:p w14:paraId="4B650A25" w14:textId="54A4940C" w:rsidR="00CF0EAD" w:rsidRPr="007F6CA8" w:rsidRDefault="00741F90" w:rsidP="00852655">
            <w:pPr>
              <w:rPr>
                <w:rFonts w:ascii="Sylfaen" w:hAnsi="Sylfaen"/>
                <w:sz w:val="18"/>
                <w:szCs w:val="18"/>
                <w:lang w:val="ka-GE" w:eastAsia="de-DE"/>
              </w:rPr>
            </w:pPr>
            <w:r w:rsidRPr="007F6CA8">
              <w:rPr>
                <w:rFonts w:ascii="Sylfaen" w:hAnsi="Sylfaen"/>
                <w:sz w:val="18"/>
                <w:szCs w:val="18"/>
                <w:lang w:eastAsia="de-DE"/>
              </w:rPr>
              <w:t xml:space="preserve">05 </w:t>
            </w:r>
            <w:r w:rsidRPr="007F6CA8">
              <w:rPr>
                <w:rFonts w:ascii="Sylfaen" w:hAnsi="Sylfaen"/>
                <w:sz w:val="18"/>
                <w:szCs w:val="18"/>
                <w:lang w:val="ka-GE" w:eastAsia="de-DE"/>
              </w:rPr>
              <w:t>სერვისის მუშაკები და მაღაზიების და მარკეტების გაყიდვის პერსონალი</w:t>
            </w:r>
          </w:p>
        </w:tc>
        <w:tc>
          <w:tcPr>
            <w:tcW w:w="363" w:type="pct"/>
            <w:tcBorders>
              <w:top w:val="nil"/>
              <w:left w:val="single" w:sz="4" w:space="0" w:color="auto"/>
              <w:bottom w:val="nil"/>
              <w:right w:val="nil"/>
            </w:tcBorders>
            <w:shd w:val="clear" w:color="auto" w:fill="auto"/>
            <w:noWrap/>
            <w:vAlign w:val="center"/>
            <w:hideMark/>
          </w:tcPr>
          <w:p w14:paraId="7E431B82"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26,6</w:t>
            </w:r>
          </w:p>
        </w:tc>
        <w:tc>
          <w:tcPr>
            <w:tcW w:w="400" w:type="pct"/>
            <w:tcBorders>
              <w:top w:val="nil"/>
              <w:left w:val="nil"/>
              <w:bottom w:val="nil"/>
              <w:right w:val="nil"/>
            </w:tcBorders>
            <w:shd w:val="clear" w:color="auto" w:fill="auto"/>
            <w:noWrap/>
            <w:vAlign w:val="center"/>
            <w:hideMark/>
          </w:tcPr>
          <w:p w14:paraId="6F8343E8"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27,8</w:t>
            </w:r>
          </w:p>
        </w:tc>
        <w:tc>
          <w:tcPr>
            <w:tcW w:w="343" w:type="pct"/>
            <w:tcBorders>
              <w:top w:val="nil"/>
              <w:left w:val="nil"/>
              <w:bottom w:val="nil"/>
              <w:right w:val="nil"/>
            </w:tcBorders>
            <w:shd w:val="clear" w:color="auto" w:fill="auto"/>
            <w:noWrap/>
            <w:vAlign w:val="center"/>
            <w:hideMark/>
          </w:tcPr>
          <w:p w14:paraId="19D11AE3"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29,3</w:t>
            </w:r>
          </w:p>
        </w:tc>
        <w:tc>
          <w:tcPr>
            <w:tcW w:w="362" w:type="pct"/>
            <w:tcBorders>
              <w:top w:val="nil"/>
              <w:left w:val="nil"/>
              <w:bottom w:val="nil"/>
              <w:right w:val="nil"/>
            </w:tcBorders>
            <w:shd w:val="clear" w:color="auto" w:fill="auto"/>
            <w:noWrap/>
            <w:vAlign w:val="center"/>
            <w:hideMark/>
          </w:tcPr>
          <w:p w14:paraId="060136D5"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27,4</w:t>
            </w:r>
          </w:p>
        </w:tc>
        <w:tc>
          <w:tcPr>
            <w:tcW w:w="334" w:type="pct"/>
            <w:tcBorders>
              <w:top w:val="nil"/>
              <w:left w:val="nil"/>
              <w:bottom w:val="nil"/>
              <w:right w:val="nil"/>
            </w:tcBorders>
            <w:shd w:val="clear" w:color="auto" w:fill="auto"/>
            <w:noWrap/>
            <w:vAlign w:val="center"/>
            <w:hideMark/>
          </w:tcPr>
          <w:p w14:paraId="77A13DFA"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27,6</w:t>
            </w:r>
          </w:p>
        </w:tc>
        <w:tc>
          <w:tcPr>
            <w:tcW w:w="301" w:type="pct"/>
            <w:tcBorders>
              <w:top w:val="nil"/>
              <w:left w:val="nil"/>
              <w:bottom w:val="nil"/>
              <w:right w:val="single" w:sz="4" w:space="0" w:color="auto"/>
            </w:tcBorders>
            <w:shd w:val="clear" w:color="auto" w:fill="auto"/>
            <w:noWrap/>
            <w:vAlign w:val="center"/>
            <w:hideMark/>
          </w:tcPr>
          <w:p w14:paraId="7FD38D49"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30,0</w:t>
            </w:r>
          </w:p>
        </w:tc>
      </w:tr>
      <w:tr w:rsidR="00CA0922" w:rsidRPr="007F6CA8" w14:paraId="5414ABA1" w14:textId="77777777" w:rsidTr="00CA0922">
        <w:trPr>
          <w:trHeight w:val="300"/>
        </w:trPr>
        <w:tc>
          <w:tcPr>
            <w:tcW w:w="2897" w:type="pct"/>
            <w:tcBorders>
              <w:top w:val="nil"/>
              <w:left w:val="single" w:sz="4" w:space="0" w:color="auto"/>
              <w:bottom w:val="nil"/>
              <w:right w:val="nil"/>
            </w:tcBorders>
            <w:shd w:val="clear" w:color="auto" w:fill="auto"/>
            <w:noWrap/>
            <w:vAlign w:val="center"/>
            <w:hideMark/>
          </w:tcPr>
          <w:p w14:paraId="41DB16DD" w14:textId="1212E43B" w:rsidR="00CF0EAD" w:rsidRPr="007F6CA8" w:rsidRDefault="00741F90" w:rsidP="00852655">
            <w:pPr>
              <w:rPr>
                <w:rFonts w:ascii="Sylfaen" w:hAnsi="Sylfaen"/>
                <w:sz w:val="18"/>
                <w:szCs w:val="18"/>
                <w:lang w:eastAsia="de-DE"/>
              </w:rPr>
            </w:pPr>
            <w:r w:rsidRPr="007F6CA8">
              <w:rPr>
                <w:rFonts w:ascii="Sylfaen" w:hAnsi="Sylfaen"/>
                <w:sz w:val="18"/>
                <w:szCs w:val="18"/>
                <w:lang w:eastAsia="de-DE"/>
              </w:rPr>
              <w:t xml:space="preserve">06 </w:t>
            </w:r>
            <w:r w:rsidRPr="007F6CA8">
              <w:rPr>
                <w:rFonts w:ascii="Sylfaen" w:hAnsi="Sylfaen"/>
                <w:sz w:val="18"/>
                <w:szCs w:val="18"/>
                <w:lang w:val="ka-GE" w:eastAsia="de-DE"/>
              </w:rPr>
              <w:t>კვალიფიციური სასოფლო-სამეურნეო და მეთევზეობის მუშაკები</w:t>
            </w:r>
          </w:p>
        </w:tc>
        <w:tc>
          <w:tcPr>
            <w:tcW w:w="363" w:type="pct"/>
            <w:tcBorders>
              <w:top w:val="nil"/>
              <w:left w:val="single" w:sz="4" w:space="0" w:color="auto"/>
              <w:bottom w:val="nil"/>
              <w:right w:val="nil"/>
            </w:tcBorders>
            <w:shd w:val="clear" w:color="auto" w:fill="auto"/>
            <w:noWrap/>
            <w:vAlign w:val="center"/>
            <w:hideMark/>
          </w:tcPr>
          <w:p w14:paraId="0D0902DE"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9,3</w:t>
            </w:r>
          </w:p>
        </w:tc>
        <w:tc>
          <w:tcPr>
            <w:tcW w:w="400" w:type="pct"/>
            <w:tcBorders>
              <w:top w:val="nil"/>
              <w:left w:val="nil"/>
              <w:bottom w:val="nil"/>
              <w:right w:val="nil"/>
            </w:tcBorders>
            <w:shd w:val="clear" w:color="auto" w:fill="auto"/>
            <w:noWrap/>
            <w:vAlign w:val="center"/>
            <w:hideMark/>
          </w:tcPr>
          <w:p w14:paraId="2DBFA550"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9,8</w:t>
            </w:r>
          </w:p>
        </w:tc>
        <w:tc>
          <w:tcPr>
            <w:tcW w:w="343" w:type="pct"/>
            <w:tcBorders>
              <w:top w:val="nil"/>
              <w:left w:val="nil"/>
              <w:bottom w:val="nil"/>
              <w:right w:val="nil"/>
            </w:tcBorders>
            <w:shd w:val="clear" w:color="auto" w:fill="auto"/>
            <w:noWrap/>
            <w:vAlign w:val="center"/>
            <w:hideMark/>
          </w:tcPr>
          <w:p w14:paraId="2C35BD6A"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10,4</w:t>
            </w:r>
          </w:p>
        </w:tc>
        <w:tc>
          <w:tcPr>
            <w:tcW w:w="362" w:type="pct"/>
            <w:tcBorders>
              <w:top w:val="nil"/>
              <w:left w:val="nil"/>
              <w:bottom w:val="nil"/>
              <w:right w:val="nil"/>
            </w:tcBorders>
            <w:shd w:val="clear" w:color="auto" w:fill="auto"/>
            <w:noWrap/>
            <w:vAlign w:val="center"/>
            <w:hideMark/>
          </w:tcPr>
          <w:p w14:paraId="24B04CB3"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10,0</w:t>
            </w:r>
          </w:p>
        </w:tc>
        <w:tc>
          <w:tcPr>
            <w:tcW w:w="334" w:type="pct"/>
            <w:tcBorders>
              <w:top w:val="nil"/>
              <w:left w:val="nil"/>
              <w:bottom w:val="nil"/>
              <w:right w:val="nil"/>
            </w:tcBorders>
            <w:shd w:val="clear" w:color="auto" w:fill="auto"/>
            <w:noWrap/>
            <w:vAlign w:val="center"/>
            <w:hideMark/>
          </w:tcPr>
          <w:p w14:paraId="1A7B238E"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9,2</w:t>
            </w:r>
          </w:p>
        </w:tc>
        <w:tc>
          <w:tcPr>
            <w:tcW w:w="301" w:type="pct"/>
            <w:tcBorders>
              <w:top w:val="nil"/>
              <w:left w:val="nil"/>
              <w:bottom w:val="nil"/>
              <w:right w:val="single" w:sz="4" w:space="0" w:color="auto"/>
            </w:tcBorders>
            <w:shd w:val="clear" w:color="auto" w:fill="auto"/>
            <w:noWrap/>
            <w:vAlign w:val="center"/>
            <w:hideMark/>
          </w:tcPr>
          <w:p w14:paraId="010FBEBB"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11,2</w:t>
            </w:r>
          </w:p>
        </w:tc>
      </w:tr>
      <w:tr w:rsidR="00CA0922" w:rsidRPr="007F6CA8" w14:paraId="02B2B179" w14:textId="77777777" w:rsidTr="00CA0922">
        <w:trPr>
          <w:trHeight w:val="300"/>
        </w:trPr>
        <w:tc>
          <w:tcPr>
            <w:tcW w:w="2897" w:type="pct"/>
            <w:tcBorders>
              <w:top w:val="nil"/>
              <w:left w:val="single" w:sz="4" w:space="0" w:color="auto"/>
              <w:bottom w:val="nil"/>
              <w:right w:val="nil"/>
            </w:tcBorders>
            <w:shd w:val="clear" w:color="auto" w:fill="auto"/>
            <w:noWrap/>
            <w:vAlign w:val="center"/>
            <w:hideMark/>
          </w:tcPr>
          <w:p w14:paraId="380912F6" w14:textId="22AEDC65" w:rsidR="00CF0EAD" w:rsidRPr="007F6CA8" w:rsidRDefault="00CF0EAD" w:rsidP="00852655">
            <w:pPr>
              <w:ind w:right="410"/>
              <w:rPr>
                <w:rFonts w:ascii="Sylfaen" w:hAnsi="Sylfaen"/>
                <w:sz w:val="18"/>
                <w:szCs w:val="18"/>
                <w:lang w:val="ka-GE" w:eastAsia="de-DE"/>
              </w:rPr>
            </w:pPr>
            <w:r w:rsidRPr="007F6CA8">
              <w:rPr>
                <w:rFonts w:ascii="Sylfaen" w:hAnsi="Sylfaen"/>
                <w:sz w:val="18"/>
                <w:szCs w:val="18"/>
                <w:lang w:eastAsia="de-DE"/>
              </w:rPr>
              <w:t xml:space="preserve">07 </w:t>
            </w:r>
            <w:r w:rsidR="00CA0922" w:rsidRPr="007F6CA8">
              <w:rPr>
                <w:rFonts w:ascii="Sylfaen" w:hAnsi="Sylfaen"/>
                <w:sz w:val="18"/>
                <w:szCs w:val="18"/>
                <w:lang w:val="ka-GE" w:eastAsia="de-DE"/>
              </w:rPr>
              <w:t>ოსტატები და მასთან დაკავშირებული ვჭრობის სფეროს მუშაკები</w:t>
            </w:r>
          </w:p>
        </w:tc>
        <w:tc>
          <w:tcPr>
            <w:tcW w:w="363" w:type="pct"/>
            <w:tcBorders>
              <w:top w:val="nil"/>
              <w:left w:val="single" w:sz="4" w:space="0" w:color="auto"/>
              <w:bottom w:val="nil"/>
              <w:right w:val="nil"/>
            </w:tcBorders>
            <w:shd w:val="clear" w:color="auto" w:fill="auto"/>
            <w:noWrap/>
            <w:vAlign w:val="center"/>
            <w:hideMark/>
          </w:tcPr>
          <w:p w14:paraId="4F2933A5"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18,2</w:t>
            </w:r>
          </w:p>
        </w:tc>
        <w:tc>
          <w:tcPr>
            <w:tcW w:w="400" w:type="pct"/>
            <w:tcBorders>
              <w:top w:val="nil"/>
              <w:left w:val="nil"/>
              <w:bottom w:val="nil"/>
              <w:right w:val="nil"/>
            </w:tcBorders>
            <w:shd w:val="clear" w:color="auto" w:fill="auto"/>
            <w:noWrap/>
            <w:vAlign w:val="center"/>
            <w:hideMark/>
          </w:tcPr>
          <w:p w14:paraId="7AAF1755"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17,6</w:t>
            </w:r>
          </w:p>
        </w:tc>
        <w:tc>
          <w:tcPr>
            <w:tcW w:w="343" w:type="pct"/>
            <w:tcBorders>
              <w:top w:val="nil"/>
              <w:left w:val="nil"/>
              <w:bottom w:val="nil"/>
              <w:right w:val="nil"/>
            </w:tcBorders>
            <w:shd w:val="clear" w:color="auto" w:fill="auto"/>
            <w:noWrap/>
            <w:vAlign w:val="center"/>
            <w:hideMark/>
          </w:tcPr>
          <w:p w14:paraId="2A1F0247"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15,5</w:t>
            </w:r>
          </w:p>
        </w:tc>
        <w:tc>
          <w:tcPr>
            <w:tcW w:w="362" w:type="pct"/>
            <w:tcBorders>
              <w:top w:val="nil"/>
              <w:left w:val="nil"/>
              <w:bottom w:val="nil"/>
              <w:right w:val="nil"/>
            </w:tcBorders>
            <w:shd w:val="clear" w:color="auto" w:fill="auto"/>
            <w:noWrap/>
            <w:vAlign w:val="center"/>
            <w:hideMark/>
          </w:tcPr>
          <w:p w14:paraId="02A734F0"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14,3</w:t>
            </w:r>
          </w:p>
        </w:tc>
        <w:tc>
          <w:tcPr>
            <w:tcW w:w="334" w:type="pct"/>
            <w:tcBorders>
              <w:top w:val="nil"/>
              <w:left w:val="nil"/>
              <w:bottom w:val="nil"/>
              <w:right w:val="nil"/>
            </w:tcBorders>
            <w:shd w:val="clear" w:color="auto" w:fill="auto"/>
            <w:noWrap/>
            <w:vAlign w:val="center"/>
            <w:hideMark/>
          </w:tcPr>
          <w:p w14:paraId="63A6982D"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15,8</w:t>
            </w:r>
          </w:p>
        </w:tc>
        <w:tc>
          <w:tcPr>
            <w:tcW w:w="301" w:type="pct"/>
            <w:tcBorders>
              <w:top w:val="nil"/>
              <w:left w:val="nil"/>
              <w:bottom w:val="nil"/>
              <w:right w:val="single" w:sz="4" w:space="0" w:color="auto"/>
            </w:tcBorders>
            <w:shd w:val="clear" w:color="auto" w:fill="auto"/>
            <w:noWrap/>
            <w:vAlign w:val="center"/>
            <w:hideMark/>
          </w:tcPr>
          <w:p w14:paraId="0928F103"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15,8</w:t>
            </w:r>
          </w:p>
        </w:tc>
      </w:tr>
      <w:tr w:rsidR="00CA0922" w:rsidRPr="007F6CA8" w14:paraId="136AC50A" w14:textId="77777777" w:rsidTr="00CA0922">
        <w:trPr>
          <w:trHeight w:val="300"/>
        </w:trPr>
        <w:tc>
          <w:tcPr>
            <w:tcW w:w="2897" w:type="pct"/>
            <w:tcBorders>
              <w:top w:val="nil"/>
              <w:left w:val="single" w:sz="4" w:space="0" w:color="auto"/>
              <w:bottom w:val="nil"/>
              <w:right w:val="nil"/>
            </w:tcBorders>
            <w:shd w:val="clear" w:color="auto" w:fill="auto"/>
            <w:noWrap/>
            <w:vAlign w:val="center"/>
            <w:hideMark/>
          </w:tcPr>
          <w:p w14:paraId="1C4F16F9" w14:textId="37E991F3" w:rsidR="00CF0EAD" w:rsidRPr="007F6CA8" w:rsidRDefault="00CF0EAD" w:rsidP="00852655">
            <w:pPr>
              <w:rPr>
                <w:rFonts w:ascii="Sylfaen" w:hAnsi="Sylfaen"/>
                <w:sz w:val="18"/>
                <w:szCs w:val="18"/>
                <w:lang w:val="ka-GE" w:eastAsia="de-DE"/>
              </w:rPr>
            </w:pPr>
            <w:r w:rsidRPr="007F6CA8">
              <w:rPr>
                <w:rFonts w:ascii="Sylfaen" w:hAnsi="Sylfaen"/>
                <w:sz w:val="18"/>
                <w:szCs w:val="18"/>
                <w:lang w:eastAsia="de-DE"/>
              </w:rPr>
              <w:t xml:space="preserve">08 </w:t>
            </w:r>
            <w:r w:rsidR="00CA0922" w:rsidRPr="007F6CA8">
              <w:rPr>
                <w:rFonts w:ascii="Sylfaen" w:hAnsi="Sylfaen"/>
                <w:sz w:val="18"/>
                <w:szCs w:val="18"/>
                <w:lang w:val="ka-GE" w:eastAsia="de-DE"/>
              </w:rPr>
              <w:t>ქარხნების და მანქანების ოპერატორები და ამწყობები</w:t>
            </w:r>
          </w:p>
        </w:tc>
        <w:tc>
          <w:tcPr>
            <w:tcW w:w="363" w:type="pct"/>
            <w:tcBorders>
              <w:top w:val="nil"/>
              <w:left w:val="single" w:sz="4" w:space="0" w:color="auto"/>
              <w:bottom w:val="nil"/>
              <w:right w:val="nil"/>
            </w:tcBorders>
            <w:shd w:val="clear" w:color="auto" w:fill="auto"/>
            <w:noWrap/>
            <w:vAlign w:val="center"/>
            <w:hideMark/>
          </w:tcPr>
          <w:p w14:paraId="213101CA"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16,5</w:t>
            </w:r>
          </w:p>
        </w:tc>
        <w:tc>
          <w:tcPr>
            <w:tcW w:w="400" w:type="pct"/>
            <w:tcBorders>
              <w:top w:val="nil"/>
              <w:left w:val="nil"/>
              <w:bottom w:val="nil"/>
              <w:right w:val="nil"/>
            </w:tcBorders>
            <w:shd w:val="clear" w:color="auto" w:fill="auto"/>
            <w:noWrap/>
            <w:vAlign w:val="center"/>
            <w:hideMark/>
          </w:tcPr>
          <w:p w14:paraId="701E56C1"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19,3</w:t>
            </w:r>
          </w:p>
        </w:tc>
        <w:tc>
          <w:tcPr>
            <w:tcW w:w="343" w:type="pct"/>
            <w:tcBorders>
              <w:top w:val="nil"/>
              <w:left w:val="nil"/>
              <w:bottom w:val="nil"/>
              <w:right w:val="nil"/>
            </w:tcBorders>
            <w:shd w:val="clear" w:color="auto" w:fill="auto"/>
            <w:noWrap/>
            <w:vAlign w:val="center"/>
            <w:hideMark/>
          </w:tcPr>
          <w:p w14:paraId="56F3290A"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18,8</w:t>
            </w:r>
          </w:p>
        </w:tc>
        <w:tc>
          <w:tcPr>
            <w:tcW w:w="362" w:type="pct"/>
            <w:tcBorders>
              <w:top w:val="nil"/>
              <w:left w:val="nil"/>
              <w:bottom w:val="nil"/>
              <w:right w:val="nil"/>
            </w:tcBorders>
            <w:shd w:val="clear" w:color="auto" w:fill="auto"/>
            <w:noWrap/>
            <w:vAlign w:val="center"/>
            <w:hideMark/>
          </w:tcPr>
          <w:p w14:paraId="497A5972"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19,6</w:t>
            </w:r>
          </w:p>
        </w:tc>
        <w:tc>
          <w:tcPr>
            <w:tcW w:w="334" w:type="pct"/>
            <w:tcBorders>
              <w:top w:val="nil"/>
              <w:left w:val="nil"/>
              <w:bottom w:val="nil"/>
              <w:right w:val="nil"/>
            </w:tcBorders>
            <w:shd w:val="clear" w:color="auto" w:fill="auto"/>
            <w:noWrap/>
            <w:vAlign w:val="center"/>
            <w:hideMark/>
          </w:tcPr>
          <w:p w14:paraId="75C64B12"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25,9</w:t>
            </w:r>
          </w:p>
        </w:tc>
        <w:tc>
          <w:tcPr>
            <w:tcW w:w="301" w:type="pct"/>
            <w:tcBorders>
              <w:top w:val="nil"/>
              <w:left w:val="nil"/>
              <w:bottom w:val="nil"/>
              <w:right w:val="single" w:sz="4" w:space="0" w:color="auto"/>
            </w:tcBorders>
            <w:shd w:val="clear" w:color="auto" w:fill="auto"/>
            <w:noWrap/>
            <w:vAlign w:val="center"/>
            <w:hideMark/>
          </w:tcPr>
          <w:p w14:paraId="533AD784"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24,1</w:t>
            </w:r>
          </w:p>
        </w:tc>
      </w:tr>
      <w:tr w:rsidR="00CA0922" w:rsidRPr="007F6CA8" w14:paraId="55D6CC22" w14:textId="77777777" w:rsidTr="00CA0922">
        <w:trPr>
          <w:trHeight w:val="300"/>
        </w:trPr>
        <w:tc>
          <w:tcPr>
            <w:tcW w:w="2897" w:type="pct"/>
            <w:tcBorders>
              <w:top w:val="nil"/>
              <w:left w:val="single" w:sz="4" w:space="0" w:color="auto"/>
              <w:bottom w:val="single" w:sz="4" w:space="0" w:color="auto"/>
              <w:right w:val="nil"/>
            </w:tcBorders>
            <w:shd w:val="clear" w:color="auto" w:fill="auto"/>
            <w:noWrap/>
            <w:vAlign w:val="center"/>
            <w:hideMark/>
          </w:tcPr>
          <w:p w14:paraId="0215BB32" w14:textId="20F1C6F1" w:rsidR="00CF0EAD" w:rsidRPr="007F6CA8" w:rsidRDefault="00CF0EAD" w:rsidP="00852655">
            <w:pPr>
              <w:rPr>
                <w:rFonts w:ascii="Sylfaen" w:hAnsi="Sylfaen"/>
                <w:sz w:val="18"/>
                <w:szCs w:val="18"/>
                <w:lang w:val="ka-GE" w:eastAsia="de-DE"/>
              </w:rPr>
            </w:pPr>
            <w:r w:rsidRPr="007F6CA8">
              <w:rPr>
                <w:rFonts w:ascii="Sylfaen" w:hAnsi="Sylfaen"/>
                <w:sz w:val="18"/>
                <w:szCs w:val="18"/>
                <w:lang w:eastAsia="de-DE"/>
              </w:rPr>
              <w:t xml:space="preserve">09 </w:t>
            </w:r>
            <w:r w:rsidR="00CA0922" w:rsidRPr="007F6CA8">
              <w:rPr>
                <w:rFonts w:ascii="Sylfaen" w:hAnsi="Sylfaen"/>
                <w:sz w:val="18"/>
                <w:szCs w:val="18"/>
                <w:lang w:val="ka-GE" w:eastAsia="de-DE"/>
              </w:rPr>
              <w:t>საბაზისო პროფესიები</w:t>
            </w:r>
          </w:p>
        </w:tc>
        <w:tc>
          <w:tcPr>
            <w:tcW w:w="363" w:type="pct"/>
            <w:tcBorders>
              <w:top w:val="nil"/>
              <w:left w:val="single" w:sz="4" w:space="0" w:color="auto"/>
              <w:bottom w:val="single" w:sz="4" w:space="0" w:color="auto"/>
              <w:right w:val="nil"/>
            </w:tcBorders>
            <w:shd w:val="clear" w:color="auto" w:fill="auto"/>
            <w:noWrap/>
            <w:vAlign w:val="center"/>
            <w:hideMark/>
          </w:tcPr>
          <w:p w14:paraId="16BB273D"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19,1</w:t>
            </w:r>
          </w:p>
        </w:tc>
        <w:tc>
          <w:tcPr>
            <w:tcW w:w="400" w:type="pct"/>
            <w:tcBorders>
              <w:top w:val="nil"/>
              <w:left w:val="nil"/>
              <w:bottom w:val="single" w:sz="4" w:space="0" w:color="auto"/>
              <w:right w:val="nil"/>
            </w:tcBorders>
            <w:shd w:val="clear" w:color="auto" w:fill="auto"/>
            <w:noWrap/>
            <w:vAlign w:val="center"/>
            <w:hideMark/>
          </w:tcPr>
          <w:p w14:paraId="24DCF9E0"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20,1</w:t>
            </w:r>
          </w:p>
        </w:tc>
        <w:tc>
          <w:tcPr>
            <w:tcW w:w="343" w:type="pct"/>
            <w:tcBorders>
              <w:top w:val="nil"/>
              <w:left w:val="nil"/>
              <w:bottom w:val="single" w:sz="4" w:space="0" w:color="auto"/>
              <w:right w:val="nil"/>
            </w:tcBorders>
            <w:shd w:val="clear" w:color="auto" w:fill="auto"/>
            <w:noWrap/>
            <w:vAlign w:val="center"/>
            <w:hideMark/>
          </w:tcPr>
          <w:p w14:paraId="4C6ABF05"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18,8</w:t>
            </w:r>
          </w:p>
        </w:tc>
        <w:tc>
          <w:tcPr>
            <w:tcW w:w="362" w:type="pct"/>
            <w:tcBorders>
              <w:top w:val="nil"/>
              <w:left w:val="nil"/>
              <w:bottom w:val="single" w:sz="4" w:space="0" w:color="auto"/>
              <w:right w:val="nil"/>
            </w:tcBorders>
            <w:shd w:val="clear" w:color="auto" w:fill="auto"/>
            <w:noWrap/>
            <w:vAlign w:val="center"/>
            <w:hideMark/>
          </w:tcPr>
          <w:p w14:paraId="362F08F2"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18,4</w:t>
            </w:r>
          </w:p>
        </w:tc>
        <w:tc>
          <w:tcPr>
            <w:tcW w:w="334" w:type="pct"/>
            <w:tcBorders>
              <w:top w:val="nil"/>
              <w:left w:val="nil"/>
              <w:bottom w:val="single" w:sz="4" w:space="0" w:color="auto"/>
              <w:right w:val="nil"/>
            </w:tcBorders>
            <w:shd w:val="clear" w:color="auto" w:fill="auto"/>
            <w:noWrap/>
            <w:vAlign w:val="center"/>
            <w:hideMark/>
          </w:tcPr>
          <w:p w14:paraId="4576F57E"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15,0</w:t>
            </w:r>
          </w:p>
        </w:tc>
        <w:tc>
          <w:tcPr>
            <w:tcW w:w="301" w:type="pct"/>
            <w:tcBorders>
              <w:top w:val="nil"/>
              <w:left w:val="nil"/>
              <w:bottom w:val="single" w:sz="4" w:space="0" w:color="auto"/>
              <w:right w:val="single" w:sz="4" w:space="0" w:color="auto"/>
            </w:tcBorders>
            <w:shd w:val="clear" w:color="auto" w:fill="auto"/>
            <w:noWrap/>
            <w:vAlign w:val="center"/>
            <w:hideMark/>
          </w:tcPr>
          <w:p w14:paraId="7FB4CAD8" w14:textId="77777777" w:rsidR="00CF0EAD" w:rsidRPr="007F6CA8" w:rsidRDefault="00CF0EAD" w:rsidP="00852655">
            <w:pPr>
              <w:jc w:val="right"/>
              <w:rPr>
                <w:rFonts w:ascii="Sylfaen" w:hAnsi="Sylfaen"/>
                <w:sz w:val="18"/>
                <w:szCs w:val="18"/>
                <w:lang w:eastAsia="de-DE"/>
              </w:rPr>
            </w:pPr>
            <w:r w:rsidRPr="007F6CA8">
              <w:rPr>
                <w:rFonts w:ascii="Sylfaen" w:hAnsi="Sylfaen"/>
                <w:sz w:val="18"/>
                <w:szCs w:val="18"/>
                <w:lang w:eastAsia="de-DE"/>
              </w:rPr>
              <w:t>17,5</w:t>
            </w:r>
          </w:p>
        </w:tc>
      </w:tr>
    </w:tbl>
    <w:p w14:paraId="01CE9917" w14:textId="7B04339C" w:rsidR="00565155" w:rsidRPr="007F6CA8" w:rsidRDefault="00CA0922" w:rsidP="00731B1D">
      <w:pPr>
        <w:spacing w:beforeLines="60" w:before="144" w:afterLines="60" w:after="144" w:line="276" w:lineRule="auto"/>
        <w:rPr>
          <w:rFonts w:ascii="Sylfaen" w:hAnsi="Sylfaen"/>
          <w:sz w:val="18"/>
        </w:rPr>
      </w:pPr>
      <w:bookmarkStart w:id="29" w:name="_Toc497904305"/>
      <w:bookmarkStart w:id="30" w:name="_Toc494972661"/>
      <w:r w:rsidRPr="007F6CA8">
        <w:rPr>
          <w:rFonts w:ascii="Sylfaen" w:hAnsi="Sylfaen"/>
          <w:sz w:val="18"/>
          <w:lang w:val="ka-GE"/>
        </w:rPr>
        <w:t>წყარო</w:t>
      </w:r>
      <w:r w:rsidR="00565155" w:rsidRPr="007F6CA8">
        <w:rPr>
          <w:rFonts w:ascii="Sylfaen" w:hAnsi="Sylfaen"/>
          <w:sz w:val="18"/>
        </w:rPr>
        <w:t xml:space="preserve">: </w:t>
      </w:r>
      <w:r w:rsidRPr="007F6CA8">
        <w:rPr>
          <w:rFonts w:ascii="Sylfaen" w:hAnsi="Sylfaen"/>
          <w:sz w:val="18"/>
          <w:lang w:val="ka-GE"/>
        </w:rPr>
        <w:t>საკუთარი კალკულაციები</w:t>
      </w:r>
      <w:r w:rsidR="00565155" w:rsidRPr="007F6CA8">
        <w:rPr>
          <w:rFonts w:ascii="Sylfaen" w:hAnsi="Sylfaen"/>
          <w:sz w:val="18"/>
        </w:rPr>
        <w:t xml:space="preserve"> </w:t>
      </w:r>
      <w:r w:rsidR="00226F10" w:rsidRPr="007F6CA8">
        <w:rPr>
          <w:rFonts w:ascii="Sylfaen" w:hAnsi="Sylfaen"/>
          <w:sz w:val="18"/>
        </w:rPr>
        <w:t xml:space="preserve">სამუშაო ძალის </w:t>
      </w:r>
      <w:r w:rsidRPr="007F6CA8">
        <w:rPr>
          <w:rFonts w:ascii="Sylfaen" w:hAnsi="Sylfaen"/>
          <w:sz w:val="18"/>
        </w:rPr>
        <w:t>კვლევ</w:t>
      </w:r>
      <w:r w:rsidRPr="007F6CA8">
        <w:rPr>
          <w:rFonts w:ascii="Sylfaen" w:hAnsi="Sylfaen"/>
          <w:sz w:val="18"/>
          <w:lang w:val="ka-GE"/>
        </w:rPr>
        <w:t>ის</w:t>
      </w:r>
      <w:r w:rsidR="00565155" w:rsidRPr="007F6CA8">
        <w:rPr>
          <w:rFonts w:ascii="Sylfaen" w:hAnsi="Sylfaen"/>
          <w:sz w:val="18"/>
        </w:rPr>
        <w:t xml:space="preserve"> </w:t>
      </w:r>
      <w:r w:rsidRPr="007F6CA8">
        <w:rPr>
          <w:rFonts w:ascii="Sylfaen" w:hAnsi="Sylfaen"/>
          <w:sz w:val="18"/>
          <w:lang w:val="ka-GE"/>
        </w:rPr>
        <w:t>(</w:t>
      </w:r>
      <w:r w:rsidR="00565155" w:rsidRPr="007F6CA8">
        <w:rPr>
          <w:rFonts w:ascii="Sylfaen" w:hAnsi="Sylfaen"/>
          <w:sz w:val="18"/>
        </w:rPr>
        <w:t>2012-2016</w:t>
      </w:r>
      <w:r w:rsidRPr="007F6CA8">
        <w:rPr>
          <w:rFonts w:ascii="Sylfaen" w:hAnsi="Sylfaen"/>
          <w:sz w:val="18"/>
          <w:lang w:val="ka-GE"/>
        </w:rPr>
        <w:t>) გამოყენებით</w:t>
      </w:r>
      <w:r w:rsidR="00565155" w:rsidRPr="007F6CA8">
        <w:rPr>
          <w:rFonts w:ascii="Sylfaen" w:hAnsi="Sylfaen"/>
          <w:sz w:val="18"/>
        </w:rPr>
        <w:t xml:space="preserve"> </w:t>
      </w:r>
    </w:p>
    <w:p w14:paraId="20454DFC" w14:textId="7632A17A" w:rsidR="0033474A" w:rsidRPr="007F6CA8" w:rsidRDefault="00741F90" w:rsidP="00731B1D">
      <w:pPr>
        <w:pStyle w:val="Caption"/>
        <w:keepNext/>
        <w:spacing w:beforeLines="60" w:before="144" w:afterLines="60" w:after="144" w:line="276" w:lineRule="auto"/>
        <w:ind w:left="1410" w:hanging="1410"/>
        <w:rPr>
          <w:rFonts w:ascii="Sylfaen" w:hAnsi="Sylfaen"/>
          <w:b/>
          <w:i w:val="0"/>
          <w:color w:val="auto"/>
          <w:sz w:val="22"/>
          <w:szCs w:val="22"/>
          <w:lang w:val="ka-GE"/>
        </w:rPr>
      </w:pPr>
      <w:r w:rsidRPr="007F6CA8">
        <w:rPr>
          <w:rFonts w:ascii="Sylfaen" w:hAnsi="Sylfaen"/>
          <w:b/>
          <w:i w:val="0"/>
          <w:color w:val="auto"/>
          <w:sz w:val="22"/>
          <w:szCs w:val="22"/>
          <w:lang w:val="ka-GE"/>
        </w:rPr>
        <w:t>ცხრილი</w:t>
      </w:r>
      <w:r w:rsidR="0033474A" w:rsidRPr="007F6CA8">
        <w:rPr>
          <w:rFonts w:ascii="Sylfaen" w:hAnsi="Sylfaen"/>
          <w:b/>
          <w:i w:val="0"/>
          <w:color w:val="auto"/>
          <w:sz w:val="22"/>
          <w:szCs w:val="22"/>
          <w:lang w:val="en-GB"/>
        </w:rPr>
        <w:t xml:space="preserve"> </w:t>
      </w:r>
      <w:r w:rsidR="0033474A" w:rsidRPr="007F6CA8">
        <w:rPr>
          <w:rFonts w:ascii="Sylfaen" w:hAnsi="Sylfaen"/>
          <w:lang w:val="en-GB"/>
        </w:rPr>
        <w:fldChar w:fldCharType="begin"/>
      </w:r>
      <w:r w:rsidR="0033474A" w:rsidRPr="007F6CA8">
        <w:rPr>
          <w:rFonts w:ascii="Sylfaen" w:hAnsi="Sylfaen"/>
          <w:b/>
          <w:i w:val="0"/>
          <w:color w:val="auto"/>
          <w:sz w:val="22"/>
          <w:szCs w:val="22"/>
          <w:lang w:val="en-GB"/>
        </w:rPr>
        <w:instrText xml:space="preserve"> SEQ Table \* ARABIC </w:instrText>
      </w:r>
      <w:r w:rsidR="0033474A" w:rsidRPr="007F6CA8">
        <w:rPr>
          <w:rFonts w:ascii="Sylfaen" w:hAnsi="Sylfaen"/>
          <w:lang w:val="en-GB"/>
        </w:rPr>
        <w:fldChar w:fldCharType="separate"/>
      </w:r>
      <w:r w:rsidR="003120D1" w:rsidRPr="007F6CA8">
        <w:rPr>
          <w:rFonts w:ascii="Sylfaen" w:hAnsi="Sylfaen"/>
          <w:b/>
          <w:i w:val="0"/>
          <w:noProof/>
          <w:color w:val="auto"/>
          <w:sz w:val="22"/>
          <w:szCs w:val="22"/>
          <w:lang w:val="en-GB"/>
        </w:rPr>
        <w:t>5</w:t>
      </w:r>
      <w:r w:rsidR="0033474A" w:rsidRPr="007F6CA8">
        <w:rPr>
          <w:rFonts w:ascii="Sylfaen" w:hAnsi="Sylfaen"/>
          <w:lang w:val="en-GB"/>
        </w:rPr>
        <w:fldChar w:fldCharType="end"/>
      </w:r>
      <w:r w:rsidR="0033474A" w:rsidRPr="007F6CA8">
        <w:rPr>
          <w:rFonts w:ascii="Sylfaen" w:hAnsi="Sylfaen"/>
          <w:b/>
          <w:i w:val="0"/>
          <w:color w:val="auto"/>
          <w:sz w:val="22"/>
          <w:szCs w:val="22"/>
          <w:lang w:val="en-GB"/>
        </w:rPr>
        <w:tab/>
      </w:r>
      <w:bookmarkEnd w:id="29"/>
      <w:bookmarkEnd w:id="30"/>
      <w:r w:rsidR="00CA0922" w:rsidRPr="007F6CA8">
        <w:rPr>
          <w:rFonts w:ascii="Sylfaen" w:hAnsi="Sylfaen"/>
          <w:b/>
          <w:i w:val="0"/>
          <w:color w:val="auto"/>
          <w:sz w:val="22"/>
          <w:szCs w:val="22"/>
          <w:lang w:val="ka-GE"/>
        </w:rPr>
        <w:t xml:space="preserve">ემპირიული მეთოდი (საქართველო): </w:t>
      </w:r>
      <w:r w:rsidR="00852655" w:rsidRPr="007F6CA8">
        <w:rPr>
          <w:rFonts w:ascii="Sylfaen" w:hAnsi="Sylfaen"/>
          <w:b/>
          <w:i w:val="0"/>
          <w:color w:val="auto"/>
          <w:sz w:val="22"/>
          <w:szCs w:val="22"/>
          <w:lang w:val="ka-GE"/>
        </w:rPr>
        <w:t>არასაკმარისი</w:t>
      </w:r>
      <w:r w:rsidR="00CA0922" w:rsidRPr="007F6CA8">
        <w:rPr>
          <w:rFonts w:ascii="Sylfaen" w:hAnsi="Sylfaen"/>
          <w:b/>
          <w:i w:val="0"/>
          <w:color w:val="auto"/>
          <w:sz w:val="22"/>
          <w:szCs w:val="22"/>
          <w:lang w:val="ka-GE"/>
        </w:rPr>
        <w:t xml:space="preserve"> განათლება პროფესიების მიხედვით</w:t>
      </w:r>
      <w:r w:rsidR="00CA0922" w:rsidRPr="007F6CA8">
        <w:rPr>
          <w:rFonts w:ascii="Sylfaen" w:hAnsi="Sylfaen"/>
          <w:b/>
          <w:i w:val="0"/>
          <w:color w:val="auto"/>
          <w:sz w:val="22"/>
          <w:szCs w:val="22"/>
          <w:lang w:val="en-GB"/>
        </w:rPr>
        <w:t xml:space="preserve"> (</w:t>
      </w:r>
      <w:r w:rsidR="00CA0922" w:rsidRPr="007F6CA8">
        <w:rPr>
          <w:rFonts w:ascii="Sylfaen" w:hAnsi="Sylfaen"/>
          <w:b/>
          <w:i w:val="0"/>
          <w:color w:val="auto"/>
          <w:sz w:val="22"/>
          <w:szCs w:val="22"/>
          <w:lang w:val="ka-GE"/>
        </w:rPr>
        <w:t>ასაკი</w:t>
      </w:r>
      <w:r w:rsidR="00CA0922" w:rsidRPr="007F6CA8">
        <w:rPr>
          <w:rFonts w:ascii="Sylfaen" w:hAnsi="Sylfaen"/>
          <w:b/>
          <w:i w:val="0"/>
          <w:color w:val="auto"/>
          <w:sz w:val="22"/>
          <w:szCs w:val="22"/>
          <w:lang w:val="en-GB"/>
        </w:rPr>
        <w:t xml:space="preserve"> 15-64), 2011-2016</w:t>
      </w:r>
    </w:p>
    <w:tbl>
      <w:tblPr>
        <w:tblW w:w="5083" w:type="pct"/>
        <w:tblCellMar>
          <w:left w:w="70" w:type="dxa"/>
          <w:right w:w="70" w:type="dxa"/>
        </w:tblCellMar>
        <w:tblLook w:val="04A0" w:firstRow="1" w:lastRow="0" w:firstColumn="1" w:lastColumn="0" w:noHBand="0" w:noVBand="1"/>
      </w:tblPr>
      <w:tblGrid>
        <w:gridCol w:w="6254"/>
        <w:gridCol w:w="541"/>
        <w:gridCol w:w="542"/>
        <w:gridCol w:w="542"/>
        <w:gridCol w:w="542"/>
        <w:gridCol w:w="542"/>
        <w:gridCol w:w="538"/>
      </w:tblGrid>
      <w:tr w:rsidR="00CF0EAD" w:rsidRPr="007F6CA8" w14:paraId="790F186F" w14:textId="77777777" w:rsidTr="00852655">
        <w:trPr>
          <w:trHeight w:val="300"/>
        </w:trPr>
        <w:tc>
          <w:tcPr>
            <w:tcW w:w="3292" w:type="pct"/>
            <w:tcBorders>
              <w:top w:val="single" w:sz="4" w:space="0" w:color="auto"/>
              <w:left w:val="single" w:sz="4" w:space="0" w:color="auto"/>
              <w:bottom w:val="nil"/>
              <w:right w:val="nil"/>
            </w:tcBorders>
            <w:shd w:val="clear" w:color="auto" w:fill="auto"/>
            <w:noWrap/>
            <w:vAlign w:val="center"/>
            <w:hideMark/>
          </w:tcPr>
          <w:p w14:paraId="1DCD8694"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ISCO 88</w:t>
            </w:r>
          </w:p>
        </w:tc>
        <w:tc>
          <w:tcPr>
            <w:tcW w:w="285" w:type="pct"/>
            <w:tcBorders>
              <w:top w:val="single" w:sz="4" w:space="0" w:color="auto"/>
              <w:left w:val="single" w:sz="4" w:space="0" w:color="auto"/>
              <w:bottom w:val="nil"/>
              <w:right w:val="nil"/>
            </w:tcBorders>
            <w:shd w:val="clear" w:color="auto" w:fill="auto"/>
            <w:noWrap/>
            <w:vAlign w:val="center"/>
            <w:hideMark/>
          </w:tcPr>
          <w:p w14:paraId="70B0A0EC"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2011</w:t>
            </w:r>
          </w:p>
        </w:tc>
        <w:tc>
          <w:tcPr>
            <w:tcW w:w="285" w:type="pct"/>
            <w:tcBorders>
              <w:top w:val="single" w:sz="4" w:space="0" w:color="auto"/>
              <w:left w:val="nil"/>
              <w:bottom w:val="nil"/>
              <w:right w:val="nil"/>
            </w:tcBorders>
            <w:shd w:val="clear" w:color="auto" w:fill="auto"/>
            <w:noWrap/>
            <w:vAlign w:val="center"/>
            <w:hideMark/>
          </w:tcPr>
          <w:p w14:paraId="431A70AD"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2012</w:t>
            </w:r>
          </w:p>
        </w:tc>
        <w:tc>
          <w:tcPr>
            <w:tcW w:w="285" w:type="pct"/>
            <w:tcBorders>
              <w:top w:val="single" w:sz="4" w:space="0" w:color="auto"/>
              <w:left w:val="nil"/>
              <w:bottom w:val="nil"/>
              <w:right w:val="nil"/>
            </w:tcBorders>
            <w:shd w:val="clear" w:color="auto" w:fill="auto"/>
            <w:noWrap/>
            <w:vAlign w:val="center"/>
            <w:hideMark/>
          </w:tcPr>
          <w:p w14:paraId="686168E6"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2013</w:t>
            </w:r>
          </w:p>
        </w:tc>
        <w:tc>
          <w:tcPr>
            <w:tcW w:w="285" w:type="pct"/>
            <w:tcBorders>
              <w:top w:val="single" w:sz="4" w:space="0" w:color="auto"/>
              <w:left w:val="nil"/>
              <w:bottom w:val="nil"/>
              <w:right w:val="nil"/>
            </w:tcBorders>
            <w:shd w:val="clear" w:color="auto" w:fill="auto"/>
            <w:noWrap/>
            <w:vAlign w:val="center"/>
            <w:hideMark/>
          </w:tcPr>
          <w:p w14:paraId="7C022767"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2014</w:t>
            </w:r>
          </w:p>
        </w:tc>
        <w:tc>
          <w:tcPr>
            <w:tcW w:w="285" w:type="pct"/>
            <w:tcBorders>
              <w:top w:val="single" w:sz="4" w:space="0" w:color="auto"/>
              <w:left w:val="nil"/>
              <w:bottom w:val="nil"/>
              <w:right w:val="nil"/>
            </w:tcBorders>
            <w:shd w:val="clear" w:color="auto" w:fill="auto"/>
            <w:noWrap/>
            <w:vAlign w:val="center"/>
            <w:hideMark/>
          </w:tcPr>
          <w:p w14:paraId="79AE912D"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2015</w:t>
            </w:r>
          </w:p>
        </w:tc>
        <w:tc>
          <w:tcPr>
            <w:tcW w:w="285" w:type="pct"/>
            <w:tcBorders>
              <w:top w:val="single" w:sz="4" w:space="0" w:color="auto"/>
              <w:left w:val="nil"/>
              <w:bottom w:val="nil"/>
              <w:right w:val="single" w:sz="4" w:space="0" w:color="auto"/>
            </w:tcBorders>
            <w:shd w:val="clear" w:color="auto" w:fill="auto"/>
            <w:noWrap/>
            <w:vAlign w:val="center"/>
            <w:hideMark/>
          </w:tcPr>
          <w:p w14:paraId="390467CE" w14:textId="77777777" w:rsidR="00CF0EAD" w:rsidRPr="007F6CA8" w:rsidRDefault="00CF0EAD" w:rsidP="00852655">
            <w:pPr>
              <w:jc w:val="center"/>
              <w:rPr>
                <w:rFonts w:ascii="Sylfaen" w:hAnsi="Sylfaen"/>
                <w:b/>
                <w:bCs/>
                <w:sz w:val="18"/>
                <w:szCs w:val="18"/>
                <w:lang w:eastAsia="de-DE"/>
              </w:rPr>
            </w:pPr>
            <w:r w:rsidRPr="007F6CA8">
              <w:rPr>
                <w:rFonts w:ascii="Sylfaen" w:hAnsi="Sylfaen"/>
                <w:b/>
                <w:bCs/>
                <w:sz w:val="18"/>
                <w:szCs w:val="18"/>
                <w:lang w:eastAsia="de-DE"/>
              </w:rPr>
              <w:t>2016</w:t>
            </w:r>
          </w:p>
        </w:tc>
      </w:tr>
      <w:tr w:rsidR="00CA0922" w:rsidRPr="007F6CA8" w14:paraId="77A23549" w14:textId="77777777" w:rsidTr="00852655">
        <w:trPr>
          <w:trHeight w:val="300"/>
        </w:trPr>
        <w:tc>
          <w:tcPr>
            <w:tcW w:w="3292" w:type="pct"/>
            <w:tcBorders>
              <w:top w:val="single" w:sz="4" w:space="0" w:color="auto"/>
              <w:left w:val="single" w:sz="4" w:space="0" w:color="auto"/>
              <w:bottom w:val="nil"/>
              <w:right w:val="nil"/>
            </w:tcBorders>
            <w:shd w:val="clear" w:color="auto" w:fill="auto"/>
            <w:noWrap/>
            <w:vAlign w:val="center"/>
            <w:hideMark/>
          </w:tcPr>
          <w:p w14:paraId="532948EB" w14:textId="0EC69ED7"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01 </w:t>
            </w:r>
            <w:r w:rsidRPr="007F6CA8">
              <w:rPr>
                <w:rFonts w:ascii="Sylfaen" w:hAnsi="Sylfaen"/>
                <w:sz w:val="18"/>
                <w:szCs w:val="18"/>
                <w:lang w:val="ka-GE" w:eastAsia="de-DE"/>
              </w:rPr>
              <w:t>კანონმდებლები, უფროსი რანგის ოფიციალური პირები და მენეჯერები</w:t>
            </w:r>
          </w:p>
        </w:tc>
        <w:tc>
          <w:tcPr>
            <w:tcW w:w="285" w:type="pct"/>
            <w:tcBorders>
              <w:top w:val="single" w:sz="4" w:space="0" w:color="auto"/>
              <w:left w:val="single" w:sz="4" w:space="0" w:color="auto"/>
              <w:bottom w:val="nil"/>
              <w:right w:val="nil"/>
            </w:tcBorders>
            <w:shd w:val="clear" w:color="auto" w:fill="auto"/>
            <w:noWrap/>
            <w:vAlign w:val="center"/>
            <w:hideMark/>
          </w:tcPr>
          <w:p w14:paraId="71DF3D1B"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18,0</w:t>
            </w:r>
          </w:p>
        </w:tc>
        <w:tc>
          <w:tcPr>
            <w:tcW w:w="285" w:type="pct"/>
            <w:tcBorders>
              <w:top w:val="single" w:sz="4" w:space="0" w:color="auto"/>
              <w:left w:val="nil"/>
              <w:bottom w:val="nil"/>
              <w:right w:val="nil"/>
            </w:tcBorders>
            <w:shd w:val="clear" w:color="auto" w:fill="auto"/>
            <w:noWrap/>
            <w:vAlign w:val="center"/>
            <w:hideMark/>
          </w:tcPr>
          <w:p w14:paraId="1C381791"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17,6</w:t>
            </w:r>
          </w:p>
        </w:tc>
        <w:tc>
          <w:tcPr>
            <w:tcW w:w="285" w:type="pct"/>
            <w:tcBorders>
              <w:top w:val="single" w:sz="4" w:space="0" w:color="auto"/>
              <w:left w:val="nil"/>
              <w:bottom w:val="nil"/>
              <w:right w:val="nil"/>
            </w:tcBorders>
            <w:shd w:val="clear" w:color="auto" w:fill="auto"/>
            <w:noWrap/>
            <w:vAlign w:val="center"/>
            <w:hideMark/>
          </w:tcPr>
          <w:p w14:paraId="2EECD8BD"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16,7</w:t>
            </w:r>
          </w:p>
        </w:tc>
        <w:tc>
          <w:tcPr>
            <w:tcW w:w="285" w:type="pct"/>
            <w:tcBorders>
              <w:top w:val="single" w:sz="4" w:space="0" w:color="auto"/>
              <w:left w:val="nil"/>
              <w:bottom w:val="nil"/>
              <w:right w:val="nil"/>
            </w:tcBorders>
            <w:shd w:val="clear" w:color="auto" w:fill="auto"/>
            <w:noWrap/>
            <w:vAlign w:val="center"/>
            <w:hideMark/>
          </w:tcPr>
          <w:p w14:paraId="4F4393F0"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16,6</w:t>
            </w:r>
          </w:p>
        </w:tc>
        <w:tc>
          <w:tcPr>
            <w:tcW w:w="285" w:type="pct"/>
            <w:tcBorders>
              <w:top w:val="single" w:sz="4" w:space="0" w:color="auto"/>
              <w:left w:val="nil"/>
              <w:bottom w:val="nil"/>
              <w:right w:val="nil"/>
            </w:tcBorders>
            <w:shd w:val="clear" w:color="auto" w:fill="auto"/>
            <w:noWrap/>
            <w:vAlign w:val="center"/>
            <w:hideMark/>
          </w:tcPr>
          <w:p w14:paraId="6E8F50C0"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11,9</w:t>
            </w:r>
          </w:p>
        </w:tc>
        <w:tc>
          <w:tcPr>
            <w:tcW w:w="285" w:type="pct"/>
            <w:tcBorders>
              <w:top w:val="single" w:sz="4" w:space="0" w:color="auto"/>
              <w:left w:val="nil"/>
              <w:bottom w:val="nil"/>
              <w:right w:val="single" w:sz="4" w:space="0" w:color="auto"/>
            </w:tcBorders>
            <w:shd w:val="clear" w:color="auto" w:fill="auto"/>
            <w:noWrap/>
            <w:vAlign w:val="center"/>
            <w:hideMark/>
          </w:tcPr>
          <w:p w14:paraId="0B19CB8A"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9,5</w:t>
            </w:r>
          </w:p>
        </w:tc>
      </w:tr>
      <w:tr w:rsidR="00CA0922" w:rsidRPr="007F6CA8" w14:paraId="6B12270A" w14:textId="77777777" w:rsidTr="00852655">
        <w:trPr>
          <w:trHeight w:val="300"/>
        </w:trPr>
        <w:tc>
          <w:tcPr>
            <w:tcW w:w="3292" w:type="pct"/>
            <w:tcBorders>
              <w:top w:val="nil"/>
              <w:left w:val="single" w:sz="4" w:space="0" w:color="auto"/>
              <w:bottom w:val="nil"/>
              <w:right w:val="nil"/>
            </w:tcBorders>
            <w:shd w:val="clear" w:color="auto" w:fill="auto"/>
            <w:noWrap/>
            <w:vAlign w:val="center"/>
            <w:hideMark/>
          </w:tcPr>
          <w:p w14:paraId="24E32EA7" w14:textId="479D6862"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02 </w:t>
            </w:r>
            <w:r w:rsidRPr="007F6CA8">
              <w:rPr>
                <w:rFonts w:ascii="Sylfaen" w:hAnsi="Sylfaen"/>
                <w:sz w:val="18"/>
                <w:szCs w:val="18"/>
                <w:lang w:val="ka-GE" w:eastAsia="de-DE"/>
              </w:rPr>
              <w:t>პროფესიონალები</w:t>
            </w:r>
          </w:p>
        </w:tc>
        <w:tc>
          <w:tcPr>
            <w:tcW w:w="285" w:type="pct"/>
            <w:tcBorders>
              <w:top w:val="nil"/>
              <w:left w:val="single" w:sz="4" w:space="0" w:color="auto"/>
              <w:bottom w:val="nil"/>
              <w:right w:val="nil"/>
            </w:tcBorders>
            <w:shd w:val="clear" w:color="auto" w:fill="auto"/>
            <w:noWrap/>
            <w:vAlign w:val="center"/>
            <w:hideMark/>
          </w:tcPr>
          <w:p w14:paraId="3A817D55"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4,0</w:t>
            </w:r>
          </w:p>
        </w:tc>
        <w:tc>
          <w:tcPr>
            <w:tcW w:w="285" w:type="pct"/>
            <w:tcBorders>
              <w:top w:val="nil"/>
              <w:left w:val="nil"/>
              <w:bottom w:val="nil"/>
              <w:right w:val="nil"/>
            </w:tcBorders>
            <w:shd w:val="clear" w:color="auto" w:fill="auto"/>
            <w:noWrap/>
            <w:vAlign w:val="center"/>
            <w:hideMark/>
          </w:tcPr>
          <w:p w14:paraId="14B1F65B"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14,0</w:t>
            </w:r>
          </w:p>
        </w:tc>
        <w:tc>
          <w:tcPr>
            <w:tcW w:w="285" w:type="pct"/>
            <w:tcBorders>
              <w:top w:val="nil"/>
              <w:left w:val="nil"/>
              <w:bottom w:val="nil"/>
              <w:right w:val="nil"/>
            </w:tcBorders>
            <w:shd w:val="clear" w:color="auto" w:fill="auto"/>
            <w:noWrap/>
            <w:vAlign w:val="center"/>
            <w:hideMark/>
          </w:tcPr>
          <w:p w14:paraId="0A44B7AF"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12,1</w:t>
            </w:r>
          </w:p>
        </w:tc>
        <w:tc>
          <w:tcPr>
            <w:tcW w:w="285" w:type="pct"/>
            <w:tcBorders>
              <w:top w:val="nil"/>
              <w:left w:val="nil"/>
              <w:bottom w:val="nil"/>
              <w:right w:val="nil"/>
            </w:tcBorders>
            <w:shd w:val="clear" w:color="auto" w:fill="auto"/>
            <w:noWrap/>
            <w:vAlign w:val="center"/>
            <w:hideMark/>
          </w:tcPr>
          <w:p w14:paraId="09477803"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4,2</w:t>
            </w:r>
          </w:p>
        </w:tc>
        <w:tc>
          <w:tcPr>
            <w:tcW w:w="285" w:type="pct"/>
            <w:tcBorders>
              <w:top w:val="nil"/>
              <w:left w:val="nil"/>
              <w:bottom w:val="nil"/>
              <w:right w:val="nil"/>
            </w:tcBorders>
            <w:shd w:val="clear" w:color="auto" w:fill="auto"/>
            <w:noWrap/>
            <w:vAlign w:val="center"/>
            <w:hideMark/>
          </w:tcPr>
          <w:p w14:paraId="15D3D0DA"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3,1</w:t>
            </w:r>
          </w:p>
        </w:tc>
        <w:tc>
          <w:tcPr>
            <w:tcW w:w="285" w:type="pct"/>
            <w:tcBorders>
              <w:top w:val="nil"/>
              <w:left w:val="nil"/>
              <w:bottom w:val="nil"/>
              <w:right w:val="single" w:sz="4" w:space="0" w:color="auto"/>
            </w:tcBorders>
            <w:shd w:val="clear" w:color="auto" w:fill="auto"/>
            <w:noWrap/>
            <w:vAlign w:val="center"/>
            <w:hideMark/>
          </w:tcPr>
          <w:p w14:paraId="79FFF2CA"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3,2</w:t>
            </w:r>
          </w:p>
        </w:tc>
      </w:tr>
      <w:tr w:rsidR="00CA0922" w:rsidRPr="007F6CA8" w14:paraId="3E8D59E3" w14:textId="77777777" w:rsidTr="00852655">
        <w:trPr>
          <w:trHeight w:val="300"/>
        </w:trPr>
        <w:tc>
          <w:tcPr>
            <w:tcW w:w="3292" w:type="pct"/>
            <w:tcBorders>
              <w:top w:val="nil"/>
              <w:left w:val="single" w:sz="4" w:space="0" w:color="auto"/>
              <w:bottom w:val="nil"/>
              <w:right w:val="nil"/>
            </w:tcBorders>
            <w:shd w:val="clear" w:color="auto" w:fill="auto"/>
            <w:noWrap/>
            <w:vAlign w:val="center"/>
            <w:hideMark/>
          </w:tcPr>
          <w:p w14:paraId="3270ADFC" w14:textId="116EBDC3"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03 </w:t>
            </w:r>
            <w:r w:rsidRPr="007F6CA8">
              <w:rPr>
                <w:rFonts w:ascii="Sylfaen" w:hAnsi="Sylfaen"/>
                <w:sz w:val="18"/>
                <w:szCs w:val="18"/>
                <w:lang w:val="ka-GE" w:eastAsia="de-DE"/>
              </w:rPr>
              <w:t>ტექნიკოსები და ასოცირებული პროფესორები</w:t>
            </w:r>
          </w:p>
        </w:tc>
        <w:tc>
          <w:tcPr>
            <w:tcW w:w="285" w:type="pct"/>
            <w:tcBorders>
              <w:top w:val="nil"/>
              <w:left w:val="single" w:sz="4" w:space="0" w:color="auto"/>
              <w:bottom w:val="nil"/>
              <w:right w:val="nil"/>
            </w:tcBorders>
            <w:shd w:val="clear" w:color="auto" w:fill="auto"/>
            <w:noWrap/>
            <w:vAlign w:val="center"/>
            <w:hideMark/>
          </w:tcPr>
          <w:p w14:paraId="27CF600F"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9,5</w:t>
            </w:r>
          </w:p>
        </w:tc>
        <w:tc>
          <w:tcPr>
            <w:tcW w:w="285" w:type="pct"/>
            <w:tcBorders>
              <w:top w:val="nil"/>
              <w:left w:val="nil"/>
              <w:bottom w:val="nil"/>
              <w:right w:val="nil"/>
            </w:tcBorders>
            <w:shd w:val="clear" w:color="auto" w:fill="auto"/>
            <w:noWrap/>
            <w:vAlign w:val="center"/>
            <w:hideMark/>
          </w:tcPr>
          <w:p w14:paraId="59A4EC2D"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12,8</w:t>
            </w:r>
          </w:p>
        </w:tc>
        <w:tc>
          <w:tcPr>
            <w:tcW w:w="285" w:type="pct"/>
            <w:tcBorders>
              <w:top w:val="nil"/>
              <w:left w:val="nil"/>
              <w:bottom w:val="nil"/>
              <w:right w:val="nil"/>
            </w:tcBorders>
            <w:shd w:val="clear" w:color="auto" w:fill="auto"/>
            <w:noWrap/>
            <w:vAlign w:val="center"/>
            <w:hideMark/>
          </w:tcPr>
          <w:p w14:paraId="27055430"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14,4</w:t>
            </w:r>
          </w:p>
        </w:tc>
        <w:tc>
          <w:tcPr>
            <w:tcW w:w="285" w:type="pct"/>
            <w:tcBorders>
              <w:top w:val="nil"/>
              <w:left w:val="nil"/>
              <w:bottom w:val="nil"/>
              <w:right w:val="nil"/>
            </w:tcBorders>
            <w:shd w:val="clear" w:color="auto" w:fill="auto"/>
            <w:noWrap/>
            <w:vAlign w:val="center"/>
            <w:hideMark/>
          </w:tcPr>
          <w:p w14:paraId="127B871D"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16,2</w:t>
            </w:r>
          </w:p>
        </w:tc>
        <w:tc>
          <w:tcPr>
            <w:tcW w:w="285" w:type="pct"/>
            <w:tcBorders>
              <w:top w:val="nil"/>
              <w:left w:val="nil"/>
              <w:bottom w:val="nil"/>
              <w:right w:val="nil"/>
            </w:tcBorders>
            <w:shd w:val="clear" w:color="auto" w:fill="auto"/>
            <w:noWrap/>
            <w:vAlign w:val="center"/>
            <w:hideMark/>
          </w:tcPr>
          <w:p w14:paraId="27FB1690"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15,0</w:t>
            </w:r>
          </w:p>
        </w:tc>
        <w:tc>
          <w:tcPr>
            <w:tcW w:w="285" w:type="pct"/>
            <w:tcBorders>
              <w:top w:val="nil"/>
              <w:left w:val="nil"/>
              <w:bottom w:val="nil"/>
              <w:right w:val="single" w:sz="4" w:space="0" w:color="auto"/>
            </w:tcBorders>
            <w:shd w:val="clear" w:color="auto" w:fill="auto"/>
            <w:noWrap/>
            <w:vAlign w:val="center"/>
            <w:hideMark/>
          </w:tcPr>
          <w:p w14:paraId="669D6089"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12,9</w:t>
            </w:r>
          </w:p>
        </w:tc>
      </w:tr>
      <w:tr w:rsidR="00CA0922" w:rsidRPr="007F6CA8" w14:paraId="0057CE3D" w14:textId="77777777" w:rsidTr="00852655">
        <w:trPr>
          <w:trHeight w:val="300"/>
        </w:trPr>
        <w:tc>
          <w:tcPr>
            <w:tcW w:w="3292" w:type="pct"/>
            <w:tcBorders>
              <w:top w:val="nil"/>
              <w:left w:val="single" w:sz="4" w:space="0" w:color="auto"/>
              <w:bottom w:val="nil"/>
              <w:right w:val="nil"/>
            </w:tcBorders>
            <w:shd w:val="clear" w:color="auto" w:fill="auto"/>
            <w:noWrap/>
            <w:vAlign w:val="center"/>
            <w:hideMark/>
          </w:tcPr>
          <w:p w14:paraId="4FBE2571" w14:textId="28A30168"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04 </w:t>
            </w:r>
            <w:r w:rsidRPr="007F6CA8">
              <w:rPr>
                <w:rFonts w:ascii="Sylfaen" w:hAnsi="Sylfaen"/>
                <w:sz w:val="18"/>
                <w:szCs w:val="18"/>
                <w:lang w:val="ka-GE" w:eastAsia="de-DE"/>
              </w:rPr>
              <w:t>მოხელეები</w:t>
            </w:r>
          </w:p>
        </w:tc>
        <w:tc>
          <w:tcPr>
            <w:tcW w:w="285" w:type="pct"/>
            <w:tcBorders>
              <w:top w:val="nil"/>
              <w:left w:val="single" w:sz="4" w:space="0" w:color="auto"/>
              <w:bottom w:val="nil"/>
              <w:right w:val="nil"/>
            </w:tcBorders>
            <w:shd w:val="clear" w:color="auto" w:fill="auto"/>
            <w:noWrap/>
            <w:vAlign w:val="center"/>
            <w:hideMark/>
          </w:tcPr>
          <w:p w14:paraId="4CAF40EF"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16,3</w:t>
            </w:r>
          </w:p>
        </w:tc>
        <w:tc>
          <w:tcPr>
            <w:tcW w:w="285" w:type="pct"/>
            <w:tcBorders>
              <w:top w:val="nil"/>
              <w:left w:val="nil"/>
              <w:bottom w:val="nil"/>
              <w:right w:val="nil"/>
            </w:tcBorders>
            <w:shd w:val="clear" w:color="auto" w:fill="auto"/>
            <w:noWrap/>
            <w:vAlign w:val="center"/>
            <w:hideMark/>
          </w:tcPr>
          <w:p w14:paraId="7A5AE557"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19,6</w:t>
            </w:r>
          </w:p>
        </w:tc>
        <w:tc>
          <w:tcPr>
            <w:tcW w:w="285" w:type="pct"/>
            <w:tcBorders>
              <w:top w:val="nil"/>
              <w:left w:val="nil"/>
              <w:bottom w:val="nil"/>
              <w:right w:val="nil"/>
            </w:tcBorders>
            <w:shd w:val="clear" w:color="auto" w:fill="auto"/>
            <w:noWrap/>
            <w:vAlign w:val="center"/>
            <w:hideMark/>
          </w:tcPr>
          <w:p w14:paraId="0C1D369E"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16,0</w:t>
            </w:r>
          </w:p>
        </w:tc>
        <w:tc>
          <w:tcPr>
            <w:tcW w:w="285" w:type="pct"/>
            <w:tcBorders>
              <w:top w:val="nil"/>
              <w:left w:val="nil"/>
              <w:bottom w:val="nil"/>
              <w:right w:val="nil"/>
            </w:tcBorders>
            <w:shd w:val="clear" w:color="auto" w:fill="auto"/>
            <w:noWrap/>
            <w:vAlign w:val="center"/>
            <w:hideMark/>
          </w:tcPr>
          <w:p w14:paraId="57C4F030"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26,3</w:t>
            </w:r>
          </w:p>
        </w:tc>
        <w:tc>
          <w:tcPr>
            <w:tcW w:w="285" w:type="pct"/>
            <w:tcBorders>
              <w:top w:val="nil"/>
              <w:left w:val="nil"/>
              <w:bottom w:val="nil"/>
              <w:right w:val="nil"/>
            </w:tcBorders>
            <w:shd w:val="clear" w:color="auto" w:fill="auto"/>
            <w:noWrap/>
            <w:vAlign w:val="center"/>
            <w:hideMark/>
          </w:tcPr>
          <w:p w14:paraId="393F4265"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21,1</w:t>
            </w:r>
          </w:p>
        </w:tc>
        <w:tc>
          <w:tcPr>
            <w:tcW w:w="285" w:type="pct"/>
            <w:tcBorders>
              <w:top w:val="nil"/>
              <w:left w:val="nil"/>
              <w:bottom w:val="nil"/>
              <w:right w:val="single" w:sz="4" w:space="0" w:color="auto"/>
            </w:tcBorders>
            <w:shd w:val="clear" w:color="auto" w:fill="auto"/>
            <w:noWrap/>
            <w:vAlign w:val="center"/>
            <w:hideMark/>
          </w:tcPr>
          <w:p w14:paraId="4AE2F82E"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23,7</w:t>
            </w:r>
          </w:p>
        </w:tc>
      </w:tr>
      <w:tr w:rsidR="00CA0922" w:rsidRPr="007F6CA8" w14:paraId="32AC5D3A" w14:textId="77777777" w:rsidTr="00852655">
        <w:trPr>
          <w:trHeight w:val="300"/>
        </w:trPr>
        <w:tc>
          <w:tcPr>
            <w:tcW w:w="3292" w:type="pct"/>
            <w:tcBorders>
              <w:top w:val="nil"/>
              <w:left w:val="single" w:sz="4" w:space="0" w:color="auto"/>
              <w:bottom w:val="nil"/>
              <w:right w:val="nil"/>
            </w:tcBorders>
            <w:shd w:val="clear" w:color="auto" w:fill="auto"/>
            <w:noWrap/>
            <w:vAlign w:val="center"/>
            <w:hideMark/>
          </w:tcPr>
          <w:p w14:paraId="438F9F40" w14:textId="2A868EA0"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05 </w:t>
            </w:r>
            <w:r w:rsidRPr="007F6CA8">
              <w:rPr>
                <w:rFonts w:ascii="Sylfaen" w:hAnsi="Sylfaen"/>
                <w:sz w:val="18"/>
                <w:szCs w:val="18"/>
                <w:lang w:val="ka-GE" w:eastAsia="de-DE"/>
              </w:rPr>
              <w:t>სერვისის მუშაკები და მაღაზიების და მარკეტების გაყიდვის პერსონალი</w:t>
            </w:r>
          </w:p>
        </w:tc>
        <w:tc>
          <w:tcPr>
            <w:tcW w:w="285" w:type="pct"/>
            <w:tcBorders>
              <w:top w:val="nil"/>
              <w:left w:val="single" w:sz="4" w:space="0" w:color="auto"/>
              <w:bottom w:val="nil"/>
              <w:right w:val="nil"/>
            </w:tcBorders>
            <w:shd w:val="clear" w:color="auto" w:fill="auto"/>
            <w:noWrap/>
            <w:vAlign w:val="center"/>
            <w:hideMark/>
          </w:tcPr>
          <w:p w14:paraId="77DD30B7"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1,3</w:t>
            </w:r>
          </w:p>
        </w:tc>
        <w:tc>
          <w:tcPr>
            <w:tcW w:w="285" w:type="pct"/>
            <w:tcBorders>
              <w:top w:val="nil"/>
              <w:left w:val="nil"/>
              <w:bottom w:val="nil"/>
              <w:right w:val="nil"/>
            </w:tcBorders>
            <w:shd w:val="clear" w:color="auto" w:fill="auto"/>
            <w:noWrap/>
            <w:vAlign w:val="center"/>
            <w:hideMark/>
          </w:tcPr>
          <w:p w14:paraId="7BA2DC3B"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1,2</w:t>
            </w:r>
          </w:p>
        </w:tc>
        <w:tc>
          <w:tcPr>
            <w:tcW w:w="285" w:type="pct"/>
            <w:tcBorders>
              <w:top w:val="nil"/>
              <w:left w:val="nil"/>
              <w:bottom w:val="nil"/>
              <w:right w:val="nil"/>
            </w:tcBorders>
            <w:shd w:val="clear" w:color="auto" w:fill="auto"/>
            <w:noWrap/>
            <w:vAlign w:val="center"/>
            <w:hideMark/>
          </w:tcPr>
          <w:p w14:paraId="31E7B819"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2,2</w:t>
            </w:r>
          </w:p>
        </w:tc>
        <w:tc>
          <w:tcPr>
            <w:tcW w:w="285" w:type="pct"/>
            <w:tcBorders>
              <w:top w:val="nil"/>
              <w:left w:val="nil"/>
              <w:bottom w:val="nil"/>
              <w:right w:val="nil"/>
            </w:tcBorders>
            <w:shd w:val="clear" w:color="auto" w:fill="auto"/>
            <w:noWrap/>
            <w:vAlign w:val="center"/>
            <w:hideMark/>
          </w:tcPr>
          <w:p w14:paraId="218E69E1"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1,9</w:t>
            </w:r>
          </w:p>
        </w:tc>
        <w:tc>
          <w:tcPr>
            <w:tcW w:w="285" w:type="pct"/>
            <w:tcBorders>
              <w:top w:val="nil"/>
              <w:left w:val="nil"/>
              <w:bottom w:val="nil"/>
              <w:right w:val="nil"/>
            </w:tcBorders>
            <w:shd w:val="clear" w:color="auto" w:fill="auto"/>
            <w:noWrap/>
            <w:vAlign w:val="center"/>
            <w:hideMark/>
          </w:tcPr>
          <w:p w14:paraId="6F80AB8F"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2,2</w:t>
            </w:r>
          </w:p>
        </w:tc>
        <w:tc>
          <w:tcPr>
            <w:tcW w:w="285" w:type="pct"/>
            <w:tcBorders>
              <w:top w:val="nil"/>
              <w:left w:val="nil"/>
              <w:bottom w:val="nil"/>
              <w:right w:val="single" w:sz="4" w:space="0" w:color="auto"/>
            </w:tcBorders>
            <w:shd w:val="clear" w:color="auto" w:fill="auto"/>
            <w:noWrap/>
            <w:vAlign w:val="center"/>
            <w:hideMark/>
          </w:tcPr>
          <w:p w14:paraId="36429073"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1,8</w:t>
            </w:r>
          </w:p>
        </w:tc>
      </w:tr>
      <w:tr w:rsidR="00CA0922" w:rsidRPr="007F6CA8" w14:paraId="0F7D7370" w14:textId="77777777" w:rsidTr="00852655">
        <w:trPr>
          <w:trHeight w:val="300"/>
        </w:trPr>
        <w:tc>
          <w:tcPr>
            <w:tcW w:w="3292" w:type="pct"/>
            <w:tcBorders>
              <w:top w:val="nil"/>
              <w:left w:val="single" w:sz="4" w:space="0" w:color="auto"/>
              <w:bottom w:val="nil"/>
              <w:right w:val="nil"/>
            </w:tcBorders>
            <w:shd w:val="clear" w:color="auto" w:fill="auto"/>
            <w:noWrap/>
            <w:vAlign w:val="center"/>
            <w:hideMark/>
          </w:tcPr>
          <w:p w14:paraId="19813E8F" w14:textId="1B0F7E07"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06 </w:t>
            </w:r>
            <w:r w:rsidRPr="007F6CA8">
              <w:rPr>
                <w:rFonts w:ascii="Sylfaen" w:hAnsi="Sylfaen"/>
                <w:sz w:val="18"/>
                <w:szCs w:val="18"/>
                <w:lang w:val="ka-GE" w:eastAsia="de-DE"/>
              </w:rPr>
              <w:t>კვალიფიციური სასოფლო-სამეურნეო და მეთევზეობის მუშაკები</w:t>
            </w:r>
          </w:p>
        </w:tc>
        <w:tc>
          <w:tcPr>
            <w:tcW w:w="285" w:type="pct"/>
            <w:tcBorders>
              <w:top w:val="nil"/>
              <w:left w:val="single" w:sz="4" w:space="0" w:color="auto"/>
              <w:bottom w:val="nil"/>
              <w:right w:val="nil"/>
            </w:tcBorders>
            <w:shd w:val="clear" w:color="auto" w:fill="auto"/>
            <w:noWrap/>
            <w:vAlign w:val="center"/>
            <w:hideMark/>
          </w:tcPr>
          <w:p w14:paraId="0E49A82D"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3,9</w:t>
            </w:r>
          </w:p>
        </w:tc>
        <w:tc>
          <w:tcPr>
            <w:tcW w:w="285" w:type="pct"/>
            <w:tcBorders>
              <w:top w:val="nil"/>
              <w:left w:val="nil"/>
              <w:bottom w:val="nil"/>
              <w:right w:val="nil"/>
            </w:tcBorders>
            <w:shd w:val="clear" w:color="auto" w:fill="auto"/>
            <w:noWrap/>
            <w:vAlign w:val="center"/>
            <w:hideMark/>
          </w:tcPr>
          <w:p w14:paraId="3AC590FA"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3,0</w:t>
            </w:r>
          </w:p>
        </w:tc>
        <w:tc>
          <w:tcPr>
            <w:tcW w:w="285" w:type="pct"/>
            <w:tcBorders>
              <w:top w:val="nil"/>
              <w:left w:val="nil"/>
              <w:bottom w:val="nil"/>
              <w:right w:val="nil"/>
            </w:tcBorders>
            <w:shd w:val="clear" w:color="auto" w:fill="auto"/>
            <w:noWrap/>
            <w:vAlign w:val="center"/>
            <w:hideMark/>
          </w:tcPr>
          <w:p w14:paraId="48579D5D"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9,5</w:t>
            </w:r>
          </w:p>
        </w:tc>
        <w:tc>
          <w:tcPr>
            <w:tcW w:w="285" w:type="pct"/>
            <w:tcBorders>
              <w:top w:val="nil"/>
              <w:left w:val="nil"/>
              <w:bottom w:val="nil"/>
              <w:right w:val="nil"/>
            </w:tcBorders>
            <w:shd w:val="clear" w:color="auto" w:fill="auto"/>
            <w:noWrap/>
            <w:vAlign w:val="center"/>
            <w:hideMark/>
          </w:tcPr>
          <w:p w14:paraId="643CCAC1"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9,3</w:t>
            </w:r>
          </w:p>
        </w:tc>
        <w:tc>
          <w:tcPr>
            <w:tcW w:w="285" w:type="pct"/>
            <w:tcBorders>
              <w:top w:val="nil"/>
              <w:left w:val="nil"/>
              <w:bottom w:val="nil"/>
              <w:right w:val="nil"/>
            </w:tcBorders>
            <w:shd w:val="clear" w:color="auto" w:fill="auto"/>
            <w:noWrap/>
            <w:vAlign w:val="center"/>
            <w:hideMark/>
          </w:tcPr>
          <w:p w14:paraId="0B3B4361"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8,5</w:t>
            </w:r>
          </w:p>
        </w:tc>
        <w:tc>
          <w:tcPr>
            <w:tcW w:w="285" w:type="pct"/>
            <w:tcBorders>
              <w:top w:val="nil"/>
              <w:left w:val="nil"/>
              <w:bottom w:val="nil"/>
              <w:right w:val="single" w:sz="4" w:space="0" w:color="auto"/>
            </w:tcBorders>
            <w:shd w:val="clear" w:color="auto" w:fill="auto"/>
            <w:noWrap/>
            <w:vAlign w:val="center"/>
            <w:hideMark/>
          </w:tcPr>
          <w:p w14:paraId="7B949DFA"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8,0</w:t>
            </w:r>
          </w:p>
        </w:tc>
      </w:tr>
      <w:tr w:rsidR="00CA0922" w:rsidRPr="007F6CA8" w14:paraId="243F86C1" w14:textId="77777777" w:rsidTr="00852655">
        <w:trPr>
          <w:trHeight w:val="300"/>
        </w:trPr>
        <w:tc>
          <w:tcPr>
            <w:tcW w:w="3292" w:type="pct"/>
            <w:tcBorders>
              <w:top w:val="nil"/>
              <w:left w:val="single" w:sz="4" w:space="0" w:color="auto"/>
              <w:bottom w:val="nil"/>
              <w:right w:val="nil"/>
            </w:tcBorders>
            <w:shd w:val="clear" w:color="auto" w:fill="auto"/>
            <w:noWrap/>
            <w:vAlign w:val="center"/>
            <w:hideMark/>
          </w:tcPr>
          <w:p w14:paraId="5AC24DA7" w14:textId="2AB67FC0"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07 </w:t>
            </w:r>
            <w:r w:rsidRPr="007F6CA8">
              <w:rPr>
                <w:rFonts w:ascii="Sylfaen" w:hAnsi="Sylfaen"/>
                <w:sz w:val="18"/>
                <w:szCs w:val="18"/>
                <w:lang w:val="ka-GE" w:eastAsia="de-DE"/>
              </w:rPr>
              <w:t>ოსტატები და მასთან დაკავშირებული ვჭრობის სფეროს მუშაკები</w:t>
            </w:r>
          </w:p>
        </w:tc>
        <w:tc>
          <w:tcPr>
            <w:tcW w:w="285" w:type="pct"/>
            <w:tcBorders>
              <w:top w:val="nil"/>
              <w:left w:val="single" w:sz="4" w:space="0" w:color="auto"/>
              <w:bottom w:val="nil"/>
              <w:right w:val="nil"/>
            </w:tcBorders>
            <w:shd w:val="clear" w:color="auto" w:fill="auto"/>
            <w:noWrap/>
            <w:vAlign w:val="center"/>
            <w:hideMark/>
          </w:tcPr>
          <w:p w14:paraId="6B29E1D2"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3,5</w:t>
            </w:r>
          </w:p>
        </w:tc>
        <w:tc>
          <w:tcPr>
            <w:tcW w:w="285" w:type="pct"/>
            <w:tcBorders>
              <w:top w:val="nil"/>
              <w:left w:val="nil"/>
              <w:bottom w:val="nil"/>
              <w:right w:val="nil"/>
            </w:tcBorders>
            <w:shd w:val="clear" w:color="auto" w:fill="auto"/>
            <w:noWrap/>
            <w:vAlign w:val="center"/>
            <w:hideMark/>
          </w:tcPr>
          <w:p w14:paraId="40C9338B"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3,3</w:t>
            </w:r>
          </w:p>
        </w:tc>
        <w:tc>
          <w:tcPr>
            <w:tcW w:w="285" w:type="pct"/>
            <w:tcBorders>
              <w:top w:val="nil"/>
              <w:left w:val="nil"/>
              <w:bottom w:val="nil"/>
              <w:right w:val="nil"/>
            </w:tcBorders>
            <w:shd w:val="clear" w:color="auto" w:fill="auto"/>
            <w:noWrap/>
            <w:vAlign w:val="center"/>
            <w:hideMark/>
          </w:tcPr>
          <w:p w14:paraId="01CB37E3"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2,6</w:t>
            </w:r>
          </w:p>
        </w:tc>
        <w:tc>
          <w:tcPr>
            <w:tcW w:w="285" w:type="pct"/>
            <w:tcBorders>
              <w:top w:val="nil"/>
              <w:left w:val="nil"/>
              <w:bottom w:val="nil"/>
              <w:right w:val="nil"/>
            </w:tcBorders>
            <w:shd w:val="clear" w:color="auto" w:fill="auto"/>
            <w:noWrap/>
            <w:vAlign w:val="center"/>
            <w:hideMark/>
          </w:tcPr>
          <w:p w14:paraId="6C2BB184"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3,2</w:t>
            </w:r>
          </w:p>
        </w:tc>
        <w:tc>
          <w:tcPr>
            <w:tcW w:w="285" w:type="pct"/>
            <w:tcBorders>
              <w:top w:val="nil"/>
              <w:left w:val="nil"/>
              <w:bottom w:val="nil"/>
              <w:right w:val="nil"/>
            </w:tcBorders>
            <w:shd w:val="clear" w:color="auto" w:fill="auto"/>
            <w:noWrap/>
            <w:vAlign w:val="center"/>
            <w:hideMark/>
          </w:tcPr>
          <w:p w14:paraId="6345FBAE"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2,4</w:t>
            </w:r>
          </w:p>
        </w:tc>
        <w:tc>
          <w:tcPr>
            <w:tcW w:w="285" w:type="pct"/>
            <w:tcBorders>
              <w:top w:val="nil"/>
              <w:left w:val="nil"/>
              <w:bottom w:val="nil"/>
              <w:right w:val="single" w:sz="4" w:space="0" w:color="auto"/>
            </w:tcBorders>
            <w:shd w:val="clear" w:color="auto" w:fill="auto"/>
            <w:noWrap/>
            <w:vAlign w:val="center"/>
            <w:hideMark/>
          </w:tcPr>
          <w:p w14:paraId="0ED5342E"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3,5</w:t>
            </w:r>
          </w:p>
        </w:tc>
      </w:tr>
      <w:tr w:rsidR="00CA0922" w:rsidRPr="007F6CA8" w14:paraId="393BC77A" w14:textId="77777777" w:rsidTr="00852655">
        <w:trPr>
          <w:trHeight w:val="300"/>
        </w:trPr>
        <w:tc>
          <w:tcPr>
            <w:tcW w:w="3292" w:type="pct"/>
            <w:tcBorders>
              <w:top w:val="nil"/>
              <w:left w:val="single" w:sz="4" w:space="0" w:color="auto"/>
              <w:bottom w:val="nil"/>
              <w:right w:val="nil"/>
            </w:tcBorders>
            <w:shd w:val="clear" w:color="auto" w:fill="auto"/>
            <w:noWrap/>
            <w:vAlign w:val="center"/>
            <w:hideMark/>
          </w:tcPr>
          <w:p w14:paraId="34215CE0" w14:textId="2854214B"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08 </w:t>
            </w:r>
            <w:r w:rsidRPr="007F6CA8">
              <w:rPr>
                <w:rFonts w:ascii="Sylfaen" w:hAnsi="Sylfaen"/>
                <w:sz w:val="18"/>
                <w:szCs w:val="18"/>
                <w:lang w:val="ka-GE" w:eastAsia="de-DE"/>
              </w:rPr>
              <w:t>ქარხნების და მანქანების ოპერატორები და ამწყობები</w:t>
            </w:r>
          </w:p>
        </w:tc>
        <w:tc>
          <w:tcPr>
            <w:tcW w:w="285" w:type="pct"/>
            <w:tcBorders>
              <w:top w:val="nil"/>
              <w:left w:val="single" w:sz="4" w:space="0" w:color="auto"/>
              <w:bottom w:val="nil"/>
              <w:right w:val="nil"/>
            </w:tcBorders>
            <w:shd w:val="clear" w:color="auto" w:fill="auto"/>
            <w:noWrap/>
            <w:vAlign w:val="center"/>
            <w:hideMark/>
          </w:tcPr>
          <w:p w14:paraId="7EF4D124"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0,9</w:t>
            </w:r>
          </w:p>
        </w:tc>
        <w:tc>
          <w:tcPr>
            <w:tcW w:w="285" w:type="pct"/>
            <w:tcBorders>
              <w:top w:val="nil"/>
              <w:left w:val="nil"/>
              <w:bottom w:val="nil"/>
              <w:right w:val="nil"/>
            </w:tcBorders>
            <w:shd w:val="clear" w:color="auto" w:fill="auto"/>
            <w:noWrap/>
            <w:vAlign w:val="center"/>
            <w:hideMark/>
          </w:tcPr>
          <w:p w14:paraId="11085522"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0,0</w:t>
            </w:r>
          </w:p>
        </w:tc>
        <w:tc>
          <w:tcPr>
            <w:tcW w:w="285" w:type="pct"/>
            <w:tcBorders>
              <w:top w:val="nil"/>
              <w:left w:val="nil"/>
              <w:bottom w:val="nil"/>
              <w:right w:val="nil"/>
            </w:tcBorders>
            <w:shd w:val="clear" w:color="auto" w:fill="auto"/>
            <w:noWrap/>
            <w:vAlign w:val="center"/>
            <w:hideMark/>
          </w:tcPr>
          <w:p w14:paraId="07B6A0FE"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2,5</w:t>
            </w:r>
          </w:p>
        </w:tc>
        <w:tc>
          <w:tcPr>
            <w:tcW w:w="285" w:type="pct"/>
            <w:tcBorders>
              <w:top w:val="nil"/>
              <w:left w:val="nil"/>
              <w:bottom w:val="nil"/>
              <w:right w:val="nil"/>
            </w:tcBorders>
            <w:shd w:val="clear" w:color="auto" w:fill="auto"/>
            <w:noWrap/>
            <w:vAlign w:val="center"/>
            <w:hideMark/>
          </w:tcPr>
          <w:p w14:paraId="044AE720"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1,6</w:t>
            </w:r>
          </w:p>
        </w:tc>
        <w:tc>
          <w:tcPr>
            <w:tcW w:w="285" w:type="pct"/>
            <w:tcBorders>
              <w:top w:val="nil"/>
              <w:left w:val="nil"/>
              <w:bottom w:val="nil"/>
              <w:right w:val="nil"/>
            </w:tcBorders>
            <w:shd w:val="clear" w:color="auto" w:fill="auto"/>
            <w:noWrap/>
            <w:vAlign w:val="center"/>
            <w:hideMark/>
          </w:tcPr>
          <w:p w14:paraId="4891689A"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1,6</w:t>
            </w:r>
          </w:p>
        </w:tc>
        <w:tc>
          <w:tcPr>
            <w:tcW w:w="285" w:type="pct"/>
            <w:tcBorders>
              <w:top w:val="nil"/>
              <w:left w:val="nil"/>
              <w:bottom w:val="nil"/>
              <w:right w:val="single" w:sz="4" w:space="0" w:color="auto"/>
            </w:tcBorders>
            <w:shd w:val="clear" w:color="auto" w:fill="auto"/>
            <w:noWrap/>
            <w:vAlign w:val="center"/>
            <w:hideMark/>
          </w:tcPr>
          <w:p w14:paraId="0D66BBB5"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1,9</w:t>
            </w:r>
          </w:p>
        </w:tc>
      </w:tr>
      <w:tr w:rsidR="00CA0922" w:rsidRPr="007F6CA8" w14:paraId="2D6B8961" w14:textId="77777777" w:rsidTr="00852655">
        <w:trPr>
          <w:trHeight w:val="300"/>
        </w:trPr>
        <w:tc>
          <w:tcPr>
            <w:tcW w:w="3292" w:type="pct"/>
            <w:tcBorders>
              <w:top w:val="nil"/>
              <w:left w:val="single" w:sz="4" w:space="0" w:color="auto"/>
              <w:bottom w:val="single" w:sz="4" w:space="0" w:color="auto"/>
              <w:right w:val="nil"/>
            </w:tcBorders>
            <w:shd w:val="clear" w:color="auto" w:fill="auto"/>
            <w:noWrap/>
            <w:vAlign w:val="center"/>
            <w:hideMark/>
          </w:tcPr>
          <w:p w14:paraId="45605A0D" w14:textId="6A972DD2" w:rsidR="00CA0922" w:rsidRPr="007F6CA8" w:rsidRDefault="00CA0922" w:rsidP="00852655">
            <w:pPr>
              <w:rPr>
                <w:rFonts w:ascii="Sylfaen" w:hAnsi="Sylfaen"/>
                <w:sz w:val="18"/>
                <w:szCs w:val="18"/>
                <w:lang w:eastAsia="de-DE"/>
              </w:rPr>
            </w:pPr>
            <w:r w:rsidRPr="007F6CA8">
              <w:rPr>
                <w:rFonts w:ascii="Sylfaen" w:hAnsi="Sylfaen"/>
                <w:sz w:val="18"/>
                <w:szCs w:val="18"/>
                <w:lang w:eastAsia="de-DE"/>
              </w:rPr>
              <w:t xml:space="preserve">09 </w:t>
            </w:r>
            <w:r w:rsidRPr="007F6CA8">
              <w:rPr>
                <w:rFonts w:ascii="Sylfaen" w:hAnsi="Sylfaen"/>
                <w:sz w:val="18"/>
                <w:szCs w:val="18"/>
                <w:lang w:val="ka-GE" w:eastAsia="de-DE"/>
              </w:rPr>
              <w:t>საბაზისო პროფესიები</w:t>
            </w:r>
          </w:p>
        </w:tc>
        <w:tc>
          <w:tcPr>
            <w:tcW w:w="285" w:type="pct"/>
            <w:tcBorders>
              <w:top w:val="nil"/>
              <w:left w:val="single" w:sz="4" w:space="0" w:color="auto"/>
              <w:bottom w:val="single" w:sz="4" w:space="0" w:color="auto"/>
              <w:right w:val="nil"/>
            </w:tcBorders>
            <w:shd w:val="clear" w:color="auto" w:fill="auto"/>
            <w:noWrap/>
            <w:vAlign w:val="center"/>
            <w:hideMark/>
          </w:tcPr>
          <w:p w14:paraId="1C6B908C"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5,6</w:t>
            </w:r>
          </w:p>
        </w:tc>
        <w:tc>
          <w:tcPr>
            <w:tcW w:w="285" w:type="pct"/>
            <w:tcBorders>
              <w:top w:val="nil"/>
              <w:left w:val="nil"/>
              <w:bottom w:val="single" w:sz="4" w:space="0" w:color="auto"/>
              <w:right w:val="nil"/>
            </w:tcBorders>
            <w:shd w:val="clear" w:color="auto" w:fill="auto"/>
            <w:noWrap/>
            <w:vAlign w:val="center"/>
            <w:hideMark/>
          </w:tcPr>
          <w:p w14:paraId="65950CF2"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8,3</w:t>
            </w:r>
          </w:p>
        </w:tc>
        <w:tc>
          <w:tcPr>
            <w:tcW w:w="285" w:type="pct"/>
            <w:tcBorders>
              <w:top w:val="nil"/>
              <w:left w:val="nil"/>
              <w:bottom w:val="single" w:sz="4" w:space="0" w:color="auto"/>
              <w:right w:val="nil"/>
            </w:tcBorders>
            <w:shd w:val="clear" w:color="auto" w:fill="auto"/>
            <w:noWrap/>
            <w:vAlign w:val="center"/>
            <w:hideMark/>
          </w:tcPr>
          <w:p w14:paraId="221E81B3"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6,5</w:t>
            </w:r>
          </w:p>
        </w:tc>
        <w:tc>
          <w:tcPr>
            <w:tcW w:w="285" w:type="pct"/>
            <w:tcBorders>
              <w:top w:val="nil"/>
              <w:left w:val="nil"/>
              <w:bottom w:val="single" w:sz="4" w:space="0" w:color="auto"/>
              <w:right w:val="nil"/>
            </w:tcBorders>
            <w:shd w:val="clear" w:color="auto" w:fill="auto"/>
            <w:noWrap/>
            <w:vAlign w:val="center"/>
            <w:hideMark/>
          </w:tcPr>
          <w:p w14:paraId="07626515"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6,5</w:t>
            </w:r>
          </w:p>
        </w:tc>
        <w:tc>
          <w:tcPr>
            <w:tcW w:w="285" w:type="pct"/>
            <w:tcBorders>
              <w:top w:val="nil"/>
              <w:left w:val="nil"/>
              <w:bottom w:val="single" w:sz="4" w:space="0" w:color="auto"/>
              <w:right w:val="nil"/>
            </w:tcBorders>
            <w:shd w:val="clear" w:color="auto" w:fill="auto"/>
            <w:noWrap/>
            <w:vAlign w:val="center"/>
            <w:hideMark/>
          </w:tcPr>
          <w:p w14:paraId="64CC7AD1"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7,4</w:t>
            </w:r>
          </w:p>
        </w:tc>
        <w:tc>
          <w:tcPr>
            <w:tcW w:w="285" w:type="pct"/>
            <w:tcBorders>
              <w:top w:val="nil"/>
              <w:left w:val="nil"/>
              <w:bottom w:val="single" w:sz="4" w:space="0" w:color="auto"/>
              <w:right w:val="single" w:sz="4" w:space="0" w:color="auto"/>
            </w:tcBorders>
            <w:shd w:val="clear" w:color="auto" w:fill="auto"/>
            <w:noWrap/>
            <w:vAlign w:val="center"/>
            <w:hideMark/>
          </w:tcPr>
          <w:p w14:paraId="139099DE" w14:textId="77777777" w:rsidR="00CA0922" w:rsidRPr="007F6CA8" w:rsidRDefault="00CA0922" w:rsidP="00852655">
            <w:pPr>
              <w:jc w:val="right"/>
              <w:rPr>
                <w:rFonts w:ascii="Sylfaen" w:hAnsi="Sylfaen"/>
                <w:sz w:val="18"/>
                <w:szCs w:val="18"/>
                <w:lang w:eastAsia="de-DE"/>
              </w:rPr>
            </w:pPr>
            <w:r w:rsidRPr="007F6CA8">
              <w:rPr>
                <w:rFonts w:ascii="Sylfaen" w:hAnsi="Sylfaen"/>
                <w:sz w:val="18"/>
                <w:szCs w:val="18"/>
                <w:lang w:eastAsia="de-DE"/>
              </w:rPr>
              <w:t>6,7</w:t>
            </w:r>
          </w:p>
        </w:tc>
      </w:tr>
    </w:tbl>
    <w:p w14:paraId="7CF5FFA7" w14:textId="30BC9C8D" w:rsidR="00565155" w:rsidRPr="007F6CA8" w:rsidRDefault="00CA0922" w:rsidP="00731B1D">
      <w:pPr>
        <w:spacing w:beforeLines="60" w:before="144" w:afterLines="60" w:after="144" w:line="276" w:lineRule="auto"/>
        <w:rPr>
          <w:rFonts w:ascii="Sylfaen" w:hAnsi="Sylfaen"/>
          <w:sz w:val="18"/>
        </w:rPr>
      </w:pPr>
      <w:r w:rsidRPr="007F6CA8">
        <w:rPr>
          <w:rFonts w:ascii="Sylfaen" w:hAnsi="Sylfaen"/>
          <w:sz w:val="18"/>
          <w:lang w:val="ka-GE"/>
        </w:rPr>
        <w:t>წყარო</w:t>
      </w:r>
      <w:r w:rsidRPr="007F6CA8">
        <w:rPr>
          <w:rFonts w:ascii="Sylfaen" w:hAnsi="Sylfaen"/>
          <w:sz w:val="18"/>
        </w:rPr>
        <w:t xml:space="preserve">: </w:t>
      </w:r>
      <w:r w:rsidRPr="007F6CA8">
        <w:rPr>
          <w:rFonts w:ascii="Sylfaen" w:hAnsi="Sylfaen"/>
          <w:sz w:val="18"/>
          <w:lang w:val="ka-GE"/>
        </w:rPr>
        <w:t>საკუთარი კალკულაციები</w:t>
      </w:r>
      <w:r w:rsidRPr="007F6CA8">
        <w:rPr>
          <w:rFonts w:ascii="Sylfaen" w:hAnsi="Sylfaen"/>
          <w:sz w:val="18"/>
        </w:rPr>
        <w:t xml:space="preserve"> სამუშაო ძალის კვლევ</w:t>
      </w:r>
      <w:r w:rsidRPr="007F6CA8">
        <w:rPr>
          <w:rFonts w:ascii="Sylfaen" w:hAnsi="Sylfaen"/>
          <w:sz w:val="18"/>
          <w:lang w:val="ka-GE"/>
        </w:rPr>
        <w:t>ის</w:t>
      </w:r>
      <w:r w:rsidRPr="007F6CA8">
        <w:rPr>
          <w:rFonts w:ascii="Sylfaen" w:hAnsi="Sylfaen"/>
          <w:sz w:val="18"/>
        </w:rPr>
        <w:t xml:space="preserve"> </w:t>
      </w:r>
      <w:r w:rsidRPr="007F6CA8">
        <w:rPr>
          <w:rFonts w:ascii="Sylfaen" w:hAnsi="Sylfaen"/>
          <w:sz w:val="18"/>
          <w:lang w:val="ka-GE"/>
        </w:rPr>
        <w:t>(</w:t>
      </w:r>
      <w:r w:rsidRPr="007F6CA8">
        <w:rPr>
          <w:rFonts w:ascii="Sylfaen" w:hAnsi="Sylfaen"/>
          <w:sz w:val="18"/>
        </w:rPr>
        <w:t>2012-2016</w:t>
      </w:r>
      <w:r w:rsidRPr="007F6CA8">
        <w:rPr>
          <w:rFonts w:ascii="Sylfaen" w:hAnsi="Sylfaen"/>
          <w:sz w:val="18"/>
          <w:lang w:val="ka-GE"/>
        </w:rPr>
        <w:t>) გამოყენებით</w:t>
      </w:r>
      <w:r w:rsidRPr="007F6CA8">
        <w:rPr>
          <w:rFonts w:ascii="Sylfaen" w:hAnsi="Sylfaen"/>
          <w:sz w:val="18"/>
        </w:rPr>
        <w:t xml:space="preserve"> </w:t>
      </w:r>
    </w:p>
    <w:p w14:paraId="704DCBE8" w14:textId="77777777" w:rsidR="00852655" w:rsidRPr="007F6CA8" w:rsidRDefault="00852655" w:rsidP="00731B1D">
      <w:pPr>
        <w:spacing w:beforeLines="60" w:before="144" w:afterLines="60" w:after="144" w:line="276" w:lineRule="auto"/>
        <w:ind w:firstLine="709"/>
        <w:jc w:val="both"/>
        <w:rPr>
          <w:rFonts w:ascii="Sylfaen" w:hAnsi="Sylfaen"/>
          <w:sz w:val="22"/>
          <w:szCs w:val="22"/>
          <w:lang w:val="ka-GE"/>
        </w:rPr>
      </w:pPr>
    </w:p>
    <w:p w14:paraId="44F719CE" w14:textId="64D591F8" w:rsidR="00C65A3F" w:rsidRPr="007F6CA8" w:rsidRDefault="00C65A3F" w:rsidP="00731B1D">
      <w:pPr>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უნარების შეუსაბამობა ქართული შრომის ბაზრის მნიშვნელოვანი გამოწვევაა. ამ მიგნებას რამდენიმე სხვა კვლევაც ადასტურებს. მაგალითად, ქართული შრომითი ბაზრის მოთხოვნების კვლევა, რომელიც 2016 წელს საქართველოს შრომის, ჯანმრთელობისა და სოციალურ საქმეთა სამინსიტრომ ჩაატარა, </w:t>
      </w:r>
      <w:r w:rsidR="00741F90" w:rsidRPr="007F6CA8">
        <w:rPr>
          <w:rFonts w:ascii="Sylfaen" w:hAnsi="Sylfaen"/>
          <w:sz w:val="22"/>
          <w:szCs w:val="22"/>
          <w:lang w:val="ka-GE"/>
        </w:rPr>
        <w:t xml:space="preserve">კომპანიებს თხოვდა ესაუბრათ იმ სირთულეებზე, რომელსაც თანამშრომლების მოძიება-დაქირავების პროცესში აწყდებიან და მის გამომწვევ მიზეზებზე. კომპანიების 72.5% აღნიშნა, რომ სამუშაოს მსურველებს არ გააჩნიათ საჭირო </w:t>
      </w:r>
      <w:r w:rsidR="00741F90" w:rsidRPr="007F6CA8">
        <w:rPr>
          <w:rFonts w:ascii="Sylfaen" w:hAnsi="Sylfaen"/>
          <w:sz w:val="22"/>
          <w:szCs w:val="22"/>
          <w:lang w:val="ka-GE"/>
        </w:rPr>
        <w:lastRenderedPageBreak/>
        <w:t xml:space="preserve">უნარები; კომპანიების 42.9% უცხოელებს ასაქმებს, ვინაიდან ადგილობრივ ბაზარზე მსგავსი უნარების მქონე მუშახელი არ არსებობს (იხ. ცხრილი 6). მიუხედავად იმისა, რომ საქართველოში ფორმალური განათლების დონე შედარებით მაღალია, სამუშაოს შესრულების დონესა და პროფესიულ უნარებს შორის განსხვავება საკმაოდ დიდ გამოწვევად რჩება. მუშახელის ზოგადი განათლება ერთ-ერთ მთავად პრობლემადაა დასახელებული ქართული შრომითი ბაზრის შეფასებაში, რომელიც 2012 წელს </w:t>
      </w:r>
      <w:r w:rsidR="00741F90" w:rsidRPr="007F6CA8">
        <w:rPr>
          <w:rFonts w:ascii="Sylfaen" w:hAnsi="Sylfaen"/>
          <w:sz w:val="22"/>
          <w:szCs w:val="22"/>
        </w:rPr>
        <w:t xml:space="preserve">STEP </w:t>
      </w:r>
      <w:r w:rsidR="00741F90" w:rsidRPr="007F6CA8">
        <w:rPr>
          <w:rFonts w:ascii="Sylfaen" w:hAnsi="Sylfaen"/>
          <w:sz w:val="22"/>
          <w:szCs w:val="22"/>
          <w:lang w:val="ka-GE"/>
        </w:rPr>
        <w:t xml:space="preserve">კვლევის შედეგად მომზადდა. 354 კომპანიამ ერთ-ერთ მწვავე პრობლემად ასევე დაასახელა მსგავსი გამოცდილების მქონე ადამიანების მოძებნაც, ხოლო ტექნიკური და პროფესიული განათლება მეორე ადგილზეა იმ პრობლემებს შორის, რომელსაც კომპანიები კადრების მოძიების დროს აწყდებიან. </w:t>
      </w:r>
    </w:p>
    <w:p w14:paraId="4F540FBC" w14:textId="195766E2" w:rsidR="00004349" w:rsidRPr="007F6CA8" w:rsidRDefault="00004349" w:rsidP="00852655">
      <w:pPr>
        <w:spacing w:beforeLines="60" w:before="144" w:afterLines="60" w:after="144" w:line="276" w:lineRule="auto"/>
        <w:rPr>
          <w:rFonts w:ascii="Sylfaen" w:hAnsi="Sylfaen"/>
        </w:rPr>
      </w:pPr>
    </w:p>
    <w:p w14:paraId="735ED08B" w14:textId="297AB651" w:rsidR="00840770" w:rsidRPr="007F6CA8" w:rsidRDefault="00E4681A" w:rsidP="00731B1D">
      <w:pPr>
        <w:pStyle w:val="Caption"/>
        <w:keepNext/>
        <w:spacing w:beforeLines="60" w:before="144" w:afterLines="60" w:after="144" w:line="276" w:lineRule="auto"/>
        <w:ind w:left="1410" w:hanging="1410"/>
        <w:rPr>
          <w:rFonts w:ascii="Sylfaen" w:hAnsi="Sylfaen"/>
          <w:b/>
          <w:i w:val="0"/>
          <w:color w:val="auto"/>
          <w:sz w:val="22"/>
          <w:szCs w:val="22"/>
          <w:lang w:val="en-GB"/>
        </w:rPr>
      </w:pPr>
      <w:bookmarkStart w:id="31" w:name="_Toc494972662"/>
      <w:bookmarkStart w:id="32" w:name="_Toc497904306"/>
      <w:r w:rsidRPr="007F6CA8">
        <w:rPr>
          <w:rFonts w:ascii="Sylfaen" w:hAnsi="Sylfaen"/>
          <w:b/>
          <w:i w:val="0"/>
          <w:color w:val="auto"/>
          <w:sz w:val="22"/>
          <w:szCs w:val="22"/>
          <w:lang w:val="ka-GE"/>
        </w:rPr>
        <w:t>ცხრილი</w:t>
      </w:r>
      <w:r w:rsidR="00840770" w:rsidRPr="007F6CA8">
        <w:rPr>
          <w:rFonts w:ascii="Sylfaen" w:hAnsi="Sylfaen"/>
          <w:b/>
          <w:i w:val="0"/>
          <w:color w:val="auto"/>
          <w:sz w:val="22"/>
          <w:szCs w:val="22"/>
          <w:lang w:val="en-GB"/>
        </w:rPr>
        <w:t xml:space="preserve"> </w:t>
      </w:r>
      <w:r w:rsidR="00840770" w:rsidRPr="007F6CA8">
        <w:rPr>
          <w:rFonts w:ascii="Sylfaen" w:hAnsi="Sylfaen"/>
          <w:b/>
          <w:i w:val="0"/>
          <w:color w:val="auto"/>
          <w:sz w:val="22"/>
          <w:szCs w:val="22"/>
          <w:lang w:val="en-GB"/>
        </w:rPr>
        <w:fldChar w:fldCharType="begin"/>
      </w:r>
      <w:r w:rsidR="00840770" w:rsidRPr="007F6CA8">
        <w:rPr>
          <w:rFonts w:ascii="Sylfaen" w:hAnsi="Sylfaen"/>
          <w:b/>
          <w:i w:val="0"/>
          <w:color w:val="auto"/>
          <w:sz w:val="22"/>
          <w:szCs w:val="22"/>
          <w:lang w:val="en-GB"/>
        </w:rPr>
        <w:instrText xml:space="preserve"> SEQ Table \* ARABIC </w:instrText>
      </w:r>
      <w:r w:rsidR="00840770" w:rsidRPr="007F6CA8">
        <w:rPr>
          <w:rFonts w:ascii="Sylfaen" w:hAnsi="Sylfaen"/>
          <w:b/>
          <w:i w:val="0"/>
          <w:color w:val="auto"/>
          <w:sz w:val="22"/>
          <w:szCs w:val="22"/>
          <w:lang w:val="en-GB"/>
        </w:rPr>
        <w:fldChar w:fldCharType="separate"/>
      </w:r>
      <w:r w:rsidR="003120D1" w:rsidRPr="007F6CA8">
        <w:rPr>
          <w:rFonts w:ascii="Sylfaen" w:hAnsi="Sylfaen"/>
          <w:b/>
          <w:i w:val="0"/>
          <w:noProof/>
          <w:color w:val="auto"/>
          <w:sz w:val="22"/>
          <w:szCs w:val="22"/>
          <w:lang w:val="en-GB"/>
        </w:rPr>
        <w:t>6</w:t>
      </w:r>
      <w:r w:rsidR="00840770" w:rsidRPr="007F6CA8">
        <w:rPr>
          <w:rFonts w:ascii="Sylfaen" w:hAnsi="Sylfaen"/>
          <w:b/>
          <w:i w:val="0"/>
          <w:color w:val="auto"/>
          <w:sz w:val="22"/>
          <w:szCs w:val="22"/>
          <w:lang w:val="en-GB"/>
        </w:rPr>
        <w:fldChar w:fldCharType="end"/>
      </w:r>
      <w:r w:rsidRPr="007F6CA8">
        <w:rPr>
          <w:rFonts w:ascii="Sylfaen" w:hAnsi="Sylfaen"/>
          <w:b/>
          <w:i w:val="0"/>
          <w:color w:val="auto"/>
          <w:sz w:val="22"/>
          <w:szCs w:val="22"/>
          <w:lang w:val="en-GB"/>
        </w:rPr>
        <w:tab/>
      </w:r>
      <w:r w:rsidRPr="007F6CA8">
        <w:rPr>
          <w:rFonts w:ascii="Sylfaen" w:hAnsi="Sylfaen"/>
          <w:b/>
          <w:i w:val="0"/>
          <w:color w:val="auto"/>
          <w:sz w:val="22"/>
          <w:szCs w:val="22"/>
          <w:lang w:val="ka-GE"/>
        </w:rPr>
        <w:t xml:space="preserve">შეუსაბამობასან დაკავშირებული ინდიკატორები საქართველოს შრომითი ბაზრის მოთხოვნების კვლევიდან </w:t>
      </w:r>
      <w:bookmarkEnd w:id="31"/>
      <w:bookmarkEnd w:id="32"/>
    </w:p>
    <w:tbl>
      <w:tblPr>
        <w:tblW w:w="8928" w:type="dxa"/>
        <w:tblCellMar>
          <w:left w:w="70" w:type="dxa"/>
          <w:right w:w="70" w:type="dxa"/>
        </w:tblCellMar>
        <w:tblLook w:val="04A0" w:firstRow="1" w:lastRow="0" w:firstColumn="1" w:lastColumn="0" w:noHBand="0" w:noVBand="1"/>
      </w:tblPr>
      <w:tblGrid>
        <w:gridCol w:w="700"/>
        <w:gridCol w:w="5028"/>
        <w:gridCol w:w="3200"/>
      </w:tblGrid>
      <w:tr w:rsidR="00840770" w:rsidRPr="007F6CA8" w14:paraId="43E974FD" w14:textId="77777777" w:rsidTr="00646738">
        <w:trPr>
          <w:trHeight w:val="300"/>
        </w:trPr>
        <w:tc>
          <w:tcPr>
            <w:tcW w:w="700" w:type="dxa"/>
            <w:tcBorders>
              <w:top w:val="single" w:sz="4" w:space="0" w:color="auto"/>
              <w:left w:val="single" w:sz="4" w:space="0" w:color="auto"/>
              <w:bottom w:val="nil"/>
              <w:right w:val="nil"/>
            </w:tcBorders>
            <w:shd w:val="clear" w:color="auto" w:fill="auto"/>
            <w:noWrap/>
            <w:vAlign w:val="bottom"/>
            <w:hideMark/>
          </w:tcPr>
          <w:p w14:paraId="177364B4" w14:textId="77777777" w:rsidR="00840770" w:rsidRPr="007F6CA8" w:rsidRDefault="00840770" w:rsidP="00731B1D">
            <w:pPr>
              <w:spacing w:beforeLines="60" w:before="144" w:afterLines="60" w:after="144" w:line="276" w:lineRule="auto"/>
              <w:rPr>
                <w:rFonts w:ascii="Sylfaen" w:hAnsi="Sylfaen"/>
                <w:sz w:val="18"/>
              </w:rPr>
            </w:pPr>
            <w:r w:rsidRPr="007F6CA8">
              <w:rPr>
                <w:rFonts w:ascii="Sylfaen" w:hAnsi="Sylfaen"/>
                <w:sz w:val="18"/>
              </w:rPr>
              <w:t> </w:t>
            </w:r>
          </w:p>
        </w:tc>
        <w:tc>
          <w:tcPr>
            <w:tcW w:w="5028" w:type="dxa"/>
            <w:tcBorders>
              <w:top w:val="single" w:sz="4" w:space="0" w:color="auto"/>
              <w:left w:val="nil"/>
              <w:bottom w:val="nil"/>
              <w:right w:val="nil"/>
            </w:tcBorders>
            <w:shd w:val="clear" w:color="auto" w:fill="auto"/>
            <w:noWrap/>
            <w:vAlign w:val="bottom"/>
            <w:hideMark/>
          </w:tcPr>
          <w:p w14:paraId="40EAF8C6" w14:textId="77777777" w:rsidR="00840770" w:rsidRPr="007F6CA8" w:rsidRDefault="00840770" w:rsidP="00852655">
            <w:pPr>
              <w:spacing w:line="276" w:lineRule="auto"/>
              <w:rPr>
                <w:rFonts w:ascii="Sylfaen" w:hAnsi="Sylfaen"/>
                <w:sz w:val="18"/>
              </w:rPr>
            </w:pPr>
            <w:r w:rsidRPr="007F6CA8">
              <w:rPr>
                <w:rFonts w:ascii="Sylfaen" w:hAnsi="Sylfaen"/>
                <w:sz w:val="18"/>
              </w:rPr>
              <w:t> </w:t>
            </w:r>
          </w:p>
        </w:tc>
        <w:tc>
          <w:tcPr>
            <w:tcW w:w="3200" w:type="dxa"/>
            <w:tcBorders>
              <w:top w:val="single" w:sz="4" w:space="0" w:color="auto"/>
              <w:left w:val="single" w:sz="4" w:space="0" w:color="auto"/>
              <w:bottom w:val="nil"/>
              <w:right w:val="single" w:sz="4" w:space="0" w:color="auto"/>
            </w:tcBorders>
            <w:shd w:val="clear" w:color="auto" w:fill="auto"/>
            <w:noWrap/>
            <w:vAlign w:val="center"/>
            <w:hideMark/>
          </w:tcPr>
          <w:p w14:paraId="1156A44A" w14:textId="30B5D9C6" w:rsidR="00840770" w:rsidRPr="007F6CA8" w:rsidRDefault="00E4681A" w:rsidP="00852655">
            <w:pPr>
              <w:spacing w:line="276" w:lineRule="auto"/>
              <w:jc w:val="center"/>
              <w:rPr>
                <w:rFonts w:ascii="Sylfaen" w:hAnsi="Sylfaen"/>
                <w:sz w:val="18"/>
                <w:lang w:val="ka-GE"/>
              </w:rPr>
            </w:pPr>
            <w:r w:rsidRPr="007F6CA8">
              <w:rPr>
                <w:rFonts w:ascii="Sylfaen" w:hAnsi="Sylfaen"/>
                <w:sz w:val="18"/>
                <w:lang w:val="ka-GE"/>
              </w:rPr>
              <w:t>კომპანიების წილი (შეწონილი)</w:t>
            </w:r>
          </w:p>
        </w:tc>
      </w:tr>
      <w:tr w:rsidR="00840770" w:rsidRPr="007F6CA8" w14:paraId="754E90B4" w14:textId="77777777" w:rsidTr="00646738">
        <w:trPr>
          <w:trHeight w:val="300"/>
        </w:trPr>
        <w:tc>
          <w:tcPr>
            <w:tcW w:w="5728" w:type="dxa"/>
            <w:gridSpan w:val="2"/>
            <w:tcBorders>
              <w:top w:val="single" w:sz="4" w:space="0" w:color="auto"/>
              <w:left w:val="single" w:sz="4" w:space="0" w:color="auto"/>
              <w:bottom w:val="nil"/>
              <w:right w:val="nil"/>
            </w:tcBorders>
            <w:shd w:val="clear" w:color="auto" w:fill="auto"/>
            <w:noWrap/>
            <w:vAlign w:val="center"/>
            <w:hideMark/>
          </w:tcPr>
          <w:p w14:paraId="6E39DA09" w14:textId="2091B49F" w:rsidR="00840770" w:rsidRPr="007F6CA8" w:rsidRDefault="00E4681A" w:rsidP="00852655">
            <w:pPr>
              <w:spacing w:line="276" w:lineRule="auto"/>
              <w:rPr>
                <w:rFonts w:ascii="Sylfaen" w:hAnsi="Sylfaen"/>
                <w:sz w:val="18"/>
                <w:lang w:val="ka-GE"/>
              </w:rPr>
            </w:pPr>
            <w:r w:rsidRPr="007F6CA8">
              <w:rPr>
                <w:rFonts w:ascii="Sylfaen" w:hAnsi="Sylfaen"/>
                <w:sz w:val="18"/>
                <w:lang w:val="ka-GE"/>
              </w:rPr>
              <w:t>უცხოელების დამსაქმებელი კომპანიები</w:t>
            </w:r>
          </w:p>
        </w:tc>
        <w:tc>
          <w:tcPr>
            <w:tcW w:w="3200" w:type="dxa"/>
            <w:tcBorders>
              <w:top w:val="single" w:sz="4" w:space="0" w:color="auto"/>
              <w:left w:val="single" w:sz="4" w:space="0" w:color="auto"/>
              <w:bottom w:val="nil"/>
              <w:right w:val="single" w:sz="4" w:space="0" w:color="auto"/>
            </w:tcBorders>
            <w:shd w:val="clear" w:color="auto" w:fill="auto"/>
            <w:noWrap/>
            <w:vAlign w:val="center"/>
            <w:hideMark/>
          </w:tcPr>
          <w:p w14:paraId="3C6E7A17" w14:textId="77777777" w:rsidR="00840770" w:rsidRPr="007F6CA8" w:rsidRDefault="00840770" w:rsidP="00852655">
            <w:pPr>
              <w:spacing w:line="276" w:lineRule="auto"/>
              <w:jc w:val="right"/>
              <w:rPr>
                <w:rFonts w:ascii="Sylfaen" w:hAnsi="Sylfaen"/>
                <w:sz w:val="18"/>
              </w:rPr>
            </w:pPr>
            <w:r w:rsidRPr="007F6CA8">
              <w:rPr>
                <w:rFonts w:ascii="Sylfaen" w:hAnsi="Sylfaen"/>
                <w:sz w:val="18"/>
              </w:rPr>
              <w:t>1,6</w:t>
            </w:r>
          </w:p>
        </w:tc>
      </w:tr>
      <w:tr w:rsidR="00840770" w:rsidRPr="007F6CA8" w14:paraId="49DEF908" w14:textId="77777777" w:rsidTr="00646738">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2124D1D" w14:textId="77777777" w:rsidR="00840770" w:rsidRPr="007F6CA8" w:rsidRDefault="00840770" w:rsidP="00731B1D">
            <w:pPr>
              <w:spacing w:beforeLines="60" w:before="144" w:afterLines="60" w:after="144" w:line="276" w:lineRule="auto"/>
              <w:rPr>
                <w:rFonts w:ascii="Sylfaen" w:hAnsi="Sylfaen"/>
                <w:sz w:val="18"/>
              </w:rPr>
            </w:pPr>
            <w:r w:rsidRPr="007F6CA8">
              <w:rPr>
                <w:rFonts w:ascii="Sylfaen" w:hAnsi="Sylfaen"/>
                <w:sz w:val="18"/>
              </w:rPr>
              <w:t> </w:t>
            </w:r>
          </w:p>
        </w:tc>
        <w:tc>
          <w:tcPr>
            <w:tcW w:w="5028" w:type="dxa"/>
            <w:tcBorders>
              <w:top w:val="nil"/>
              <w:left w:val="nil"/>
              <w:bottom w:val="single" w:sz="4" w:space="0" w:color="auto"/>
              <w:right w:val="nil"/>
            </w:tcBorders>
            <w:shd w:val="clear" w:color="auto" w:fill="auto"/>
            <w:noWrap/>
            <w:vAlign w:val="center"/>
            <w:hideMark/>
          </w:tcPr>
          <w:p w14:paraId="732537F6" w14:textId="63D26749" w:rsidR="00840770" w:rsidRPr="007F6CA8" w:rsidRDefault="00E4681A" w:rsidP="00852655">
            <w:pPr>
              <w:spacing w:line="276" w:lineRule="auto"/>
              <w:rPr>
                <w:rFonts w:ascii="Sylfaen" w:hAnsi="Sylfaen"/>
                <w:sz w:val="18"/>
              </w:rPr>
            </w:pPr>
            <w:r w:rsidRPr="007F6CA8">
              <w:rPr>
                <w:rFonts w:ascii="Sylfaen" w:hAnsi="Sylfaen"/>
                <w:sz w:val="18"/>
                <w:lang w:val="ka-GE"/>
              </w:rPr>
              <w:t>აქედან</w:t>
            </w:r>
            <w:r w:rsidR="00840770" w:rsidRPr="007F6CA8">
              <w:rPr>
                <w:rFonts w:ascii="Sylfaen" w:hAnsi="Sylfaen"/>
                <w:sz w:val="18"/>
              </w:rPr>
              <w:t>:</w:t>
            </w:r>
            <w:r w:rsidRPr="007F6CA8">
              <w:rPr>
                <w:rFonts w:ascii="Sylfaen" w:hAnsi="Sylfaen"/>
                <w:sz w:val="18"/>
                <w:lang w:val="ka-GE"/>
              </w:rPr>
              <w:t xml:space="preserve"> ვინაიდან არ არსებობენ მსგავსი უნარების მქონე პირები ადგილობრივ დონეზე</w:t>
            </w: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75E0BDD1" w14:textId="77777777" w:rsidR="00840770" w:rsidRPr="007F6CA8" w:rsidRDefault="00840770" w:rsidP="00852655">
            <w:pPr>
              <w:spacing w:line="276" w:lineRule="auto"/>
              <w:jc w:val="right"/>
              <w:rPr>
                <w:rFonts w:ascii="Sylfaen" w:hAnsi="Sylfaen"/>
                <w:sz w:val="18"/>
              </w:rPr>
            </w:pPr>
            <w:r w:rsidRPr="007F6CA8">
              <w:rPr>
                <w:rFonts w:ascii="Sylfaen" w:hAnsi="Sylfaen"/>
                <w:sz w:val="18"/>
              </w:rPr>
              <w:t>42,9</w:t>
            </w:r>
          </w:p>
        </w:tc>
      </w:tr>
      <w:tr w:rsidR="00840770" w:rsidRPr="007F6CA8" w14:paraId="15DA8F76" w14:textId="77777777" w:rsidTr="00646738">
        <w:trPr>
          <w:trHeight w:val="300"/>
        </w:trPr>
        <w:tc>
          <w:tcPr>
            <w:tcW w:w="5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A04765C" w14:textId="4F9988AC" w:rsidR="00840770" w:rsidRPr="007F6CA8" w:rsidRDefault="00E4681A" w:rsidP="00852655">
            <w:pPr>
              <w:spacing w:line="276" w:lineRule="auto"/>
              <w:rPr>
                <w:rFonts w:ascii="Sylfaen" w:hAnsi="Sylfaen"/>
                <w:sz w:val="18"/>
              </w:rPr>
            </w:pPr>
            <w:r w:rsidRPr="007F6CA8">
              <w:rPr>
                <w:rFonts w:ascii="Sylfaen" w:hAnsi="Sylfaen"/>
                <w:sz w:val="18"/>
                <w:lang w:val="ka-GE"/>
              </w:rPr>
              <w:t xml:space="preserve">კომპანიები, რომლებიც აცხადებენ უნარების ნაკლებობის შესახებ </w:t>
            </w: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683D61B7" w14:textId="77777777" w:rsidR="00840770" w:rsidRPr="007F6CA8" w:rsidRDefault="00840770" w:rsidP="00852655">
            <w:pPr>
              <w:spacing w:line="276" w:lineRule="auto"/>
              <w:jc w:val="right"/>
              <w:rPr>
                <w:rFonts w:ascii="Sylfaen" w:hAnsi="Sylfaen"/>
                <w:sz w:val="18"/>
              </w:rPr>
            </w:pPr>
            <w:r w:rsidRPr="007F6CA8">
              <w:rPr>
                <w:rFonts w:ascii="Sylfaen" w:hAnsi="Sylfaen"/>
                <w:sz w:val="18"/>
              </w:rPr>
              <w:t>3,9</w:t>
            </w:r>
          </w:p>
        </w:tc>
      </w:tr>
      <w:tr w:rsidR="00840770" w:rsidRPr="007F6CA8" w14:paraId="24EA9D20" w14:textId="77777777" w:rsidTr="00646738">
        <w:trPr>
          <w:trHeight w:val="300"/>
        </w:trPr>
        <w:tc>
          <w:tcPr>
            <w:tcW w:w="5728" w:type="dxa"/>
            <w:gridSpan w:val="2"/>
            <w:tcBorders>
              <w:top w:val="nil"/>
              <w:left w:val="single" w:sz="4" w:space="0" w:color="auto"/>
              <w:bottom w:val="nil"/>
              <w:right w:val="nil"/>
            </w:tcBorders>
            <w:shd w:val="clear" w:color="auto" w:fill="auto"/>
            <w:noWrap/>
            <w:vAlign w:val="center"/>
            <w:hideMark/>
          </w:tcPr>
          <w:p w14:paraId="7CBE5D82" w14:textId="54C9161C" w:rsidR="00840770" w:rsidRPr="007F6CA8" w:rsidRDefault="00E4681A" w:rsidP="00852655">
            <w:pPr>
              <w:spacing w:line="276" w:lineRule="auto"/>
              <w:rPr>
                <w:rFonts w:ascii="Sylfaen" w:hAnsi="Sylfaen"/>
                <w:sz w:val="18"/>
              </w:rPr>
            </w:pPr>
            <w:r w:rsidRPr="007F6CA8">
              <w:rPr>
                <w:rFonts w:ascii="Sylfaen" w:hAnsi="Sylfaen"/>
                <w:sz w:val="18"/>
                <w:lang w:val="ka-GE"/>
              </w:rPr>
              <w:t xml:space="preserve">კომპანიები, რომლებიც აცხადებენ, რომ უჭირთ თანამშრომლების მოძიება </w:t>
            </w:r>
          </w:p>
        </w:tc>
        <w:tc>
          <w:tcPr>
            <w:tcW w:w="3200" w:type="dxa"/>
            <w:tcBorders>
              <w:top w:val="nil"/>
              <w:left w:val="single" w:sz="4" w:space="0" w:color="auto"/>
              <w:bottom w:val="nil"/>
              <w:right w:val="single" w:sz="4" w:space="0" w:color="auto"/>
            </w:tcBorders>
            <w:shd w:val="clear" w:color="auto" w:fill="auto"/>
            <w:noWrap/>
            <w:vAlign w:val="center"/>
            <w:hideMark/>
          </w:tcPr>
          <w:p w14:paraId="2E16348C" w14:textId="77777777" w:rsidR="00840770" w:rsidRPr="007F6CA8" w:rsidRDefault="00840770" w:rsidP="00852655">
            <w:pPr>
              <w:spacing w:line="276" w:lineRule="auto"/>
              <w:jc w:val="right"/>
              <w:rPr>
                <w:rFonts w:ascii="Sylfaen" w:hAnsi="Sylfaen"/>
                <w:sz w:val="18"/>
              </w:rPr>
            </w:pPr>
            <w:r w:rsidRPr="007F6CA8">
              <w:rPr>
                <w:rFonts w:ascii="Sylfaen" w:hAnsi="Sylfaen"/>
                <w:sz w:val="18"/>
              </w:rPr>
              <w:t>4,1</w:t>
            </w:r>
          </w:p>
        </w:tc>
      </w:tr>
      <w:tr w:rsidR="00840770" w:rsidRPr="007F6CA8" w14:paraId="64EF860B" w14:textId="77777777" w:rsidTr="00852655">
        <w:trPr>
          <w:trHeight w:val="505"/>
        </w:trPr>
        <w:tc>
          <w:tcPr>
            <w:tcW w:w="700" w:type="dxa"/>
            <w:tcBorders>
              <w:top w:val="nil"/>
              <w:left w:val="single" w:sz="4" w:space="0" w:color="auto"/>
              <w:bottom w:val="nil"/>
              <w:right w:val="nil"/>
            </w:tcBorders>
            <w:shd w:val="clear" w:color="auto" w:fill="auto"/>
            <w:noWrap/>
            <w:vAlign w:val="center"/>
            <w:hideMark/>
          </w:tcPr>
          <w:p w14:paraId="579AAC4A" w14:textId="77777777" w:rsidR="00840770" w:rsidRPr="007F6CA8" w:rsidRDefault="00840770" w:rsidP="00731B1D">
            <w:pPr>
              <w:spacing w:beforeLines="60" w:before="144" w:afterLines="60" w:after="144" w:line="276" w:lineRule="auto"/>
              <w:rPr>
                <w:rFonts w:ascii="Sylfaen" w:hAnsi="Sylfaen"/>
                <w:sz w:val="18"/>
              </w:rPr>
            </w:pPr>
            <w:r w:rsidRPr="007F6CA8">
              <w:rPr>
                <w:rFonts w:ascii="Sylfaen" w:hAnsi="Sylfaen"/>
                <w:sz w:val="18"/>
              </w:rPr>
              <w:t> </w:t>
            </w:r>
          </w:p>
        </w:tc>
        <w:tc>
          <w:tcPr>
            <w:tcW w:w="5028" w:type="dxa"/>
            <w:tcBorders>
              <w:top w:val="nil"/>
              <w:left w:val="nil"/>
              <w:bottom w:val="nil"/>
              <w:right w:val="nil"/>
            </w:tcBorders>
            <w:shd w:val="clear" w:color="auto" w:fill="auto"/>
            <w:noWrap/>
            <w:vAlign w:val="center"/>
            <w:hideMark/>
          </w:tcPr>
          <w:p w14:paraId="63D080A7" w14:textId="21FA27F5" w:rsidR="00840770" w:rsidRPr="007F6CA8" w:rsidRDefault="00E4681A" w:rsidP="00852655">
            <w:pPr>
              <w:spacing w:line="276" w:lineRule="auto"/>
              <w:rPr>
                <w:rFonts w:ascii="Sylfaen" w:hAnsi="Sylfaen"/>
                <w:sz w:val="18"/>
              </w:rPr>
            </w:pPr>
            <w:r w:rsidRPr="007F6CA8">
              <w:rPr>
                <w:rFonts w:ascii="Sylfaen" w:hAnsi="Sylfaen"/>
                <w:sz w:val="18"/>
                <w:lang w:val="ka-GE"/>
              </w:rPr>
              <w:t>აქედან</w:t>
            </w:r>
            <w:r w:rsidR="00840770" w:rsidRPr="007F6CA8">
              <w:rPr>
                <w:rFonts w:ascii="Sylfaen" w:hAnsi="Sylfaen"/>
                <w:sz w:val="18"/>
              </w:rPr>
              <w:t>:</w:t>
            </w:r>
            <w:r w:rsidRPr="007F6CA8">
              <w:rPr>
                <w:rFonts w:ascii="Sylfaen" w:hAnsi="Sylfaen"/>
                <w:sz w:val="18"/>
                <w:lang w:val="ka-GE"/>
              </w:rPr>
              <w:t xml:space="preserve"> მცირე აპლიკაციები</w:t>
            </w:r>
          </w:p>
        </w:tc>
        <w:tc>
          <w:tcPr>
            <w:tcW w:w="3200" w:type="dxa"/>
            <w:tcBorders>
              <w:top w:val="nil"/>
              <w:left w:val="single" w:sz="4" w:space="0" w:color="auto"/>
              <w:bottom w:val="nil"/>
              <w:right w:val="single" w:sz="4" w:space="0" w:color="auto"/>
            </w:tcBorders>
            <w:shd w:val="clear" w:color="auto" w:fill="auto"/>
            <w:noWrap/>
            <w:vAlign w:val="center"/>
            <w:hideMark/>
          </w:tcPr>
          <w:p w14:paraId="50E4647A" w14:textId="77777777" w:rsidR="00840770" w:rsidRPr="007F6CA8" w:rsidRDefault="00840770" w:rsidP="00852655">
            <w:pPr>
              <w:spacing w:line="276" w:lineRule="auto"/>
              <w:jc w:val="right"/>
              <w:rPr>
                <w:rFonts w:ascii="Sylfaen" w:hAnsi="Sylfaen"/>
                <w:sz w:val="18"/>
              </w:rPr>
            </w:pPr>
            <w:r w:rsidRPr="007F6CA8">
              <w:rPr>
                <w:rFonts w:ascii="Sylfaen" w:hAnsi="Sylfaen"/>
                <w:sz w:val="18"/>
              </w:rPr>
              <w:t>14,1</w:t>
            </w:r>
          </w:p>
        </w:tc>
      </w:tr>
      <w:tr w:rsidR="00840770" w:rsidRPr="007F6CA8" w14:paraId="0F309F67" w14:textId="77777777" w:rsidTr="00646738">
        <w:trPr>
          <w:trHeight w:val="300"/>
        </w:trPr>
        <w:tc>
          <w:tcPr>
            <w:tcW w:w="700" w:type="dxa"/>
            <w:tcBorders>
              <w:top w:val="nil"/>
              <w:left w:val="single" w:sz="4" w:space="0" w:color="auto"/>
              <w:bottom w:val="nil"/>
              <w:right w:val="nil"/>
            </w:tcBorders>
            <w:shd w:val="clear" w:color="auto" w:fill="auto"/>
            <w:noWrap/>
            <w:vAlign w:val="center"/>
            <w:hideMark/>
          </w:tcPr>
          <w:p w14:paraId="53F63926" w14:textId="77777777" w:rsidR="00840770" w:rsidRPr="007F6CA8" w:rsidRDefault="00840770" w:rsidP="00731B1D">
            <w:pPr>
              <w:spacing w:beforeLines="60" w:before="144" w:afterLines="60" w:after="144" w:line="276" w:lineRule="auto"/>
              <w:rPr>
                <w:rFonts w:ascii="Sylfaen" w:hAnsi="Sylfaen"/>
                <w:sz w:val="18"/>
              </w:rPr>
            </w:pPr>
            <w:r w:rsidRPr="007F6CA8">
              <w:rPr>
                <w:rFonts w:ascii="Sylfaen" w:hAnsi="Sylfaen"/>
                <w:sz w:val="18"/>
              </w:rPr>
              <w:t> </w:t>
            </w:r>
          </w:p>
        </w:tc>
        <w:tc>
          <w:tcPr>
            <w:tcW w:w="5028" w:type="dxa"/>
            <w:tcBorders>
              <w:top w:val="nil"/>
              <w:left w:val="nil"/>
              <w:bottom w:val="nil"/>
              <w:right w:val="nil"/>
            </w:tcBorders>
            <w:shd w:val="clear" w:color="auto" w:fill="auto"/>
            <w:noWrap/>
            <w:vAlign w:val="center"/>
            <w:hideMark/>
          </w:tcPr>
          <w:p w14:paraId="27FB48E3" w14:textId="228FEAB7" w:rsidR="00840770" w:rsidRPr="007F6CA8" w:rsidRDefault="00E4681A" w:rsidP="00852655">
            <w:pPr>
              <w:spacing w:line="276" w:lineRule="auto"/>
              <w:rPr>
                <w:rFonts w:ascii="Sylfaen" w:hAnsi="Sylfaen"/>
                <w:sz w:val="18"/>
              </w:rPr>
            </w:pPr>
            <w:r w:rsidRPr="007F6CA8">
              <w:rPr>
                <w:rFonts w:ascii="Sylfaen" w:hAnsi="Sylfaen"/>
                <w:sz w:val="18"/>
                <w:lang w:val="ka-GE"/>
              </w:rPr>
              <w:t>აქედან</w:t>
            </w:r>
            <w:r w:rsidR="00840770" w:rsidRPr="007F6CA8">
              <w:rPr>
                <w:rFonts w:ascii="Sylfaen" w:hAnsi="Sylfaen"/>
                <w:sz w:val="18"/>
              </w:rPr>
              <w:t xml:space="preserve">: </w:t>
            </w:r>
            <w:r w:rsidRPr="007F6CA8">
              <w:rPr>
                <w:rFonts w:ascii="Sylfaen" w:hAnsi="Sylfaen"/>
                <w:sz w:val="18"/>
                <w:lang w:val="ka-GE"/>
              </w:rPr>
              <w:t>აპლიკანტების არასაკმარისი უნარები</w:t>
            </w:r>
          </w:p>
        </w:tc>
        <w:tc>
          <w:tcPr>
            <w:tcW w:w="3200" w:type="dxa"/>
            <w:tcBorders>
              <w:top w:val="nil"/>
              <w:left w:val="single" w:sz="4" w:space="0" w:color="auto"/>
              <w:bottom w:val="nil"/>
              <w:right w:val="single" w:sz="4" w:space="0" w:color="auto"/>
            </w:tcBorders>
            <w:shd w:val="clear" w:color="auto" w:fill="auto"/>
            <w:noWrap/>
            <w:vAlign w:val="center"/>
            <w:hideMark/>
          </w:tcPr>
          <w:p w14:paraId="6E27FD63" w14:textId="77777777" w:rsidR="00840770" w:rsidRPr="007F6CA8" w:rsidRDefault="00840770" w:rsidP="00852655">
            <w:pPr>
              <w:spacing w:line="276" w:lineRule="auto"/>
              <w:jc w:val="right"/>
              <w:rPr>
                <w:rFonts w:ascii="Sylfaen" w:hAnsi="Sylfaen"/>
                <w:sz w:val="18"/>
              </w:rPr>
            </w:pPr>
            <w:r w:rsidRPr="007F6CA8">
              <w:rPr>
                <w:rFonts w:ascii="Sylfaen" w:hAnsi="Sylfaen"/>
                <w:sz w:val="18"/>
              </w:rPr>
              <w:t>72,5</w:t>
            </w:r>
          </w:p>
        </w:tc>
      </w:tr>
      <w:tr w:rsidR="00840770" w:rsidRPr="007F6CA8" w14:paraId="2FD2498E" w14:textId="77777777" w:rsidTr="00646738">
        <w:trPr>
          <w:trHeight w:val="300"/>
        </w:trPr>
        <w:tc>
          <w:tcPr>
            <w:tcW w:w="700" w:type="dxa"/>
            <w:tcBorders>
              <w:top w:val="nil"/>
              <w:left w:val="single" w:sz="4" w:space="0" w:color="auto"/>
              <w:bottom w:val="nil"/>
              <w:right w:val="nil"/>
            </w:tcBorders>
            <w:shd w:val="clear" w:color="auto" w:fill="auto"/>
            <w:noWrap/>
            <w:vAlign w:val="center"/>
            <w:hideMark/>
          </w:tcPr>
          <w:p w14:paraId="575FDD33" w14:textId="77777777" w:rsidR="00840770" w:rsidRPr="007F6CA8" w:rsidRDefault="00840770" w:rsidP="00731B1D">
            <w:pPr>
              <w:spacing w:beforeLines="60" w:before="144" w:afterLines="60" w:after="144" w:line="276" w:lineRule="auto"/>
              <w:rPr>
                <w:rFonts w:ascii="Sylfaen" w:hAnsi="Sylfaen"/>
                <w:sz w:val="18"/>
              </w:rPr>
            </w:pPr>
            <w:r w:rsidRPr="007F6CA8">
              <w:rPr>
                <w:rFonts w:ascii="Sylfaen" w:hAnsi="Sylfaen"/>
                <w:sz w:val="18"/>
              </w:rPr>
              <w:t> </w:t>
            </w:r>
          </w:p>
        </w:tc>
        <w:tc>
          <w:tcPr>
            <w:tcW w:w="5028" w:type="dxa"/>
            <w:tcBorders>
              <w:top w:val="nil"/>
              <w:left w:val="nil"/>
              <w:bottom w:val="nil"/>
              <w:right w:val="nil"/>
            </w:tcBorders>
            <w:shd w:val="clear" w:color="auto" w:fill="auto"/>
            <w:noWrap/>
            <w:vAlign w:val="center"/>
            <w:hideMark/>
          </w:tcPr>
          <w:p w14:paraId="13B5E2DE" w14:textId="796A7784" w:rsidR="00840770" w:rsidRPr="007F6CA8" w:rsidRDefault="00E4681A" w:rsidP="00852655">
            <w:pPr>
              <w:spacing w:line="276" w:lineRule="auto"/>
              <w:rPr>
                <w:rFonts w:ascii="Sylfaen" w:hAnsi="Sylfaen"/>
                <w:sz w:val="18"/>
                <w:lang w:val="ka-GE"/>
              </w:rPr>
            </w:pPr>
            <w:r w:rsidRPr="007F6CA8">
              <w:rPr>
                <w:rFonts w:ascii="Sylfaen" w:hAnsi="Sylfaen"/>
                <w:sz w:val="18"/>
                <w:lang w:val="ka-GE"/>
              </w:rPr>
              <w:t>აქედან</w:t>
            </w:r>
            <w:r w:rsidR="00840770" w:rsidRPr="007F6CA8">
              <w:rPr>
                <w:rFonts w:ascii="Sylfaen" w:hAnsi="Sylfaen"/>
                <w:sz w:val="18"/>
              </w:rPr>
              <w:t xml:space="preserve">: </w:t>
            </w:r>
            <w:r w:rsidRPr="007F6CA8">
              <w:rPr>
                <w:rFonts w:ascii="Sylfaen" w:hAnsi="Sylfaen"/>
                <w:sz w:val="18"/>
                <w:lang w:val="ka-GE"/>
              </w:rPr>
              <w:t>უთანხმოება ხელფასთან დაკავშირებით</w:t>
            </w:r>
          </w:p>
        </w:tc>
        <w:tc>
          <w:tcPr>
            <w:tcW w:w="3200" w:type="dxa"/>
            <w:tcBorders>
              <w:top w:val="nil"/>
              <w:left w:val="single" w:sz="4" w:space="0" w:color="auto"/>
              <w:bottom w:val="nil"/>
              <w:right w:val="single" w:sz="4" w:space="0" w:color="auto"/>
            </w:tcBorders>
            <w:shd w:val="clear" w:color="auto" w:fill="auto"/>
            <w:noWrap/>
            <w:vAlign w:val="center"/>
            <w:hideMark/>
          </w:tcPr>
          <w:p w14:paraId="43CD235C" w14:textId="77777777" w:rsidR="00840770" w:rsidRPr="007F6CA8" w:rsidRDefault="00840770" w:rsidP="00852655">
            <w:pPr>
              <w:spacing w:line="276" w:lineRule="auto"/>
              <w:jc w:val="right"/>
              <w:rPr>
                <w:rFonts w:ascii="Sylfaen" w:hAnsi="Sylfaen"/>
                <w:sz w:val="18"/>
              </w:rPr>
            </w:pPr>
            <w:r w:rsidRPr="007F6CA8">
              <w:rPr>
                <w:rFonts w:ascii="Sylfaen" w:hAnsi="Sylfaen"/>
                <w:sz w:val="18"/>
              </w:rPr>
              <w:t>8,4</w:t>
            </w:r>
          </w:p>
        </w:tc>
      </w:tr>
      <w:tr w:rsidR="00840770" w:rsidRPr="007F6CA8" w14:paraId="3925591D" w14:textId="77777777" w:rsidTr="00646738">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15C8ADA" w14:textId="77777777" w:rsidR="00840770" w:rsidRPr="007F6CA8" w:rsidRDefault="00840770" w:rsidP="00731B1D">
            <w:pPr>
              <w:spacing w:beforeLines="60" w:before="144" w:afterLines="60" w:after="144" w:line="276" w:lineRule="auto"/>
              <w:rPr>
                <w:rFonts w:ascii="Sylfaen" w:hAnsi="Sylfaen"/>
                <w:sz w:val="18"/>
              </w:rPr>
            </w:pPr>
            <w:r w:rsidRPr="007F6CA8">
              <w:rPr>
                <w:rFonts w:ascii="Sylfaen" w:hAnsi="Sylfaen"/>
                <w:sz w:val="18"/>
              </w:rPr>
              <w:t> </w:t>
            </w:r>
          </w:p>
        </w:tc>
        <w:tc>
          <w:tcPr>
            <w:tcW w:w="5028" w:type="dxa"/>
            <w:tcBorders>
              <w:top w:val="nil"/>
              <w:left w:val="nil"/>
              <w:bottom w:val="single" w:sz="4" w:space="0" w:color="auto"/>
              <w:right w:val="nil"/>
            </w:tcBorders>
            <w:shd w:val="clear" w:color="auto" w:fill="auto"/>
            <w:noWrap/>
            <w:vAlign w:val="center"/>
            <w:hideMark/>
          </w:tcPr>
          <w:p w14:paraId="4647A4DD" w14:textId="0C96766A" w:rsidR="00840770" w:rsidRPr="007F6CA8" w:rsidRDefault="00E4681A" w:rsidP="00852655">
            <w:pPr>
              <w:spacing w:line="276" w:lineRule="auto"/>
              <w:rPr>
                <w:rFonts w:ascii="Sylfaen" w:hAnsi="Sylfaen"/>
                <w:sz w:val="18"/>
                <w:lang w:val="ka-GE"/>
              </w:rPr>
            </w:pPr>
            <w:r w:rsidRPr="007F6CA8">
              <w:rPr>
                <w:rFonts w:ascii="Sylfaen" w:hAnsi="Sylfaen"/>
                <w:sz w:val="18"/>
                <w:lang w:val="ka-GE"/>
              </w:rPr>
              <w:t>აქედან</w:t>
            </w:r>
            <w:r w:rsidR="00840770" w:rsidRPr="007F6CA8">
              <w:rPr>
                <w:rFonts w:ascii="Sylfaen" w:hAnsi="Sylfaen"/>
                <w:sz w:val="18"/>
              </w:rPr>
              <w:t>:</w:t>
            </w:r>
            <w:r w:rsidRPr="007F6CA8">
              <w:rPr>
                <w:rFonts w:ascii="Sylfaen" w:hAnsi="Sylfaen"/>
                <w:sz w:val="18"/>
                <w:lang w:val="ka-GE"/>
              </w:rPr>
              <w:t xml:space="preserve"> უთანხმოება სამუშაო პირობებთან დაკავშირებით</w:t>
            </w:r>
            <w:r w:rsidR="00840770" w:rsidRPr="007F6CA8">
              <w:rPr>
                <w:rFonts w:ascii="Sylfaen" w:hAnsi="Sylfaen"/>
                <w:sz w:val="18"/>
              </w:rPr>
              <w:t xml:space="preserve"> </w:t>
            </w: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58C79B1" w14:textId="77777777" w:rsidR="00840770" w:rsidRPr="007F6CA8" w:rsidRDefault="00840770" w:rsidP="00852655">
            <w:pPr>
              <w:spacing w:line="276" w:lineRule="auto"/>
              <w:jc w:val="right"/>
              <w:rPr>
                <w:rFonts w:ascii="Sylfaen" w:hAnsi="Sylfaen"/>
                <w:sz w:val="18"/>
              </w:rPr>
            </w:pPr>
            <w:r w:rsidRPr="007F6CA8">
              <w:rPr>
                <w:rFonts w:ascii="Sylfaen" w:hAnsi="Sylfaen"/>
                <w:sz w:val="18"/>
              </w:rPr>
              <w:t>3,4</w:t>
            </w:r>
          </w:p>
        </w:tc>
      </w:tr>
    </w:tbl>
    <w:p w14:paraId="68D870E5" w14:textId="0C53EBAD" w:rsidR="00840770" w:rsidRPr="007F6CA8" w:rsidRDefault="00E4681A" w:rsidP="00731B1D">
      <w:pPr>
        <w:spacing w:beforeLines="60" w:before="144" w:afterLines="60" w:after="144" w:line="276" w:lineRule="auto"/>
        <w:rPr>
          <w:rFonts w:ascii="Sylfaen" w:hAnsi="Sylfaen"/>
          <w:sz w:val="18"/>
          <w:szCs w:val="22"/>
          <w:lang w:val="ka-GE"/>
        </w:rPr>
      </w:pPr>
      <w:r w:rsidRPr="007F6CA8">
        <w:rPr>
          <w:rFonts w:ascii="Sylfaen" w:hAnsi="Sylfaen"/>
          <w:sz w:val="18"/>
          <w:szCs w:val="22"/>
          <w:lang w:val="ka-GE"/>
        </w:rPr>
        <w:t>წყარო</w:t>
      </w:r>
      <w:r w:rsidR="00840770" w:rsidRPr="007F6CA8">
        <w:rPr>
          <w:rFonts w:ascii="Sylfaen" w:hAnsi="Sylfaen"/>
          <w:sz w:val="18"/>
          <w:szCs w:val="22"/>
        </w:rPr>
        <w:t>:</w:t>
      </w:r>
      <w:r w:rsidRPr="007F6CA8">
        <w:rPr>
          <w:rFonts w:ascii="Sylfaen" w:hAnsi="Sylfaen"/>
          <w:sz w:val="18"/>
          <w:szCs w:val="22"/>
          <w:lang w:val="ka-GE"/>
        </w:rPr>
        <w:t xml:space="preserve"> საქართველოს შრომითი ბაზრის მოთხოვნების კვლევა</w:t>
      </w:r>
      <w:r w:rsidR="00840770" w:rsidRPr="007F6CA8">
        <w:rPr>
          <w:rFonts w:ascii="Sylfaen" w:hAnsi="Sylfaen"/>
          <w:sz w:val="18"/>
          <w:szCs w:val="22"/>
        </w:rPr>
        <w:t xml:space="preserve"> (ADD_GEO_1) –</w:t>
      </w:r>
      <w:r w:rsidRPr="007F6CA8">
        <w:rPr>
          <w:rFonts w:ascii="Sylfaen" w:hAnsi="Sylfaen"/>
          <w:sz w:val="18"/>
          <w:szCs w:val="22"/>
          <w:lang w:val="ka-GE"/>
        </w:rPr>
        <w:t>პასუხები შეწონილი</w:t>
      </w:r>
    </w:p>
    <w:p w14:paraId="526FE658" w14:textId="77777777" w:rsidR="00840770" w:rsidRPr="007F6CA8" w:rsidRDefault="00840770" w:rsidP="00731B1D">
      <w:pPr>
        <w:spacing w:beforeLines="60" w:before="144" w:afterLines="60" w:after="144" w:line="276" w:lineRule="auto"/>
        <w:rPr>
          <w:rFonts w:ascii="Sylfaen" w:hAnsi="Sylfaen"/>
          <w:sz w:val="22"/>
          <w:szCs w:val="22"/>
        </w:rPr>
      </w:pPr>
    </w:p>
    <w:p w14:paraId="21A7A7AA" w14:textId="1F337249" w:rsidR="00DF340E" w:rsidRPr="007F6CA8" w:rsidRDefault="00DF340E" w:rsidP="00731B1D">
      <w:pPr>
        <w:spacing w:beforeLines="60" w:before="144" w:afterLines="60" w:after="144" w:line="276" w:lineRule="auto"/>
        <w:rPr>
          <w:rFonts w:ascii="Sylfaen" w:hAnsi="Sylfaen"/>
        </w:rPr>
      </w:pPr>
      <w:r w:rsidRPr="007F6CA8">
        <w:rPr>
          <w:rFonts w:ascii="Sylfaen" w:hAnsi="Sylfaen"/>
        </w:rPr>
        <w:br w:type="page"/>
      </w:r>
    </w:p>
    <w:p w14:paraId="091F102C" w14:textId="662ACBF6" w:rsidR="0005728B" w:rsidRPr="007F6CA8" w:rsidRDefault="006B586B" w:rsidP="00731B1D">
      <w:pPr>
        <w:pStyle w:val="Heading1"/>
        <w:spacing w:beforeLines="60" w:before="144" w:afterLines="60" w:after="144" w:line="276" w:lineRule="auto"/>
        <w:rPr>
          <w:rFonts w:ascii="Sylfaen" w:hAnsi="Sylfaen"/>
        </w:rPr>
      </w:pPr>
      <w:bookmarkStart w:id="33" w:name="_Toc513596839"/>
      <w:r w:rsidRPr="007F6CA8">
        <w:rPr>
          <w:rFonts w:ascii="Sylfaen" w:hAnsi="Sylfaen"/>
          <w:lang w:val="ka-GE"/>
        </w:rPr>
        <w:lastRenderedPageBreak/>
        <w:t>დასკვნა</w:t>
      </w:r>
      <w:bookmarkEnd w:id="33"/>
    </w:p>
    <w:p w14:paraId="262A8E5C" w14:textId="24B3A54A" w:rsidR="006B586B" w:rsidRPr="007F6CA8" w:rsidRDefault="007F0248"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უნარების გამოვლენა და ანალიზი შესაძლებელია შემოთავაზებული შეუსაბამობის ინდიკატორების მიხედვით. საქართველოს სამუშაო ძალის კვლევა რამდენიმე განზომილების მიხედვით დაყოფილი ზოგადი კალკულაციის საშუალებას იძლევა. შრომითი ბაზრის სპეციფიკური მახასიათებლები, უმაღლესი განათლების მქონე სამუშაო ძალის დიდი რაოდენობით მიწოდება მაშინ, როცა მოთხოვნის სტრუქტურა ნაკლებად ითხოვს ასეთ მიწოდებას - შესაძლოა გამოვლენილი იყოს ამ ინდიკატორების მეშვეობით.  </w:t>
      </w:r>
    </w:p>
    <w:p w14:paraId="1AD8DE6D" w14:textId="6465F123" w:rsidR="007F0248" w:rsidRPr="007F6CA8" w:rsidRDefault="007F0248"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უმუშევრობა ჯერ კიდევ მაღალი</w:t>
      </w:r>
      <w:r w:rsidR="00852655" w:rsidRPr="007F6CA8">
        <w:rPr>
          <w:rFonts w:ascii="Sylfaen" w:hAnsi="Sylfaen"/>
          <w:sz w:val="22"/>
          <w:szCs w:val="22"/>
          <w:lang w:val="ka-GE"/>
        </w:rPr>
        <w:t>ა</w:t>
      </w:r>
      <w:r w:rsidRPr="007F6CA8">
        <w:rPr>
          <w:rFonts w:ascii="Sylfaen" w:hAnsi="Sylfaen"/>
          <w:sz w:val="22"/>
          <w:szCs w:val="22"/>
          <w:lang w:val="ka-GE"/>
        </w:rPr>
        <w:t xml:space="preserve">, ხოლო დასაქმება, განსაკუთრებით კი რეგიონებში, ძირითადად სოფლის მეურნეობის სფეროში - საოჯახო მეურნეობაშია. თანამედროვე ბიზნესი და ფინანსური სერვისები მცირე როლს თამაშობს. სამუშაოების უმეტესობა ტრადიციულ, დაბალპროდუქტიულ სექტორებში უფრო გვხვდება, ვიდრე თანამედროვე, მაღალპროდუქტიულ სექტორებში. დასაქმების მაჩვენებელი დაბალია საქართველოში. </w:t>
      </w:r>
    </w:p>
    <w:p w14:paraId="73457582" w14:textId="2DFD77E9" w:rsidR="007F0248" w:rsidRPr="007F6CA8" w:rsidRDefault="007F0248"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შეჯამების სახით შეიძლება ითქვას, რომ საქართველოს შრომითი ბაზრის ანალიზისთვის კარგი და წვდომადი მონაცემები არსებობს (მიკრო დონეზეც კი), განსაკუთრებით უნდა აღინიშნოს შრომითი ძალის კვლევა, რომელსაც რეგულარულად ახორციელებს საქსტატი. სამუშაო ძალის კვლევაში ახლახანს შეტანილი ცვლილებების (უფრო დიდი წარმომადგენლობა, განახლებული მეთოდოლოგია, დეფინიციები) წყალობით უფრო მეტია საერთაშორისო დონეზე შედარების შესაძლებლობა და გაზრდილია შედეგების რელევანტურობა საქართველოს სპეციფიკურ კონტექსტზე. საქართველოში ასევე ხელმისაწვდომია სხვა კვლევები (მაგ., კომპანიების გამოკითხვები) და ამინისტრაციული ტიპის მონაცემები (განათლება, შრომითი ბაზარი).  </w:t>
      </w:r>
    </w:p>
    <w:p w14:paraId="6FEDF3B8" w14:textId="7AE68F8F" w:rsidR="007F0248" w:rsidRPr="007F6CA8" w:rsidRDefault="007F0248"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ეს </w:t>
      </w:r>
      <w:r w:rsidR="00E237D3" w:rsidRPr="007F6CA8">
        <w:rPr>
          <w:rFonts w:ascii="Sylfaen" w:hAnsi="Sylfaen"/>
          <w:sz w:val="22"/>
          <w:szCs w:val="22"/>
          <w:lang w:val="ka-GE"/>
        </w:rPr>
        <w:t xml:space="preserve">ანგარიში იკვლევდა უნარების შეუსაბამობის გამოთვლის შესაძლებლობას არსებული და სანდო წყაროებიდან. ამან რამდენიმე (ინდიკატორების) კლასტერის გამოვლენამდე მიგვიყვანა, რომელიც უნარების შეუსაბამობის ძირითად ასპექტებს აყალიბებს: </w:t>
      </w:r>
    </w:p>
    <w:p w14:paraId="7A1E6951" w14:textId="5B7800AB" w:rsidR="00E237D3" w:rsidRPr="007F6CA8" w:rsidRDefault="00E237D3" w:rsidP="00731B1D">
      <w:pPr>
        <w:pStyle w:val="ListParagraph"/>
        <w:numPr>
          <w:ilvl w:val="0"/>
          <w:numId w:val="23"/>
        </w:numPr>
        <w:autoSpaceDE w:val="0"/>
        <w:autoSpaceDN w:val="0"/>
        <w:adjustRightInd w:val="0"/>
        <w:spacing w:beforeLines="60" w:before="144" w:afterLines="60" w:after="144" w:line="276" w:lineRule="auto"/>
        <w:contextualSpacing w:val="0"/>
        <w:jc w:val="both"/>
        <w:rPr>
          <w:rFonts w:ascii="Sylfaen" w:hAnsi="Sylfaen"/>
          <w:sz w:val="22"/>
          <w:szCs w:val="22"/>
          <w:lang w:val="ka-GE"/>
        </w:rPr>
      </w:pPr>
      <w:r w:rsidRPr="007F6CA8">
        <w:rPr>
          <w:rFonts w:ascii="Sylfaen" w:hAnsi="Sylfaen"/>
          <w:sz w:val="22"/>
          <w:szCs w:val="22"/>
          <w:lang w:val="ka-GE"/>
        </w:rPr>
        <w:t xml:space="preserve">უმუშევრობის დონე და შეფარდება უმუშევრობასა და დასაქმებას შორის. </w:t>
      </w:r>
    </w:p>
    <w:p w14:paraId="25BE7E3C" w14:textId="6034A866" w:rsidR="00E237D3" w:rsidRPr="007F6CA8" w:rsidRDefault="00E237D3" w:rsidP="00731B1D">
      <w:pPr>
        <w:pStyle w:val="ListParagraph"/>
        <w:numPr>
          <w:ilvl w:val="0"/>
          <w:numId w:val="23"/>
        </w:numPr>
        <w:autoSpaceDE w:val="0"/>
        <w:autoSpaceDN w:val="0"/>
        <w:adjustRightInd w:val="0"/>
        <w:spacing w:beforeLines="60" w:before="144" w:afterLines="60" w:after="144" w:line="276" w:lineRule="auto"/>
        <w:contextualSpacing w:val="0"/>
        <w:jc w:val="both"/>
        <w:rPr>
          <w:rFonts w:ascii="Sylfaen" w:hAnsi="Sylfaen"/>
          <w:sz w:val="22"/>
          <w:szCs w:val="22"/>
          <w:lang w:val="ka-GE"/>
        </w:rPr>
      </w:pPr>
      <w:r w:rsidRPr="007F6CA8">
        <w:rPr>
          <w:rFonts w:ascii="Sylfaen" w:hAnsi="Sylfaen"/>
          <w:sz w:val="22"/>
          <w:szCs w:val="22"/>
          <w:lang w:val="ka-GE"/>
        </w:rPr>
        <w:t>უმუშევარი ახალგაზრდობის მასშტაბი, ანუ, იმ ახალგაზრდების ინციდენტობა, რომლებიც არ არიან ჩართულები დასაქმებაში, განათლებასა თუ გადამზადებაში.</w:t>
      </w:r>
    </w:p>
    <w:p w14:paraId="5F2D4425" w14:textId="37B42207" w:rsidR="00E237D3" w:rsidRPr="007F6CA8" w:rsidRDefault="00852655" w:rsidP="00731B1D">
      <w:pPr>
        <w:pStyle w:val="ListParagraph"/>
        <w:numPr>
          <w:ilvl w:val="0"/>
          <w:numId w:val="23"/>
        </w:numPr>
        <w:autoSpaceDE w:val="0"/>
        <w:autoSpaceDN w:val="0"/>
        <w:adjustRightInd w:val="0"/>
        <w:spacing w:beforeLines="60" w:before="144" w:afterLines="60" w:after="144" w:line="276" w:lineRule="auto"/>
        <w:contextualSpacing w:val="0"/>
        <w:jc w:val="both"/>
        <w:rPr>
          <w:rFonts w:ascii="Sylfaen" w:hAnsi="Sylfaen"/>
          <w:sz w:val="22"/>
          <w:szCs w:val="22"/>
          <w:lang w:val="ka-GE"/>
        </w:rPr>
      </w:pPr>
      <w:r w:rsidRPr="007F6CA8">
        <w:rPr>
          <w:rFonts w:ascii="Sylfaen" w:hAnsi="Sylfaen"/>
          <w:sz w:val="22"/>
          <w:szCs w:val="22"/>
          <w:lang w:val="ka-GE"/>
        </w:rPr>
        <w:t>არასაკმარისი</w:t>
      </w:r>
      <w:r w:rsidR="00E237D3" w:rsidRPr="007F6CA8">
        <w:rPr>
          <w:rFonts w:ascii="Sylfaen" w:hAnsi="Sylfaen"/>
          <w:sz w:val="22"/>
          <w:szCs w:val="22"/>
          <w:lang w:val="ka-GE"/>
        </w:rPr>
        <w:t xml:space="preserve"> განათლება და </w:t>
      </w:r>
      <w:r w:rsidR="00165EC0" w:rsidRPr="007F6CA8">
        <w:rPr>
          <w:rFonts w:ascii="Sylfaen" w:hAnsi="Sylfaen"/>
          <w:sz w:val="22"/>
          <w:szCs w:val="22"/>
          <w:lang w:val="ka-GE"/>
        </w:rPr>
        <w:t>ჭარბი</w:t>
      </w:r>
      <w:r w:rsidR="00E237D3" w:rsidRPr="007F6CA8">
        <w:rPr>
          <w:rFonts w:ascii="Sylfaen" w:hAnsi="Sylfaen"/>
          <w:sz w:val="22"/>
          <w:szCs w:val="22"/>
          <w:lang w:val="ka-GE"/>
        </w:rPr>
        <w:t xml:space="preserve"> განათლება, იმ ჯგუფების მოცვით, რომლებზეც ეს მოვლენები ახდენს ზეგავლენას. </w:t>
      </w:r>
    </w:p>
    <w:p w14:paraId="56149D28" w14:textId="1A694962" w:rsidR="00E237D3" w:rsidRPr="007F6CA8" w:rsidRDefault="00E237D3" w:rsidP="00731B1D">
      <w:pPr>
        <w:pStyle w:val="ListParagraph"/>
        <w:numPr>
          <w:ilvl w:val="0"/>
          <w:numId w:val="23"/>
        </w:numPr>
        <w:autoSpaceDE w:val="0"/>
        <w:autoSpaceDN w:val="0"/>
        <w:adjustRightInd w:val="0"/>
        <w:spacing w:beforeLines="60" w:before="144" w:afterLines="60" w:after="144" w:line="276" w:lineRule="auto"/>
        <w:contextualSpacing w:val="0"/>
        <w:jc w:val="both"/>
        <w:rPr>
          <w:rFonts w:ascii="Sylfaen" w:hAnsi="Sylfaen"/>
          <w:sz w:val="22"/>
          <w:szCs w:val="22"/>
          <w:lang w:val="ka-GE"/>
        </w:rPr>
      </w:pPr>
      <w:r w:rsidRPr="007F6CA8">
        <w:rPr>
          <w:rFonts w:ascii="Sylfaen" w:hAnsi="Sylfaen"/>
          <w:sz w:val="22"/>
          <w:szCs w:val="22"/>
          <w:lang w:val="ka-GE"/>
        </w:rPr>
        <w:t xml:space="preserve">ვარიაციის კოეფიციენტი სხვადასხვა კუთხიდან, </w:t>
      </w:r>
      <w:r w:rsidR="007865BE" w:rsidRPr="007F6CA8">
        <w:rPr>
          <w:rFonts w:ascii="Sylfaen" w:hAnsi="Sylfaen"/>
          <w:sz w:val="22"/>
          <w:szCs w:val="22"/>
          <w:lang w:val="ka-GE"/>
        </w:rPr>
        <w:t>მაგ., შრომითი ბაზრის სტატუსი, ასაკი და სხვ. (მაგ., უმუშევრებისა და დასაქმებულების შეფარდება განათლების დონეების მიხედვით).</w:t>
      </w:r>
    </w:p>
    <w:p w14:paraId="5430F1AB" w14:textId="7297C4E2" w:rsidR="007865BE" w:rsidRPr="007F6CA8" w:rsidRDefault="007865BE" w:rsidP="00731B1D">
      <w:pPr>
        <w:pStyle w:val="ListParagraph"/>
        <w:numPr>
          <w:ilvl w:val="0"/>
          <w:numId w:val="23"/>
        </w:numPr>
        <w:autoSpaceDE w:val="0"/>
        <w:autoSpaceDN w:val="0"/>
        <w:adjustRightInd w:val="0"/>
        <w:spacing w:beforeLines="60" w:before="144" w:afterLines="60" w:after="144" w:line="276" w:lineRule="auto"/>
        <w:contextualSpacing w:val="0"/>
        <w:jc w:val="both"/>
        <w:rPr>
          <w:rFonts w:ascii="Sylfaen" w:hAnsi="Sylfaen"/>
          <w:sz w:val="22"/>
          <w:szCs w:val="22"/>
          <w:lang w:val="ka-GE"/>
        </w:rPr>
      </w:pPr>
      <w:r w:rsidRPr="007F6CA8">
        <w:rPr>
          <w:rFonts w:ascii="Sylfaen" w:hAnsi="Sylfaen"/>
          <w:sz w:val="22"/>
          <w:szCs w:val="22"/>
          <w:lang w:val="ka-GE"/>
        </w:rPr>
        <w:t xml:space="preserve">ხელფასის ასპექტები შეუსაბამობის გაზომვის დროს. </w:t>
      </w:r>
    </w:p>
    <w:p w14:paraId="0D55FBD4" w14:textId="77777777" w:rsidR="007865BE" w:rsidRPr="007F6CA8" w:rsidRDefault="007865BE"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შეუსაბამობის ინდიკატორები აჩვენებს, რომ ქართულ შრომით ბაზარზე პრობლემურია სასწავლებლიდან სამუშაო გარემოში გადასვლის პროცესი, რასაც თვისებრივი მონაცემებიც ადასტურებს და სხვა, ალტერნატიული მეთოდების გამოყენებით ჩატარებული კვლევებიც. პროფესიული განათლება საუნივერსიტეტო განათლების მსგავს შანსებს იძლევა, თუ უკეთესს </w:t>
      </w:r>
      <w:r w:rsidRPr="007F6CA8">
        <w:rPr>
          <w:rFonts w:ascii="Sylfaen" w:hAnsi="Sylfaen"/>
          <w:sz w:val="22"/>
          <w:szCs w:val="22"/>
          <w:lang w:val="ka-GE"/>
        </w:rPr>
        <w:lastRenderedPageBreak/>
        <w:t xml:space="preserve">არა, შესაბამისობის კუთხით, განსაკუთრებით კი საშუალო ზოგადი განათლების კურსდამთავრებულებთან შედარებით. საჭიროა დამატებითი კვლევების ჩატარება და პოლიტიკის შემუშავება ამ გარდამავლობის პროცესის გასაუმჯობესებლად. მუშახელის მიერ განათლების მიღების დონე შედარებით მაღალია. თუმცა, განათლების ხარისხი კვლავ გამოწვევად რჩება. სტუდენტების ჩართულობა პროფესიულ განათლებაში და მისი შესაბამისობა შრომითი ბაზრის მოთხოვნებთან, ასევე მნიშვნელოვან პრობლემად რჩება. </w:t>
      </w:r>
    </w:p>
    <w:p w14:paraId="0F5E644D" w14:textId="22777A8F" w:rsidR="00E02592" w:rsidRPr="007F6CA8" w:rsidRDefault="007865BE"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ხელფასების შედარება აჩვენებს, რომ განათლების დონეებს შორის ხელფასის ოდენობა განსხვავდება. ეს, უფრო მეტად, დაკავშირებულია კონკრეტულ პროფესიებში უკეთეს ხელფასებთან. მეორეს მხრივ, კვალიფიკაციები, რომელსაც მივყავართ სოფლის მეურნეობისა თუ სხვა ელემენტარული პროფესიებისკენ შესაძლებელია გაანალიზდეს შრომითი ბაზრისათვის საჭირო უნარების </w:t>
      </w:r>
      <w:r w:rsidR="007B1A5A" w:rsidRPr="007F6CA8">
        <w:rPr>
          <w:rFonts w:ascii="Sylfaen" w:hAnsi="Sylfaen"/>
          <w:sz w:val="22"/>
          <w:szCs w:val="22"/>
          <w:lang w:val="ka-GE"/>
        </w:rPr>
        <w:t xml:space="preserve">კუთხით. </w:t>
      </w:r>
      <w:r w:rsidRPr="007F6CA8">
        <w:rPr>
          <w:rFonts w:ascii="Sylfaen" w:hAnsi="Sylfaen"/>
          <w:sz w:val="22"/>
          <w:szCs w:val="22"/>
          <w:lang w:val="ka-GE"/>
        </w:rPr>
        <w:t xml:space="preserve"> </w:t>
      </w:r>
    </w:p>
    <w:p w14:paraId="5CA58ACD" w14:textId="0117832A" w:rsidR="007B1A5A" w:rsidRPr="007F6CA8" w:rsidRDefault="007B1A5A"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უნარების შეუსაბამობის დინამიკა აჩვენებს, რომ შეუსაბამობა მცირდება, მაგრამ მაინც არაა ნათელი, არის თუ არა ეს შედეგი გლობალური ეკონომიკური კრიზისის შემდგომ წლებში გაზომვისა, თუ სახეზეა სტრუქტურული გაუმჯობესება შრომით ბაზართან შესაბამისობის კუთხით. </w:t>
      </w:r>
    </w:p>
    <w:p w14:paraId="7E0F8DCA" w14:textId="1E695E9E" w:rsidR="007B1A5A" w:rsidRPr="007F6CA8" w:rsidRDefault="007B1A5A"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საქართველოში სხვა მრავალი მონაცემიც არსებობს. თუმცა, იმის გამო, რომ ეს მონაცემები რეგულარულად</w:t>
      </w:r>
      <w:r w:rsidR="00852655" w:rsidRPr="007F6CA8">
        <w:rPr>
          <w:rFonts w:ascii="Sylfaen" w:hAnsi="Sylfaen"/>
          <w:sz w:val="22"/>
          <w:szCs w:val="22"/>
          <w:lang w:val="ka-GE"/>
        </w:rPr>
        <w:t xml:space="preserve"> </w:t>
      </w:r>
      <w:r w:rsidR="00852655" w:rsidRPr="007F6CA8">
        <w:rPr>
          <w:rFonts w:ascii="Sylfaen" w:hAnsi="Sylfaen"/>
          <w:sz w:val="22"/>
          <w:szCs w:val="22"/>
          <w:lang w:val="ka-GE"/>
        </w:rPr>
        <w:t>არ გროვდება</w:t>
      </w:r>
      <w:r w:rsidRPr="007F6CA8">
        <w:rPr>
          <w:rFonts w:ascii="Sylfaen" w:hAnsi="Sylfaen"/>
          <w:sz w:val="22"/>
          <w:szCs w:val="22"/>
          <w:lang w:val="ka-GE"/>
        </w:rPr>
        <w:t xml:space="preserve">, ამ პროექტში მონაცემები ძირითადად გამოყენებულ იქნა </w:t>
      </w:r>
      <w:r w:rsidR="00810DA7" w:rsidRPr="007F6CA8">
        <w:rPr>
          <w:rFonts w:ascii="Sylfaen" w:hAnsi="Sylfaen"/>
          <w:sz w:val="22"/>
          <w:szCs w:val="22"/>
          <w:lang w:val="ka-GE"/>
        </w:rPr>
        <w:t xml:space="preserve">შრომითი ძალის კვლევაზე დაფუძნებული ინდიკატორების დადასტურების და ასახვის მიზნით. თუმცა, იმ მასშტაბის გათვალისწინებით, თუ რამდენად რთულია სასწავლებლიდან სამუშაო გარემოში გადასვლა, ასევე გასაანალიზებელია კურსდამთავრებულთა კვლევები, რომელიც ბოლო წლებში ჩატარდა, რათა დადგინდეს </w:t>
      </w:r>
      <w:r w:rsidR="00FE1F33" w:rsidRPr="007F6CA8">
        <w:rPr>
          <w:rFonts w:ascii="Sylfaen" w:hAnsi="Sylfaen"/>
          <w:sz w:val="22"/>
          <w:szCs w:val="22"/>
          <w:lang w:val="ka-GE"/>
        </w:rPr>
        <w:t xml:space="preserve">შრომითი ბაზრისათვის კვალიფიციური პირების მასშტაბი, და ეს კვლევები რეგულარულად ჩატარდეს. </w:t>
      </w:r>
      <w:r w:rsidR="00810DA7" w:rsidRPr="007F6CA8">
        <w:rPr>
          <w:rFonts w:ascii="Sylfaen" w:hAnsi="Sylfaen"/>
          <w:sz w:val="22"/>
          <w:szCs w:val="22"/>
          <w:lang w:val="ka-GE"/>
        </w:rPr>
        <w:t xml:space="preserve"> </w:t>
      </w:r>
    </w:p>
    <w:p w14:paraId="19D4302A" w14:textId="2D07D70E" w:rsidR="00FE1F33" w:rsidRPr="007F6CA8" w:rsidRDefault="00FE1F33"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გარდა ამისა, საჭიროა სხვა ტიპის ანალიზიც, რომელიც შრომის მოთხოვნების შეზღუდვებს ეხება. როგორც ჩანს, ასევე არსებობს მოთხოვნის სტრუქტურული ნაკლებობა, რაც უნდა გადაილახოს ადეკვატური დასაქმების უზრუნველსაყოფად. უნარების შეუსაბამობასთან დაკავშირებული შემდგომი კვლევები უნდა ითვალისწინებდეს ისეთ ფაქტორებს, როგორიცაა, მაგალითად, სოფლის მეურნეობაში (ხშირად ოჯახურ მეურნეობებში) და (არასასოფლო) არაფორმალურ სექტორში დასაქმებული ადამიანების მაღალი რაოდენობა.</w:t>
      </w:r>
    </w:p>
    <w:p w14:paraId="70CA7382" w14:textId="6401E3EE" w:rsidR="00FE1F33" w:rsidRPr="007F6CA8" w:rsidRDefault="00FE1F33" w:rsidP="00731B1D">
      <w:pPr>
        <w:autoSpaceDE w:val="0"/>
        <w:autoSpaceDN w:val="0"/>
        <w:adjustRightInd w:val="0"/>
        <w:spacing w:beforeLines="60" w:before="144" w:afterLines="60" w:after="144" w:line="276" w:lineRule="auto"/>
        <w:ind w:firstLine="709"/>
        <w:jc w:val="both"/>
        <w:rPr>
          <w:rFonts w:ascii="Sylfaen" w:hAnsi="Sylfaen"/>
          <w:sz w:val="22"/>
          <w:szCs w:val="22"/>
          <w:lang w:val="ka-GE"/>
        </w:rPr>
      </w:pPr>
      <w:r w:rsidRPr="007F6CA8">
        <w:rPr>
          <w:rFonts w:ascii="Sylfaen" w:hAnsi="Sylfaen"/>
          <w:sz w:val="22"/>
          <w:szCs w:val="22"/>
          <w:lang w:val="ka-GE"/>
        </w:rPr>
        <w:t xml:space="preserve">ერთიანობაში, </w:t>
      </w:r>
      <w:r w:rsidR="00852655" w:rsidRPr="007F6CA8">
        <w:rPr>
          <w:rFonts w:ascii="Sylfaen" w:hAnsi="Sylfaen"/>
          <w:sz w:val="22"/>
          <w:szCs w:val="22"/>
          <w:lang w:val="ka-GE"/>
        </w:rPr>
        <w:t>სამუშაო</w:t>
      </w:r>
      <w:r w:rsidRPr="007F6CA8">
        <w:rPr>
          <w:rFonts w:ascii="Sylfaen" w:hAnsi="Sylfaen"/>
          <w:sz w:val="22"/>
          <w:szCs w:val="22"/>
          <w:lang w:val="ka-GE"/>
        </w:rPr>
        <w:t xml:space="preserve"> ძალის კვლევამ დეტალური და საკმარისი მონაცემები მოგვცა უნარების შეუსაბამობის ინდიკატორების უმეტესობის გამოსათვლელად. ეს პოზიტიური ფაქტია, ვინაიდან </w:t>
      </w:r>
      <w:r w:rsidR="00852655" w:rsidRPr="007F6CA8">
        <w:rPr>
          <w:rFonts w:ascii="Sylfaen" w:hAnsi="Sylfaen"/>
          <w:sz w:val="22"/>
          <w:szCs w:val="22"/>
          <w:lang w:val="ka-GE"/>
        </w:rPr>
        <w:t>სამუშაპ</w:t>
      </w:r>
      <w:r w:rsidRPr="007F6CA8">
        <w:rPr>
          <w:rFonts w:ascii="Sylfaen" w:hAnsi="Sylfaen"/>
          <w:sz w:val="22"/>
          <w:szCs w:val="22"/>
          <w:lang w:val="ka-GE"/>
        </w:rPr>
        <w:t xml:space="preserve"> ძალის კვლევა ყველაზე რეგულარულად ტარდება და დროის სხვადასხვა პერიოდებში კარგი შედარების საფუძველს იძლევა. სასარგებლო იქნება სხვა, </w:t>
      </w:r>
      <w:r w:rsidR="00852655" w:rsidRPr="007F6CA8">
        <w:rPr>
          <w:rFonts w:ascii="Sylfaen" w:hAnsi="Sylfaen"/>
          <w:sz w:val="22"/>
          <w:szCs w:val="22"/>
          <w:lang w:val="ka-GE"/>
        </w:rPr>
        <w:t>სამუშაო</w:t>
      </w:r>
      <w:r w:rsidRPr="007F6CA8">
        <w:rPr>
          <w:rFonts w:ascii="Sylfaen" w:hAnsi="Sylfaen"/>
          <w:sz w:val="22"/>
          <w:szCs w:val="22"/>
          <w:lang w:val="ka-GE"/>
        </w:rPr>
        <w:t xml:space="preserve"> ძალის კვლევის მიღმა მონაცემების გამოყენება უნარების შეუსაბამობის უფრო სპეციალიზებული ზომების შეფასებისათვის. იმის გამო, რომ საქართველოში სასწავლებლიდან სამუშაო გარემოში გადასვლა განსაკუთრებული სირთულით გამოირჩევა, სასურველია უფრო მეტად სტრუქტურული და რეგულარული პრაქტიკის ჩამოყალიბება ამ მოვლენის ასახვისათვის (მაგ., კურსდამთავრებულთა კვლევები, გადასვლის კვლევები), რაც უფრო დეტალურ ინფორმაციას მოგვაწვდის საგანმანათლებლო პროცესის მიერ ადეკვატური პრაქტიკული უნარების მიწოდების შესახებ, ან შესაბამის სფეროებში კურსდამთავრებულთა ადეკვატური რაოდენომით მომარაგების შესახებ. </w:t>
      </w:r>
    </w:p>
    <w:p w14:paraId="34A086F3" w14:textId="21973ED0" w:rsidR="00FE1F33" w:rsidRPr="007F6CA8" w:rsidRDefault="00FE1F33" w:rsidP="00731B1D">
      <w:pPr>
        <w:autoSpaceDE w:val="0"/>
        <w:autoSpaceDN w:val="0"/>
        <w:adjustRightInd w:val="0"/>
        <w:spacing w:beforeLines="60" w:before="144" w:afterLines="60" w:after="144" w:line="276" w:lineRule="auto"/>
        <w:ind w:firstLine="709"/>
        <w:jc w:val="both"/>
        <w:rPr>
          <w:rFonts w:ascii="Sylfaen" w:hAnsi="Sylfaen"/>
          <w:sz w:val="22"/>
          <w:szCs w:val="22"/>
        </w:rPr>
      </w:pPr>
      <w:r w:rsidRPr="007F6CA8">
        <w:rPr>
          <w:rFonts w:ascii="Sylfaen" w:hAnsi="Sylfaen"/>
          <w:sz w:val="22"/>
          <w:szCs w:val="22"/>
          <w:lang w:val="ka-GE"/>
        </w:rPr>
        <w:lastRenderedPageBreak/>
        <w:t xml:space="preserve">საქართველოში უნარების შეუსაბამობის განხილვის დროს აუცილებელია გენდერული და ტერიტორიული (ქალაქი/სოფელი) ასპექტების გათვალისწინება. საერთო სურათი ასევე შესაძლოა შეცვალოს გარე მიგრაციამ. აქედან გამომდინარე, რეკომენდირებულია უფრო გაფართოება და უნარების შეუსაბამობისა და მისი ზეგავლენის რეგულარულად გაანალიზება. </w:t>
      </w:r>
      <w:r w:rsidR="00EA3871" w:rsidRPr="007F6CA8">
        <w:rPr>
          <w:rFonts w:ascii="Sylfaen" w:hAnsi="Sylfaen"/>
          <w:sz w:val="22"/>
          <w:szCs w:val="22"/>
          <w:lang w:val="ka-GE"/>
        </w:rPr>
        <w:t xml:space="preserve">უკვე არსებული ინფორმაციისა და მონაცემების გამოყენების გარდა ასევე შესაძლოა დამატებითი მტკიცებულებების მოპოვებისკენ მიმართული პრაქტიკის დანერგვა, მაგალითად, კურსდამთავრებულთა კვლევის, რათა უფრო კარგი სურათი შეიქმნას უნარების შეუსაბამობის შესახებ. ეს, თავის მხრივ, პოლიტიკის შესაბამისი მიმართულებით წარმართვის საშუალებას იძლევა, რათა უფრო აქტიურად </w:t>
      </w:r>
      <w:r w:rsidR="006F637A" w:rsidRPr="007F6CA8">
        <w:rPr>
          <w:rFonts w:ascii="Sylfaen" w:hAnsi="Sylfaen"/>
          <w:sz w:val="22"/>
          <w:szCs w:val="22"/>
          <w:lang w:val="ka-GE"/>
        </w:rPr>
        <w:t xml:space="preserve">მოგვარდეს მოთხოვნილი და მიწოდებული უნარების შეუსაბამობის პრობლემა. </w:t>
      </w:r>
    </w:p>
    <w:p w14:paraId="48798B37" w14:textId="77777777" w:rsidR="00D217A1" w:rsidRPr="007F6CA8" w:rsidRDefault="00D217A1" w:rsidP="00731B1D">
      <w:pPr>
        <w:autoSpaceDE w:val="0"/>
        <w:autoSpaceDN w:val="0"/>
        <w:adjustRightInd w:val="0"/>
        <w:spacing w:beforeLines="60" w:before="144" w:afterLines="60" w:after="144" w:line="276" w:lineRule="auto"/>
        <w:jc w:val="both"/>
        <w:rPr>
          <w:rFonts w:ascii="Sylfaen" w:hAnsi="Sylfaen"/>
        </w:rPr>
      </w:pPr>
    </w:p>
    <w:p w14:paraId="79DE9EAF" w14:textId="77777777" w:rsidR="007165ED" w:rsidRPr="007F6CA8" w:rsidRDefault="007165ED" w:rsidP="00731B1D">
      <w:pPr>
        <w:spacing w:beforeLines="60" w:before="144" w:afterLines="60" w:after="144" w:line="276" w:lineRule="auto"/>
        <w:jc w:val="both"/>
        <w:rPr>
          <w:rFonts w:ascii="Sylfaen" w:hAnsi="Sylfaen"/>
        </w:rPr>
      </w:pPr>
    </w:p>
    <w:p w14:paraId="6C7A9A61" w14:textId="77777777" w:rsidR="00E84D9A" w:rsidRPr="007F6CA8" w:rsidRDefault="00E84D9A" w:rsidP="00731B1D">
      <w:pPr>
        <w:spacing w:beforeLines="60" w:before="144" w:afterLines="60" w:after="144" w:line="276" w:lineRule="auto"/>
        <w:jc w:val="both"/>
        <w:rPr>
          <w:rFonts w:ascii="Sylfaen" w:hAnsi="Sylfaen"/>
        </w:rPr>
      </w:pPr>
    </w:p>
    <w:p w14:paraId="3681705A" w14:textId="77777777" w:rsidR="00D04930" w:rsidRPr="007F6CA8" w:rsidRDefault="00D04930" w:rsidP="00731B1D">
      <w:pPr>
        <w:spacing w:beforeLines="60" w:before="144" w:afterLines="60" w:after="144" w:line="276" w:lineRule="auto"/>
        <w:rPr>
          <w:rFonts w:ascii="Sylfaen" w:hAnsi="Sylfaen"/>
          <w:i/>
          <w:color w:val="616264"/>
        </w:rPr>
      </w:pPr>
      <w:r w:rsidRPr="007F6CA8">
        <w:rPr>
          <w:rFonts w:ascii="Sylfaen" w:hAnsi="Sylfaen"/>
          <w:i/>
          <w:color w:val="616264"/>
        </w:rPr>
        <w:br w:type="page"/>
      </w:r>
    </w:p>
    <w:p w14:paraId="1EC002F1" w14:textId="41C0486D" w:rsidR="00DA42BC" w:rsidRPr="007F6CA8" w:rsidRDefault="006F637A" w:rsidP="00731B1D">
      <w:pPr>
        <w:pStyle w:val="Heading1"/>
        <w:spacing w:beforeLines="60" w:before="144" w:afterLines="60" w:after="144" w:line="276" w:lineRule="auto"/>
        <w:rPr>
          <w:rFonts w:ascii="Sylfaen" w:hAnsi="Sylfaen"/>
        </w:rPr>
      </w:pPr>
      <w:bookmarkStart w:id="34" w:name="_Toc513596840"/>
      <w:r w:rsidRPr="007F6CA8">
        <w:rPr>
          <w:rFonts w:ascii="Sylfaen" w:hAnsi="Sylfaen"/>
          <w:lang w:val="ka-GE"/>
        </w:rPr>
        <w:lastRenderedPageBreak/>
        <w:t>ლიტერატურა</w:t>
      </w:r>
      <w:bookmarkEnd w:id="34"/>
    </w:p>
    <w:p w14:paraId="473D8DA6" w14:textId="77777777" w:rsidR="004F68C5" w:rsidRPr="007F6CA8" w:rsidRDefault="004F68C5" w:rsidP="004D208B">
      <w:pPr>
        <w:spacing w:before="120" w:after="120" w:line="276" w:lineRule="auto"/>
        <w:rPr>
          <w:rFonts w:ascii="Sylfaen" w:hAnsi="Sylfaen"/>
          <w:sz w:val="22"/>
          <w:szCs w:val="22"/>
        </w:rPr>
      </w:pPr>
      <w:r w:rsidRPr="007F6CA8">
        <w:rPr>
          <w:rFonts w:ascii="Sylfaen" w:hAnsi="Sylfaen"/>
          <w:sz w:val="22"/>
          <w:szCs w:val="22"/>
        </w:rPr>
        <w:t xml:space="preserve">Ambroladze, T., 2012, Georgia: Updating and Improving the Social Protection Index. Technical Assistance Consultant’s Report prepared for Asian Development Bank (ADB), no date of release, available at: </w:t>
      </w:r>
    </w:p>
    <w:p w14:paraId="1F6FF8B1" w14:textId="77777777" w:rsidR="004F68C5" w:rsidRPr="007F6CA8" w:rsidRDefault="00824307" w:rsidP="004D208B">
      <w:pPr>
        <w:spacing w:before="120" w:after="120" w:line="276" w:lineRule="auto"/>
        <w:rPr>
          <w:rFonts w:ascii="Sylfaen" w:hAnsi="Sylfaen"/>
          <w:sz w:val="22"/>
          <w:szCs w:val="22"/>
        </w:rPr>
      </w:pPr>
      <w:hyperlink r:id="rId38" w:history="1">
        <w:r w:rsidR="004F68C5" w:rsidRPr="007F6CA8">
          <w:rPr>
            <w:rStyle w:val="Hyperlink"/>
            <w:rFonts w:ascii="Sylfaen" w:hAnsi="Sylfaen"/>
            <w:sz w:val="22"/>
            <w:szCs w:val="22"/>
          </w:rPr>
          <w:t>http://www.adb.org/sites/default/files/project-document/76055/44152-012-reg-tacr-06.pdf</w:t>
        </w:r>
      </w:hyperlink>
    </w:p>
    <w:p w14:paraId="25A45A8C" w14:textId="77777777" w:rsidR="004F68C5" w:rsidRPr="007F6CA8" w:rsidRDefault="004F68C5" w:rsidP="004D208B">
      <w:pPr>
        <w:spacing w:before="120" w:after="120" w:line="276" w:lineRule="auto"/>
        <w:rPr>
          <w:rStyle w:val="Hyperlink"/>
          <w:rFonts w:ascii="Sylfaen" w:hAnsi="Sylfaen"/>
          <w:b/>
          <w:bCs/>
          <w:color w:val="auto"/>
          <w:sz w:val="22"/>
          <w:szCs w:val="22"/>
        </w:rPr>
      </w:pPr>
      <w:bookmarkStart w:id="35" w:name="_Toc494659898"/>
      <w:bookmarkStart w:id="36" w:name="_Toc494805099"/>
      <w:r w:rsidRPr="007F6CA8">
        <w:rPr>
          <w:rFonts w:ascii="Sylfaen" w:hAnsi="Sylfaen"/>
          <w:sz w:val="22"/>
          <w:szCs w:val="22"/>
        </w:rPr>
        <w:t xml:space="preserve">Badurashvili, I., Nadareishvili, M., 2012, Social Impact of Emigration and Rural-Urban Migration in Central and Eastern Europe. Final Country Report. European Commission and GVG, available at: </w:t>
      </w:r>
      <w:r w:rsidRPr="007F6CA8">
        <w:rPr>
          <w:rStyle w:val="Hyperlink"/>
          <w:rFonts w:ascii="Sylfaen" w:hAnsi="Sylfaen"/>
          <w:sz w:val="22"/>
          <w:szCs w:val="22"/>
        </w:rPr>
        <w:t>http://ec.europa.eu/social/keyDocuments.jsp?pager.offset=20&amp;langId=en&amp;mode=advancedSubmit&amp;policyArea=0&amp;subCategory=0&amp;year=0&amp;country=0&amp;type=0&amp;advSearchKey=EmigrationMigrationCentralEasternEurope&amp;orderBy=docOrder</w:t>
      </w:r>
      <w:bookmarkEnd w:id="35"/>
      <w:bookmarkEnd w:id="36"/>
    </w:p>
    <w:p w14:paraId="2D3261D6" w14:textId="77777777" w:rsidR="004F68C5" w:rsidRPr="007F6CA8" w:rsidRDefault="004F68C5" w:rsidP="004D208B">
      <w:pPr>
        <w:spacing w:before="120" w:after="120" w:line="276" w:lineRule="auto"/>
        <w:rPr>
          <w:rFonts w:ascii="Sylfaen" w:hAnsi="Sylfaen"/>
          <w:color w:val="000000"/>
          <w:sz w:val="22"/>
          <w:szCs w:val="22"/>
        </w:rPr>
      </w:pPr>
      <w:r w:rsidRPr="007F6CA8">
        <w:rPr>
          <w:rFonts w:ascii="Sylfaen" w:hAnsi="Sylfaen"/>
          <w:color w:val="000000"/>
          <w:sz w:val="22"/>
          <w:szCs w:val="22"/>
        </w:rPr>
        <w:t>Badurashvili, I., Kapanadze, E., Tsiklauri, Sh., (2010): Generations and Gender Survey in Georgia. II Wave Report. Georgian Centre of Population Research (GCPR)/ United Nations Population Fund (UNFPA), Tbilisi.</w:t>
      </w:r>
    </w:p>
    <w:p w14:paraId="00E01255" w14:textId="77777777" w:rsidR="004F68C5" w:rsidRPr="007F6CA8" w:rsidRDefault="004F68C5" w:rsidP="004D208B">
      <w:pPr>
        <w:spacing w:before="120" w:after="120" w:line="276" w:lineRule="auto"/>
        <w:rPr>
          <w:rFonts w:ascii="Sylfaen" w:hAnsi="Sylfaen"/>
          <w:sz w:val="22"/>
          <w:szCs w:val="22"/>
        </w:rPr>
      </w:pPr>
      <w:r w:rsidRPr="007F6CA8">
        <w:rPr>
          <w:rFonts w:ascii="Sylfaen" w:hAnsi="Sylfaen"/>
          <w:sz w:val="22"/>
          <w:szCs w:val="22"/>
        </w:rPr>
        <w:t>Bagnardi, F, (2015): The Changing Pattern of Social Dialogue in Europe and the Influence of ILO and EU in Georgian Tripartism, In: Caucasus Social Science Review, Vol.2, Issue 1.</w:t>
      </w:r>
    </w:p>
    <w:p w14:paraId="2F2BF436" w14:textId="77777777" w:rsidR="004F68C5" w:rsidRPr="007F6CA8" w:rsidRDefault="004F68C5" w:rsidP="004D208B">
      <w:pPr>
        <w:spacing w:before="120" w:after="120" w:line="276" w:lineRule="auto"/>
        <w:rPr>
          <w:rStyle w:val="Hyperlink"/>
          <w:rFonts w:ascii="Sylfaen" w:hAnsi="Sylfaen"/>
          <w:b/>
          <w:bCs/>
          <w:sz w:val="22"/>
          <w:szCs w:val="22"/>
        </w:rPr>
      </w:pPr>
      <w:bookmarkStart w:id="37" w:name="_Toc494659899"/>
      <w:bookmarkStart w:id="38" w:name="_Toc494805100"/>
      <w:r w:rsidRPr="007F6CA8">
        <w:rPr>
          <w:rFonts w:ascii="Sylfaen" w:hAnsi="Sylfaen"/>
          <w:sz w:val="22"/>
          <w:szCs w:val="22"/>
        </w:rPr>
        <w:t xml:space="preserve">Caucasus Research Resource Centres (CRRC), Caucasus Barometer 2015 Georgia dataset, available at: </w:t>
      </w:r>
      <w:r w:rsidRPr="007F6CA8">
        <w:rPr>
          <w:rFonts w:ascii="Sylfaen" w:hAnsi="Sylfaen"/>
          <w:color w:val="333333"/>
          <w:sz w:val="22"/>
          <w:szCs w:val="22"/>
        </w:rPr>
        <w:t xml:space="preserve"> </w:t>
      </w:r>
      <w:hyperlink r:id="rId39" w:history="1">
        <w:r w:rsidRPr="007F6CA8">
          <w:rPr>
            <w:rStyle w:val="Hyperlink"/>
            <w:rFonts w:ascii="Sylfaen" w:hAnsi="Sylfaen"/>
            <w:sz w:val="22"/>
            <w:szCs w:val="22"/>
          </w:rPr>
          <w:t>http://caucasusbarometer.org</w:t>
        </w:r>
      </w:hyperlink>
      <w:r w:rsidRPr="007F6CA8">
        <w:rPr>
          <w:rStyle w:val="Hyperlink"/>
          <w:rFonts w:ascii="Sylfaen" w:hAnsi="Sylfaen"/>
          <w:sz w:val="22"/>
          <w:szCs w:val="22"/>
        </w:rPr>
        <w:t>.</w:t>
      </w:r>
      <w:bookmarkEnd w:id="37"/>
      <w:bookmarkEnd w:id="38"/>
    </w:p>
    <w:p w14:paraId="44449156" w14:textId="18E5FD70" w:rsidR="004F68C5" w:rsidRPr="007F6CA8" w:rsidRDefault="004F68C5" w:rsidP="004D208B">
      <w:pPr>
        <w:spacing w:before="120" w:after="120" w:line="276" w:lineRule="auto"/>
        <w:rPr>
          <w:rFonts w:ascii="Sylfaen" w:hAnsi="Sylfaen"/>
          <w:b/>
          <w:bCs/>
          <w:sz w:val="22"/>
          <w:szCs w:val="22"/>
        </w:rPr>
      </w:pPr>
      <w:bookmarkStart w:id="39" w:name="_Toc494659900"/>
      <w:bookmarkStart w:id="40" w:name="_Toc494805101"/>
      <w:r w:rsidRPr="007F6CA8">
        <w:rPr>
          <w:rFonts w:ascii="Sylfaen" w:hAnsi="Sylfaen"/>
          <w:sz w:val="22"/>
          <w:szCs w:val="22"/>
        </w:rPr>
        <w:t>Caucasus Research Resource Centres/International School of Economic</w:t>
      </w:r>
      <w:r w:rsidR="006F65EB" w:rsidRPr="007F6CA8">
        <w:rPr>
          <w:rFonts w:ascii="Sylfaen" w:hAnsi="Sylfaen"/>
          <w:sz w:val="22"/>
          <w:szCs w:val="22"/>
        </w:rPr>
        <w:t xml:space="preserve">s at Tbilisi State University (CRRC/ISET), </w:t>
      </w:r>
      <w:r w:rsidRPr="007F6CA8">
        <w:rPr>
          <w:rFonts w:ascii="Sylfaen" w:hAnsi="Sylfaen"/>
          <w:sz w:val="22"/>
          <w:szCs w:val="22"/>
        </w:rPr>
        <w:t>2010, Development on the move: measuring and optimising migration’s economic and social impacts in Georgia, Tbilisi</w:t>
      </w:r>
      <w:bookmarkEnd w:id="39"/>
      <w:bookmarkEnd w:id="40"/>
    </w:p>
    <w:p w14:paraId="2DE8C2F0" w14:textId="5BC66470" w:rsidR="004F68C5" w:rsidRPr="007F6CA8" w:rsidRDefault="000B734D" w:rsidP="004D208B">
      <w:pPr>
        <w:spacing w:before="120" w:after="120" w:line="276" w:lineRule="auto"/>
        <w:rPr>
          <w:rFonts w:ascii="Sylfaen" w:hAnsi="Sylfaen"/>
          <w:sz w:val="22"/>
          <w:szCs w:val="22"/>
        </w:rPr>
      </w:pPr>
      <w:bookmarkStart w:id="41" w:name="_Toc494659901"/>
      <w:bookmarkStart w:id="42" w:name="_Toc494805102"/>
      <w:r w:rsidRPr="007F6CA8">
        <w:rPr>
          <w:rFonts w:ascii="Sylfaen" w:hAnsi="Sylfaen"/>
          <w:sz w:val="22"/>
          <w:szCs w:val="22"/>
        </w:rPr>
        <w:t>Cedefop (2015). Skills, qualifications and jobs in the EU: the making of a perfect match? http://www.cedefop.europa.eu/en/publications-and-resources/publications/3072</w:t>
      </w:r>
      <w:r w:rsidR="004F68C5" w:rsidRPr="007F6CA8">
        <w:rPr>
          <w:rFonts w:ascii="Sylfaen" w:hAnsi="Sylfaen"/>
          <w:sz w:val="22"/>
          <w:szCs w:val="22"/>
        </w:rPr>
        <w:t>Government of Georgia, Social-economic Development Strategy of Georgia - Georgia 2020, available at:</w:t>
      </w:r>
      <w:bookmarkEnd w:id="41"/>
      <w:bookmarkEnd w:id="42"/>
      <w:r w:rsidR="00FD5BA4" w:rsidRPr="007F6CA8">
        <w:rPr>
          <w:rFonts w:ascii="Sylfaen" w:hAnsi="Sylfaen"/>
          <w:sz w:val="22"/>
          <w:szCs w:val="22"/>
        </w:rPr>
        <w:t xml:space="preserve"> </w:t>
      </w:r>
      <w:hyperlink r:id="rId40" w:history="1">
        <w:bookmarkStart w:id="43" w:name="_Toc494659902"/>
        <w:bookmarkStart w:id="44" w:name="_Toc494805103"/>
        <w:r w:rsidR="004F68C5" w:rsidRPr="007F6CA8">
          <w:rPr>
            <w:rStyle w:val="Hyperlink"/>
            <w:rFonts w:ascii="Sylfaen" w:hAnsi="Sylfaen"/>
            <w:sz w:val="22"/>
            <w:szCs w:val="22"/>
          </w:rPr>
          <w:t>http://www.mrdi.gov.ge/sites/default/files/social-economic_development_strategy_of_georgia_georgia_2020.pdf</w:t>
        </w:r>
        <w:bookmarkEnd w:id="43"/>
        <w:bookmarkEnd w:id="44"/>
      </w:hyperlink>
    </w:p>
    <w:p w14:paraId="558B41E2" w14:textId="77777777" w:rsidR="004F68C5" w:rsidRPr="007F6CA8" w:rsidRDefault="004F68C5" w:rsidP="004D208B">
      <w:pPr>
        <w:spacing w:before="120" w:after="120" w:line="276" w:lineRule="auto"/>
        <w:rPr>
          <w:rFonts w:ascii="Sylfaen" w:hAnsi="Sylfaen"/>
          <w:b/>
          <w:bCs/>
          <w:sz w:val="22"/>
          <w:szCs w:val="22"/>
          <w:lang w:val="de-DE"/>
        </w:rPr>
      </w:pPr>
      <w:bookmarkStart w:id="45" w:name="_Toc494659903"/>
      <w:bookmarkStart w:id="46" w:name="_Toc494805104"/>
      <w:r w:rsidRPr="007F6CA8">
        <w:rPr>
          <w:rFonts w:ascii="Sylfaen" w:hAnsi="Sylfaen"/>
          <w:sz w:val="22"/>
          <w:szCs w:val="22"/>
          <w:lang w:val="de-DE"/>
        </w:rPr>
        <w:t>Deutsche Gesellschaft f</w:t>
      </w:r>
      <w:r w:rsidRPr="007F6CA8">
        <w:rPr>
          <w:rFonts w:ascii="Sylfaen" w:hAnsi="Sylfaen" w:cs="Calibri"/>
          <w:sz w:val="22"/>
          <w:szCs w:val="22"/>
          <w:lang w:val="de-DE"/>
        </w:rPr>
        <w:t>ü</w:t>
      </w:r>
      <w:r w:rsidRPr="007F6CA8">
        <w:rPr>
          <w:rFonts w:ascii="Sylfaen" w:hAnsi="Sylfaen"/>
          <w:sz w:val="22"/>
          <w:szCs w:val="22"/>
          <w:lang w:val="de-DE"/>
        </w:rPr>
        <w:t>r Technische Zusammenarbeit (GTZ) GmbH, 2010, Matching Vocational Education in Georgia with Labour Market Needs, GTZ</w:t>
      </w:r>
      <w:bookmarkEnd w:id="45"/>
      <w:bookmarkEnd w:id="46"/>
    </w:p>
    <w:p w14:paraId="5A6B6CFE" w14:textId="7880D976" w:rsidR="004F68C5" w:rsidRPr="007F6CA8" w:rsidRDefault="004F68C5" w:rsidP="004D208B">
      <w:pPr>
        <w:spacing w:before="120" w:after="120" w:line="276" w:lineRule="auto"/>
        <w:rPr>
          <w:rFonts w:ascii="Sylfaen" w:hAnsi="Sylfaen"/>
          <w:color w:val="0000FF"/>
          <w:sz w:val="22"/>
          <w:szCs w:val="22"/>
          <w:u w:val="single"/>
        </w:rPr>
      </w:pPr>
      <w:r w:rsidRPr="007F6CA8">
        <w:rPr>
          <w:rFonts w:ascii="Sylfaen" w:hAnsi="Sylfaen"/>
          <w:sz w:val="22"/>
          <w:szCs w:val="22"/>
        </w:rPr>
        <w:t xml:space="preserve">Economic Policy Research Center (EPRC), 2011, Employment and Unemployment Trends in Georgia, Tbilisi, available at: </w:t>
      </w:r>
      <w:r w:rsidRPr="007F6CA8">
        <w:rPr>
          <w:rFonts w:ascii="Sylfaen" w:hAnsi="Sylfaen"/>
          <w:color w:val="0000FF"/>
          <w:sz w:val="22"/>
          <w:szCs w:val="22"/>
          <w:u w:val="single"/>
        </w:rPr>
        <w:t>https://www.osgf.ge/files/publications/2011/EPRC_Georgian_Economic_Outlook_II,_Nov_2011_ENG.pdf</w:t>
      </w:r>
    </w:p>
    <w:p w14:paraId="664129B5" w14:textId="77777777" w:rsidR="004F68C5" w:rsidRPr="007F6CA8" w:rsidRDefault="004F68C5" w:rsidP="004D208B">
      <w:pPr>
        <w:spacing w:before="120" w:after="120" w:line="276" w:lineRule="auto"/>
        <w:rPr>
          <w:rFonts w:ascii="Sylfaen" w:hAnsi="Sylfaen"/>
          <w:sz w:val="22"/>
          <w:szCs w:val="22"/>
        </w:rPr>
      </w:pPr>
      <w:r w:rsidRPr="007F6CA8">
        <w:rPr>
          <w:rFonts w:ascii="Sylfaen" w:hAnsi="Sylfaen"/>
          <w:color w:val="000000"/>
          <w:sz w:val="22"/>
          <w:szCs w:val="22"/>
        </w:rPr>
        <w:t xml:space="preserve">European Training Foundation (ETF) and BCG-Research, 2013, </w:t>
      </w:r>
      <w:r w:rsidRPr="007F6CA8">
        <w:rPr>
          <w:rFonts w:ascii="Sylfaen" w:hAnsi="Sylfaen"/>
          <w:iCs/>
          <w:color w:val="000000"/>
          <w:sz w:val="22"/>
          <w:szCs w:val="22"/>
        </w:rPr>
        <w:t>Migration and Skills in Georgia. Results of the 2011/12 Migration survey on the Relationship between Skills, Migration and Development</w:t>
      </w:r>
      <w:r w:rsidRPr="007F6CA8">
        <w:rPr>
          <w:rFonts w:ascii="Sylfaen" w:hAnsi="Sylfaen"/>
          <w:color w:val="000000"/>
          <w:sz w:val="22"/>
          <w:szCs w:val="22"/>
        </w:rPr>
        <w:t xml:space="preserve">, available at: </w:t>
      </w:r>
      <w:hyperlink r:id="rId41" w:history="1">
        <w:r w:rsidRPr="007F6CA8">
          <w:rPr>
            <w:rFonts w:ascii="Sylfaen" w:hAnsi="Sylfaen"/>
            <w:color w:val="0000FF"/>
            <w:sz w:val="22"/>
            <w:szCs w:val="22"/>
            <w:u w:val="single"/>
          </w:rPr>
          <w:t>http://www.etf.europa.eu/webatt.nsf/0/226927FBAE4DA4E2C1257B4D0043A93E/$file/Migration</w:t>
        </w:r>
        <w:r w:rsidRPr="007F6CA8">
          <w:rPr>
            <w:rFonts w:ascii="Sylfaen" w:hAnsi="Sylfaen"/>
            <w:vanish/>
            <w:color w:val="0000FF"/>
            <w:sz w:val="22"/>
            <w:szCs w:val="22"/>
            <w:u w:val="single"/>
          </w:rPr>
          <w:t>HYPERLINK "http://www.etf.europa.eu/webatt.nsf/0/226927FBAE4DA4E2C1257B4D0043A93E/$file/Migration&amp;skills_Georgia.pdf"</w:t>
        </w:r>
        <w:r w:rsidRPr="007F6CA8">
          <w:rPr>
            <w:rFonts w:ascii="Sylfaen" w:hAnsi="Sylfaen"/>
            <w:color w:val="0000FF"/>
            <w:sz w:val="22"/>
            <w:szCs w:val="22"/>
            <w:u w:val="single"/>
          </w:rPr>
          <w:t>&amp;</w:t>
        </w:r>
        <w:r w:rsidRPr="007F6CA8">
          <w:rPr>
            <w:rFonts w:ascii="Sylfaen" w:hAnsi="Sylfaen"/>
            <w:vanish/>
            <w:color w:val="0000FF"/>
            <w:sz w:val="22"/>
            <w:szCs w:val="22"/>
            <w:u w:val="single"/>
          </w:rPr>
          <w:t>HYPERLINK "http://www.etf.europa.eu/webatt.nsf/0/226927FBAE4DA4E2C1257B4D0043A93E/$file/Migration&amp;skills_Georgia.pdf"</w:t>
        </w:r>
        <w:r w:rsidRPr="007F6CA8">
          <w:rPr>
            <w:rFonts w:ascii="Sylfaen" w:hAnsi="Sylfaen"/>
            <w:color w:val="0000FF"/>
            <w:sz w:val="22"/>
            <w:szCs w:val="22"/>
            <w:u w:val="single"/>
          </w:rPr>
          <w:t>skills_Georgia.pdf</w:t>
        </w:r>
      </w:hyperlink>
    </w:p>
    <w:p w14:paraId="6CE9F1FF" w14:textId="77777777" w:rsidR="004F68C5" w:rsidRPr="007F6CA8" w:rsidRDefault="004F68C5" w:rsidP="004D208B">
      <w:pPr>
        <w:spacing w:before="120" w:after="120" w:line="276" w:lineRule="auto"/>
        <w:rPr>
          <w:rFonts w:ascii="Sylfaen" w:hAnsi="Sylfaen"/>
          <w:color w:val="000000"/>
          <w:sz w:val="22"/>
          <w:szCs w:val="22"/>
        </w:rPr>
      </w:pPr>
      <w:r w:rsidRPr="007F6CA8">
        <w:rPr>
          <w:rFonts w:ascii="Sylfaen" w:hAnsi="Sylfaen"/>
          <w:color w:val="000000"/>
          <w:sz w:val="22"/>
          <w:szCs w:val="22"/>
        </w:rPr>
        <w:lastRenderedPageBreak/>
        <w:t>European Training Foundation (ETF), 2015, Young people not in Employment, Education or Training (NEET), available at:</w:t>
      </w:r>
      <w:r w:rsidRPr="007F6CA8">
        <w:rPr>
          <w:rFonts w:ascii="Sylfaen" w:hAnsi="Sylfaen"/>
          <w:sz w:val="22"/>
          <w:szCs w:val="22"/>
        </w:rPr>
        <w:t xml:space="preserve"> </w:t>
      </w:r>
      <w:r w:rsidRPr="007F6CA8">
        <w:rPr>
          <w:rFonts w:ascii="Sylfaen" w:hAnsi="Sylfaen"/>
          <w:color w:val="0000FF"/>
          <w:sz w:val="22"/>
          <w:szCs w:val="22"/>
          <w:u w:val="single"/>
        </w:rPr>
        <w:t>http://www.etf.europa.eu/web.nsf/pages/NEET_ETF_partner_countries</w:t>
      </w:r>
    </w:p>
    <w:p w14:paraId="65F5BD65" w14:textId="77777777" w:rsidR="004F68C5" w:rsidRPr="007F6CA8" w:rsidRDefault="004F68C5" w:rsidP="004D208B">
      <w:pPr>
        <w:spacing w:before="120" w:after="120" w:line="276" w:lineRule="auto"/>
        <w:rPr>
          <w:rFonts w:ascii="Sylfaen" w:hAnsi="Sylfaen"/>
          <w:sz w:val="22"/>
          <w:szCs w:val="22"/>
        </w:rPr>
      </w:pPr>
      <w:r w:rsidRPr="007F6CA8">
        <w:rPr>
          <w:rFonts w:ascii="Sylfaen" w:hAnsi="Sylfaen"/>
          <w:sz w:val="22"/>
          <w:szCs w:val="22"/>
        </w:rPr>
        <w:t>European Training Foundation (ETF), 2016, Torino Process 2016-17. Georgia</w:t>
      </w:r>
    </w:p>
    <w:p w14:paraId="1F6FABFA" w14:textId="77777777" w:rsidR="004F68C5" w:rsidRPr="007F6CA8" w:rsidRDefault="004F68C5" w:rsidP="004D208B">
      <w:pPr>
        <w:spacing w:before="120" w:after="120" w:line="276" w:lineRule="auto"/>
        <w:rPr>
          <w:rFonts w:ascii="Sylfaen" w:hAnsi="Sylfaen"/>
          <w:sz w:val="22"/>
          <w:szCs w:val="22"/>
        </w:rPr>
      </w:pPr>
      <w:r w:rsidRPr="007F6CA8">
        <w:rPr>
          <w:rFonts w:ascii="Sylfaen" w:hAnsi="Sylfaen"/>
          <w:sz w:val="22"/>
          <w:szCs w:val="22"/>
        </w:rPr>
        <w:t xml:space="preserve">European Training Foundation (ETF), 2017, Education, Training and Employment Development 2016, available at: </w:t>
      </w:r>
      <w:hyperlink r:id="rId42" w:history="1">
        <w:r w:rsidRPr="007F6CA8">
          <w:rPr>
            <w:rStyle w:val="Hyperlink"/>
            <w:rFonts w:ascii="Sylfaen" w:hAnsi="Sylfaen"/>
            <w:sz w:val="22"/>
            <w:szCs w:val="22"/>
          </w:rPr>
          <w:t>http://www.etf.europa.eu/webatt.nsf/0/233AD94A2CEBED50C12580E60051DF39/$file/Georgia%202016.pdf</w:t>
        </w:r>
      </w:hyperlink>
    </w:p>
    <w:p w14:paraId="3EC11B51" w14:textId="4978A962" w:rsidR="008C4FDF" w:rsidRPr="007F6CA8" w:rsidRDefault="008C4FDF" w:rsidP="004D208B">
      <w:pPr>
        <w:pStyle w:val="CommentText"/>
        <w:spacing w:before="120" w:after="120" w:line="276" w:lineRule="auto"/>
        <w:rPr>
          <w:rFonts w:ascii="Sylfaen" w:hAnsi="Sylfaen"/>
          <w:sz w:val="22"/>
          <w:szCs w:val="22"/>
        </w:rPr>
      </w:pPr>
      <w:bookmarkStart w:id="47" w:name="_Toc494659904"/>
      <w:bookmarkStart w:id="48" w:name="_Toc494805105"/>
      <w:r w:rsidRPr="007F6CA8">
        <w:rPr>
          <w:rFonts w:ascii="Sylfaen" w:hAnsi="Sylfaen"/>
          <w:sz w:val="22"/>
          <w:szCs w:val="22"/>
        </w:rPr>
        <w:t>ETF (2018), Mapping youth transitions to work in the Eastern Partnership countries – Georgia country report</w:t>
      </w:r>
      <w:r w:rsidR="008E7175" w:rsidRPr="007F6CA8">
        <w:rPr>
          <w:rFonts w:ascii="Sylfaen" w:hAnsi="Sylfaen"/>
          <w:sz w:val="22"/>
          <w:szCs w:val="22"/>
        </w:rPr>
        <w:t>, drafted by Ana Diakonidze and Ummuhan Bardak</w:t>
      </w:r>
      <w:r w:rsidRPr="007F6CA8">
        <w:rPr>
          <w:rFonts w:ascii="Sylfaen" w:hAnsi="Sylfaen"/>
          <w:sz w:val="22"/>
          <w:szCs w:val="22"/>
        </w:rPr>
        <w:t xml:space="preserve"> (forthcoming).  </w:t>
      </w:r>
    </w:p>
    <w:p w14:paraId="1A2558F5" w14:textId="049622C3" w:rsidR="004F68C5" w:rsidRPr="007F6CA8" w:rsidRDefault="004D208B" w:rsidP="004D208B">
      <w:pPr>
        <w:spacing w:before="120" w:after="120" w:line="276" w:lineRule="auto"/>
        <w:rPr>
          <w:rFonts w:ascii="Sylfaen" w:hAnsi="Sylfaen"/>
          <w:sz w:val="22"/>
          <w:szCs w:val="22"/>
          <w:lang w:val="ka-GE"/>
        </w:rPr>
      </w:pPr>
      <w:r w:rsidRPr="007F6CA8">
        <w:rPr>
          <w:rFonts w:ascii="Sylfaen" w:hAnsi="Sylfaen"/>
          <w:sz w:val="22"/>
          <w:szCs w:val="22"/>
          <w:lang w:val="ka-GE"/>
        </w:rPr>
        <w:t>ევროპული ინიციატივა</w:t>
      </w:r>
      <w:r w:rsidR="004F68C5" w:rsidRPr="007F6CA8">
        <w:rPr>
          <w:rFonts w:ascii="Sylfaen" w:hAnsi="Sylfaen"/>
          <w:sz w:val="22"/>
          <w:szCs w:val="22"/>
        </w:rPr>
        <w:t xml:space="preserve"> - </w:t>
      </w:r>
      <w:r w:rsidRPr="007F6CA8">
        <w:rPr>
          <w:rFonts w:ascii="Sylfaen" w:hAnsi="Sylfaen"/>
          <w:sz w:val="22"/>
          <w:szCs w:val="22"/>
          <w:lang w:val="ka-GE"/>
        </w:rPr>
        <w:t>ლიბერალური აკადემია</w:t>
      </w:r>
      <w:r w:rsidR="004F68C5" w:rsidRPr="007F6CA8">
        <w:rPr>
          <w:rFonts w:ascii="Sylfaen" w:hAnsi="Sylfaen"/>
          <w:sz w:val="22"/>
          <w:szCs w:val="22"/>
        </w:rPr>
        <w:t xml:space="preserve">, 2012, </w:t>
      </w:r>
      <w:r w:rsidRPr="007F6CA8">
        <w:rPr>
          <w:rFonts w:ascii="Sylfaen" w:hAnsi="Sylfaen" w:cs="Sylfaen"/>
          <w:sz w:val="22"/>
          <w:szCs w:val="22"/>
        </w:rPr>
        <w:t>საქართველოს</w:t>
      </w:r>
      <w:r w:rsidRPr="007F6CA8">
        <w:rPr>
          <w:rFonts w:ascii="Sylfaen" w:hAnsi="Sylfaen"/>
          <w:sz w:val="22"/>
          <w:szCs w:val="22"/>
        </w:rPr>
        <w:t xml:space="preserve"> </w:t>
      </w:r>
      <w:r w:rsidRPr="007F6CA8">
        <w:rPr>
          <w:rFonts w:ascii="Sylfaen" w:hAnsi="Sylfaen" w:cs="Sylfaen"/>
          <w:sz w:val="22"/>
          <w:szCs w:val="22"/>
        </w:rPr>
        <w:t>ეკონომიკური</w:t>
      </w:r>
      <w:r w:rsidRPr="007F6CA8">
        <w:rPr>
          <w:rFonts w:ascii="Sylfaen" w:hAnsi="Sylfaen"/>
          <w:sz w:val="22"/>
          <w:szCs w:val="22"/>
        </w:rPr>
        <w:t xml:space="preserve"> </w:t>
      </w:r>
      <w:r w:rsidRPr="007F6CA8">
        <w:rPr>
          <w:rFonts w:ascii="Sylfaen" w:hAnsi="Sylfaen" w:cs="Sylfaen"/>
          <w:sz w:val="22"/>
          <w:szCs w:val="22"/>
        </w:rPr>
        <w:t>ტრანსფორმაცია</w:t>
      </w:r>
      <w:r w:rsidRPr="007F6CA8">
        <w:rPr>
          <w:rFonts w:ascii="Sylfaen" w:hAnsi="Sylfaen"/>
          <w:sz w:val="22"/>
          <w:szCs w:val="22"/>
        </w:rPr>
        <w:t xml:space="preserve">: </w:t>
      </w:r>
      <w:r w:rsidRPr="007F6CA8">
        <w:rPr>
          <w:rFonts w:ascii="Sylfaen" w:hAnsi="Sylfaen" w:cs="Sylfaen"/>
          <w:sz w:val="22"/>
          <w:szCs w:val="22"/>
        </w:rPr>
        <w:t>დამოუკიდებლობის</w:t>
      </w:r>
      <w:r w:rsidRPr="007F6CA8">
        <w:rPr>
          <w:rFonts w:ascii="Sylfaen" w:hAnsi="Sylfaen"/>
          <w:sz w:val="22"/>
          <w:szCs w:val="22"/>
        </w:rPr>
        <w:t xml:space="preserve"> 20 </w:t>
      </w:r>
      <w:r w:rsidRPr="007F6CA8">
        <w:rPr>
          <w:rFonts w:ascii="Sylfaen" w:hAnsi="Sylfaen" w:cs="Sylfaen"/>
          <w:sz w:val="22"/>
          <w:szCs w:val="22"/>
        </w:rPr>
        <w:t>წელი</w:t>
      </w:r>
      <w:r w:rsidRPr="007F6CA8">
        <w:rPr>
          <w:rFonts w:ascii="Sylfaen" w:hAnsi="Sylfaen"/>
          <w:sz w:val="22"/>
          <w:szCs w:val="22"/>
        </w:rPr>
        <w:t>, USAID-</w:t>
      </w:r>
      <w:r w:rsidRPr="007F6CA8">
        <w:rPr>
          <w:rFonts w:ascii="Sylfaen" w:hAnsi="Sylfaen"/>
          <w:sz w:val="22"/>
          <w:szCs w:val="22"/>
          <w:lang w:val="ka-GE"/>
        </w:rPr>
        <w:t xml:space="preserve">საქართველო და </w:t>
      </w:r>
      <w:r w:rsidR="004F68C5" w:rsidRPr="007F6CA8">
        <w:rPr>
          <w:rFonts w:ascii="Sylfaen" w:hAnsi="Sylfaen"/>
          <w:sz w:val="22"/>
          <w:szCs w:val="22"/>
        </w:rPr>
        <w:t xml:space="preserve">East-West Management Institute, </w:t>
      </w:r>
      <w:r w:rsidRPr="007F6CA8">
        <w:rPr>
          <w:rFonts w:ascii="Sylfaen" w:hAnsi="Sylfaen"/>
          <w:sz w:val="22"/>
          <w:szCs w:val="22"/>
          <w:lang w:val="ka-GE"/>
        </w:rPr>
        <w:t>თბილისი</w:t>
      </w:r>
      <w:bookmarkEnd w:id="47"/>
      <w:bookmarkEnd w:id="48"/>
      <w:r w:rsidRPr="007F6CA8">
        <w:rPr>
          <w:rFonts w:ascii="Sylfaen" w:hAnsi="Sylfaen"/>
          <w:sz w:val="22"/>
          <w:szCs w:val="22"/>
          <w:lang w:val="ka-GE"/>
        </w:rPr>
        <w:t>.</w:t>
      </w:r>
      <w:r w:rsidR="00C52585" w:rsidRPr="007F6CA8">
        <w:rPr>
          <w:rFonts w:ascii="Sylfaen" w:hAnsi="Sylfaen"/>
          <w:sz w:val="22"/>
          <w:szCs w:val="22"/>
        </w:rPr>
        <w:t xml:space="preserve"> </w:t>
      </w:r>
      <w:r w:rsidR="00C52585" w:rsidRPr="007F6CA8">
        <w:rPr>
          <w:rStyle w:val="Hyperlink"/>
          <w:rFonts w:ascii="Sylfaen" w:hAnsi="Sylfaen"/>
          <w:sz w:val="22"/>
          <w:szCs w:val="22"/>
          <w:u w:val="none"/>
        </w:rPr>
        <w:t xml:space="preserve">http://www.ei-lat.ge/images/stories/The_Economic_Transformation_of_Georgia_-_20_Years_of_Independence_Interim_Report_geo.pdf </w:t>
      </w:r>
    </w:p>
    <w:p w14:paraId="25D27F41" w14:textId="77777777" w:rsidR="004F68C5" w:rsidRPr="007F6CA8" w:rsidRDefault="004F68C5" w:rsidP="004D208B">
      <w:pPr>
        <w:spacing w:before="120" w:after="120" w:line="276" w:lineRule="auto"/>
        <w:rPr>
          <w:rStyle w:val="Hyperlink"/>
          <w:rFonts w:ascii="Sylfaen" w:hAnsi="Sylfaen"/>
          <w:sz w:val="22"/>
          <w:szCs w:val="22"/>
        </w:rPr>
      </w:pPr>
      <w:r w:rsidRPr="007F6CA8">
        <w:rPr>
          <w:rFonts w:ascii="Sylfaen" w:hAnsi="Sylfaen"/>
          <w:sz w:val="22"/>
          <w:szCs w:val="22"/>
        </w:rPr>
        <w:t xml:space="preserve">European Commission, 2011, Social Protection </w:t>
      </w:r>
      <w:r w:rsidR="006F65EB" w:rsidRPr="007F6CA8">
        <w:rPr>
          <w:rFonts w:ascii="Sylfaen" w:hAnsi="Sylfaen"/>
          <w:sz w:val="22"/>
          <w:szCs w:val="22"/>
        </w:rPr>
        <w:t>and Social Inclusion in Georgia</w:t>
      </w:r>
      <w:r w:rsidRPr="007F6CA8">
        <w:rPr>
          <w:rFonts w:ascii="Sylfaen" w:hAnsi="Sylfaen"/>
          <w:sz w:val="22"/>
          <w:szCs w:val="22"/>
        </w:rPr>
        <w:t xml:space="preserve"> available at: </w:t>
      </w:r>
      <w:hyperlink r:id="rId43" w:history="1">
        <w:r w:rsidRPr="007F6CA8">
          <w:rPr>
            <w:rStyle w:val="Hyperlink"/>
            <w:rFonts w:ascii="Sylfaen" w:hAnsi="Sylfaen"/>
            <w:sz w:val="22"/>
            <w:szCs w:val="22"/>
          </w:rPr>
          <w:t>http://ec.europa.eu/social/main.jsp?catId=89&amp;langId=en&amp;newsId=1045&amp;moreDocuments=yes&amp;tableName=news</w:t>
        </w:r>
      </w:hyperlink>
      <w:r w:rsidRPr="007F6CA8">
        <w:rPr>
          <w:rFonts w:ascii="Sylfaen" w:hAnsi="Sylfaen"/>
          <w:sz w:val="22"/>
          <w:szCs w:val="22"/>
        </w:rPr>
        <w:t xml:space="preserve"> </w:t>
      </w:r>
    </w:p>
    <w:p w14:paraId="64D55AC5" w14:textId="39A1C903" w:rsidR="000B734D" w:rsidRPr="007F6CA8" w:rsidRDefault="000B734D" w:rsidP="004D208B">
      <w:pPr>
        <w:spacing w:before="120" w:after="120" w:line="276" w:lineRule="auto"/>
        <w:rPr>
          <w:rFonts w:ascii="Sylfaen" w:hAnsi="Sylfaen"/>
          <w:sz w:val="22"/>
          <w:szCs w:val="22"/>
        </w:rPr>
      </w:pPr>
      <w:bookmarkStart w:id="49" w:name="_Toc494659906"/>
      <w:bookmarkStart w:id="50" w:name="_Toc494805107"/>
      <w:r w:rsidRPr="007F6CA8">
        <w:rPr>
          <w:rFonts w:ascii="Sylfaen" w:hAnsi="Sylfaen"/>
          <w:sz w:val="22"/>
          <w:szCs w:val="22"/>
        </w:rPr>
        <w:t xml:space="preserve">European Commission (2015). Analytical Web Note 07/2015 Measuring skills mismatch, </w:t>
      </w:r>
      <w:hyperlink r:id="rId44" w:history="1">
        <w:r w:rsidRPr="007F6CA8">
          <w:rPr>
            <w:rStyle w:val="Hyperlink"/>
            <w:rFonts w:ascii="Sylfaen" w:hAnsi="Sylfaen"/>
            <w:sz w:val="22"/>
            <w:szCs w:val="22"/>
          </w:rPr>
          <w:t>http://ec.europa.eu/social/main.jsp?catId=738&amp;langId=en&amp;pubId=7860</w:t>
        </w:r>
      </w:hyperlink>
    </w:p>
    <w:p w14:paraId="6C3B4618" w14:textId="73E2F4C7" w:rsidR="000B734D" w:rsidRPr="007F6CA8" w:rsidRDefault="000B734D" w:rsidP="004D208B">
      <w:pPr>
        <w:spacing w:before="120" w:after="120" w:line="276" w:lineRule="auto"/>
        <w:rPr>
          <w:rFonts w:ascii="Sylfaen" w:hAnsi="Sylfaen"/>
          <w:sz w:val="22"/>
          <w:szCs w:val="22"/>
        </w:rPr>
      </w:pPr>
      <w:r w:rsidRPr="007F6CA8">
        <w:rPr>
          <w:rFonts w:ascii="Sylfaen" w:hAnsi="Sylfaen"/>
          <w:sz w:val="22"/>
          <w:szCs w:val="22"/>
        </w:rPr>
        <w:t xml:space="preserve">Eurostat (2016), Statistical approaches to the measurement of skills, </w:t>
      </w:r>
      <w:hyperlink r:id="rId45" w:history="1">
        <w:r w:rsidRPr="007F6CA8">
          <w:rPr>
            <w:rStyle w:val="Hyperlink"/>
            <w:rFonts w:ascii="Sylfaen" w:hAnsi="Sylfaen"/>
            <w:sz w:val="22"/>
            <w:szCs w:val="22"/>
          </w:rPr>
          <w:t>http://ec.europa.eu/eurostat/documents/3888793/7753369/KS-TC-16-023-EN-N.pdf/438b69b5-2fcb-4923-b9e2-fa7b59906438</w:t>
        </w:r>
      </w:hyperlink>
    </w:p>
    <w:p w14:paraId="712287FD" w14:textId="7419AE88" w:rsidR="00C50D04" w:rsidRPr="007F6CA8" w:rsidRDefault="00C50D04" w:rsidP="004D208B">
      <w:pPr>
        <w:spacing w:before="120" w:after="120" w:line="276" w:lineRule="auto"/>
        <w:rPr>
          <w:rFonts w:ascii="Sylfaen" w:hAnsi="Sylfaen"/>
          <w:sz w:val="22"/>
          <w:szCs w:val="22"/>
        </w:rPr>
      </w:pPr>
      <w:r w:rsidRPr="007F6CA8">
        <w:rPr>
          <w:rFonts w:ascii="Sylfaen" w:hAnsi="Sylfaen"/>
          <w:sz w:val="22"/>
          <w:szCs w:val="22"/>
        </w:rPr>
        <w:t>Gamkrelidze, Georg</w:t>
      </w:r>
      <w:r w:rsidR="008E7175" w:rsidRPr="007F6CA8">
        <w:rPr>
          <w:rFonts w:ascii="Sylfaen" w:hAnsi="Sylfaen"/>
          <w:sz w:val="22"/>
          <w:szCs w:val="22"/>
        </w:rPr>
        <w:t>e</w:t>
      </w:r>
      <w:r w:rsidRPr="007F6CA8">
        <w:rPr>
          <w:rFonts w:ascii="Sylfaen" w:hAnsi="Sylfaen"/>
          <w:sz w:val="22"/>
          <w:szCs w:val="22"/>
        </w:rPr>
        <w:t xml:space="preserve"> (2016): Active Labour Market Policy Measures, PPP of The Ministry of Labour, Health and Social Affairs of Georgia,  </w:t>
      </w:r>
    </w:p>
    <w:p w14:paraId="1768A8B2" w14:textId="222B45D4" w:rsidR="004F68C5" w:rsidRPr="007F6CA8" w:rsidRDefault="004F68C5" w:rsidP="004D208B">
      <w:pPr>
        <w:spacing w:before="120" w:after="120" w:line="276" w:lineRule="auto"/>
        <w:rPr>
          <w:rFonts w:ascii="Sylfaen" w:hAnsi="Sylfaen"/>
          <w:color w:val="0000FF"/>
          <w:sz w:val="22"/>
          <w:szCs w:val="22"/>
          <w:u w:val="single"/>
        </w:rPr>
      </w:pPr>
      <w:r w:rsidRPr="007F6CA8">
        <w:rPr>
          <w:rFonts w:ascii="Sylfaen" w:hAnsi="Sylfaen"/>
          <w:sz w:val="22"/>
          <w:szCs w:val="22"/>
        </w:rPr>
        <w:t xml:space="preserve">International Bank for Reconstruction and Development/ The World Bank, 2014, Georgia Public Expenditure Review, available at: </w:t>
      </w:r>
      <w:hyperlink r:id="rId46" w:history="1">
        <w:r w:rsidRPr="007F6CA8">
          <w:rPr>
            <w:rStyle w:val="Hyperlink"/>
            <w:rFonts w:ascii="Sylfaen" w:hAnsi="Sylfaen"/>
            <w:sz w:val="22"/>
            <w:szCs w:val="22"/>
          </w:rPr>
          <w:t>http://documents.worldbank.org/curated/en/779561468275119198/pdf/781430GE0v10RE0Box0385291B00PUBLIC0.pdf</w:t>
        </w:r>
        <w:bookmarkEnd w:id="49"/>
        <w:bookmarkEnd w:id="50"/>
      </w:hyperlink>
    </w:p>
    <w:p w14:paraId="7CC5F381" w14:textId="440EB92F" w:rsidR="000B734D" w:rsidRPr="007F6CA8" w:rsidRDefault="000B734D" w:rsidP="004D208B">
      <w:pPr>
        <w:spacing w:before="120" w:after="120" w:line="276" w:lineRule="auto"/>
        <w:rPr>
          <w:rFonts w:ascii="Sylfaen" w:hAnsi="Sylfaen"/>
          <w:sz w:val="22"/>
          <w:szCs w:val="22"/>
        </w:rPr>
      </w:pPr>
      <w:bookmarkStart w:id="51" w:name="_Toc494659907"/>
      <w:bookmarkStart w:id="52" w:name="_Toc494805108"/>
      <w:r w:rsidRPr="007F6CA8">
        <w:rPr>
          <w:rFonts w:ascii="Sylfaen" w:hAnsi="Sylfaen"/>
          <w:sz w:val="22"/>
          <w:szCs w:val="22"/>
        </w:rPr>
        <w:t xml:space="preserve">JRC (2014), Occupational mismatch in Europe: understanding overeducation and overskilling for policy making, </w:t>
      </w:r>
      <w:hyperlink r:id="rId47" w:history="1">
        <w:r w:rsidRPr="007F6CA8">
          <w:rPr>
            <w:rStyle w:val="Hyperlink"/>
            <w:rFonts w:ascii="Sylfaen" w:hAnsi="Sylfaen"/>
            <w:sz w:val="22"/>
            <w:szCs w:val="22"/>
          </w:rPr>
          <w:t>http://publications.jrc.ec.europa.eu/repository/bitstream/JRC89712/occupational%20mismatch%20in%20europe.pdf</w:t>
        </w:r>
      </w:hyperlink>
    </w:p>
    <w:p w14:paraId="251C8477" w14:textId="6507F16E" w:rsidR="004F68C5" w:rsidRPr="007F6CA8" w:rsidRDefault="004F68C5" w:rsidP="004D208B">
      <w:pPr>
        <w:spacing w:before="120" w:after="120" w:line="276" w:lineRule="auto"/>
        <w:rPr>
          <w:rStyle w:val="Hyperlink"/>
          <w:rFonts w:ascii="Sylfaen" w:hAnsi="Sylfaen"/>
          <w:sz w:val="22"/>
          <w:szCs w:val="22"/>
        </w:rPr>
      </w:pPr>
      <w:r w:rsidRPr="007F6CA8">
        <w:rPr>
          <w:rFonts w:ascii="Sylfaen" w:hAnsi="Sylfaen"/>
          <w:sz w:val="22"/>
          <w:szCs w:val="22"/>
        </w:rPr>
        <w:t>Labadze, L., Tukhashvili, M., 2013, Mobility Between the EU and the Eastern Partnership Partner Countries.</w:t>
      </w:r>
      <w:r w:rsidR="006F65EB" w:rsidRPr="007F6CA8">
        <w:rPr>
          <w:rFonts w:ascii="Sylfaen" w:hAnsi="Sylfaen"/>
          <w:sz w:val="22"/>
          <w:szCs w:val="22"/>
        </w:rPr>
        <w:t xml:space="preserve"> </w:t>
      </w:r>
      <w:r w:rsidRPr="007F6CA8">
        <w:rPr>
          <w:rFonts w:ascii="Sylfaen" w:hAnsi="Sylfaen"/>
          <w:sz w:val="22"/>
          <w:szCs w:val="22"/>
        </w:rPr>
        <w:t>Country Report: Georgia, CASE – Center for Social and Economic Research, Warsaw, available at:</w:t>
      </w:r>
      <w:bookmarkEnd w:id="51"/>
      <w:bookmarkEnd w:id="52"/>
      <w:r w:rsidRPr="007F6CA8">
        <w:rPr>
          <w:rFonts w:ascii="Sylfaen" w:hAnsi="Sylfaen"/>
          <w:sz w:val="22"/>
          <w:szCs w:val="22"/>
        </w:rPr>
        <w:t xml:space="preserve"> </w:t>
      </w:r>
      <w:hyperlink r:id="rId48" w:history="1">
        <w:bookmarkStart w:id="53" w:name="_Toc494659908"/>
        <w:bookmarkStart w:id="54" w:name="_Toc494805109"/>
        <w:r w:rsidRPr="007F6CA8">
          <w:rPr>
            <w:rStyle w:val="Hyperlink"/>
            <w:rFonts w:ascii="Sylfaen" w:hAnsi="Sylfaen"/>
            <w:sz w:val="22"/>
            <w:szCs w:val="22"/>
          </w:rPr>
          <w:t>http://www.case-research.eu/uploads/zalacznik/2017-01-10/CNR_2013_113_0.pdf</w:t>
        </w:r>
        <w:bookmarkEnd w:id="53"/>
        <w:bookmarkEnd w:id="54"/>
      </w:hyperlink>
    </w:p>
    <w:p w14:paraId="1307C1CD" w14:textId="77777777" w:rsidR="004D208B" w:rsidRPr="007F6CA8" w:rsidRDefault="004D208B" w:rsidP="004D208B">
      <w:pPr>
        <w:spacing w:before="120" w:after="120" w:line="276" w:lineRule="auto"/>
        <w:rPr>
          <w:rFonts w:ascii="Sylfaen" w:hAnsi="Sylfaen"/>
          <w:sz w:val="22"/>
          <w:szCs w:val="22"/>
          <w:lang w:val="ka-GE"/>
        </w:rPr>
      </w:pPr>
      <w:bookmarkStart w:id="55" w:name="_Toc494659909"/>
      <w:bookmarkStart w:id="56" w:name="_Toc494805110"/>
      <w:r w:rsidRPr="007F6CA8">
        <w:rPr>
          <w:rFonts w:ascii="Sylfaen" w:hAnsi="Sylfaen"/>
          <w:sz w:val="22"/>
          <w:szCs w:val="22"/>
          <w:lang w:val="ka-GE"/>
        </w:rPr>
        <w:t>განათლებისა და მეცნიერების სამინისტრო (თარიღის გარეშე).</w:t>
      </w:r>
      <w:r w:rsidR="00C50D04" w:rsidRPr="007F6CA8">
        <w:rPr>
          <w:rFonts w:ascii="Sylfaen" w:hAnsi="Sylfaen"/>
          <w:sz w:val="22"/>
          <w:szCs w:val="22"/>
        </w:rPr>
        <w:t xml:space="preserve"> </w:t>
      </w:r>
      <w:r w:rsidRPr="007F6CA8">
        <w:rPr>
          <w:rFonts w:ascii="Sylfaen" w:hAnsi="Sylfaen" w:cs="Sylfaen"/>
          <w:sz w:val="22"/>
          <w:szCs w:val="22"/>
        </w:rPr>
        <w:t>საქართველოს</w:t>
      </w:r>
      <w:r w:rsidRPr="007F6CA8">
        <w:rPr>
          <w:rFonts w:ascii="Sylfaen" w:hAnsi="Sylfaen"/>
          <w:sz w:val="22"/>
          <w:szCs w:val="22"/>
        </w:rPr>
        <w:t xml:space="preserve"> </w:t>
      </w:r>
      <w:r w:rsidRPr="007F6CA8">
        <w:rPr>
          <w:rFonts w:ascii="Sylfaen" w:hAnsi="Sylfaen" w:cs="Sylfaen"/>
          <w:sz w:val="22"/>
          <w:szCs w:val="22"/>
        </w:rPr>
        <w:t>პროფესიული</w:t>
      </w:r>
      <w:r w:rsidRPr="007F6CA8">
        <w:rPr>
          <w:rFonts w:ascii="Sylfaen" w:hAnsi="Sylfaen"/>
          <w:sz w:val="22"/>
          <w:szCs w:val="22"/>
        </w:rPr>
        <w:t xml:space="preserve"> </w:t>
      </w:r>
      <w:r w:rsidRPr="007F6CA8">
        <w:rPr>
          <w:rFonts w:ascii="Sylfaen" w:hAnsi="Sylfaen" w:cs="Sylfaen"/>
          <w:sz w:val="22"/>
          <w:szCs w:val="22"/>
        </w:rPr>
        <w:t>საგანმანათლებლო</w:t>
      </w:r>
      <w:r w:rsidRPr="007F6CA8">
        <w:rPr>
          <w:rFonts w:ascii="Sylfaen" w:hAnsi="Sylfaen"/>
          <w:sz w:val="22"/>
          <w:szCs w:val="22"/>
        </w:rPr>
        <w:t xml:space="preserve"> </w:t>
      </w:r>
      <w:r w:rsidRPr="007F6CA8">
        <w:rPr>
          <w:rFonts w:ascii="Sylfaen" w:hAnsi="Sylfaen" w:cs="Sylfaen"/>
          <w:sz w:val="22"/>
          <w:szCs w:val="22"/>
        </w:rPr>
        <w:t>დაწესებულებების</w:t>
      </w:r>
      <w:r w:rsidRPr="007F6CA8">
        <w:rPr>
          <w:rFonts w:ascii="Sylfaen" w:hAnsi="Sylfaen"/>
          <w:sz w:val="22"/>
          <w:szCs w:val="22"/>
        </w:rPr>
        <w:t xml:space="preserve"> </w:t>
      </w:r>
      <w:r w:rsidRPr="007F6CA8">
        <w:rPr>
          <w:rFonts w:ascii="Sylfaen" w:hAnsi="Sylfaen" w:cs="Sylfaen"/>
          <w:sz w:val="22"/>
          <w:szCs w:val="22"/>
        </w:rPr>
        <w:t>სტატუსი</w:t>
      </w:r>
      <w:r w:rsidRPr="007F6CA8">
        <w:rPr>
          <w:rFonts w:ascii="Sylfaen" w:hAnsi="Sylfaen"/>
          <w:sz w:val="22"/>
          <w:szCs w:val="22"/>
        </w:rPr>
        <w:t xml:space="preserve"> </w:t>
      </w:r>
      <w:r w:rsidRPr="007F6CA8">
        <w:rPr>
          <w:rFonts w:ascii="Sylfaen" w:hAnsi="Sylfaen" w:cs="Sylfaen"/>
          <w:sz w:val="22"/>
          <w:szCs w:val="22"/>
        </w:rPr>
        <w:t>შრომის</w:t>
      </w:r>
      <w:r w:rsidRPr="007F6CA8">
        <w:rPr>
          <w:rFonts w:ascii="Sylfaen" w:hAnsi="Sylfaen"/>
          <w:sz w:val="22"/>
          <w:szCs w:val="22"/>
        </w:rPr>
        <w:t xml:space="preserve"> </w:t>
      </w:r>
      <w:r w:rsidRPr="007F6CA8">
        <w:rPr>
          <w:rFonts w:ascii="Sylfaen" w:hAnsi="Sylfaen" w:cs="Sylfaen"/>
          <w:sz w:val="22"/>
          <w:szCs w:val="22"/>
        </w:rPr>
        <w:t>ბაზარზე</w:t>
      </w:r>
      <w:r w:rsidRPr="007F6CA8">
        <w:rPr>
          <w:rFonts w:ascii="Sylfaen" w:hAnsi="Sylfaen"/>
          <w:sz w:val="22"/>
          <w:szCs w:val="22"/>
        </w:rPr>
        <w:t xml:space="preserve"> </w:t>
      </w:r>
      <w:r w:rsidRPr="007F6CA8">
        <w:rPr>
          <w:rFonts w:ascii="Sylfaen" w:hAnsi="Sylfaen" w:cs="Sylfaen"/>
          <w:sz w:val="22"/>
          <w:szCs w:val="22"/>
        </w:rPr>
        <w:t>კურსდამთავრებულთა</w:t>
      </w:r>
      <w:r w:rsidRPr="007F6CA8">
        <w:rPr>
          <w:rFonts w:ascii="Sylfaen" w:hAnsi="Sylfaen"/>
          <w:sz w:val="22"/>
          <w:szCs w:val="22"/>
        </w:rPr>
        <w:t xml:space="preserve"> </w:t>
      </w:r>
      <w:r w:rsidRPr="007F6CA8">
        <w:rPr>
          <w:rFonts w:ascii="Sylfaen" w:hAnsi="Sylfaen" w:cs="Sylfaen"/>
          <w:sz w:val="22"/>
          <w:szCs w:val="22"/>
        </w:rPr>
        <w:t>კვლევის</w:t>
      </w:r>
      <w:r w:rsidRPr="007F6CA8">
        <w:rPr>
          <w:rFonts w:ascii="Sylfaen" w:hAnsi="Sylfaen"/>
          <w:sz w:val="22"/>
          <w:szCs w:val="22"/>
        </w:rPr>
        <w:t xml:space="preserve"> </w:t>
      </w:r>
      <w:r w:rsidRPr="007F6CA8">
        <w:rPr>
          <w:rFonts w:ascii="Sylfaen" w:hAnsi="Sylfaen" w:cs="Sylfaen"/>
          <w:sz w:val="22"/>
          <w:szCs w:val="22"/>
        </w:rPr>
        <w:t>ანალიზი</w:t>
      </w:r>
      <w:r w:rsidRPr="007F6CA8">
        <w:rPr>
          <w:rFonts w:ascii="Sylfaen" w:hAnsi="Sylfaen" w:cs="Sylfaen"/>
          <w:sz w:val="22"/>
          <w:szCs w:val="22"/>
          <w:lang w:val="ka-GE"/>
        </w:rPr>
        <w:t>. პროფესიული განათლების განვითარების დეპარტამენტი</w:t>
      </w:r>
      <w:r w:rsidRPr="007F6CA8">
        <w:rPr>
          <w:rFonts w:ascii="Sylfaen" w:hAnsi="Sylfaen"/>
          <w:sz w:val="22"/>
          <w:szCs w:val="22"/>
          <w:lang w:val="ka-GE"/>
        </w:rPr>
        <w:t xml:space="preserve">. შრომიი ბაზრის </w:t>
      </w:r>
      <w:r w:rsidRPr="007F6CA8">
        <w:rPr>
          <w:rFonts w:ascii="Sylfaen" w:hAnsi="Sylfaen"/>
          <w:sz w:val="22"/>
          <w:szCs w:val="22"/>
          <w:lang w:val="ka-GE"/>
        </w:rPr>
        <w:lastRenderedPageBreak/>
        <w:t xml:space="preserve">კვლევის სერია #2. განათლებისა და მეცნიერების სამინისტრო. თბილისი. </w:t>
      </w:r>
      <w:r w:rsidR="00824307" w:rsidRPr="007F6CA8">
        <w:rPr>
          <w:rFonts w:ascii="Sylfaen" w:hAnsi="Sylfaen"/>
          <w:sz w:val="22"/>
          <w:szCs w:val="22"/>
        </w:rPr>
        <w:fldChar w:fldCharType="begin"/>
      </w:r>
      <w:r w:rsidR="00824307" w:rsidRPr="007F6CA8">
        <w:rPr>
          <w:rFonts w:ascii="Sylfaen" w:hAnsi="Sylfaen"/>
          <w:sz w:val="22"/>
          <w:szCs w:val="22"/>
        </w:rPr>
        <w:instrText xml:space="preserve"> HYPERLINK "http://mes.gov.ge/uploads/tracer%20study_raport%20eng.pdf" </w:instrText>
      </w:r>
      <w:r w:rsidR="00824307" w:rsidRPr="007F6CA8">
        <w:rPr>
          <w:rFonts w:ascii="Sylfaen" w:hAnsi="Sylfaen"/>
          <w:sz w:val="22"/>
          <w:szCs w:val="22"/>
        </w:rPr>
        <w:fldChar w:fldCharType="separate"/>
      </w:r>
      <w:r w:rsidR="00C50D04" w:rsidRPr="007F6CA8">
        <w:rPr>
          <w:rStyle w:val="Hyperlink"/>
          <w:rFonts w:ascii="Sylfaen" w:hAnsi="Sylfaen"/>
          <w:sz w:val="22"/>
          <w:szCs w:val="22"/>
        </w:rPr>
        <w:t>http://mes.gov.ge/uploads/tracer%20study_raport%20eng.pdf</w:t>
      </w:r>
      <w:r w:rsidR="00824307" w:rsidRPr="007F6CA8">
        <w:rPr>
          <w:rStyle w:val="Hyperlink"/>
          <w:rFonts w:ascii="Sylfaen" w:hAnsi="Sylfaen"/>
          <w:sz w:val="22"/>
          <w:szCs w:val="22"/>
        </w:rPr>
        <w:fldChar w:fldCharType="end"/>
      </w:r>
    </w:p>
    <w:p w14:paraId="52128DDD" w14:textId="3DEC76C7" w:rsidR="004F68C5" w:rsidRPr="007F6CA8" w:rsidRDefault="004D208B" w:rsidP="004D208B">
      <w:pPr>
        <w:spacing w:before="120" w:after="120" w:line="276" w:lineRule="auto"/>
        <w:rPr>
          <w:rFonts w:ascii="Sylfaen" w:hAnsi="Sylfaen"/>
          <w:sz w:val="22"/>
          <w:szCs w:val="22"/>
          <w:lang w:val="ka-GE"/>
        </w:rPr>
      </w:pPr>
      <w:r w:rsidRPr="007F6CA8">
        <w:rPr>
          <w:rFonts w:ascii="Sylfaen" w:hAnsi="Sylfaen"/>
          <w:sz w:val="22"/>
          <w:szCs w:val="22"/>
          <w:lang w:val="ka-GE"/>
        </w:rPr>
        <w:t>საქართველოს შრომის, ჯანმრთელობისა და სოციალურ საქმეთა სამინისტრო</w:t>
      </w:r>
      <w:r w:rsidRPr="007F6CA8">
        <w:rPr>
          <w:rFonts w:ascii="Sylfaen" w:hAnsi="Sylfaen"/>
          <w:sz w:val="22"/>
          <w:szCs w:val="22"/>
        </w:rPr>
        <w:t xml:space="preserve">, 2015, </w:t>
      </w:r>
      <w:r w:rsidRPr="007F6CA8">
        <w:rPr>
          <w:rFonts w:ascii="Sylfaen" w:hAnsi="Sylfaen"/>
          <w:sz w:val="22"/>
          <w:szCs w:val="22"/>
          <w:lang w:val="ka-GE"/>
        </w:rPr>
        <w:t>შრომითი ბაზრის მოთხოვნის კომპონენტის ანგარიში:</w:t>
      </w:r>
      <w:r w:rsidR="004F68C5" w:rsidRPr="007F6CA8">
        <w:rPr>
          <w:rFonts w:ascii="Sylfaen" w:hAnsi="Sylfaen"/>
          <w:sz w:val="22"/>
          <w:szCs w:val="22"/>
        </w:rPr>
        <w:t xml:space="preserve"> </w:t>
      </w:r>
      <w:hyperlink r:id="rId49" w:history="1">
        <w:r w:rsidR="00C52585" w:rsidRPr="007F6CA8">
          <w:rPr>
            <w:rStyle w:val="Hyperlink"/>
            <w:rFonts w:ascii="Sylfaen" w:hAnsi="Sylfaen"/>
            <w:sz w:val="22"/>
            <w:szCs w:val="22"/>
          </w:rPr>
          <w:t>http://moh.gov.ge/uploads/files/oldMoh/01_GEO/Shroma/kvleva/4.pdf</w:t>
        </w:r>
      </w:hyperlink>
      <w:bookmarkEnd w:id="55"/>
      <w:bookmarkEnd w:id="56"/>
      <w:r w:rsidR="004F68C5" w:rsidRPr="007F6CA8">
        <w:rPr>
          <w:rStyle w:val="Hyperlink"/>
          <w:rFonts w:ascii="Sylfaen" w:hAnsi="Sylfaen"/>
          <w:sz w:val="22"/>
          <w:szCs w:val="22"/>
        </w:rPr>
        <w:t xml:space="preserve"> </w:t>
      </w:r>
    </w:p>
    <w:p w14:paraId="2CD93FD0" w14:textId="7AA5C349" w:rsidR="004F68C5" w:rsidRPr="007F6CA8" w:rsidRDefault="004D208B" w:rsidP="004D208B">
      <w:pPr>
        <w:spacing w:before="120" w:after="120" w:line="276" w:lineRule="auto"/>
        <w:rPr>
          <w:rFonts w:ascii="Sylfaen" w:hAnsi="Sylfaen"/>
          <w:sz w:val="22"/>
          <w:szCs w:val="22"/>
        </w:rPr>
      </w:pPr>
      <w:bookmarkStart w:id="57" w:name="_Toc494659910"/>
      <w:bookmarkStart w:id="58" w:name="_Toc494805111"/>
      <w:r w:rsidRPr="007F6CA8">
        <w:rPr>
          <w:rFonts w:ascii="Sylfaen" w:hAnsi="Sylfaen"/>
          <w:iCs/>
          <w:color w:val="212120"/>
          <w:sz w:val="22"/>
          <w:szCs w:val="22"/>
          <w:lang w:val="ka-GE"/>
        </w:rPr>
        <w:t>საქართველოს სტატისტიკის ეროვნული სამსახური</w:t>
      </w:r>
      <w:r w:rsidR="004F68C5" w:rsidRPr="007F6CA8">
        <w:rPr>
          <w:rFonts w:ascii="Sylfaen" w:hAnsi="Sylfaen"/>
          <w:iCs/>
          <w:color w:val="212120"/>
          <w:sz w:val="22"/>
          <w:szCs w:val="22"/>
        </w:rPr>
        <w:t xml:space="preserve">, </w:t>
      </w:r>
      <w:r w:rsidRPr="007F6CA8">
        <w:rPr>
          <w:rFonts w:ascii="Sylfaen" w:hAnsi="Sylfaen"/>
          <w:iCs/>
          <w:color w:val="212120"/>
          <w:sz w:val="22"/>
          <w:szCs w:val="22"/>
          <w:lang w:val="ka-GE"/>
        </w:rPr>
        <w:t>საქართველოს სტატისტიკური წელიწადეული</w:t>
      </w:r>
      <w:r w:rsidR="004F68C5" w:rsidRPr="007F6CA8">
        <w:rPr>
          <w:rFonts w:ascii="Sylfaen" w:hAnsi="Sylfaen"/>
          <w:iCs/>
          <w:color w:val="212120"/>
          <w:sz w:val="22"/>
          <w:szCs w:val="22"/>
        </w:rPr>
        <w:t xml:space="preserve">: 2016, </w:t>
      </w:r>
      <w:r w:rsidRPr="007F6CA8">
        <w:rPr>
          <w:rFonts w:ascii="Sylfaen" w:hAnsi="Sylfaen"/>
          <w:iCs/>
          <w:color w:val="212120"/>
          <w:sz w:val="22"/>
          <w:szCs w:val="22"/>
          <w:lang w:val="ka-GE"/>
        </w:rPr>
        <w:t>თბილისი</w:t>
      </w:r>
      <w:r w:rsidR="004F68C5" w:rsidRPr="007F6CA8">
        <w:rPr>
          <w:rFonts w:ascii="Sylfaen" w:hAnsi="Sylfaen"/>
          <w:iCs/>
          <w:color w:val="212120"/>
          <w:sz w:val="22"/>
          <w:szCs w:val="22"/>
        </w:rPr>
        <w:t>, 2016,</w:t>
      </w:r>
      <w:bookmarkEnd w:id="57"/>
      <w:bookmarkEnd w:id="58"/>
      <w:r w:rsidR="004F68C5" w:rsidRPr="007F6CA8">
        <w:rPr>
          <w:rFonts w:ascii="Sylfaen" w:hAnsi="Sylfaen"/>
          <w:sz w:val="22"/>
          <w:szCs w:val="22"/>
        </w:rPr>
        <w:t xml:space="preserve"> </w:t>
      </w:r>
      <w:bookmarkStart w:id="59" w:name="_Toc494659911"/>
      <w:bookmarkStart w:id="60" w:name="_Toc494805112"/>
      <w:r w:rsidR="004F68C5" w:rsidRPr="007F6CA8">
        <w:rPr>
          <w:rStyle w:val="Hyperlink"/>
          <w:rFonts w:ascii="Sylfaen" w:hAnsi="Sylfaen"/>
          <w:sz w:val="22"/>
          <w:szCs w:val="22"/>
        </w:rPr>
        <w:t>http://geostat.ge/index.php?action=wnews&amp;lang=geo&amp;npid=510</w:t>
      </w:r>
      <w:bookmarkEnd w:id="59"/>
      <w:bookmarkEnd w:id="60"/>
    </w:p>
    <w:p w14:paraId="2571D0F3" w14:textId="0210C531" w:rsidR="004F68C5" w:rsidRPr="007F6CA8" w:rsidRDefault="004D208B" w:rsidP="004D208B">
      <w:pPr>
        <w:spacing w:before="120" w:after="120" w:line="276" w:lineRule="auto"/>
        <w:rPr>
          <w:rFonts w:ascii="Sylfaen" w:hAnsi="Sylfaen"/>
          <w:sz w:val="22"/>
          <w:szCs w:val="22"/>
        </w:rPr>
      </w:pPr>
      <w:bookmarkStart w:id="61" w:name="_Toc494659912"/>
      <w:bookmarkStart w:id="62" w:name="_Toc494805113"/>
      <w:r w:rsidRPr="007F6CA8">
        <w:rPr>
          <w:rFonts w:ascii="Sylfaen" w:hAnsi="Sylfaen"/>
          <w:iCs/>
          <w:color w:val="212120"/>
          <w:sz w:val="22"/>
          <w:szCs w:val="22"/>
          <w:lang w:val="ka-GE"/>
        </w:rPr>
        <w:t>საქართველოს სტატისტიკის ეროვნული სამსახური</w:t>
      </w:r>
      <w:r w:rsidRPr="007F6CA8">
        <w:rPr>
          <w:rFonts w:ascii="Sylfaen" w:hAnsi="Sylfaen"/>
          <w:iCs/>
          <w:color w:val="212120"/>
          <w:sz w:val="22"/>
          <w:szCs w:val="22"/>
        </w:rPr>
        <w:t>,</w:t>
      </w:r>
      <w:r w:rsidRPr="007F6CA8">
        <w:rPr>
          <w:rFonts w:ascii="Sylfaen" w:hAnsi="Sylfaen"/>
          <w:iCs/>
          <w:color w:val="212120"/>
          <w:sz w:val="22"/>
          <w:szCs w:val="22"/>
          <w:lang w:val="ka-GE"/>
        </w:rPr>
        <w:t xml:space="preserve"> </w:t>
      </w:r>
      <w:r w:rsidR="004F68C5" w:rsidRPr="007F6CA8">
        <w:rPr>
          <w:rFonts w:ascii="Sylfaen" w:hAnsi="Sylfaen"/>
          <w:sz w:val="22"/>
          <w:szCs w:val="22"/>
        </w:rPr>
        <w:t>2017,</w:t>
      </w:r>
      <w:r w:rsidRPr="007F6CA8">
        <w:rPr>
          <w:rFonts w:ascii="Sylfaen" w:hAnsi="Sylfaen"/>
          <w:sz w:val="22"/>
          <w:szCs w:val="22"/>
          <w:lang w:val="ka-GE"/>
        </w:rPr>
        <w:t xml:space="preserve"> დასაქმება და უმუშევრობა საქართველოში</w:t>
      </w:r>
      <w:r w:rsidR="004F68C5" w:rsidRPr="007F6CA8">
        <w:rPr>
          <w:rFonts w:ascii="Sylfaen" w:hAnsi="Sylfaen"/>
          <w:sz w:val="22"/>
          <w:szCs w:val="22"/>
        </w:rPr>
        <w:t>:</w:t>
      </w:r>
      <w:bookmarkEnd w:id="61"/>
      <w:bookmarkEnd w:id="62"/>
      <w:r w:rsidR="004F68C5" w:rsidRPr="007F6CA8">
        <w:rPr>
          <w:rFonts w:ascii="Sylfaen" w:hAnsi="Sylfaen"/>
          <w:sz w:val="22"/>
          <w:szCs w:val="22"/>
        </w:rPr>
        <w:t xml:space="preserve"> </w:t>
      </w:r>
      <w:hyperlink r:id="rId50" w:history="1">
        <w:bookmarkStart w:id="63" w:name="_Toc494659913"/>
        <w:bookmarkStart w:id="64" w:name="_Toc494805114"/>
        <w:r w:rsidR="004F68C5" w:rsidRPr="007F6CA8">
          <w:rPr>
            <w:rStyle w:val="Hyperlink"/>
            <w:rFonts w:ascii="Sylfaen" w:hAnsi="Sylfaen"/>
            <w:sz w:val="22"/>
            <w:szCs w:val="22"/>
          </w:rPr>
          <w:t>http://geostat.ge/cms/site_images/_files/georgian/labour/dasaqmeba-umushevroba%202016_GEO.pdf</w:t>
        </w:r>
        <w:bookmarkEnd w:id="63"/>
        <w:bookmarkEnd w:id="64"/>
      </w:hyperlink>
    </w:p>
    <w:p w14:paraId="1A69D192" w14:textId="77777777" w:rsidR="004F68C5" w:rsidRPr="007F6CA8" w:rsidRDefault="004F68C5" w:rsidP="004D208B">
      <w:pPr>
        <w:spacing w:before="120" w:after="120" w:line="276" w:lineRule="auto"/>
        <w:rPr>
          <w:rStyle w:val="Hyperlink"/>
          <w:rFonts w:ascii="Sylfaen" w:hAnsi="Sylfaen"/>
          <w:sz w:val="22"/>
          <w:szCs w:val="22"/>
        </w:rPr>
      </w:pPr>
      <w:r w:rsidRPr="007F6CA8">
        <w:rPr>
          <w:rFonts w:ascii="Sylfaen" w:hAnsi="Sylfaen"/>
          <w:sz w:val="22"/>
          <w:szCs w:val="22"/>
        </w:rPr>
        <w:t>Paichadze, N., Chokheli</w:t>
      </w:r>
      <w:proofErr w:type="gramStart"/>
      <w:r w:rsidRPr="007F6CA8">
        <w:rPr>
          <w:rFonts w:ascii="Sylfaen" w:hAnsi="Sylfaen"/>
          <w:sz w:val="22"/>
          <w:szCs w:val="22"/>
        </w:rPr>
        <w:t>, ,</w:t>
      </w:r>
      <w:proofErr w:type="gramEnd"/>
      <w:r w:rsidRPr="007F6CA8">
        <w:rPr>
          <w:rFonts w:ascii="Sylfaen" w:hAnsi="Sylfaen"/>
          <w:sz w:val="22"/>
          <w:szCs w:val="22"/>
        </w:rPr>
        <w:t xml:space="preserve">E., Keshelashvili, G., Kharkheli, M., Tielidze, Sh., Tchuradze, G., 2016, Employment Challenges in Georgia (An Analysis of Public and Private Sector), In: International Journal of Management and Applied Science, Volume-2, Issue-10, available at: </w:t>
      </w:r>
      <w:r w:rsidRPr="007F6CA8">
        <w:rPr>
          <w:rStyle w:val="Hyperlink"/>
          <w:rFonts w:ascii="Sylfaen" w:hAnsi="Sylfaen"/>
          <w:sz w:val="22"/>
          <w:szCs w:val="22"/>
        </w:rPr>
        <w:t>http://www.iraj.in/journal/journal_file/journal_pdf/14-308-148007423199-101.pdf</w:t>
      </w:r>
    </w:p>
    <w:p w14:paraId="689998F7" w14:textId="77777777" w:rsidR="004F68C5" w:rsidRPr="007F6CA8" w:rsidRDefault="004F68C5" w:rsidP="004D208B">
      <w:pPr>
        <w:spacing w:before="120" w:after="120" w:line="276" w:lineRule="auto"/>
        <w:rPr>
          <w:rFonts w:ascii="Sylfaen" w:hAnsi="Sylfaen"/>
          <w:b/>
          <w:sz w:val="22"/>
          <w:szCs w:val="22"/>
        </w:rPr>
      </w:pPr>
      <w:r w:rsidRPr="007F6CA8">
        <w:rPr>
          <w:rFonts w:ascii="Sylfaen" w:hAnsi="Sylfaen"/>
          <w:sz w:val="22"/>
          <w:szCs w:val="22"/>
        </w:rPr>
        <w:t xml:space="preserve">Popovaite, I., Traditional gender roles cause inequality in </w:t>
      </w:r>
      <w:r w:rsidR="0090402D" w:rsidRPr="007F6CA8">
        <w:rPr>
          <w:rFonts w:ascii="Sylfaen" w:hAnsi="Sylfaen"/>
          <w:sz w:val="22"/>
          <w:szCs w:val="22"/>
        </w:rPr>
        <w:t xml:space="preserve">labour </w:t>
      </w:r>
      <w:r w:rsidRPr="007F6CA8">
        <w:rPr>
          <w:rFonts w:ascii="Sylfaen" w:hAnsi="Sylfaen"/>
          <w:sz w:val="22"/>
          <w:szCs w:val="22"/>
        </w:rPr>
        <w:t>market, In: Democracy &amp; Freedom Watch, March 16, 2015, available at:</w:t>
      </w:r>
      <w:r w:rsidR="00C52585" w:rsidRPr="007F6CA8">
        <w:rPr>
          <w:rFonts w:ascii="Sylfaen" w:hAnsi="Sylfaen"/>
          <w:sz w:val="22"/>
          <w:szCs w:val="22"/>
        </w:rPr>
        <w:t xml:space="preserve"> </w:t>
      </w:r>
      <w:hyperlink r:id="rId51" w:history="1">
        <w:r w:rsidRPr="007F6CA8">
          <w:rPr>
            <w:rStyle w:val="Hyperlink"/>
            <w:rFonts w:ascii="Sylfaen" w:hAnsi="Sylfaen"/>
            <w:sz w:val="22"/>
            <w:szCs w:val="22"/>
          </w:rPr>
          <w:t>http://dfwatch.net/traditional-gender-roles-cause-inequality-in-labor-market-34336</w:t>
        </w:r>
      </w:hyperlink>
    </w:p>
    <w:p w14:paraId="49FC518C" w14:textId="0ECC8ABB" w:rsidR="0078487C" w:rsidRPr="007F6CA8" w:rsidRDefault="0078487C" w:rsidP="004D208B">
      <w:pPr>
        <w:spacing w:before="120" w:after="120" w:line="276" w:lineRule="auto"/>
        <w:rPr>
          <w:rFonts w:ascii="Sylfaen" w:hAnsi="Sylfaen"/>
          <w:color w:val="000000" w:themeColor="text1"/>
          <w:sz w:val="22"/>
          <w:szCs w:val="22"/>
        </w:rPr>
      </w:pPr>
      <w:bookmarkStart w:id="65" w:name="_Toc494659914"/>
      <w:bookmarkStart w:id="66" w:name="_Toc494805115"/>
      <w:r w:rsidRPr="007F6CA8">
        <w:rPr>
          <w:rFonts w:ascii="Sylfaen" w:hAnsi="Sylfaen"/>
          <w:color w:val="000000" w:themeColor="text1"/>
          <w:sz w:val="22"/>
          <w:szCs w:val="22"/>
        </w:rPr>
        <w:t>Rutkowski, J. 2015, Demand for Skills in Georgia, The World Bank, Jobs Forum, Tbilisi, October 30, 2015</w:t>
      </w:r>
    </w:p>
    <w:p w14:paraId="678E2E25" w14:textId="6FC0940B" w:rsidR="004F68C5" w:rsidRPr="007F6CA8" w:rsidRDefault="004F68C5" w:rsidP="004D208B">
      <w:pPr>
        <w:spacing w:before="120" w:after="120" w:line="276" w:lineRule="auto"/>
        <w:rPr>
          <w:rFonts w:ascii="Sylfaen" w:hAnsi="Sylfaen"/>
          <w:sz w:val="22"/>
          <w:szCs w:val="22"/>
        </w:rPr>
      </w:pPr>
      <w:r w:rsidRPr="007F6CA8">
        <w:rPr>
          <w:rFonts w:ascii="Sylfaen" w:hAnsi="Sylfaen"/>
          <w:color w:val="000000" w:themeColor="text1"/>
          <w:sz w:val="22"/>
          <w:szCs w:val="22"/>
        </w:rPr>
        <w:t>Shvelidze, Z., 2012, Transition from Soviet to Liberal Labour Law: Labour Standards in Georgia, In: E-Journal of International and Comparative Labour Studies 1, No. 1-2 March-June, pp.</w:t>
      </w:r>
      <w:r w:rsidR="006F65EB" w:rsidRPr="007F6CA8">
        <w:rPr>
          <w:rFonts w:ascii="Sylfaen" w:hAnsi="Sylfaen"/>
          <w:color w:val="000000" w:themeColor="text1"/>
          <w:sz w:val="22"/>
          <w:szCs w:val="22"/>
        </w:rPr>
        <w:t xml:space="preserve"> </w:t>
      </w:r>
      <w:r w:rsidRPr="007F6CA8">
        <w:rPr>
          <w:rFonts w:ascii="Sylfaen" w:hAnsi="Sylfaen"/>
          <w:color w:val="000000" w:themeColor="text1"/>
          <w:sz w:val="22"/>
          <w:szCs w:val="22"/>
        </w:rPr>
        <w:t>213-235</w:t>
      </w:r>
      <w:bookmarkEnd w:id="65"/>
      <w:bookmarkEnd w:id="66"/>
    </w:p>
    <w:p w14:paraId="133F91B3" w14:textId="21886FAA" w:rsidR="00C50D04" w:rsidRPr="007F6CA8" w:rsidRDefault="004D208B" w:rsidP="004D208B">
      <w:pPr>
        <w:spacing w:before="120" w:after="120" w:line="276" w:lineRule="auto"/>
        <w:rPr>
          <w:rFonts w:ascii="Sylfaen" w:hAnsi="Sylfaen"/>
          <w:sz w:val="22"/>
          <w:szCs w:val="22"/>
        </w:rPr>
      </w:pPr>
      <w:bookmarkStart w:id="67" w:name="_Toc494659915"/>
      <w:bookmarkStart w:id="68" w:name="_Toc494805116"/>
      <w:r w:rsidRPr="007F6CA8">
        <w:rPr>
          <w:rFonts w:ascii="Sylfaen" w:hAnsi="Sylfaen"/>
          <w:sz w:val="22"/>
          <w:szCs w:val="22"/>
          <w:lang w:val="ka-GE"/>
        </w:rPr>
        <w:t>სოციალური მომსახურების სააგენტო,</w:t>
      </w:r>
      <w:r w:rsidR="00C50D04" w:rsidRPr="007F6CA8">
        <w:rPr>
          <w:rFonts w:ascii="Sylfaen" w:hAnsi="Sylfaen"/>
          <w:sz w:val="22"/>
          <w:szCs w:val="22"/>
        </w:rPr>
        <w:t xml:space="preserve"> 2016</w:t>
      </w:r>
      <w:r w:rsidRPr="007F6CA8">
        <w:rPr>
          <w:rFonts w:ascii="Sylfaen" w:hAnsi="Sylfaen"/>
          <w:sz w:val="22"/>
          <w:szCs w:val="22"/>
          <w:lang w:val="ka-GE"/>
        </w:rPr>
        <w:t xml:space="preserve"> წლის ანგარიში</w:t>
      </w:r>
    </w:p>
    <w:p w14:paraId="548D294B" w14:textId="70B2B7BC" w:rsidR="004F68C5" w:rsidRPr="007F6CA8" w:rsidRDefault="004F68C5" w:rsidP="004D208B">
      <w:pPr>
        <w:spacing w:before="120" w:after="120" w:line="276" w:lineRule="auto"/>
        <w:rPr>
          <w:rFonts w:ascii="Sylfaen" w:hAnsi="Sylfaen"/>
          <w:sz w:val="22"/>
          <w:szCs w:val="22"/>
        </w:rPr>
      </w:pPr>
      <w:r w:rsidRPr="007F6CA8">
        <w:rPr>
          <w:rFonts w:ascii="Sylfaen" w:hAnsi="Sylfaen"/>
          <w:sz w:val="22"/>
          <w:szCs w:val="22"/>
        </w:rPr>
        <w:t>Terterashvili, M., 2014, The Socio-Economic Dimensions of Gender Inequalities in Rural Areas of Georgia, Tbilisi</w:t>
      </w:r>
      <w:bookmarkEnd w:id="67"/>
      <w:bookmarkEnd w:id="68"/>
    </w:p>
    <w:p w14:paraId="4675F2A5" w14:textId="77777777" w:rsidR="004F68C5" w:rsidRPr="007F6CA8" w:rsidRDefault="004F68C5" w:rsidP="004D208B">
      <w:pPr>
        <w:spacing w:before="120" w:after="120" w:line="276" w:lineRule="auto"/>
        <w:rPr>
          <w:rFonts w:ascii="Sylfaen" w:hAnsi="Sylfaen"/>
          <w:sz w:val="22"/>
          <w:szCs w:val="22"/>
        </w:rPr>
      </w:pPr>
      <w:bookmarkStart w:id="69" w:name="_Toc494659916"/>
      <w:bookmarkStart w:id="70" w:name="_Toc494805117"/>
      <w:r w:rsidRPr="007F6CA8">
        <w:rPr>
          <w:rFonts w:ascii="Sylfaen" w:hAnsi="Sylfaen"/>
          <w:sz w:val="22"/>
          <w:szCs w:val="22"/>
        </w:rPr>
        <w:t>The International Institute for Education, Planning, Policy and Management (EPPM), 2013, Strategic Development of Higher Education and Science in Georgia Policy Analysis of Higher Education according to Five Strategic Directions. V – Higher Education and Employment, Tbilisi</w:t>
      </w:r>
      <w:bookmarkEnd w:id="69"/>
      <w:bookmarkEnd w:id="70"/>
    </w:p>
    <w:p w14:paraId="35EA79F6" w14:textId="77777777" w:rsidR="004F68C5" w:rsidRPr="007F6CA8" w:rsidRDefault="004F68C5" w:rsidP="004D208B">
      <w:pPr>
        <w:spacing w:before="120" w:after="120" w:line="276" w:lineRule="auto"/>
        <w:rPr>
          <w:rStyle w:val="Hyperlink"/>
          <w:rFonts w:ascii="Sylfaen" w:hAnsi="Sylfaen"/>
          <w:sz w:val="22"/>
          <w:szCs w:val="22"/>
        </w:rPr>
      </w:pPr>
      <w:r w:rsidRPr="007F6CA8">
        <w:rPr>
          <w:rFonts w:ascii="Sylfaen" w:hAnsi="Sylfaen"/>
          <w:sz w:val="22"/>
          <w:szCs w:val="22"/>
        </w:rPr>
        <w:t>UNDP, Briefing note for countries on the 2016 Human Development Report, Georgia, available at:</w:t>
      </w:r>
      <w:r w:rsidR="006F65EB" w:rsidRPr="007F6CA8">
        <w:rPr>
          <w:rFonts w:ascii="Sylfaen" w:hAnsi="Sylfaen"/>
          <w:sz w:val="22"/>
          <w:szCs w:val="22"/>
        </w:rPr>
        <w:t xml:space="preserve"> </w:t>
      </w:r>
      <w:r w:rsidRPr="007F6CA8">
        <w:rPr>
          <w:rStyle w:val="Hyperlink"/>
          <w:rFonts w:ascii="Sylfaen" w:hAnsi="Sylfaen"/>
          <w:sz w:val="22"/>
          <w:szCs w:val="22"/>
        </w:rPr>
        <w:t xml:space="preserve">http://hdr.undp.org/sites/all/themes/hdr_theme/country-notes/GEO.pdf  </w:t>
      </w:r>
    </w:p>
    <w:p w14:paraId="7F5599EC" w14:textId="77777777" w:rsidR="004F68C5" w:rsidRPr="007F6CA8" w:rsidRDefault="004F68C5" w:rsidP="004D208B">
      <w:pPr>
        <w:spacing w:before="120" w:after="120" w:line="276" w:lineRule="auto"/>
        <w:rPr>
          <w:rFonts w:ascii="Sylfaen" w:hAnsi="Sylfaen"/>
          <w:sz w:val="22"/>
          <w:szCs w:val="22"/>
        </w:rPr>
      </w:pPr>
      <w:r w:rsidRPr="007F6CA8">
        <w:rPr>
          <w:rFonts w:ascii="Sylfaen" w:hAnsi="Sylfaen"/>
          <w:sz w:val="22"/>
          <w:szCs w:val="22"/>
        </w:rPr>
        <w:t>UNICEF, 2014, Student Performance in Georgia according to the programme for international student assessment (PISA), available at:</w:t>
      </w:r>
      <w:r w:rsidR="00C52585" w:rsidRPr="007F6CA8">
        <w:rPr>
          <w:rFonts w:ascii="Sylfaen" w:hAnsi="Sylfaen"/>
          <w:sz w:val="22"/>
          <w:szCs w:val="22"/>
        </w:rPr>
        <w:t xml:space="preserve"> </w:t>
      </w:r>
      <w:hyperlink r:id="rId52" w:history="1">
        <w:r w:rsidRPr="007F6CA8">
          <w:rPr>
            <w:rStyle w:val="Hyperlink"/>
            <w:rFonts w:ascii="Sylfaen" w:hAnsi="Sylfaen"/>
            <w:sz w:val="22"/>
            <w:szCs w:val="22"/>
          </w:rPr>
          <w:t>http://unicef.ge/uploads/PISA_eng_WEB.pdf</w:t>
        </w:r>
      </w:hyperlink>
    </w:p>
    <w:p w14:paraId="11FEDE7C" w14:textId="77777777" w:rsidR="004F68C5" w:rsidRPr="007F6CA8" w:rsidRDefault="004F68C5" w:rsidP="004D208B">
      <w:pPr>
        <w:spacing w:before="120" w:after="120" w:line="276" w:lineRule="auto"/>
        <w:rPr>
          <w:rFonts w:ascii="Sylfaen" w:hAnsi="Sylfaen"/>
          <w:color w:val="0000FF"/>
          <w:sz w:val="22"/>
          <w:szCs w:val="22"/>
          <w:u w:val="single"/>
        </w:rPr>
      </w:pPr>
      <w:r w:rsidRPr="007F6CA8">
        <w:rPr>
          <w:rFonts w:ascii="Sylfaen" w:hAnsi="Sylfaen"/>
          <w:sz w:val="22"/>
          <w:szCs w:val="22"/>
        </w:rPr>
        <w:t>United Nations (UN), 2017, World Population Prospects: the 2017 Revision. New York, United Nati</w:t>
      </w:r>
      <w:r w:rsidR="006F65EB" w:rsidRPr="007F6CA8">
        <w:rPr>
          <w:rFonts w:ascii="Sylfaen" w:hAnsi="Sylfaen"/>
          <w:sz w:val="22"/>
          <w:szCs w:val="22"/>
        </w:rPr>
        <w:t>ons Population Division, UNDESA:</w:t>
      </w:r>
      <w:r w:rsidR="006F65EB" w:rsidRPr="007F6CA8">
        <w:rPr>
          <w:rStyle w:val="Hyperlink"/>
          <w:rFonts w:ascii="Sylfaen" w:hAnsi="Sylfaen"/>
          <w:sz w:val="22"/>
          <w:szCs w:val="22"/>
        </w:rPr>
        <w:t xml:space="preserve"> https://esa.un.org/unpd/wpp/Download/Standard/Migration/</w:t>
      </w:r>
    </w:p>
    <w:p w14:paraId="085B4EE8" w14:textId="03E321EF" w:rsidR="004F68C5" w:rsidRPr="007F6CA8" w:rsidRDefault="004F68C5" w:rsidP="004D208B">
      <w:pPr>
        <w:spacing w:before="120" w:after="120" w:line="276" w:lineRule="auto"/>
        <w:rPr>
          <w:rFonts w:ascii="Sylfaen" w:hAnsi="Sylfaen"/>
          <w:sz w:val="22"/>
          <w:szCs w:val="22"/>
        </w:rPr>
      </w:pPr>
      <w:r w:rsidRPr="007F6CA8">
        <w:rPr>
          <w:rFonts w:ascii="Sylfaen" w:hAnsi="Sylfaen"/>
          <w:sz w:val="22"/>
          <w:szCs w:val="22"/>
        </w:rPr>
        <w:t xml:space="preserve">US Agency for International Development (USAID) &amp; International Organization for Migration (IOM), 2010, </w:t>
      </w:r>
      <w:r w:rsidR="0090402D" w:rsidRPr="007F6CA8">
        <w:rPr>
          <w:rFonts w:ascii="Sylfaen" w:hAnsi="Sylfaen"/>
          <w:sz w:val="22"/>
          <w:szCs w:val="22"/>
        </w:rPr>
        <w:t xml:space="preserve">Labour </w:t>
      </w:r>
      <w:r w:rsidRPr="007F6CA8">
        <w:rPr>
          <w:rFonts w:ascii="Sylfaen" w:hAnsi="Sylfaen"/>
          <w:sz w:val="22"/>
          <w:szCs w:val="22"/>
        </w:rPr>
        <w:t xml:space="preserve">Market in Georgia. Report on June-July 2010 Survey, Tbilisi, available at: </w:t>
      </w:r>
      <w:hyperlink r:id="rId53" w:history="1">
        <w:r w:rsidRPr="007F6CA8">
          <w:rPr>
            <w:rStyle w:val="Hyperlink"/>
            <w:rFonts w:ascii="Sylfaen" w:hAnsi="Sylfaen"/>
            <w:sz w:val="22"/>
            <w:szCs w:val="22"/>
          </w:rPr>
          <w:t>http://iom.ge/1/sites/default/files/pdf/Labour%20Market%20in%20Georgia.pdf</w:t>
        </w:r>
      </w:hyperlink>
    </w:p>
    <w:p w14:paraId="304FE90C" w14:textId="3B9989D8" w:rsidR="004F68C5" w:rsidRPr="007F6CA8" w:rsidRDefault="004F68C5" w:rsidP="004D208B">
      <w:pPr>
        <w:spacing w:before="120" w:after="120" w:line="276" w:lineRule="auto"/>
        <w:rPr>
          <w:rStyle w:val="Hyperlink"/>
          <w:rFonts w:ascii="Sylfaen" w:hAnsi="Sylfaen"/>
          <w:color w:val="auto"/>
          <w:sz w:val="22"/>
          <w:szCs w:val="22"/>
          <w:u w:val="none"/>
        </w:rPr>
      </w:pPr>
      <w:r w:rsidRPr="007F6CA8">
        <w:rPr>
          <w:rFonts w:ascii="Sylfaen" w:hAnsi="Sylfaen"/>
          <w:sz w:val="22"/>
          <w:szCs w:val="22"/>
        </w:rPr>
        <w:lastRenderedPageBreak/>
        <w:t xml:space="preserve">USAID and IOM, 2011, Supplying Workforce to the Georgian </w:t>
      </w:r>
      <w:r w:rsidR="0090402D" w:rsidRPr="007F6CA8">
        <w:rPr>
          <w:rFonts w:ascii="Sylfaen" w:hAnsi="Sylfaen"/>
          <w:sz w:val="22"/>
          <w:szCs w:val="22"/>
        </w:rPr>
        <w:t xml:space="preserve">Labour </w:t>
      </w:r>
      <w:r w:rsidRPr="007F6CA8">
        <w:rPr>
          <w:rFonts w:ascii="Sylfaen" w:hAnsi="Sylfaen"/>
          <w:sz w:val="22"/>
          <w:szCs w:val="22"/>
        </w:rPr>
        <w:t>Market report for Research Implemented in February-</w:t>
      </w:r>
      <w:proofErr w:type="gramStart"/>
      <w:r w:rsidRPr="007F6CA8">
        <w:rPr>
          <w:rFonts w:ascii="Sylfaen" w:hAnsi="Sylfaen"/>
          <w:sz w:val="22"/>
          <w:szCs w:val="22"/>
        </w:rPr>
        <w:t>June,</w:t>
      </w:r>
      <w:proofErr w:type="gramEnd"/>
      <w:r w:rsidRPr="007F6CA8">
        <w:rPr>
          <w:rFonts w:ascii="Sylfaen" w:hAnsi="Sylfaen"/>
          <w:sz w:val="22"/>
          <w:szCs w:val="22"/>
        </w:rPr>
        <w:t xml:space="preserve"> 2011, Tbilisi</w:t>
      </w:r>
    </w:p>
    <w:p w14:paraId="600FFDBC" w14:textId="2BE65415" w:rsidR="00165A12" w:rsidRPr="007F6CA8" w:rsidRDefault="004F68C5" w:rsidP="004D208B">
      <w:pPr>
        <w:spacing w:before="120" w:after="120" w:line="276" w:lineRule="auto"/>
        <w:rPr>
          <w:rStyle w:val="Hyperlink"/>
          <w:rFonts w:ascii="Sylfaen" w:hAnsi="Sylfaen"/>
          <w:sz w:val="22"/>
          <w:szCs w:val="22"/>
        </w:rPr>
      </w:pPr>
      <w:r w:rsidRPr="007F6CA8">
        <w:rPr>
          <w:rFonts w:ascii="Sylfaen" w:hAnsi="Sylfaen"/>
          <w:color w:val="000000"/>
          <w:sz w:val="22"/>
          <w:szCs w:val="22"/>
          <w:shd w:val="clear" w:color="auto" w:fill="FFFFFF"/>
        </w:rPr>
        <w:t>World Bank (WB), 2013. </w:t>
      </w:r>
      <w:r w:rsidRPr="007F6CA8">
        <w:rPr>
          <w:rFonts w:ascii="Sylfaen" w:hAnsi="Sylfaen"/>
          <w:iCs/>
          <w:color w:val="000000"/>
          <w:sz w:val="22"/>
          <w:szCs w:val="22"/>
          <w:bdr w:val="none" w:sz="0" w:space="0" w:color="auto" w:frame="1"/>
          <w:shd w:val="clear" w:color="auto" w:fill="FFFFFF"/>
        </w:rPr>
        <w:t xml:space="preserve">Georgia - Skills mismatch unemployment </w:t>
      </w:r>
      <w:r w:rsidR="0090402D" w:rsidRPr="007F6CA8">
        <w:rPr>
          <w:rFonts w:ascii="Sylfaen" w:hAnsi="Sylfaen"/>
          <w:iCs/>
          <w:color w:val="000000"/>
          <w:sz w:val="22"/>
          <w:szCs w:val="22"/>
          <w:bdr w:val="none" w:sz="0" w:space="0" w:color="auto" w:frame="1"/>
          <w:shd w:val="clear" w:color="auto" w:fill="FFFFFF"/>
        </w:rPr>
        <w:t xml:space="preserve">labour </w:t>
      </w:r>
      <w:r w:rsidRPr="007F6CA8">
        <w:rPr>
          <w:rFonts w:ascii="Sylfaen" w:hAnsi="Sylfaen"/>
          <w:iCs/>
          <w:color w:val="000000"/>
          <w:sz w:val="22"/>
          <w:szCs w:val="22"/>
          <w:bdr w:val="none" w:sz="0" w:space="0" w:color="auto" w:frame="1"/>
          <w:shd w:val="clear" w:color="auto" w:fill="FFFFFF"/>
        </w:rPr>
        <w:t>market challenges</w:t>
      </w:r>
      <w:r w:rsidRPr="007F6CA8">
        <w:rPr>
          <w:rFonts w:ascii="Sylfaen" w:hAnsi="Sylfaen"/>
          <w:color w:val="000000"/>
          <w:sz w:val="22"/>
          <w:szCs w:val="22"/>
          <w:shd w:val="clear" w:color="auto" w:fill="FFFFFF"/>
        </w:rPr>
        <w:t xml:space="preserve">. Washington DC; World Bank, available at: </w:t>
      </w:r>
      <w:hyperlink r:id="rId54" w:history="1">
        <w:r w:rsidR="00165A12" w:rsidRPr="007F6CA8">
          <w:rPr>
            <w:rStyle w:val="Hyperlink"/>
            <w:rFonts w:ascii="Sylfaen" w:hAnsi="Sylfaen"/>
            <w:sz w:val="22"/>
            <w:szCs w:val="22"/>
          </w:rPr>
          <w:t>http://documents.worldbank.org/curated/en/999371468242985088/Georgia-Skills-mismatch-unemployment-labor-market-challenges</w:t>
        </w:r>
      </w:hyperlink>
    </w:p>
    <w:p w14:paraId="36F05022" w14:textId="2CFCA29E" w:rsidR="00C50D04" w:rsidRPr="007F6CA8" w:rsidRDefault="00C50D04" w:rsidP="004D208B">
      <w:pPr>
        <w:spacing w:before="120" w:after="120" w:line="276" w:lineRule="auto"/>
        <w:rPr>
          <w:rFonts w:ascii="Sylfaen" w:hAnsi="Sylfaen"/>
          <w:color w:val="000000"/>
          <w:sz w:val="22"/>
          <w:szCs w:val="22"/>
          <w:shd w:val="clear" w:color="auto" w:fill="FFFFFF"/>
        </w:rPr>
      </w:pPr>
      <w:r w:rsidRPr="007F6CA8">
        <w:rPr>
          <w:rFonts w:ascii="Sylfaen" w:hAnsi="Sylfaen"/>
          <w:color w:val="000000"/>
          <w:sz w:val="22"/>
          <w:szCs w:val="22"/>
          <w:shd w:val="clear" w:color="auto" w:fill="FFFFFF"/>
        </w:rPr>
        <w:t>World</w:t>
      </w:r>
      <w:r w:rsidR="008E7175" w:rsidRPr="007F6CA8">
        <w:rPr>
          <w:rFonts w:ascii="Sylfaen" w:hAnsi="Sylfaen"/>
          <w:color w:val="000000"/>
          <w:sz w:val="22"/>
          <w:szCs w:val="22"/>
          <w:shd w:val="clear" w:color="auto" w:fill="FFFFFF"/>
        </w:rPr>
        <w:t xml:space="preserve"> B</w:t>
      </w:r>
      <w:r w:rsidRPr="007F6CA8">
        <w:rPr>
          <w:rFonts w:ascii="Sylfaen" w:hAnsi="Sylfaen"/>
          <w:color w:val="000000"/>
          <w:sz w:val="22"/>
          <w:szCs w:val="22"/>
          <w:shd w:val="clear" w:color="auto" w:fill="FFFFFF"/>
        </w:rPr>
        <w:t>ank (2014</w:t>
      </w:r>
      <w:proofErr w:type="gramStart"/>
      <w:r w:rsidRPr="007F6CA8">
        <w:rPr>
          <w:rFonts w:ascii="Sylfaen" w:hAnsi="Sylfaen"/>
          <w:color w:val="000000"/>
          <w:sz w:val="22"/>
          <w:szCs w:val="22"/>
          <w:shd w:val="clear" w:color="auto" w:fill="FFFFFF"/>
        </w:rPr>
        <w:t>) ”Generation</w:t>
      </w:r>
      <w:proofErr w:type="gramEnd"/>
      <w:r w:rsidRPr="007F6CA8">
        <w:rPr>
          <w:rFonts w:ascii="Sylfaen" w:hAnsi="Sylfaen"/>
          <w:color w:val="000000"/>
          <w:sz w:val="22"/>
          <w:szCs w:val="22"/>
          <w:shd w:val="clear" w:color="auto" w:fill="FFFFFF"/>
        </w:rPr>
        <w:t xml:space="preserve"> in Transition: Youth Study Georgia- 2016”, Washington DC; World Bank.</w:t>
      </w:r>
    </w:p>
    <w:p w14:paraId="1936951B" w14:textId="77777777" w:rsidR="00C50D04" w:rsidRPr="007F6CA8" w:rsidRDefault="00C50D04" w:rsidP="004D208B">
      <w:pPr>
        <w:spacing w:before="120" w:after="120" w:line="276" w:lineRule="auto"/>
        <w:rPr>
          <w:rFonts w:ascii="Sylfaen" w:hAnsi="Sylfaen"/>
          <w:color w:val="000000"/>
          <w:sz w:val="22"/>
          <w:szCs w:val="22"/>
          <w:shd w:val="clear" w:color="auto" w:fill="FFFFFF"/>
        </w:rPr>
      </w:pPr>
    </w:p>
    <w:bookmarkEnd w:id="1"/>
    <w:p w14:paraId="1BC6C1E3" w14:textId="4342AD35" w:rsidR="008165FC" w:rsidRPr="007F6CA8" w:rsidRDefault="008165FC" w:rsidP="004D208B">
      <w:pPr>
        <w:spacing w:before="120" w:after="120" w:line="276" w:lineRule="auto"/>
        <w:rPr>
          <w:rFonts w:ascii="Sylfaen" w:eastAsiaTheme="majorEastAsia" w:hAnsi="Sylfaen" w:cstheme="majorBidi"/>
          <w:b/>
          <w:bCs/>
          <w:caps/>
          <w:color w:val="0092BB" w:themeColor="accent1"/>
          <w:sz w:val="22"/>
          <w:szCs w:val="22"/>
        </w:rPr>
      </w:pPr>
    </w:p>
    <w:sectPr w:rsidR="008165FC" w:rsidRPr="007F6CA8" w:rsidSect="00D63332">
      <w:headerReference w:type="default" r:id="rId55"/>
      <w:pgSz w:w="11906" w:h="16838"/>
      <w:pgMar w:top="1134" w:right="1303" w:bottom="1440" w:left="124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BCD71" w14:textId="77777777" w:rsidR="001F7867" w:rsidRDefault="001F7867" w:rsidP="0089222B">
      <w:r>
        <w:separator/>
      </w:r>
    </w:p>
  </w:endnote>
  <w:endnote w:type="continuationSeparator" w:id="0">
    <w:p w14:paraId="4586E541" w14:textId="77777777" w:rsidR="001F7867" w:rsidRDefault="001F7867" w:rsidP="00892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Calibri"/>
    <w:panose1 w:val="020B0604020202020204"/>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imesNewRomanPSMT">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0860F" w14:textId="77777777" w:rsidR="001242FA" w:rsidRDefault="001242FA" w:rsidP="0089222B">
    <w:pPr>
      <w:pStyle w:val="Footer"/>
    </w:pPr>
    <w:r>
      <w:rPr>
        <w:noProof/>
        <w:lang w:eastAsia="en-GB"/>
      </w:rPr>
      <mc:AlternateContent>
        <mc:Choice Requires="wps">
          <w:drawing>
            <wp:anchor distT="0" distB="0" distL="114300" distR="114300" simplePos="0" relativeHeight="251654139" behindDoc="0" locked="0" layoutInCell="1" allowOverlap="1" wp14:anchorId="58AB62BB" wp14:editId="41F79559">
              <wp:simplePos x="0" y="0"/>
              <wp:positionH relativeFrom="page">
                <wp:posOffset>666115</wp:posOffset>
              </wp:positionH>
              <wp:positionV relativeFrom="paragraph">
                <wp:posOffset>-107950</wp:posOffset>
              </wp:positionV>
              <wp:extent cx="6497955" cy="431800"/>
              <wp:effectExtent l="0" t="0" r="0" b="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50A2E053" w14:textId="6A75682C" w:rsidR="001242FA" w:rsidRPr="00416AC1" w:rsidRDefault="001242FA" w:rsidP="00416AC1">
                          <w:r>
                            <w:rPr>
                              <w:rFonts w:ascii="Sylfaen" w:hAnsi="Sylfaen"/>
                              <w:lang w:val="ka-GE"/>
                            </w:rPr>
                            <w:t xml:space="preserve">უნარების შეუსაბამობის გაზომვა </w:t>
                          </w:r>
                          <w:r>
                            <w:rPr>
                              <w:rFonts w:ascii="Sylfaen" w:hAnsi="Sylfaen"/>
                            </w:rPr>
                            <w:t xml:space="preserve">ETF </w:t>
                          </w:r>
                          <w:r>
                            <w:rPr>
                              <w:rFonts w:ascii="Sylfaen" w:hAnsi="Sylfaen"/>
                              <w:lang w:val="ka-GE"/>
                            </w:rPr>
                            <w:t>პარტნიორ ქვეყნებში</w:t>
                          </w:r>
                        </w:p>
                      </w:txbxContent>
                    </wps:txbx>
                    <wps:bodyPr rot="0" vert="horz" wrap="square" lIns="91440" tIns="45720" rIns="16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B62BB" id="AutoShape 4" o:spid="_x0000_s1026" style="position:absolute;left:0;text-align:left;margin-left:52.45pt;margin-top:-8.5pt;width:511.65pt;height:34pt;z-index:2516541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2534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" fillcolor="#0092bb [3207]" stroked="f" strokecolor="#0393bc" strokeweight="3pt">
              <v:fill color2="#94c2d4 [3208]" rotate="t" angle="90" focus="100%" type="gradient"/>
              <v:shadow color="#336a7f [1608]" opacity=".5" offset="1pt"/>
              <v:textbox inset=",,4.5mm">
                <w:txbxContent>
                  <w:p w14:paraId="50A2E053" w14:textId="6A75682C" w:rsidR="001242FA" w:rsidRPr="00416AC1" w:rsidRDefault="001242FA" w:rsidP="00416AC1">
                    <w:r>
                      <w:rPr>
                        <w:rFonts w:ascii="Sylfaen" w:hAnsi="Sylfaen"/>
                        <w:lang w:val="ka-GE"/>
                      </w:rPr>
                      <w:t xml:space="preserve">უნარების შეუსაბამობის გაზომვა </w:t>
                    </w:r>
                    <w:r>
                      <w:rPr>
                        <w:rFonts w:ascii="Sylfaen" w:hAnsi="Sylfaen"/>
                      </w:rPr>
                      <w:t xml:space="preserve">ETF </w:t>
                    </w:r>
                    <w:r>
                      <w:rPr>
                        <w:rFonts w:ascii="Sylfaen" w:hAnsi="Sylfaen"/>
                        <w:lang w:val="ka-GE"/>
                      </w:rPr>
                      <w:t>პარტნიორ ქვეყნებში</w:t>
                    </w:r>
                  </w:p>
                </w:txbxContent>
              </v:textbox>
              <w10:wrap anchorx="page"/>
            </v:roundrect>
          </w:pict>
        </mc:Fallback>
      </mc:AlternateContent>
    </w:r>
    <w:r>
      <w:rPr>
        <w:noProof/>
        <w:lang w:eastAsia="en-GB"/>
      </w:rPr>
      <mc:AlternateContent>
        <mc:Choice Requires="wps">
          <w:drawing>
            <wp:anchor distT="0" distB="0" distL="114300" distR="114300" simplePos="0" relativeHeight="251653114" behindDoc="0" locked="0" layoutInCell="1" allowOverlap="1" wp14:anchorId="52294302" wp14:editId="13FC8F1A">
              <wp:simplePos x="0" y="0"/>
              <wp:positionH relativeFrom="page">
                <wp:posOffset>666115</wp:posOffset>
              </wp:positionH>
              <wp:positionV relativeFrom="paragraph">
                <wp:posOffset>-107950</wp:posOffset>
              </wp:positionV>
              <wp:extent cx="6296660" cy="26670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BED9F" id="Rectangle 5" o:spid="_x0000_s1026" style="position:absolute;margin-left:52.45pt;margin-top:-8.5pt;width:495.8pt;height:21pt;z-index:2516531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" fillcolor="#0092bb [3207]" stroked="f">
              <v:fill color2="#94c2d4 [3208]" rotate="t" angle="90" focus="100%" type="gradient"/>
              <w10:wrap anchorx="page"/>
            </v:rect>
          </w:pict>
        </mc:Fallback>
      </mc:AlternateContent>
    </w:r>
  </w:p>
  <w:p w14:paraId="30D39550" w14:textId="77777777" w:rsidR="001242FA" w:rsidRDefault="001242FA" w:rsidP="00892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7A4FD" w14:textId="77777777" w:rsidR="001242FA" w:rsidRDefault="001242FA" w:rsidP="0089222B">
    <w:pPr>
      <w:pStyle w:val="Footer"/>
    </w:pPr>
    <w:r>
      <w:rPr>
        <w:noProof/>
        <w:lang w:eastAsia="en-GB"/>
      </w:rPr>
      <mc:AlternateContent>
        <mc:Choice Requires="wps">
          <w:drawing>
            <wp:anchor distT="0" distB="0" distL="114300" distR="114300" simplePos="0" relativeHeight="251658239" behindDoc="0" locked="0" layoutInCell="1" allowOverlap="1" wp14:anchorId="4A7946E1" wp14:editId="29A1056C">
              <wp:simplePos x="0" y="0"/>
              <wp:positionH relativeFrom="page">
                <wp:posOffset>666115</wp:posOffset>
              </wp:positionH>
              <wp:positionV relativeFrom="paragraph">
                <wp:posOffset>-450215</wp:posOffset>
              </wp:positionV>
              <wp:extent cx="6334760" cy="2667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2CAD8" id="Rectangle 3" o:spid="_x0000_s1026" style="position:absolute;margin-left:52.45pt;margin-top:-35.45pt;width:498.8pt;height: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" fillcolor="#0092bb [3207]" stroked="f">
              <v:fill color2="#94c2d4 [3208]" rotate="t" angle="90" focus="100%" type="gradient"/>
              <w10:wrap anchorx="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2159D85A" wp14:editId="0ECDBF8D">
              <wp:simplePos x="0" y="0"/>
              <wp:positionH relativeFrom="page">
                <wp:posOffset>666115</wp:posOffset>
              </wp:positionH>
              <wp:positionV relativeFrom="paragraph">
                <wp:posOffset>-450215</wp:posOffset>
              </wp:positionV>
              <wp:extent cx="6497955" cy="431800"/>
              <wp:effectExtent l="0" t="0" r="0" b="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BC63E" id="AutoShape 1" o:spid="_x0000_s1026" style="position:absolute;margin-left:52.45pt;margin-top:-35.45pt;width:511.65pt;height: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" fillcolor="#0092bb [3207]" stroked="f" strokecolor="#0393bc" strokeweight="3pt">
              <v:fill color2="#94c2d4 [3208]" rotate="t" angle="90" focus="100%" type="gradient"/>
              <v:shadow color="#336a7f [1608]" opacity=".5" offset="1pt"/>
              <w10:wrap anchorx="page"/>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738B5" w14:textId="77777777" w:rsidR="001242FA" w:rsidRDefault="001242FA" w:rsidP="0089222B">
    <w:pPr>
      <w:pStyle w:val="Footer"/>
    </w:pPr>
    <w:r>
      <w:rPr>
        <w:noProof/>
        <w:lang w:eastAsia="en-GB"/>
      </w:rPr>
      <mc:AlternateContent>
        <mc:Choice Requires="wps">
          <w:drawing>
            <wp:anchor distT="0" distB="0" distL="114300" distR="114300" simplePos="0" relativeHeight="251667456" behindDoc="0" locked="0" layoutInCell="1" allowOverlap="1" wp14:anchorId="063A494F" wp14:editId="051B2150">
              <wp:simplePos x="0" y="0"/>
              <wp:positionH relativeFrom="page">
                <wp:posOffset>666115</wp:posOffset>
              </wp:positionH>
              <wp:positionV relativeFrom="paragraph">
                <wp:posOffset>-107950</wp:posOffset>
              </wp:positionV>
              <wp:extent cx="6497955" cy="43180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6759FA53" w14:textId="77777777" w:rsidR="001242FA" w:rsidRPr="0089222B" w:rsidRDefault="001242FA" w:rsidP="0089222B">
                          <w:pPr>
                            <w:pStyle w:val="Footer"/>
                          </w:pPr>
                        </w:p>
                      </w:txbxContent>
                    </wps:txbx>
                    <wps:bodyPr rot="0" vert="horz" wrap="square" lIns="91440" tIns="45720" rIns="16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A494F" id="_x0000_s1027" style="position:absolute;left:0;text-align:left;margin-left:52.45pt;margin-top:-8.5pt;width:511.65pt;height: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2534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" fillcolor="#0092bb [3207]" stroked="f" strokecolor="#0393bc" strokeweight="3pt">
              <v:fill color2="#94c2d4 [3208]" rotate="t" angle="90" focus="100%" type="gradient"/>
              <v:shadow color="#336a7f [1608]" opacity=".5" offset="1pt"/>
              <v:textbox inset=",,4.5mm">
                <w:txbxContent>
                  <w:p w14:paraId="6759FA53" w14:textId="77777777" w:rsidR="001242FA" w:rsidRPr="0089222B" w:rsidRDefault="001242FA" w:rsidP="0089222B">
                    <w:pPr>
                      <w:pStyle w:val="Footer"/>
                    </w:pPr>
                  </w:p>
                </w:txbxContent>
              </v:textbox>
              <w10:wrap anchorx="page"/>
            </v:roundrect>
          </w:pict>
        </mc:Fallback>
      </mc:AlternateContent>
    </w:r>
    <w:r>
      <w:rPr>
        <w:noProof/>
        <w:lang w:eastAsia="en-GB"/>
      </w:rPr>
      <mc:AlternateContent>
        <mc:Choice Requires="wps">
          <w:drawing>
            <wp:anchor distT="0" distB="0" distL="114300" distR="114300" simplePos="0" relativeHeight="251666432" behindDoc="0" locked="0" layoutInCell="1" allowOverlap="1" wp14:anchorId="7CD9A3B8" wp14:editId="446AC9BF">
              <wp:simplePos x="0" y="0"/>
              <wp:positionH relativeFrom="page">
                <wp:posOffset>666115</wp:posOffset>
              </wp:positionH>
              <wp:positionV relativeFrom="paragraph">
                <wp:posOffset>-107950</wp:posOffset>
              </wp:positionV>
              <wp:extent cx="6296660" cy="2667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E8C91" id="Rectangle 5" o:spid="_x0000_s1026" style="position:absolute;margin-left:52.45pt;margin-top:-8.5pt;width:495.8pt;height: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" fillcolor="#0092bb [3207]" stroked="f">
              <v:fill color2="#94c2d4 [3208]" rotate="t" angle="90" focus="100%" type="gradient"/>
              <w10:wrap anchorx="page"/>
            </v:rect>
          </w:pict>
        </mc:Fallback>
      </mc:AlternateContent>
    </w:r>
  </w:p>
  <w:p w14:paraId="5B2722E9" w14:textId="77777777" w:rsidR="001242FA" w:rsidRDefault="001242FA" w:rsidP="0089222B">
    <w:pPr>
      <w:pStyle w:val="Footer"/>
    </w:pPr>
    <w:r>
      <w:rPr>
        <w:noProof/>
        <w:lang w:eastAsia="en-GB"/>
      </w:rPr>
      <w:drawing>
        <wp:anchor distT="0" distB="0" distL="114300" distR="114300" simplePos="0" relativeHeight="251668480" behindDoc="0" locked="0" layoutInCell="1" allowOverlap="1" wp14:anchorId="4FCA809F" wp14:editId="26B5449B">
          <wp:simplePos x="0" y="0"/>
          <wp:positionH relativeFrom="page">
            <wp:posOffset>1149350</wp:posOffset>
          </wp:positionH>
          <wp:positionV relativeFrom="paragraph">
            <wp:posOffset>-241300</wp:posOffset>
          </wp:positionV>
          <wp:extent cx="844550" cy="368300"/>
          <wp:effectExtent l="19050" t="0" r="0" b="0"/>
          <wp:wrapNone/>
          <wp:docPr id="1" name="Picture 1" descr="C:\Users\Article10\Documents\ETF\Wh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icle10\Documents\ETF\White logo.png"/>
                  <pic:cNvPicPr>
                    <a:picLocks noChangeAspect="1" noChangeArrowheads="1"/>
                  </pic:cNvPicPr>
                </pic:nvPicPr>
                <pic:blipFill>
                  <a:blip r:embed="rId1"/>
                  <a:srcRect/>
                  <a:stretch>
                    <a:fillRect/>
                  </a:stretch>
                </pic:blipFill>
                <pic:spPr bwMode="auto">
                  <a:xfrm>
                    <a:off x="0" y="0"/>
                    <a:ext cx="844550" cy="3683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DB144" w14:textId="77777777" w:rsidR="001F7867" w:rsidRPr="00C87A6B" w:rsidRDefault="001F7867" w:rsidP="0089222B">
      <w:pPr>
        <w:rPr>
          <w:color w:val="616264"/>
        </w:rPr>
      </w:pPr>
      <w:r w:rsidRPr="00C87A6B">
        <w:rPr>
          <w:color w:val="616264"/>
        </w:rPr>
        <w:separator/>
      </w:r>
    </w:p>
  </w:footnote>
  <w:footnote w:type="continuationSeparator" w:id="0">
    <w:p w14:paraId="596F15B7" w14:textId="77777777" w:rsidR="001F7867" w:rsidRDefault="001F7867" w:rsidP="0089222B">
      <w:r>
        <w:continuationSeparator/>
      </w:r>
    </w:p>
  </w:footnote>
  <w:footnote w:id="1">
    <w:p w14:paraId="4EB6C806" w14:textId="0BDF96C7"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1" w:history="1">
        <w:r w:rsidRPr="007F6CA8">
          <w:rPr>
            <w:rStyle w:val="Hyperlink"/>
            <w:rFonts w:ascii="Sylfaen" w:hAnsi="Sylfaen"/>
            <w:szCs w:val="18"/>
          </w:rPr>
          <w:t>https://tradingeconomics.com/georgia/inflation-cpi</w:t>
        </w:r>
      </w:hyperlink>
      <w:r w:rsidRPr="007F6CA8">
        <w:rPr>
          <w:rFonts w:ascii="Sylfaen" w:hAnsi="Sylfaen"/>
          <w:szCs w:val="18"/>
          <w:lang w:val="ka-GE"/>
        </w:rPr>
        <w:t xml:space="preserve"> </w:t>
      </w:r>
    </w:p>
  </w:footnote>
  <w:footnote w:id="2">
    <w:p w14:paraId="3EF1490E" w14:textId="3E752FE1"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2" w:history="1">
        <w:r w:rsidRPr="007F6CA8">
          <w:rPr>
            <w:rStyle w:val="Hyperlink"/>
            <w:rFonts w:ascii="Sylfaen" w:hAnsi="Sylfaen"/>
            <w:szCs w:val="18"/>
          </w:rPr>
          <w:t>https://tradingeconomics.com/georgia/ease-of-doing-business</w:t>
        </w:r>
      </w:hyperlink>
      <w:r w:rsidRPr="007F6CA8">
        <w:rPr>
          <w:rFonts w:ascii="Sylfaen" w:hAnsi="Sylfaen"/>
          <w:szCs w:val="18"/>
          <w:lang w:val="ka-GE"/>
        </w:rPr>
        <w:t xml:space="preserve"> </w:t>
      </w:r>
    </w:p>
  </w:footnote>
  <w:footnote w:id="3">
    <w:p w14:paraId="6375B033" w14:textId="437DEB66"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3" w:history="1">
        <w:r w:rsidRPr="007F6CA8">
          <w:rPr>
            <w:rStyle w:val="Hyperlink"/>
            <w:rFonts w:ascii="Sylfaen" w:hAnsi="Sylfaen"/>
            <w:szCs w:val="18"/>
          </w:rPr>
          <w:t>https://tradingeconomics.com/georgia/gdp-per-capita-ppp</w:t>
        </w:r>
      </w:hyperlink>
      <w:r w:rsidRPr="007F6CA8">
        <w:rPr>
          <w:rFonts w:ascii="Sylfaen" w:hAnsi="Sylfaen"/>
          <w:szCs w:val="18"/>
          <w:lang w:val="ka-GE"/>
        </w:rPr>
        <w:t xml:space="preserve"> </w:t>
      </w:r>
    </w:p>
  </w:footnote>
  <w:footnote w:id="4">
    <w:p w14:paraId="57600E98" w14:textId="5B17EFBE"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r w:rsidRPr="007F6CA8">
        <w:rPr>
          <w:rFonts w:ascii="Sylfaen" w:hAnsi="Sylfaen"/>
          <w:szCs w:val="18"/>
          <w:lang w:val="ka-GE"/>
        </w:rPr>
        <w:t>2016 წლის წინასწარი მონაცემები იხ, ბმულზე:</w:t>
      </w:r>
      <w:r w:rsidRPr="007F6CA8">
        <w:rPr>
          <w:rFonts w:ascii="Sylfaen" w:hAnsi="Sylfaen"/>
          <w:szCs w:val="18"/>
        </w:rPr>
        <w:t xml:space="preserve"> </w:t>
      </w:r>
      <w:hyperlink r:id="rId4" w:history="1">
        <w:r w:rsidRPr="007F6CA8">
          <w:rPr>
            <w:rStyle w:val="Hyperlink"/>
            <w:rFonts w:ascii="Sylfaen" w:hAnsi="Sylfaen"/>
            <w:szCs w:val="18"/>
          </w:rPr>
          <w:t>http://geostat.ge/cms/site_images/_files/georgian/nad/pres-relizi_2016_GEO.pdf</w:t>
        </w:r>
      </w:hyperlink>
      <w:r w:rsidRPr="007F6CA8">
        <w:rPr>
          <w:rFonts w:ascii="Sylfaen" w:hAnsi="Sylfaen"/>
          <w:szCs w:val="18"/>
          <w:lang w:val="ka-GE"/>
        </w:rPr>
        <w:t xml:space="preserve"> </w:t>
      </w:r>
    </w:p>
  </w:footnote>
  <w:footnote w:id="5">
    <w:p w14:paraId="4C7BF078" w14:textId="1D88F5AE"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5" w:history="1">
        <w:r w:rsidRPr="007F6CA8">
          <w:rPr>
            <w:rStyle w:val="Hyperlink"/>
            <w:rFonts w:ascii="Sylfaen" w:hAnsi="Sylfaen"/>
            <w:szCs w:val="18"/>
          </w:rPr>
          <w:t>http://census.ge/ge/results/census1/demo</w:t>
        </w:r>
      </w:hyperlink>
      <w:r w:rsidRPr="007F6CA8">
        <w:rPr>
          <w:rFonts w:ascii="Sylfaen" w:hAnsi="Sylfaen"/>
          <w:szCs w:val="18"/>
          <w:lang w:val="ka-GE"/>
        </w:rPr>
        <w:t xml:space="preserve"> </w:t>
      </w:r>
    </w:p>
  </w:footnote>
  <w:footnote w:id="6">
    <w:p w14:paraId="2B760BB5" w14:textId="46456350"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6" w:history="1">
        <w:r w:rsidRPr="007F6CA8">
          <w:rPr>
            <w:rStyle w:val="Hyperlink"/>
            <w:rFonts w:ascii="Sylfaen" w:hAnsi="Sylfaen"/>
            <w:szCs w:val="18"/>
          </w:rPr>
          <w:t>http://caucasusbarometer.org/en/cb2015ge/RESPEDU-by-ETHNIC/</w:t>
        </w:r>
      </w:hyperlink>
      <w:r w:rsidRPr="007F6CA8">
        <w:rPr>
          <w:rFonts w:ascii="Sylfaen" w:hAnsi="Sylfaen"/>
          <w:szCs w:val="18"/>
          <w:lang w:val="ka-GE"/>
        </w:rPr>
        <w:t xml:space="preserve"> </w:t>
      </w:r>
    </w:p>
  </w:footnote>
  <w:footnote w:id="7">
    <w:p w14:paraId="5D247253" w14:textId="0203346E"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7" w:history="1">
        <w:r w:rsidRPr="007F6CA8">
          <w:rPr>
            <w:rStyle w:val="Hyperlink"/>
            <w:rFonts w:ascii="Sylfaen" w:hAnsi="Sylfaen"/>
            <w:szCs w:val="18"/>
          </w:rPr>
          <w:t>http://census.ge/ge/results/census1/educationge</w:t>
        </w:r>
      </w:hyperlink>
      <w:r w:rsidRPr="007F6CA8">
        <w:rPr>
          <w:rFonts w:ascii="Sylfaen" w:hAnsi="Sylfaen"/>
          <w:szCs w:val="18"/>
          <w:lang w:val="ka-GE"/>
        </w:rPr>
        <w:t xml:space="preserve"> </w:t>
      </w:r>
    </w:p>
  </w:footnote>
  <w:footnote w:id="8">
    <w:p w14:paraId="57C41822" w14:textId="44784474"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8" w:history="1">
        <w:r w:rsidRPr="007F6CA8">
          <w:rPr>
            <w:rStyle w:val="Hyperlink"/>
            <w:rFonts w:ascii="Sylfaen" w:hAnsi="Sylfaen"/>
            <w:szCs w:val="18"/>
          </w:rPr>
          <w:t>http://geostat.ge/?action=page&amp;p_id=145&amp;lang=geo</w:t>
        </w:r>
      </w:hyperlink>
      <w:r w:rsidRPr="007F6CA8">
        <w:rPr>
          <w:rFonts w:ascii="Sylfaen" w:hAnsi="Sylfaen"/>
          <w:szCs w:val="18"/>
          <w:lang w:val="ka-GE"/>
        </w:rPr>
        <w:t xml:space="preserve"> </w:t>
      </w:r>
    </w:p>
  </w:footnote>
  <w:footnote w:id="9">
    <w:p w14:paraId="7B42C53B" w14:textId="3017AA61"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r w:rsidR="00B6543F" w:rsidRPr="007F6CA8">
        <w:rPr>
          <w:rFonts w:ascii="Sylfaen" w:hAnsi="Sylfaen"/>
          <w:szCs w:val="18"/>
          <w:lang w:val="ka-GE"/>
        </w:rPr>
        <w:t xml:space="preserve">ეროვნული დემოკრატიული ინსტიტუტის </w:t>
      </w:r>
      <w:r w:rsidR="00B6543F" w:rsidRPr="007F6CA8">
        <w:rPr>
          <w:rFonts w:ascii="Sylfaen" w:hAnsi="Sylfaen"/>
          <w:szCs w:val="18"/>
        </w:rPr>
        <w:t xml:space="preserve">(NDI) </w:t>
      </w:r>
      <w:r w:rsidR="00B6543F" w:rsidRPr="007F6CA8">
        <w:rPr>
          <w:rFonts w:ascii="Sylfaen" w:hAnsi="Sylfaen"/>
          <w:szCs w:val="18"/>
          <w:lang w:val="ka-GE"/>
        </w:rPr>
        <w:t xml:space="preserve">მიერ 2011 წელს ჩატარებული კვლევის მიხედვით 16,161 რესპონდენტიდან 31% აღნიშნა, რომ უმუშევარია და სამსახურს ეძებს, 5% აღნიშნა, რომ არ ეძებს სამუშაოს, ხოლო დანარჩენი 30% აქტიური შრომითი ძალაა, რომელიც მოიცავს სტუდენტებს, პენსიონერებს და ა.შ. (ლაბაძე და თუხაშვილი, 2013). </w:t>
      </w:r>
    </w:p>
  </w:footnote>
  <w:footnote w:id="10">
    <w:p w14:paraId="2CA852F0" w14:textId="1F0D7C5F"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00B6543F" w:rsidRPr="007F6CA8">
        <w:rPr>
          <w:rFonts w:ascii="Sylfaen" w:hAnsi="Sylfaen"/>
          <w:szCs w:val="18"/>
        </w:rPr>
        <w:t xml:space="preserve"> </w:t>
      </w:r>
      <w:r w:rsidR="00B6543F" w:rsidRPr="007F6CA8">
        <w:rPr>
          <w:rFonts w:ascii="Sylfaen" w:hAnsi="Sylfaen"/>
          <w:szCs w:val="18"/>
          <w:lang w:val="ka-GE"/>
        </w:rPr>
        <w:t>უხელფასო დასაქმებულების ეს კატეგორია, მაგ., 2008 წელს შეადგენდა დასაქმებულების 29.2% (</w:t>
      </w:r>
      <w:r w:rsidRPr="007F6CA8">
        <w:rPr>
          <w:rFonts w:ascii="Sylfaen" w:hAnsi="Sylfaen"/>
          <w:szCs w:val="18"/>
        </w:rPr>
        <w:t xml:space="preserve">USAID </w:t>
      </w:r>
      <w:r w:rsidR="00B6543F" w:rsidRPr="007F6CA8">
        <w:rPr>
          <w:rFonts w:ascii="Sylfaen" w:hAnsi="Sylfaen"/>
          <w:szCs w:val="18"/>
          <w:lang w:val="ka-GE"/>
        </w:rPr>
        <w:t>და</w:t>
      </w:r>
      <w:r w:rsidR="00B6543F" w:rsidRPr="007F6CA8">
        <w:rPr>
          <w:rFonts w:ascii="Sylfaen" w:hAnsi="Sylfaen"/>
          <w:szCs w:val="18"/>
        </w:rPr>
        <w:t xml:space="preserve"> IOM, 2010, </w:t>
      </w:r>
      <w:r w:rsidR="00B6543F" w:rsidRPr="007F6CA8">
        <w:rPr>
          <w:rFonts w:ascii="Sylfaen" w:hAnsi="Sylfaen"/>
          <w:szCs w:val="18"/>
          <w:lang w:val="ka-GE"/>
        </w:rPr>
        <w:t>გვ</w:t>
      </w:r>
      <w:r w:rsidRPr="007F6CA8">
        <w:rPr>
          <w:rFonts w:ascii="Sylfaen" w:hAnsi="Sylfaen"/>
          <w:szCs w:val="18"/>
        </w:rPr>
        <w:t>.8).</w:t>
      </w:r>
      <w:r w:rsidR="00B6543F" w:rsidRPr="007F6CA8">
        <w:rPr>
          <w:rFonts w:ascii="Sylfaen" w:hAnsi="Sylfaen"/>
          <w:szCs w:val="18"/>
          <w:lang w:val="ka-GE"/>
        </w:rPr>
        <w:t xml:space="preserve"> გარდა ამისა, </w:t>
      </w:r>
      <w:r w:rsidR="00A42BCB" w:rsidRPr="007F6CA8">
        <w:rPr>
          <w:rFonts w:ascii="Sylfaen" w:hAnsi="Sylfaen"/>
          <w:szCs w:val="18"/>
          <w:lang w:val="ka-GE"/>
        </w:rPr>
        <w:t>ეკონომიკურად აქტიური მოსახლეობის რეგისტრაციის დროს</w:t>
      </w:r>
      <w:r w:rsidR="00E02554" w:rsidRPr="007F6CA8">
        <w:rPr>
          <w:rFonts w:ascii="Sylfaen" w:hAnsi="Sylfaen"/>
          <w:szCs w:val="18"/>
          <w:lang w:val="ka-GE"/>
        </w:rPr>
        <w:t xml:space="preserve"> დასაქმების საკმაოდ ფართო ცნება გამოიყენება: ნიშნავს პირს, რომელიც კვლევის კვირაში ერთი საათითაც კი მუშაობდა თუნდაც საკუთრ მიწაზე ან თევზაობდა, ნადირობდა, კეერავდა, აგროვებდა სოკოსა თუ კენკრას, ქილებში ინახავდა საკვებს. </w:t>
      </w:r>
    </w:p>
  </w:footnote>
  <w:footnote w:id="11">
    <w:p w14:paraId="64F0C09E" w14:textId="5A9A5118"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9" w:history="1">
        <w:r w:rsidRPr="007F6CA8">
          <w:rPr>
            <w:rFonts w:ascii="Sylfaen" w:hAnsi="Sylfaen"/>
            <w:szCs w:val="18"/>
          </w:rPr>
          <w:t>http://gtuc.ge/?p=3123</w:t>
        </w:r>
      </w:hyperlink>
      <w:r w:rsidR="00E02554" w:rsidRPr="007F6CA8">
        <w:rPr>
          <w:rFonts w:ascii="Sylfaen" w:hAnsi="Sylfaen"/>
          <w:szCs w:val="18"/>
          <w:lang w:val="ka-GE"/>
        </w:rPr>
        <w:t xml:space="preserve">  </w:t>
      </w:r>
    </w:p>
  </w:footnote>
  <w:footnote w:id="12">
    <w:p w14:paraId="0852D8B8" w14:textId="77E709B4"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r w:rsidRPr="007F6CA8">
        <w:rPr>
          <w:rFonts w:ascii="Sylfaen" w:hAnsi="Sylfaen" w:cs="Sylfaen"/>
          <w:szCs w:val="18"/>
          <w:lang w:val="ka-GE"/>
        </w:rPr>
        <w:t>იხ</w:t>
      </w:r>
      <w:r w:rsidRPr="007F6CA8">
        <w:rPr>
          <w:rFonts w:ascii="Sylfaen" w:hAnsi="Sylfaen"/>
          <w:szCs w:val="18"/>
          <w:lang w:val="ka-GE"/>
        </w:rPr>
        <w:t>.</w:t>
      </w:r>
      <w:r w:rsidRPr="007F6CA8">
        <w:rPr>
          <w:rFonts w:ascii="Sylfaen" w:hAnsi="Sylfaen"/>
          <w:szCs w:val="18"/>
        </w:rPr>
        <w:t xml:space="preserve"> LMIS </w:t>
      </w:r>
      <w:r w:rsidRPr="007F6CA8">
        <w:rPr>
          <w:rFonts w:ascii="Sylfaen" w:hAnsi="Sylfaen" w:cs="Sylfaen"/>
          <w:szCs w:val="18"/>
          <w:lang w:val="ka-GE"/>
        </w:rPr>
        <w:t>ვებ</w:t>
      </w:r>
      <w:r w:rsidRPr="007F6CA8">
        <w:rPr>
          <w:rFonts w:ascii="Sylfaen" w:hAnsi="Sylfaen"/>
          <w:szCs w:val="18"/>
          <w:lang w:val="ka-GE"/>
        </w:rPr>
        <w:t>-</w:t>
      </w:r>
      <w:r w:rsidRPr="007F6CA8">
        <w:rPr>
          <w:rFonts w:ascii="Sylfaen" w:hAnsi="Sylfaen" w:cs="Sylfaen"/>
          <w:szCs w:val="18"/>
          <w:lang w:val="ka-GE"/>
        </w:rPr>
        <w:t>პორტალი</w:t>
      </w:r>
      <w:r w:rsidRPr="007F6CA8">
        <w:rPr>
          <w:rFonts w:ascii="Sylfaen" w:hAnsi="Sylfaen"/>
          <w:szCs w:val="18"/>
          <w:lang w:val="ka-GE"/>
        </w:rPr>
        <w:t>:</w:t>
      </w:r>
      <w:r w:rsidRPr="007F6CA8">
        <w:rPr>
          <w:rFonts w:ascii="Sylfaen" w:hAnsi="Sylfaen"/>
          <w:szCs w:val="18"/>
        </w:rPr>
        <w:t xml:space="preserve"> </w:t>
      </w:r>
      <w:hyperlink r:id="rId10" w:history="1">
        <w:r w:rsidR="002028CF" w:rsidRPr="007F6CA8">
          <w:rPr>
            <w:rStyle w:val="Hyperlink"/>
            <w:rFonts w:ascii="Sylfaen" w:hAnsi="Sylfaen"/>
            <w:szCs w:val="18"/>
          </w:rPr>
          <w:t>http://www.lmis.gov.ge/Lmis/Lmis.Portal.Web/Default.aspx</w:t>
        </w:r>
      </w:hyperlink>
      <w:r w:rsidR="002028CF" w:rsidRPr="007F6CA8">
        <w:rPr>
          <w:rFonts w:ascii="Sylfaen" w:hAnsi="Sylfaen"/>
          <w:szCs w:val="18"/>
          <w:lang w:val="ka-GE"/>
        </w:rPr>
        <w:t xml:space="preserve"> </w:t>
      </w:r>
    </w:p>
  </w:footnote>
  <w:footnote w:id="13">
    <w:p w14:paraId="0BB7F6CA" w14:textId="52266393"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r w:rsidR="002028CF" w:rsidRPr="007F6CA8">
        <w:rPr>
          <w:rFonts w:ascii="Sylfaen" w:hAnsi="Sylfaen"/>
          <w:szCs w:val="18"/>
          <w:lang w:val="ka-GE"/>
        </w:rPr>
        <w:t>2014 წლის დეკემბრის მინისტრის ბრანება</w:t>
      </w:r>
      <w:r w:rsidRPr="007F6CA8">
        <w:rPr>
          <w:rFonts w:ascii="Sylfaen" w:hAnsi="Sylfaen"/>
          <w:szCs w:val="18"/>
        </w:rPr>
        <w:t xml:space="preserve">: </w:t>
      </w:r>
      <w:hyperlink r:id="rId11" w:history="1">
        <w:r w:rsidR="002028CF" w:rsidRPr="007F6CA8">
          <w:rPr>
            <w:rStyle w:val="Hyperlink"/>
            <w:rFonts w:ascii="Sylfaen" w:hAnsi="Sylfaen"/>
            <w:szCs w:val="18"/>
          </w:rPr>
          <w:t>http://moh.gov.ge/uploads/files/oldMoh/01_GEO/Shroma/kanonmdebloba/1.pdf</w:t>
        </w:r>
      </w:hyperlink>
      <w:r w:rsidR="002028CF" w:rsidRPr="007F6CA8">
        <w:rPr>
          <w:rFonts w:ascii="Sylfaen" w:hAnsi="Sylfaen"/>
          <w:szCs w:val="18"/>
          <w:lang w:val="ka-GE"/>
        </w:rPr>
        <w:t xml:space="preserve"> </w:t>
      </w:r>
    </w:p>
  </w:footnote>
  <w:footnote w:id="14">
    <w:p w14:paraId="00646FE4" w14:textId="6B44269B"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12" w:history="1">
        <w:r w:rsidR="002028CF" w:rsidRPr="007F6CA8">
          <w:rPr>
            <w:rStyle w:val="Hyperlink"/>
            <w:rFonts w:ascii="Sylfaen" w:hAnsi="Sylfaen"/>
            <w:szCs w:val="18"/>
          </w:rPr>
          <w:t>http://mra.gov.ge/eng/static/8769</w:t>
        </w:r>
      </w:hyperlink>
      <w:r w:rsidR="002028CF" w:rsidRPr="007F6CA8">
        <w:rPr>
          <w:rFonts w:ascii="Sylfaen" w:hAnsi="Sylfaen"/>
          <w:szCs w:val="18"/>
          <w:lang w:val="ka-GE"/>
        </w:rPr>
        <w:t xml:space="preserve"> </w:t>
      </w:r>
      <w:r w:rsidRPr="007F6CA8">
        <w:rPr>
          <w:rFonts w:ascii="Sylfaen" w:hAnsi="Sylfaen"/>
          <w:szCs w:val="18"/>
        </w:rPr>
        <w:t xml:space="preserve"> </w:t>
      </w:r>
      <w:r w:rsidR="002028CF" w:rsidRPr="007F6CA8">
        <w:rPr>
          <w:rFonts w:ascii="Sylfaen" w:hAnsi="Sylfaen"/>
          <w:szCs w:val="18"/>
          <w:lang w:val="ka-GE"/>
        </w:rPr>
        <w:t xml:space="preserve"> </w:t>
      </w:r>
    </w:p>
  </w:footnote>
  <w:footnote w:id="15">
    <w:p w14:paraId="43C8BADF" w14:textId="4FC210D1"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13" w:history="1">
        <w:r w:rsidRPr="007F6CA8">
          <w:rPr>
            <w:rFonts w:ascii="Sylfaen" w:hAnsi="Sylfaen"/>
            <w:szCs w:val="18"/>
          </w:rPr>
          <w:t>http://crrc-caucasus.blogspot.com/2015/06/connections-or-education-on-most.html</w:t>
        </w:r>
      </w:hyperlink>
      <w:r w:rsidR="002028CF" w:rsidRPr="007F6CA8">
        <w:rPr>
          <w:rFonts w:ascii="Sylfaen" w:hAnsi="Sylfaen"/>
          <w:szCs w:val="18"/>
          <w:lang w:val="ka-GE"/>
        </w:rPr>
        <w:t xml:space="preserve"> </w:t>
      </w:r>
    </w:p>
  </w:footnote>
  <w:footnote w:id="16">
    <w:p w14:paraId="0023D9F1" w14:textId="14755CBE" w:rsidR="001242FA" w:rsidRPr="007F6CA8" w:rsidRDefault="001242FA" w:rsidP="007F6CA8">
      <w:pPr>
        <w:pStyle w:val="CommentText"/>
        <w:rPr>
          <w:rFonts w:ascii="Sylfaen" w:hAnsi="Sylfaen"/>
          <w:sz w:val="18"/>
          <w:szCs w:val="18"/>
          <w:lang w:val="ro-RO"/>
        </w:rPr>
      </w:pPr>
      <w:r w:rsidRPr="007F6CA8">
        <w:rPr>
          <w:rStyle w:val="FootnoteReference"/>
          <w:rFonts w:ascii="Sylfaen" w:hAnsi="Sylfaen"/>
          <w:sz w:val="18"/>
          <w:szCs w:val="18"/>
        </w:rPr>
        <w:footnoteRef/>
      </w:r>
      <w:r w:rsidR="0026388C" w:rsidRPr="007F6CA8">
        <w:rPr>
          <w:rFonts w:ascii="Sylfaen" w:hAnsi="Sylfaen"/>
          <w:sz w:val="18"/>
          <w:szCs w:val="18"/>
        </w:rPr>
        <w:t xml:space="preserve"> </w:t>
      </w:r>
      <w:r w:rsidR="0026388C" w:rsidRPr="007F6CA8">
        <w:rPr>
          <w:rFonts w:ascii="Sylfaen" w:hAnsi="Sylfaen"/>
          <w:sz w:val="18"/>
          <w:szCs w:val="18"/>
          <w:lang w:val="ka-GE"/>
        </w:rPr>
        <w:t>კომპანიების საჭიროების კვლევის პრაქტიკა 2017 წელსაც გაგრძელდა. ეკონომიკისა და მდგრადი განვითარების სამინისტრომ ჩაატარა უნარების კვლევა, რომლის დროსაც</w:t>
      </w:r>
      <w:r w:rsidRPr="007F6CA8">
        <w:rPr>
          <w:rFonts w:ascii="Sylfaen" w:hAnsi="Sylfaen"/>
          <w:sz w:val="18"/>
          <w:szCs w:val="18"/>
        </w:rPr>
        <w:t xml:space="preserve"> 6000</w:t>
      </w:r>
      <w:r w:rsidR="0026388C" w:rsidRPr="007F6CA8">
        <w:rPr>
          <w:rFonts w:ascii="Sylfaen" w:hAnsi="Sylfaen"/>
          <w:sz w:val="18"/>
          <w:szCs w:val="18"/>
          <w:lang w:val="ka-GE"/>
        </w:rPr>
        <w:t xml:space="preserve"> კომპანია </w:t>
      </w:r>
      <w:r w:rsidRPr="007F6CA8">
        <w:rPr>
          <w:rFonts w:ascii="Sylfaen" w:hAnsi="Sylfaen"/>
          <w:sz w:val="18"/>
          <w:szCs w:val="18"/>
        </w:rPr>
        <w:t>(</w:t>
      </w:r>
      <w:r w:rsidR="0026388C" w:rsidRPr="007F6CA8">
        <w:rPr>
          <w:rFonts w:ascii="Sylfaen" w:hAnsi="Sylfaen"/>
          <w:sz w:val="18"/>
          <w:szCs w:val="18"/>
          <w:lang w:val="ka-GE"/>
        </w:rPr>
        <w:t>ყველა სექტორში) გამოიკითხა</w:t>
      </w:r>
      <w:r w:rsidRPr="007F6CA8">
        <w:rPr>
          <w:rFonts w:ascii="Sylfaen" w:hAnsi="Sylfaen"/>
          <w:sz w:val="18"/>
          <w:szCs w:val="18"/>
        </w:rPr>
        <w:t>.</w:t>
      </w:r>
      <w:r w:rsidR="0026388C" w:rsidRPr="007F6CA8">
        <w:rPr>
          <w:rFonts w:ascii="Sylfaen" w:hAnsi="Sylfaen"/>
          <w:sz w:val="18"/>
          <w:szCs w:val="18"/>
          <w:lang w:val="ka-GE"/>
        </w:rPr>
        <w:t xml:space="preserve"> შედეგები იხ:</w:t>
      </w:r>
      <w:r w:rsidRPr="007F6CA8">
        <w:rPr>
          <w:rFonts w:ascii="Sylfaen" w:hAnsi="Sylfaen"/>
          <w:sz w:val="18"/>
          <w:szCs w:val="18"/>
        </w:rPr>
        <w:t xml:space="preserve"> </w:t>
      </w:r>
      <w:hyperlink r:id="rId14" w:tgtFrame="_blank" w:history="1">
        <w:r w:rsidRPr="007F6CA8">
          <w:rPr>
            <w:rStyle w:val="Hyperlink"/>
            <w:rFonts w:ascii="Sylfaen" w:hAnsi="Sylfaen"/>
            <w:color w:val="auto"/>
            <w:sz w:val="18"/>
            <w:szCs w:val="18"/>
          </w:rPr>
          <w:t>http://www.lmis.gov.ge/Lmis/Lmis.Portal.Web/Pages/User/Surveys.aspx?ID=7a09257c-ac3c-4860-a7b0-b8fb3922405f</w:t>
        </w:r>
      </w:hyperlink>
    </w:p>
  </w:footnote>
  <w:footnote w:id="17">
    <w:p w14:paraId="00CB4091" w14:textId="53EC58B1" w:rsidR="001242FA" w:rsidRPr="007F6CA8" w:rsidRDefault="001242FA" w:rsidP="007F6CA8">
      <w:pPr>
        <w:pStyle w:val="FootnoteText"/>
        <w:spacing w:before="0"/>
        <w:jc w:val="both"/>
        <w:rPr>
          <w:rFonts w:ascii="Sylfaen" w:hAnsi="Sylfaen"/>
          <w:color w:val="616264" w:themeColor="text2"/>
          <w:szCs w:val="18"/>
          <w:lang w:val="ka-GE"/>
        </w:rPr>
      </w:pPr>
      <w:r w:rsidRPr="007F6CA8">
        <w:rPr>
          <w:rStyle w:val="FootnoteReference"/>
          <w:rFonts w:ascii="Sylfaen" w:hAnsi="Sylfaen"/>
          <w:color w:val="616264" w:themeColor="text2"/>
          <w:szCs w:val="18"/>
        </w:rPr>
        <w:footnoteRef/>
      </w:r>
      <w:r w:rsidR="002912A6" w:rsidRPr="007F6CA8">
        <w:rPr>
          <w:rFonts w:ascii="Sylfaen" w:hAnsi="Sylfaen"/>
          <w:color w:val="616264" w:themeColor="text2"/>
          <w:szCs w:val="18"/>
        </w:rPr>
        <w:t xml:space="preserve"> </w:t>
      </w:r>
      <w:r w:rsidR="002912A6" w:rsidRPr="007F6CA8">
        <w:rPr>
          <w:rFonts w:ascii="Sylfaen" w:hAnsi="Sylfaen"/>
          <w:color w:val="616264" w:themeColor="text2"/>
          <w:szCs w:val="18"/>
          <w:lang w:val="ka-GE"/>
        </w:rPr>
        <w:t>იხ.</w:t>
      </w:r>
      <w:r w:rsidRPr="007F6CA8">
        <w:rPr>
          <w:rFonts w:ascii="Sylfaen" w:hAnsi="Sylfaen"/>
          <w:color w:val="616264" w:themeColor="text2"/>
          <w:szCs w:val="18"/>
        </w:rPr>
        <w:t xml:space="preserve"> </w:t>
      </w:r>
      <w:r w:rsidRPr="007F6CA8">
        <w:rPr>
          <w:rFonts w:ascii="Sylfaen" w:hAnsi="Sylfaen"/>
          <w:szCs w:val="18"/>
        </w:rPr>
        <w:fldChar w:fldCharType="begin"/>
      </w:r>
      <w:r w:rsidRPr="007F6CA8">
        <w:rPr>
          <w:rFonts w:ascii="Sylfaen" w:hAnsi="Sylfaen"/>
          <w:szCs w:val="18"/>
        </w:rPr>
        <w:instrText xml:space="preserve"> HYPERLINK "http://labour.gov.ge/molhsa/lmis/lmis.portal.web/default.aspx" </w:instrText>
      </w:r>
      <w:r w:rsidRPr="007F6CA8">
        <w:rPr>
          <w:rFonts w:ascii="Sylfaen" w:hAnsi="Sylfaen"/>
          <w:szCs w:val="18"/>
        </w:rPr>
        <w:fldChar w:fldCharType="separate"/>
      </w:r>
      <w:r w:rsidRPr="007F6CA8">
        <w:rPr>
          <w:rStyle w:val="Hyperlink"/>
          <w:rFonts w:ascii="Sylfaen" w:hAnsi="Sylfaen"/>
          <w:bCs/>
          <w:color w:val="616264" w:themeColor="text2"/>
          <w:szCs w:val="18"/>
        </w:rPr>
        <w:t>http://labour.gov.ge/molhsa/lmis/lmis.portal.web/default.aspx</w:t>
      </w:r>
      <w:r w:rsidRPr="007F6CA8">
        <w:rPr>
          <w:rStyle w:val="Hyperlink"/>
          <w:rFonts w:ascii="Sylfaen" w:hAnsi="Sylfaen"/>
          <w:bCs/>
          <w:color w:val="616264" w:themeColor="text2"/>
          <w:szCs w:val="18"/>
        </w:rPr>
        <w:fldChar w:fldCharType="end"/>
      </w:r>
      <w:r w:rsidR="0024761C" w:rsidRPr="007F6CA8">
        <w:rPr>
          <w:rStyle w:val="Hyperlink"/>
          <w:rFonts w:ascii="Sylfaen" w:hAnsi="Sylfaen"/>
          <w:bCs/>
          <w:color w:val="616264" w:themeColor="text2"/>
          <w:szCs w:val="18"/>
          <w:lang w:val="ka-GE"/>
        </w:rPr>
        <w:t xml:space="preserve"> </w:t>
      </w:r>
      <w:r w:rsidR="002912A6" w:rsidRPr="007F6CA8">
        <w:rPr>
          <w:rStyle w:val="Hyperlink"/>
          <w:rFonts w:ascii="Sylfaen" w:hAnsi="Sylfaen"/>
          <w:bCs/>
          <w:color w:val="616264" w:themeColor="text2"/>
          <w:szCs w:val="18"/>
          <w:lang w:val="ka-GE"/>
        </w:rPr>
        <w:t xml:space="preserve"> </w:t>
      </w:r>
    </w:p>
  </w:footnote>
  <w:footnote w:id="18">
    <w:p w14:paraId="1D17D61B" w14:textId="771F1E1B"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002912A6" w:rsidRPr="007F6CA8">
        <w:rPr>
          <w:rFonts w:ascii="Sylfaen" w:hAnsi="Sylfaen"/>
          <w:szCs w:val="18"/>
          <w:lang w:val="ka-GE"/>
        </w:rPr>
        <w:t xml:space="preserve"> </w:t>
      </w:r>
      <w:r w:rsidR="002912A6" w:rsidRPr="007F6CA8">
        <w:rPr>
          <w:rFonts w:ascii="Sylfaen" w:hAnsi="Sylfaen"/>
          <w:szCs w:val="18"/>
          <w:lang w:val="ka-GE"/>
        </w:rPr>
        <w:t xml:space="preserve">ყველა მისაწვდომი ინფორმაცია მოცემულია </w:t>
      </w:r>
      <w:r w:rsidRPr="007F6CA8">
        <w:rPr>
          <w:rFonts w:ascii="Sylfaen" w:hAnsi="Sylfaen"/>
          <w:szCs w:val="18"/>
        </w:rPr>
        <w:t>PC-AXIS</w:t>
      </w:r>
      <w:r w:rsidR="002912A6" w:rsidRPr="007F6CA8">
        <w:rPr>
          <w:rFonts w:ascii="Sylfaen" w:hAnsi="Sylfaen"/>
          <w:szCs w:val="18"/>
          <w:lang w:val="ka-GE"/>
        </w:rPr>
        <w:t>-ში</w:t>
      </w:r>
    </w:p>
  </w:footnote>
  <w:footnote w:id="19">
    <w:p w14:paraId="025BCD39" w14:textId="496640AA"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002912A6" w:rsidRPr="007F6CA8">
        <w:rPr>
          <w:rFonts w:ascii="Sylfaen" w:hAnsi="Sylfaen"/>
          <w:szCs w:val="18"/>
          <w:lang w:val="ka-GE"/>
        </w:rPr>
        <w:t xml:space="preserve"> </w:t>
      </w:r>
      <w:r w:rsidRPr="007F6CA8">
        <w:rPr>
          <w:rFonts w:ascii="Sylfaen" w:hAnsi="Sylfaen"/>
          <w:szCs w:val="18"/>
        </w:rPr>
        <w:t>“</w:t>
      </w:r>
      <w:r w:rsidR="002912A6" w:rsidRPr="007F6CA8">
        <w:rPr>
          <w:rFonts w:ascii="Sylfaen" w:hAnsi="Sylfaen"/>
          <w:szCs w:val="18"/>
          <w:lang w:val="ka-GE"/>
        </w:rPr>
        <w:t xml:space="preserve">სამუშაო ძალის </w:t>
      </w:r>
      <w:proofErr w:type="gramStart"/>
      <w:r w:rsidR="002912A6" w:rsidRPr="007F6CA8">
        <w:rPr>
          <w:rFonts w:ascii="Sylfaen" w:hAnsi="Sylfaen"/>
          <w:szCs w:val="18"/>
          <w:lang w:val="ka-GE"/>
        </w:rPr>
        <w:t>სტატისტიკა“ -</w:t>
      </w:r>
      <w:proofErr w:type="gramEnd"/>
      <w:r w:rsidR="002912A6" w:rsidRPr="007F6CA8">
        <w:rPr>
          <w:rFonts w:ascii="Sylfaen" w:hAnsi="Sylfaen"/>
          <w:szCs w:val="18"/>
          <w:lang w:val="ka-GE"/>
        </w:rPr>
        <w:t xml:space="preserve"> საბაზისო განმარტებები</w:t>
      </w:r>
      <w:r w:rsidRPr="007F6CA8">
        <w:rPr>
          <w:rFonts w:ascii="Sylfaen" w:hAnsi="Sylfaen"/>
          <w:szCs w:val="18"/>
        </w:rPr>
        <w:t xml:space="preserve">: </w:t>
      </w:r>
      <w:hyperlink r:id="rId15" w:history="1">
        <w:r w:rsidR="002912A6" w:rsidRPr="007F6CA8">
          <w:rPr>
            <w:rStyle w:val="Hyperlink"/>
            <w:rFonts w:ascii="Sylfaen" w:hAnsi="Sylfaen"/>
            <w:szCs w:val="18"/>
          </w:rPr>
          <w:t>http://www.geostat.ge/index.php?action=page&amp;p_id=143&amp;lang=eng</w:t>
        </w:r>
      </w:hyperlink>
      <w:r w:rsidR="002912A6" w:rsidRPr="007F6CA8">
        <w:rPr>
          <w:rFonts w:ascii="Sylfaen" w:hAnsi="Sylfaen"/>
          <w:szCs w:val="18"/>
          <w:lang w:val="ka-GE"/>
        </w:rPr>
        <w:t xml:space="preserve"> </w:t>
      </w:r>
    </w:p>
  </w:footnote>
  <w:footnote w:id="20">
    <w:p w14:paraId="67DAAB1F" w14:textId="3CA52210" w:rsidR="001242FA" w:rsidRPr="007F6CA8" w:rsidRDefault="001242FA" w:rsidP="007F6CA8">
      <w:pPr>
        <w:pStyle w:val="CommentText"/>
        <w:rPr>
          <w:rFonts w:ascii="Sylfaen" w:hAnsi="Sylfaen"/>
          <w:sz w:val="18"/>
          <w:szCs w:val="18"/>
        </w:rPr>
      </w:pPr>
      <w:r w:rsidRPr="007F6CA8">
        <w:rPr>
          <w:rStyle w:val="FootnoteReference"/>
          <w:rFonts w:ascii="Sylfaen" w:hAnsi="Sylfaen"/>
          <w:sz w:val="18"/>
          <w:szCs w:val="18"/>
        </w:rPr>
        <w:footnoteRef/>
      </w:r>
      <w:r w:rsidRPr="007F6CA8">
        <w:rPr>
          <w:rFonts w:ascii="Sylfaen" w:hAnsi="Sylfaen"/>
          <w:sz w:val="18"/>
          <w:szCs w:val="18"/>
        </w:rPr>
        <w:t xml:space="preserve"> </w:t>
      </w:r>
      <w:hyperlink r:id="rId16" w:tgtFrame="_blank" w:history="1">
        <w:r w:rsidRPr="007F6CA8">
          <w:rPr>
            <w:rStyle w:val="Hyperlink"/>
            <w:rFonts w:ascii="Sylfaen" w:hAnsi="Sylfaen"/>
            <w:color w:val="002060"/>
            <w:sz w:val="18"/>
            <w:szCs w:val="18"/>
          </w:rPr>
          <w:t>http://www.lmis.gov.ge/Lmis/Lmis.Portal.Web/Pages/User/Surveys.aspx?ID=7a09257c-ac3c-4860-a7b0-b8fb3922405f</w:t>
        </w:r>
      </w:hyperlink>
    </w:p>
  </w:footnote>
  <w:footnote w:id="21">
    <w:p w14:paraId="74BF28F3" w14:textId="1A80C7F9"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r w:rsidRPr="007F6CA8">
        <w:rPr>
          <w:rFonts w:ascii="Sylfaen" w:hAnsi="Sylfaen"/>
          <w:szCs w:val="18"/>
          <w:lang w:val="ka-GE"/>
        </w:rPr>
        <w:t xml:space="preserve">ჯერ-ჯერობით მიკრო-მონაცემებზე წვდომა მხოლოდ </w:t>
      </w:r>
      <w:r w:rsidRPr="007F6CA8">
        <w:rPr>
          <w:rFonts w:ascii="Sylfaen" w:hAnsi="Sylfaen"/>
          <w:szCs w:val="18"/>
        </w:rPr>
        <w:t xml:space="preserve">TEW-CCA </w:t>
      </w:r>
      <w:r w:rsidRPr="007F6CA8">
        <w:rPr>
          <w:rFonts w:ascii="Sylfaen" w:hAnsi="Sylfaen"/>
          <w:szCs w:val="18"/>
          <w:lang w:val="ka-GE"/>
        </w:rPr>
        <w:t>პროექტის გუნდს აქვს.</w:t>
      </w:r>
    </w:p>
  </w:footnote>
  <w:footnote w:id="22">
    <w:p w14:paraId="0465071A" w14:textId="7F7327B1"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00A750A3" w:rsidRPr="007F6CA8">
        <w:rPr>
          <w:rFonts w:ascii="Sylfaen" w:hAnsi="Sylfaen"/>
          <w:szCs w:val="18"/>
        </w:rPr>
        <w:t xml:space="preserve"> </w:t>
      </w:r>
      <w:r w:rsidR="00A750A3" w:rsidRPr="007F6CA8">
        <w:rPr>
          <w:rFonts w:ascii="Sylfaen" w:hAnsi="Sylfaen"/>
          <w:szCs w:val="18"/>
          <w:lang w:val="ka-GE"/>
        </w:rPr>
        <w:t xml:space="preserve">იგივე შეესაბამება სხვა სურათებსაც, სადაც წარმოდგენილია პოპულაციის სხვადასხვა ქვე-ჯგუფები, როგორიცაა </w:t>
      </w:r>
      <w:r w:rsidR="009441EB" w:rsidRPr="007F6CA8">
        <w:rPr>
          <w:rFonts w:ascii="Sylfaen" w:hAnsi="Sylfaen"/>
          <w:szCs w:val="18"/>
          <w:lang w:val="ka-GE"/>
        </w:rPr>
        <w:t>არააქტიურობ</w:t>
      </w:r>
      <w:r w:rsidR="00A750A3" w:rsidRPr="007F6CA8">
        <w:rPr>
          <w:rFonts w:ascii="Sylfaen" w:hAnsi="Sylfaen"/>
          <w:szCs w:val="18"/>
          <w:lang w:val="ka-GE"/>
        </w:rPr>
        <w:t>ა, ან არასამუშაო</w:t>
      </w:r>
      <w:r w:rsidR="009441EB" w:rsidRPr="007F6CA8">
        <w:rPr>
          <w:rFonts w:ascii="Sylfaen" w:hAnsi="Sylfaen"/>
          <w:szCs w:val="18"/>
          <w:lang w:val="ka-GE"/>
        </w:rPr>
        <w:t xml:space="preserve"> გარემო</w:t>
      </w:r>
      <w:r w:rsidR="00A750A3" w:rsidRPr="007F6CA8">
        <w:rPr>
          <w:rFonts w:ascii="Sylfaen" w:hAnsi="Sylfaen"/>
          <w:szCs w:val="18"/>
          <w:lang w:val="ka-GE"/>
        </w:rPr>
        <w:t xml:space="preserve">დან დასაქმებაში და ა.შ., როგორც ინდიკატორები, </w:t>
      </w:r>
      <w:r w:rsidR="009441EB" w:rsidRPr="007F6CA8">
        <w:rPr>
          <w:rFonts w:ascii="Sylfaen" w:hAnsi="Sylfaen"/>
          <w:szCs w:val="18"/>
          <w:lang w:val="ka-GE"/>
        </w:rPr>
        <w:t>რომელიც გამოითვლება მოსახლეობის იმ კატეგორიისათვის, რომელსაც არ აქვს განათლება და მუდმივად განსხვავდება იმათგან, რომელიც დაკავშირებულია სხვა საგანმანათლებლო დონეებთან.</w:t>
      </w:r>
    </w:p>
  </w:footnote>
  <w:footnote w:id="23">
    <w:p w14:paraId="4EBF47EF" w14:textId="7ADF459A" w:rsidR="001242FA" w:rsidRPr="007F6CA8" w:rsidRDefault="001242FA" w:rsidP="007F6CA8">
      <w:pPr>
        <w:pStyle w:val="FootnoteText"/>
        <w:spacing w:before="0"/>
        <w:rPr>
          <w:rFonts w:ascii="Sylfaen" w:hAnsi="Sylfaen"/>
          <w:szCs w:val="18"/>
        </w:rPr>
      </w:pPr>
      <w:r w:rsidRPr="007F6CA8">
        <w:rPr>
          <w:rStyle w:val="FootnoteReference"/>
          <w:rFonts w:ascii="Sylfaen" w:hAnsi="Sylfaen"/>
          <w:szCs w:val="18"/>
        </w:rPr>
        <w:footnoteRef/>
      </w:r>
      <w:r w:rsidR="004D3160" w:rsidRPr="007F6CA8">
        <w:rPr>
          <w:rFonts w:ascii="Sylfaen" w:hAnsi="Sylfaen"/>
          <w:szCs w:val="18"/>
        </w:rPr>
        <w:t xml:space="preserve"> </w:t>
      </w:r>
      <w:r w:rsidR="004D3160" w:rsidRPr="007F6CA8">
        <w:rPr>
          <w:rFonts w:ascii="Sylfaen" w:hAnsi="Sylfaen"/>
          <w:szCs w:val="18"/>
          <w:lang w:val="ka-GE"/>
        </w:rPr>
        <w:t>მაგალითად, განათლების არმქონე პირები ჩვეულებრივ არ უნდა იყონ ჩართულები აქ წარმოდგენილი ინდიკატორების კალკულაციაში</w:t>
      </w:r>
      <w:r w:rsidRPr="007F6CA8">
        <w:rPr>
          <w:rFonts w:ascii="Sylfaen" w:hAnsi="Sylfaen"/>
          <w:szCs w:val="18"/>
        </w:rPr>
        <w:t>,</w:t>
      </w:r>
      <w:r w:rsidR="004D3160" w:rsidRPr="007F6CA8">
        <w:rPr>
          <w:rFonts w:ascii="Sylfaen" w:hAnsi="Sylfaen"/>
          <w:szCs w:val="18"/>
          <w:lang w:val="ka-GE"/>
        </w:rPr>
        <w:t xml:space="preserve"> ვინაიდან შედეგები შესაძლოა არასწორი იყოს</w:t>
      </w:r>
      <w:r w:rsidRPr="007F6CA8">
        <w:rPr>
          <w:rFonts w:ascii="Sylfaen" w:hAnsi="Sylfaen"/>
          <w:szCs w:val="18"/>
        </w:rPr>
        <w:t>.</w:t>
      </w:r>
      <w:r w:rsidR="004D3160" w:rsidRPr="007F6CA8">
        <w:rPr>
          <w:rFonts w:ascii="Sylfaen" w:hAnsi="Sylfaen"/>
          <w:szCs w:val="18"/>
          <w:lang w:val="ka-GE"/>
        </w:rPr>
        <w:t xml:space="preserve"> როგორც წინა თავებში აღინიშნა, საქართველოში განათლება სავალდებულოა 6-14 წლის ასაკის ბავშვებისთვის და ქვეყანას განათლების მაღალი (92%) მაჩვენებელი აქვს უმაღლეს საშუალო განათლების საფეხურზე. 15-19 წლის ახალგაზრდების მხოლოდ 0.4% არ აქვს რაიმე ფორმალური განათლება და </w:t>
      </w:r>
      <w:r w:rsidR="00D6362E" w:rsidRPr="007F6CA8">
        <w:rPr>
          <w:rFonts w:ascii="Sylfaen" w:hAnsi="Sylfaen"/>
          <w:szCs w:val="18"/>
          <w:lang w:val="ka-GE"/>
        </w:rPr>
        <w:t>ეს მაჩვენებელი ასეთივე დაბალია ყველა ასაკისათვის, 60 წლამდე (2014 წლის მოსახლეობის საყოველთაო აღწერა</w:t>
      </w:r>
      <w:r w:rsidRPr="007F6CA8">
        <w:rPr>
          <w:rFonts w:ascii="Sylfaen" w:hAnsi="Sylfaen"/>
          <w:szCs w:val="18"/>
        </w:rPr>
        <w:t>: http://census.ge/en/results/census1/educationge)</w:t>
      </w:r>
    </w:p>
  </w:footnote>
  <w:footnote w:id="24">
    <w:p w14:paraId="7CF928E7" w14:textId="18D9E19E"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17" w:history="1">
        <w:r w:rsidR="005504EF" w:rsidRPr="007F6CA8">
          <w:rPr>
            <w:rStyle w:val="Hyperlink"/>
            <w:rFonts w:ascii="Sylfaen" w:hAnsi="Sylfaen"/>
            <w:szCs w:val="18"/>
          </w:rPr>
          <w:t>http://geostat.ge/cms/site_images/_files/english/methodology/labour%20force%20statistics%20Eng.pdf</w:t>
        </w:r>
      </w:hyperlink>
      <w:r w:rsidR="005504EF" w:rsidRPr="007F6CA8">
        <w:rPr>
          <w:rFonts w:ascii="Sylfaen" w:hAnsi="Sylfaen"/>
          <w:szCs w:val="18"/>
          <w:lang w:val="ka-GE"/>
        </w:rPr>
        <w:t xml:space="preserve"> </w:t>
      </w:r>
    </w:p>
  </w:footnote>
  <w:footnote w:id="25">
    <w:p w14:paraId="58DC443B" w14:textId="7105EF33"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18" w:history="1">
        <w:r w:rsidR="00E67D65" w:rsidRPr="007F6CA8">
          <w:rPr>
            <w:rStyle w:val="Hyperlink"/>
            <w:rFonts w:ascii="Sylfaen" w:hAnsi="Sylfaen"/>
            <w:szCs w:val="18"/>
          </w:rPr>
          <w:t>http://geostat.ge/index.php?action=page&amp;p_id=146&amp;lang=eng</w:t>
        </w:r>
      </w:hyperlink>
      <w:r w:rsidR="00E67D65" w:rsidRPr="007F6CA8">
        <w:rPr>
          <w:rFonts w:ascii="Sylfaen" w:hAnsi="Sylfaen"/>
          <w:szCs w:val="18"/>
          <w:lang w:val="ka-GE"/>
        </w:rPr>
        <w:t xml:space="preserve"> </w:t>
      </w:r>
    </w:p>
  </w:footnote>
  <w:footnote w:id="26">
    <w:p w14:paraId="1D129C30" w14:textId="3C814561" w:rsidR="001242FA" w:rsidRPr="007F6CA8" w:rsidRDefault="001242FA" w:rsidP="007F6CA8">
      <w:pPr>
        <w:pStyle w:val="FootnoteText"/>
        <w:spacing w:before="0"/>
        <w:rPr>
          <w:rFonts w:ascii="Sylfaen" w:hAnsi="Sylfaen"/>
          <w:szCs w:val="18"/>
        </w:rPr>
      </w:pPr>
      <w:r w:rsidRPr="007F6CA8">
        <w:rPr>
          <w:rStyle w:val="FootnoteReference"/>
          <w:rFonts w:ascii="Sylfaen" w:hAnsi="Sylfaen"/>
          <w:szCs w:val="18"/>
        </w:rPr>
        <w:footnoteRef/>
      </w:r>
      <w:r w:rsidRPr="007F6CA8">
        <w:rPr>
          <w:rFonts w:ascii="Sylfaen" w:hAnsi="Sylfaen"/>
          <w:szCs w:val="18"/>
        </w:rPr>
        <w:t xml:space="preserve"> </w:t>
      </w:r>
      <w:r w:rsidR="00D04B7C" w:rsidRPr="007F6CA8">
        <w:rPr>
          <w:rFonts w:ascii="Sylfaen" w:hAnsi="Sylfaen"/>
          <w:szCs w:val="18"/>
        </w:rPr>
        <w:t>ETF</w:t>
      </w:r>
      <w:r w:rsidR="00D04B7C" w:rsidRPr="007F6CA8">
        <w:rPr>
          <w:rFonts w:ascii="Sylfaen" w:hAnsi="Sylfaen"/>
          <w:szCs w:val="18"/>
          <w:lang w:val="ka-GE"/>
        </w:rPr>
        <w:t>-ის შეფასების მიხედვით, ქართველი ახალგაზრდების (15-24 წლის) 27.8% არ იმყოფება საგანმანათლებლო სტრუქტურაში, დასაქმებასა თუ გადამზადებაში</w:t>
      </w:r>
      <w:r w:rsidRPr="007F6CA8">
        <w:rPr>
          <w:rFonts w:ascii="Sylfaen" w:hAnsi="Sylfaen"/>
          <w:szCs w:val="18"/>
        </w:rPr>
        <w:t xml:space="preserve"> (NEET).</w:t>
      </w:r>
      <w:r w:rsidR="00D04B7C" w:rsidRPr="007F6CA8">
        <w:rPr>
          <w:rFonts w:ascii="Sylfaen" w:hAnsi="Sylfaen"/>
          <w:szCs w:val="18"/>
          <w:lang w:val="ka-GE"/>
        </w:rPr>
        <w:t xml:space="preserve"> </w:t>
      </w:r>
      <w:r w:rsidR="00D04B7C" w:rsidRPr="007F6CA8">
        <w:rPr>
          <w:rFonts w:ascii="Sylfaen" w:hAnsi="Sylfaen"/>
          <w:szCs w:val="18"/>
          <w:lang w:val="ka-GE"/>
        </w:rPr>
        <w:t xml:space="preserve">ეს ციფრი ორჯერ თუ სამჯერ უფრო აღემატება ევროკავშირის ქვეყნების უმეტესობას, სადაც </w:t>
      </w:r>
      <w:r w:rsidR="00D04B7C" w:rsidRPr="007F6CA8">
        <w:rPr>
          <w:rFonts w:ascii="Sylfaen" w:hAnsi="Sylfaen"/>
          <w:szCs w:val="18"/>
        </w:rPr>
        <w:t>NEET მაჩვენებე</w:t>
      </w:r>
      <w:r w:rsidR="00EE509D" w:rsidRPr="007F6CA8">
        <w:rPr>
          <w:rFonts w:ascii="Sylfaen" w:hAnsi="Sylfaen"/>
          <w:szCs w:val="18"/>
          <w:lang w:val="ka-GE"/>
        </w:rPr>
        <w:t>ლ</w:t>
      </w:r>
      <w:r w:rsidR="00D04B7C" w:rsidRPr="007F6CA8">
        <w:rPr>
          <w:rFonts w:ascii="Sylfaen" w:hAnsi="Sylfaen"/>
          <w:szCs w:val="18"/>
        </w:rPr>
        <w:t xml:space="preserve">ი </w:t>
      </w:r>
      <w:r w:rsidR="00EE509D" w:rsidRPr="007F6CA8">
        <w:rPr>
          <w:rFonts w:ascii="Sylfaen" w:hAnsi="Sylfaen"/>
          <w:szCs w:val="18"/>
          <w:lang w:val="ka-GE"/>
        </w:rPr>
        <w:t>იშვიათად ცდება 15%</w:t>
      </w:r>
      <w:r w:rsidRPr="007F6CA8">
        <w:rPr>
          <w:rFonts w:ascii="Sylfaen" w:hAnsi="Sylfaen"/>
          <w:szCs w:val="18"/>
        </w:rPr>
        <w:t xml:space="preserve"> (ETF, 2015).</w:t>
      </w:r>
      <w:r w:rsidR="00EE509D" w:rsidRPr="007F6CA8">
        <w:rPr>
          <w:rFonts w:ascii="Sylfaen" w:hAnsi="Sylfaen"/>
          <w:szCs w:val="18"/>
          <w:lang w:val="ka-GE"/>
        </w:rPr>
        <w:t xml:space="preserve"> სურათზე 2 მოცემულია </w:t>
      </w:r>
      <w:r w:rsidR="00EE509D" w:rsidRPr="007F6CA8">
        <w:rPr>
          <w:rFonts w:ascii="Sylfaen" w:hAnsi="Sylfaen"/>
          <w:szCs w:val="18"/>
        </w:rPr>
        <w:t>NEET ინდიკატორი საქართველოსათვის, სამ ასაკობრიგ ჯგუფად</w:t>
      </w:r>
      <w:r w:rsidRPr="007F6CA8">
        <w:rPr>
          <w:rFonts w:ascii="Sylfaen" w:hAnsi="Sylfaen"/>
          <w:szCs w:val="18"/>
        </w:rPr>
        <w:t xml:space="preserve">: 15-19, 20-24 </w:t>
      </w:r>
      <w:r w:rsidR="00EE509D" w:rsidRPr="007F6CA8">
        <w:rPr>
          <w:rFonts w:ascii="Sylfaen" w:hAnsi="Sylfaen"/>
          <w:szCs w:val="18"/>
          <w:lang w:val="ka-GE"/>
        </w:rPr>
        <w:t>და</w:t>
      </w:r>
      <w:r w:rsidRPr="007F6CA8">
        <w:rPr>
          <w:rFonts w:ascii="Sylfaen" w:hAnsi="Sylfaen"/>
          <w:szCs w:val="18"/>
        </w:rPr>
        <w:t xml:space="preserve"> 25-29. </w:t>
      </w:r>
    </w:p>
  </w:footnote>
  <w:footnote w:id="27">
    <w:p w14:paraId="5C1C9BA9" w14:textId="39E0F6CD" w:rsidR="001242FA" w:rsidRPr="007F6CA8" w:rsidRDefault="001242FA" w:rsidP="007F6CA8">
      <w:pPr>
        <w:pStyle w:val="FootnoteText"/>
        <w:spacing w:before="0"/>
        <w:rPr>
          <w:rFonts w:ascii="Sylfaen" w:hAnsi="Sylfaen"/>
          <w:szCs w:val="18"/>
        </w:rPr>
      </w:pPr>
      <w:r w:rsidRPr="007F6CA8">
        <w:rPr>
          <w:rStyle w:val="FootnoteReference"/>
          <w:rFonts w:ascii="Sylfaen" w:hAnsi="Sylfaen"/>
          <w:szCs w:val="18"/>
        </w:rPr>
        <w:footnoteRef/>
      </w:r>
      <w:r w:rsidR="00EE509D" w:rsidRPr="007F6CA8">
        <w:rPr>
          <w:rFonts w:ascii="Sylfaen" w:hAnsi="Sylfaen"/>
          <w:szCs w:val="18"/>
        </w:rPr>
        <w:t xml:space="preserve"> </w:t>
      </w:r>
      <w:r w:rsidR="00EE509D" w:rsidRPr="007F6CA8">
        <w:rPr>
          <w:rFonts w:ascii="Sylfaen" w:hAnsi="Sylfaen"/>
          <w:szCs w:val="18"/>
          <w:lang w:val="ka-GE"/>
        </w:rPr>
        <w:t>თუმცა, განათლების არმქონეთა ცალკე კატეგორიად ჩართვა შეცვლის ამ ინდიკატორს. განათლების არქონა ზეგავლენას მოახდებს ვარიციაზე, ვინაიდან უმუშევრობის დონე ამ ძალიან მცირე კატეგორიისათვის წლების განმავლობაში იცვლება (სურ 19 დანართში)</w:t>
      </w:r>
      <w:r w:rsidRPr="007F6CA8">
        <w:rPr>
          <w:rFonts w:ascii="Sylfaen" w:hAnsi="Sylfaen"/>
          <w:szCs w:val="18"/>
        </w:rPr>
        <w:t xml:space="preserve">. </w:t>
      </w:r>
    </w:p>
  </w:footnote>
  <w:footnote w:id="28">
    <w:p w14:paraId="43D9B68D" w14:textId="360C4560" w:rsidR="001242FA" w:rsidRPr="007F6CA8" w:rsidRDefault="001242FA" w:rsidP="007F6CA8">
      <w:pPr>
        <w:pStyle w:val="FootnoteText"/>
        <w:spacing w:before="0"/>
        <w:rPr>
          <w:rFonts w:ascii="Sylfaen" w:hAnsi="Sylfaen"/>
          <w:szCs w:val="18"/>
          <w:lang w:val="ro-RO"/>
        </w:rPr>
      </w:pPr>
      <w:r w:rsidRPr="007F6CA8">
        <w:rPr>
          <w:rStyle w:val="FootnoteReference"/>
          <w:rFonts w:ascii="Sylfaen" w:hAnsi="Sylfaen"/>
          <w:szCs w:val="18"/>
        </w:rPr>
        <w:footnoteRef/>
      </w:r>
      <w:r w:rsidR="000E0810" w:rsidRPr="007F6CA8">
        <w:rPr>
          <w:rFonts w:ascii="Sylfaen" w:hAnsi="Sylfaen"/>
          <w:szCs w:val="18"/>
        </w:rPr>
        <w:t xml:space="preserve"> </w:t>
      </w:r>
      <w:r w:rsidR="000E0810" w:rsidRPr="007F6CA8">
        <w:rPr>
          <w:rFonts w:ascii="Sylfaen" w:hAnsi="Sylfaen"/>
          <w:szCs w:val="18"/>
          <w:lang w:val="ka-GE"/>
        </w:rPr>
        <w:t xml:space="preserve">პროფესიული და არაპროფესიული კატეგორიებისთვის ავტორებმა შემდეგი კლასტერინგი მოიფიქრეს: (ა) არაპროფესიული, რომელიც მოიცავს უმაღლსი საშუალო განათლების მქონეებს (მხოლოდ პირებს, რომლებსაც არ აქვთ / არ ჰქონდათ ინფორმაცია კონკრეტულ პროფესიასთან დაკავშირებით; (ბ) პროფესიული განათლება მოიცავს უმაღლესი საშუალო განათლების მქონე პირებს (მხოლოდ იმ პირებს, რომელთაც მოგვცეს ინფორმაცია). გარდა ამისა, აქ საუბარია მეორად </w:t>
      </w:r>
      <w:r w:rsidR="00F129DF" w:rsidRPr="007F6CA8">
        <w:rPr>
          <w:rFonts w:ascii="Sylfaen" w:hAnsi="Sylfaen"/>
          <w:szCs w:val="18"/>
          <w:lang w:val="ka-GE"/>
        </w:rPr>
        <w:t>პროფესი</w:t>
      </w:r>
      <w:r w:rsidR="000E0810" w:rsidRPr="007F6CA8">
        <w:rPr>
          <w:rFonts w:ascii="Sylfaen" w:hAnsi="Sylfaen"/>
          <w:szCs w:val="18"/>
          <w:lang w:val="ka-GE"/>
        </w:rPr>
        <w:t xml:space="preserve">ულ და </w:t>
      </w:r>
      <w:r w:rsidR="00F129DF" w:rsidRPr="007F6CA8">
        <w:rPr>
          <w:rFonts w:ascii="Sylfaen" w:hAnsi="Sylfaen"/>
          <w:szCs w:val="18"/>
          <w:lang w:val="ka-GE"/>
        </w:rPr>
        <w:t>პროფესიულ პროგრამებზე</w:t>
      </w:r>
      <w:r w:rsidRPr="007F6CA8">
        <w:rPr>
          <w:rFonts w:ascii="Sylfaen" w:hAnsi="Sylfaen"/>
          <w:szCs w:val="18"/>
          <w:lang w:val="ro-RO"/>
        </w:rPr>
        <w:t xml:space="preserve">. </w:t>
      </w:r>
    </w:p>
  </w:footnote>
  <w:footnote w:id="29">
    <w:p w14:paraId="6FC45E84" w14:textId="093CA2AE" w:rsidR="001242FA" w:rsidRPr="007F6CA8" w:rsidRDefault="001242FA" w:rsidP="007F6CA8">
      <w:pPr>
        <w:pStyle w:val="FootnoteText"/>
        <w:spacing w:before="0"/>
        <w:rPr>
          <w:rFonts w:ascii="Sylfaen" w:hAnsi="Sylfaen"/>
          <w:szCs w:val="18"/>
          <w:lang w:val="ka-GE"/>
        </w:rPr>
      </w:pPr>
      <w:r w:rsidRPr="007F6CA8">
        <w:rPr>
          <w:rStyle w:val="FootnoteReference"/>
          <w:rFonts w:ascii="Sylfaen" w:hAnsi="Sylfaen"/>
          <w:szCs w:val="18"/>
        </w:rPr>
        <w:footnoteRef/>
      </w:r>
      <w:r w:rsidRPr="007F6CA8">
        <w:rPr>
          <w:rFonts w:ascii="Sylfaen" w:hAnsi="Sylfaen"/>
          <w:szCs w:val="18"/>
        </w:rPr>
        <w:t xml:space="preserve"> </w:t>
      </w:r>
      <w:hyperlink r:id="rId19" w:history="1">
        <w:r w:rsidR="00F129DF" w:rsidRPr="007F6CA8">
          <w:rPr>
            <w:rStyle w:val="Hyperlink"/>
            <w:rFonts w:ascii="Sylfaen" w:hAnsi="Sylfaen"/>
            <w:szCs w:val="18"/>
          </w:rPr>
          <w:t>http://geostat.ge/index.php?action=page&amp;p_id=149&amp;lang=eng</w:t>
        </w:r>
      </w:hyperlink>
      <w:r w:rsidR="00F129DF" w:rsidRPr="007F6CA8">
        <w:rPr>
          <w:rFonts w:ascii="Sylfaen" w:hAnsi="Sylfaen"/>
          <w:szCs w:val="18"/>
          <w:lang w:val="ka-G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8A770" w14:textId="77777777" w:rsidR="001242FA" w:rsidRDefault="001242FA">
    <w:pPr>
      <w:pStyle w:val="Header"/>
    </w:pPr>
  </w:p>
  <w:p w14:paraId="7A7C4A4D" w14:textId="77777777" w:rsidR="001242FA" w:rsidRDefault="001242FA">
    <w:pPr>
      <w:pStyle w:val="Header"/>
    </w:pPr>
  </w:p>
  <w:p w14:paraId="0D3B6B47" w14:textId="77777777" w:rsidR="001242FA" w:rsidRDefault="001242FA">
    <w:pPr>
      <w:pStyle w:val="Header"/>
    </w:pPr>
  </w:p>
  <w:p w14:paraId="3B8F4DA6" w14:textId="77777777" w:rsidR="001242FA" w:rsidRDefault="001242FA">
    <w:pPr>
      <w:pStyle w:val="Header"/>
    </w:pPr>
  </w:p>
  <w:p w14:paraId="03A29E65" w14:textId="77777777" w:rsidR="001242FA" w:rsidRDefault="001242FA">
    <w:pPr>
      <w:pStyle w:val="Header"/>
    </w:pPr>
  </w:p>
  <w:p w14:paraId="10A327F1" w14:textId="77777777" w:rsidR="001242FA" w:rsidRDefault="001242FA">
    <w:pPr>
      <w:pStyle w:val="Header"/>
    </w:pPr>
  </w:p>
  <w:p w14:paraId="5E3FF236" w14:textId="77777777" w:rsidR="001242FA" w:rsidRDefault="001242FA">
    <w:pPr>
      <w:pStyle w:val="Header"/>
    </w:pPr>
  </w:p>
  <w:p w14:paraId="563BDB28" w14:textId="77777777" w:rsidR="001242FA" w:rsidRDefault="001242FA">
    <w:pPr>
      <w:pStyle w:val="Header"/>
    </w:pPr>
  </w:p>
  <w:p w14:paraId="515369B1" w14:textId="77777777" w:rsidR="001242FA" w:rsidRDefault="001242FA">
    <w:pPr>
      <w:pStyle w:val="Header"/>
    </w:pPr>
  </w:p>
  <w:p w14:paraId="080A952E" w14:textId="77777777" w:rsidR="001242FA" w:rsidRDefault="001242FA">
    <w:pPr>
      <w:pStyle w:val="Header"/>
    </w:pPr>
  </w:p>
  <w:p w14:paraId="1909AC14" w14:textId="77777777" w:rsidR="001242FA" w:rsidRDefault="001242FA">
    <w:pPr>
      <w:pStyle w:val="Header"/>
    </w:pPr>
  </w:p>
  <w:p w14:paraId="231B2EBE" w14:textId="77777777" w:rsidR="001242FA" w:rsidRDefault="001242FA">
    <w:pPr>
      <w:pStyle w:val="Header"/>
    </w:pPr>
    <w:r w:rsidRPr="00416AC1">
      <w:rPr>
        <w:lang w:eastAsia="en-GB"/>
      </w:rPr>
      <w:drawing>
        <wp:anchor distT="0" distB="828040" distL="114300" distR="114300" simplePos="0" relativeHeight="251670528" behindDoc="0" locked="0" layoutInCell="1" allowOverlap="1" wp14:anchorId="016DDFF1" wp14:editId="6F34D3B9">
          <wp:simplePos x="0" y="0"/>
          <wp:positionH relativeFrom="page">
            <wp:posOffset>657225</wp:posOffset>
          </wp:positionH>
          <wp:positionV relativeFrom="page">
            <wp:posOffset>533400</wp:posOffset>
          </wp:positionV>
          <wp:extent cx="2129246" cy="926828"/>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29246" cy="926828"/>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DC2E7" w14:textId="77777777" w:rsidR="001242FA" w:rsidRDefault="001242FA" w:rsidP="0089222B">
    <w:pPr>
      <w:pStyle w:val="Header"/>
    </w:pPr>
    <w:r w:rsidRPr="00690BC2">
      <w:rPr>
        <w:lang w:eastAsia="en-GB"/>
      </w:rPr>
      <w:drawing>
        <wp:anchor distT="0" distB="828040" distL="114300" distR="114300" simplePos="0" relativeHeight="251659264" behindDoc="0" locked="0" layoutInCell="1" allowOverlap="1" wp14:anchorId="5B0A9716" wp14:editId="4052FB23">
          <wp:simplePos x="0" y="0"/>
          <wp:positionH relativeFrom="page">
            <wp:posOffset>651933</wp:posOffset>
          </wp:positionH>
          <wp:positionV relativeFrom="page">
            <wp:posOffset>541961</wp:posOffset>
          </wp:positionV>
          <wp:extent cx="2133600" cy="933262"/>
          <wp:effectExtent l="0" t="0" r="0" b="635"/>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3600" cy="93326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F786" w14:textId="77777777" w:rsidR="001242FA" w:rsidRDefault="001242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5015"/>
      <w:docPartObj>
        <w:docPartGallery w:val="Page Numbers (Top of Page)"/>
        <w:docPartUnique/>
      </w:docPartObj>
    </w:sdtPr>
    <w:sdtContent>
      <w:p w14:paraId="69FD2355" w14:textId="1E68DCE5" w:rsidR="001242FA" w:rsidRDefault="001242FA">
        <w:pPr>
          <w:pStyle w:val="Header"/>
          <w:jc w:val="right"/>
        </w:pPr>
        <w:r>
          <w:fldChar w:fldCharType="begin"/>
        </w:r>
        <w:r>
          <w:instrText xml:space="preserve"> PAGE   \* MERGEFORMAT </w:instrText>
        </w:r>
        <w:r>
          <w:fldChar w:fldCharType="separate"/>
        </w:r>
        <w:r>
          <w:t>35</w:t>
        </w:r>
        <w:r>
          <w:fldChar w:fldCharType="end"/>
        </w:r>
      </w:p>
    </w:sdtContent>
  </w:sdt>
  <w:p w14:paraId="2F41653F" w14:textId="77777777" w:rsidR="001242FA" w:rsidRDefault="00124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5821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CF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86B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A45D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2E0A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2084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30F8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3A44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4D84262"/>
    <w:lvl w:ilvl="0">
      <w:start w:val="1"/>
      <w:numFmt w:val="bullet"/>
      <w:pStyle w:val="ListBullet"/>
      <w:lvlText w:val="■"/>
      <w:lvlJc w:val="left"/>
      <w:pPr>
        <w:tabs>
          <w:tab w:val="num" w:pos="360"/>
        </w:tabs>
        <w:ind w:left="360" w:hanging="360"/>
      </w:pPr>
      <w:rPr>
        <w:b w:val="0"/>
        <w:i w:val="0"/>
        <w:iCs w:val="0"/>
        <w:smallCaps w:val="0"/>
        <w:strike w:val="0"/>
        <w:dstrike w:val="0"/>
        <w:noProof w:val="0"/>
        <w:vanish w:val="0"/>
        <w:color w:val="0092BB" w:themeColor="accent1"/>
        <w:kern w:val="0"/>
        <w:position w:val="0"/>
        <w:u w:val="none"/>
        <w:vertAlign w:val="baseline"/>
        <w:em w:val="none"/>
      </w:rPr>
    </w:lvl>
  </w:abstractNum>
  <w:abstractNum w:abstractNumId="9" w15:restartNumberingAfterBreak="0">
    <w:nsid w:val="04265E59"/>
    <w:multiLevelType w:val="hybridMultilevel"/>
    <w:tmpl w:val="743C838E"/>
    <w:lvl w:ilvl="0" w:tplc="E7D6B62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DF59A3"/>
    <w:multiLevelType w:val="hybridMultilevel"/>
    <w:tmpl w:val="F5846700"/>
    <w:lvl w:ilvl="0" w:tplc="0407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15:restartNumberingAfterBreak="0">
    <w:nsid w:val="07FC6D53"/>
    <w:multiLevelType w:val="hybridMultilevel"/>
    <w:tmpl w:val="3A0C5FF6"/>
    <w:lvl w:ilvl="0" w:tplc="F7D8A1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EF315A"/>
    <w:multiLevelType w:val="hybridMultilevel"/>
    <w:tmpl w:val="22F8F42A"/>
    <w:lvl w:ilvl="0" w:tplc="BFE2EBF2">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06229F"/>
    <w:multiLevelType w:val="hybridMultilevel"/>
    <w:tmpl w:val="BBAEB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B83FDF"/>
    <w:multiLevelType w:val="hybridMultilevel"/>
    <w:tmpl w:val="AE4E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A02E0"/>
    <w:multiLevelType w:val="hybridMultilevel"/>
    <w:tmpl w:val="A3C2D354"/>
    <w:lvl w:ilvl="0" w:tplc="94EE12DA">
      <w:start w:val="5"/>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95CA6"/>
    <w:multiLevelType w:val="hybridMultilevel"/>
    <w:tmpl w:val="22686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A2040D"/>
    <w:multiLevelType w:val="hybridMultilevel"/>
    <w:tmpl w:val="0F92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908FA"/>
    <w:multiLevelType w:val="hybridMultilevel"/>
    <w:tmpl w:val="02E67DA6"/>
    <w:lvl w:ilvl="0" w:tplc="3C44911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22F5B"/>
    <w:multiLevelType w:val="hybridMultilevel"/>
    <w:tmpl w:val="C128D3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D7182F"/>
    <w:multiLevelType w:val="hybridMultilevel"/>
    <w:tmpl w:val="1E5034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E4A78DB"/>
    <w:multiLevelType w:val="hybridMultilevel"/>
    <w:tmpl w:val="4D2016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7246BF"/>
    <w:multiLevelType w:val="hybridMultilevel"/>
    <w:tmpl w:val="BD641662"/>
    <w:lvl w:ilvl="0" w:tplc="3894DB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C32654E"/>
    <w:multiLevelType w:val="hybridMultilevel"/>
    <w:tmpl w:val="B1189D44"/>
    <w:lvl w:ilvl="0" w:tplc="A0E63F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2"/>
  </w:num>
  <w:num w:numId="11">
    <w:abstractNumId w:val="14"/>
  </w:num>
  <w:num w:numId="12">
    <w:abstractNumId w:val="16"/>
  </w:num>
  <w:num w:numId="13">
    <w:abstractNumId w:val="13"/>
  </w:num>
  <w:num w:numId="14">
    <w:abstractNumId w:val="20"/>
  </w:num>
  <w:num w:numId="15">
    <w:abstractNumId w:val="11"/>
  </w:num>
  <w:num w:numId="16">
    <w:abstractNumId w:val="21"/>
  </w:num>
  <w:num w:numId="17">
    <w:abstractNumId w:val="10"/>
  </w:num>
  <w:num w:numId="18">
    <w:abstractNumId w:val="18"/>
  </w:num>
  <w:num w:numId="19">
    <w:abstractNumId w:val="9"/>
  </w:num>
  <w:num w:numId="20">
    <w:abstractNumId w:val="15"/>
  </w:num>
  <w:num w:numId="21">
    <w:abstractNumId w:val="17"/>
  </w:num>
  <w:num w:numId="22">
    <w:abstractNumId w:val="19"/>
  </w:num>
  <w:num w:numId="23">
    <w:abstractNumId w:val="22"/>
  </w:num>
  <w:num w:numId="24">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characterSpacingControl w:val="doNotCompress"/>
  <w:hdr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D3"/>
    <w:rsid w:val="00001D0F"/>
    <w:rsid w:val="000033DB"/>
    <w:rsid w:val="000042F5"/>
    <w:rsid w:val="00004349"/>
    <w:rsid w:val="000055A2"/>
    <w:rsid w:val="00006FA0"/>
    <w:rsid w:val="000112A1"/>
    <w:rsid w:val="00012E2A"/>
    <w:rsid w:val="000159EE"/>
    <w:rsid w:val="00017AC4"/>
    <w:rsid w:val="00017DD5"/>
    <w:rsid w:val="00026575"/>
    <w:rsid w:val="00027866"/>
    <w:rsid w:val="00030CD0"/>
    <w:rsid w:val="00032293"/>
    <w:rsid w:val="00034465"/>
    <w:rsid w:val="00034834"/>
    <w:rsid w:val="00034C11"/>
    <w:rsid w:val="00040CE3"/>
    <w:rsid w:val="00041FBB"/>
    <w:rsid w:val="0004375B"/>
    <w:rsid w:val="00046344"/>
    <w:rsid w:val="0005235E"/>
    <w:rsid w:val="00054762"/>
    <w:rsid w:val="000547D7"/>
    <w:rsid w:val="0005728B"/>
    <w:rsid w:val="00061FBC"/>
    <w:rsid w:val="00062B21"/>
    <w:rsid w:val="00062B95"/>
    <w:rsid w:val="00067713"/>
    <w:rsid w:val="00082A0A"/>
    <w:rsid w:val="0009004C"/>
    <w:rsid w:val="00090434"/>
    <w:rsid w:val="0009284D"/>
    <w:rsid w:val="00094769"/>
    <w:rsid w:val="000A2BE2"/>
    <w:rsid w:val="000B0155"/>
    <w:rsid w:val="000B104F"/>
    <w:rsid w:val="000B1CBD"/>
    <w:rsid w:val="000B2BA9"/>
    <w:rsid w:val="000B31CB"/>
    <w:rsid w:val="000B49F7"/>
    <w:rsid w:val="000B734D"/>
    <w:rsid w:val="000C2DA2"/>
    <w:rsid w:val="000C68AD"/>
    <w:rsid w:val="000C7E40"/>
    <w:rsid w:val="000D2EF9"/>
    <w:rsid w:val="000D5434"/>
    <w:rsid w:val="000E0810"/>
    <w:rsid w:val="000E2B01"/>
    <w:rsid w:val="000E53F8"/>
    <w:rsid w:val="000E6CC1"/>
    <w:rsid w:val="000F14A2"/>
    <w:rsid w:val="000F229F"/>
    <w:rsid w:val="000F2DCF"/>
    <w:rsid w:val="000F37E4"/>
    <w:rsid w:val="000F50CD"/>
    <w:rsid w:val="000F5949"/>
    <w:rsid w:val="000F6685"/>
    <w:rsid w:val="000F6E99"/>
    <w:rsid w:val="000F7611"/>
    <w:rsid w:val="00101CF9"/>
    <w:rsid w:val="00114127"/>
    <w:rsid w:val="001143A7"/>
    <w:rsid w:val="0011622D"/>
    <w:rsid w:val="00117A57"/>
    <w:rsid w:val="001227CE"/>
    <w:rsid w:val="001239FE"/>
    <w:rsid w:val="001242FA"/>
    <w:rsid w:val="00127B57"/>
    <w:rsid w:val="00133D49"/>
    <w:rsid w:val="0013658F"/>
    <w:rsid w:val="00141F8A"/>
    <w:rsid w:val="00143F62"/>
    <w:rsid w:val="00145483"/>
    <w:rsid w:val="0014616E"/>
    <w:rsid w:val="00146D06"/>
    <w:rsid w:val="00152CD8"/>
    <w:rsid w:val="00153C75"/>
    <w:rsid w:val="00156998"/>
    <w:rsid w:val="00160121"/>
    <w:rsid w:val="00162576"/>
    <w:rsid w:val="001640CE"/>
    <w:rsid w:val="00165A12"/>
    <w:rsid w:val="00165EC0"/>
    <w:rsid w:val="00175E26"/>
    <w:rsid w:val="001760DB"/>
    <w:rsid w:val="00181473"/>
    <w:rsid w:val="00181CFB"/>
    <w:rsid w:val="00182F77"/>
    <w:rsid w:val="00187657"/>
    <w:rsid w:val="0019098C"/>
    <w:rsid w:val="001A0032"/>
    <w:rsid w:val="001A19B4"/>
    <w:rsid w:val="001A2C75"/>
    <w:rsid w:val="001A3038"/>
    <w:rsid w:val="001B701A"/>
    <w:rsid w:val="001C0C37"/>
    <w:rsid w:val="001C13CF"/>
    <w:rsid w:val="001C2621"/>
    <w:rsid w:val="001C6D53"/>
    <w:rsid w:val="001D787B"/>
    <w:rsid w:val="001E58DB"/>
    <w:rsid w:val="001E6915"/>
    <w:rsid w:val="001E74F9"/>
    <w:rsid w:val="001F262B"/>
    <w:rsid w:val="001F38D8"/>
    <w:rsid w:val="001F4F70"/>
    <w:rsid w:val="001F5243"/>
    <w:rsid w:val="001F7867"/>
    <w:rsid w:val="00200249"/>
    <w:rsid w:val="00202791"/>
    <w:rsid w:val="002028CF"/>
    <w:rsid w:val="002157F8"/>
    <w:rsid w:val="002203AA"/>
    <w:rsid w:val="00222DCD"/>
    <w:rsid w:val="00222E62"/>
    <w:rsid w:val="002241B3"/>
    <w:rsid w:val="002247A3"/>
    <w:rsid w:val="002260B9"/>
    <w:rsid w:val="002262CB"/>
    <w:rsid w:val="00226F10"/>
    <w:rsid w:val="00230E1D"/>
    <w:rsid w:val="00236A96"/>
    <w:rsid w:val="00237D89"/>
    <w:rsid w:val="00237EC9"/>
    <w:rsid w:val="00237EF9"/>
    <w:rsid w:val="00241A73"/>
    <w:rsid w:val="00244838"/>
    <w:rsid w:val="0024722E"/>
    <w:rsid w:val="0024761C"/>
    <w:rsid w:val="0025460E"/>
    <w:rsid w:val="0026388C"/>
    <w:rsid w:val="00265EB8"/>
    <w:rsid w:val="0027072F"/>
    <w:rsid w:val="00270C09"/>
    <w:rsid w:val="002715C4"/>
    <w:rsid w:val="002719E0"/>
    <w:rsid w:val="00273FED"/>
    <w:rsid w:val="00276BE6"/>
    <w:rsid w:val="002777A9"/>
    <w:rsid w:val="002912A6"/>
    <w:rsid w:val="0029232C"/>
    <w:rsid w:val="00296E2F"/>
    <w:rsid w:val="002A034C"/>
    <w:rsid w:val="002A4061"/>
    <w:rsid w:val="002A4AC8"/>
    <w:rsid w:val="002A7743"/>
    <w:rsid w:val="002B0699"/>
    <w:rsid w:val="002B1D0D"/>
    <w:rsid w:val="002B7285"/>
    <w:rsid w:val="002C146F"/>
    <w:rsid w:val="002C2EF5"/>
    <w:rsid w:val="002C65D9"/>
    <w:rsid w:val="002C7928"/>
    <w:rsid w:val="002D03F8"/>
    <w:rsid w:val="002D2E11"/>
    <w:rsid w:val="002D327C"/>
    <w:rsid w:val="002D4846"/>
    <w:rsid w:val="002D495A"/>
    <w:rsid w:val="002D5B3F"/>
    <w:rsid w:val="002E3292"/>
    <w:rsid w:val="002E3BE6"/>
    <w:rsid w:val="002E3F12"/>
    <w:rsid w:val="002E610F"/>
    <w:rsid w:val="002E7ACE"/>
    <w:rsid w:val="002F0826"/>
    <w:rsid w:val="002F289B"/>
    <w:rsid w:val="002F36F9"/>
    <w:rsid w:val="002F39FF"/>
    <w:rsid w:val="002F5E93"/>
    <w:rsid w:val="00305AD0"/>
    <w:rsid w:val="00305E02"/>
    <w:rsid w:val="00310F37"/>
    <w:rsid w:val="003120D1"/>
    <w:rsid w:val="0031422B"/>
    <w:rsid w:val="00315E37"/>
    <w:rsid w:val="0031651E"/>
    <w:rsid w:val="00321AC0"/>
    <w:rsid w:val="00321E33"/>
    <w:rsid w:val="00322288"/>
    <w:rsid w:val="00322311"/>
    <w:rsid w:val="003225A9"/>
    <w:rsid w:val="00322934"/>
    <w:rsid w:val="0032577B"/>
    <w:rsid w:val="003270FF"/>
    <w:rsid w:val="0033084A"/>
    <w:rsid w:val="00331334"/>
    <w:rsid w:val="0033474A"/>
    <w:rsid w:val="00334C10"/>
    <w:rsid w:val="0033531B"/>
    <w:rsid w:val="00335F69"/>
    <w:rsid w:val="00336D1F"/>
    <w:rsid w:val="003376F1"/>
    <w:rsid w:val="00341326"/>
    <w:rsid w:val="00346FF9"/>
    <w:rsid w:val="0035034A"/>
    <w:rsid w:val="0035093A"/>
    <w:rsid w:val="0035168B"/>
    <w:rsid w:val="00351942"/>
    <w:rsid w:val="003537B3"/>
    <w:rsid w:val="0035794F"/>
    <w:rsid w:val="0036028B"/>
    <w:rsid w:val="00362EFD"/>
    <w:rsid w:val="00366262"/>
    <w:rsid w:val="00366370"/>
    <w:rsid w:val="003663E6"/>
    <w:rsid w:val="003706EB"/>
    <w:rsid w:val="00372BB3"/>
    <w:rsid w:val="00372C67"/>
    <w:rsid w:val="00372ED9"/>
    <w:rsid w:val="003744CE"/>
    <w:rsid w:val="00374795"/>
    <w:rsid w:val="00375900"/>
    <w:rsid w:val="00376498"/>
    <w:rsid w:val="003825F0"/>
    <w:rsid w:val="003840D7"/>
    <w:rsid w:val="003844C6"/>
    <w:rsid w:val="00384DFC"/>
    <w:rsid w:val="003862CC"/>
    <w:rsid w:val="00386BF7"/>
    <w:rsid w:val="0039025F"/>
    <w:rsid w:val="00391151"/>
    <w:rsid w:val="003921D7"/>
    <w:rsid w:val="00395B99"/>
    <w:rsid w:val="00396930"/>
    <w:rsid w:val="003A05CC"/>
    <w:rsid w:val="003A23C3"/>
    <w:rsid w:val="003A659F"/>
    <w:rsid w:val="003B0F9A"/>
    <w:rsid w:val="003B1739"/>
    <w:rsid w:val="003B28C5"/>
    <w:rsid w:val="003B3EE8"/>
    <w:rsid w:val="003C3BD4"/>
    <w:rsid w:val="003D0FC6"/>
    <w:rsid w:val="003D14F3"/>
    <w:rsid w:val="003D2CD3"/>
    <w:rsid w:val="003D506A"/>
    <w:rsid w:val="003D61C0"/>
    <w:rsid w:val="003D7B0F"/>
    <w:rsid w:val="003E4A70"/>
    <w:rsid w:val="003E624C"/>
    <w:rsid w:val="003E6DB7"/>
    <w:rsid w:val="003F0869"/>
    <w:rsid w:val="003F2DEE"/>
    <w:rsid w:val="003F3259"/>
    <w:rsid w:val="003F5994"/>
    <w:rsid w:val="003F68C3"/>
    <w:rsid w:val="00400058"/>
    <w:rsid w:val="004049FB"/>
    <w:rsid w:val="00406469"/>
    <w:rsid w:val="00406F48"/>
    <w:rsid w:val="004078A3"/>
    <w:rsid w:val="00412759"/>
    <w:rsid w:val="00413352"/>
    <w:rsid w:val="0041494F"/>
    <w:rsid w:val="00416AC1"/>
    <w:rsid w:val="0042031B"/>
    <w:rsid w:val="00422302"/>
    <w:rsid w:val="00430E3D"/>
    <w:rsid w:val="00440839"/>
    <w:rsid w:val="004440FB"/>
    <w:rsid w:val="004455E2"/>
    <w:rsid w:val="00445E11"/>
    <w:rsid w:val="00446EAC"/>
    <w:rsid w:val="00447892"/>
    <w:rsid w:val="00455DC5"/>
    <w:rsid w:val="00461379"/>
    <w:rsid w:val="0046411D"/>
    <w:rsid w:val="0047048A"/>
    <w:rsid w:val="00470F22"/>
    <w:rsid w:val="00470F5B"/>
    <w:rsid w:val="00471553"/>
    <w:rsid w:val="00473880"/>
    <w:rsid w:val="00480E79"/>
    <w:rsid w:val="0048202E"/>
    <w:rsid w:val="00486D7E"/>
    <w:rsid w:val="0049059A"/>
    <w:rsid w:val="00494BE8"/>
    <w:rsid w:val="00494E72"/>
    <w:rsid w:val="00496BF0"/>
    <w:rsid w:val="004972B1"/>
    <w:rsid w:val="004A1F67"/>
    <w:rsid w:val="004A42CC"/>
    <w:rsid w:val="004A6390"/>
    <w:rsid w:val="004A7AF3"/>
    <w:rsid w:val="004B06E5"/>
    <w:rsid w:val="004B070E"/>
    <w:rsid w:val="004B0A93"/>
    <w:rsid w:val="004B0B0C"/>
    <w:rsid w:val="004B0E03"/>
    <w:rsid w:val="004B1B7B"/>
    <w:rsid w:val="004B1C74"/>
    <w:rsid w:val="004B38F4"/>
    <w:rsid w:val="004B4832"/>
    <w:rsid w:val="004B5787"/>
    <w:rsid w:val="004C0F1D"/>
    <w:rsid w:val="004C2551"/>
    <w:rsid w:val="004C7F79"/>
    <w:rsid w:val="004D2028"/>
    <w:rsid w:val="004D208B"/>
    <w:rsid w:val="004D3160"/>
    <w:rsid w:val="004D35B5"/>
    <w:rsid w:val="004D55E4"/>
    <w:rsid w:val="004D73F2"/>
    <w:rsid w:val="004D7996"/>
    <w:rsid w:val="004E0EA3"/>
    <w:rsid w:val="004F063E"/>
    <w:rsid w:val="004F0A8B"/>
    <w:rsid w:val="004F102E"/>
    <w:rsid w:val="004F58FC"/>
    <w:rsid w:val="004F68C5"/>
    <w:rsid w:val="004F7BD5"/>
    <w:rsid w:val="0050111B"/>
    <w:rsid w:val="0050573E"/>
    <w:rsid w:val="00505B89"/>
    <w:rsid w:val="00505DB2"/>
    <w:rsid w:val="00510690"/>
    <w:rsid w:val="00511CD0"/>
    <w:rsid w:val="0051366F"/>
    <w:rsid w:val="00513859"/>
    <w:rsid w:val="00517E58"/>
    <w:rsid w:val="00520FE6"/>
    <w:rsid w:val="00523390"/>
    <w:rsid w:val="0052720E"/>
    <w:rsid w:val="0053068B"/>
    <w:rsid w:val="00533D61"/>
    <w:rsid w:val="005349E7"/>
    <w:rsid w:val="00537132"/>
    <w:rsid w:val="00537F6D"/>
    <w:rsid w:val="005438FC"/>
    <w:rsid w:val="00543B88"/>
    <w:rsid w:val="00547F93"/>
    <w:rsid w:val="005504EF"/>
    <w:rsid w:val="005513EB"/>
    <w:rsid w:val="00551A66"/>
    <w:rsid w:val="00555E41"/>
    <w:rsid w:val="005572CE"/>
    <w:rsid w:val="00561D37"/>
    <w:rsid w:val="00564951"/>
    <w:rsid w:val="00565155"/>
    <w:rsid w:val="00566BB8"/>
    <w:rsid w:val="00566E63"/>
    <w:rsid w:val="0056786B"/>
    <w:rsid w:val="00567DD1"/>
    <w:rsid w:val="00571D28"/>
    <w:rsid w:val="00571D32"/>
    <w:rsid w:val="00572653"/>
    <w:rsid w:val="00572C45"/>
    <w:rsid w:val="00574008"/>
    <w:rsid w:val="005810A5"/>
    <w:rsid w:val="00581EE1"/>
    <w:rsid w:val="00585414"/>
    <w:rsid w:val="005871EE"/>
    <w:rsid w:val="00596488"/>
    <w:rsid w:val="0059750E"/>
    <w:rsid w:val="005A0A3A"/>
    <w:rsid w:val="005A1315"/>
    <w:rsid w:val="005A6003"/>
    <w:rsid w:val="005A616D"/>
    <w:rsid w:val="005A6ABD"/>
    <w:rsid w:val="005B14B7"/>
    <w:rsid w:val="005B69D1"/>
    <w:rsid w:val="005C120E"/>
    <w:rsid w:val="005C45A7"/>
    <w:rsid w:val="005C5B46"/>
    <w:rsid w:val="005C7444"/>
    <w:rsid w:val="005D02B9"/>
    <w:rsid w:val="005D1063"/>
    <w:rsid w:val="005D1482"/>
    <w:rsid w:val="005D2D2A"/>
    <w:rsid w:val="005D3BF2"/>
    <w:rsid w:val="005D55F0"/>
    <w:rsid w:val="005D574D"/>
    <w:rsid w:val="005D79EA"/>
    <w:rsid w:val="005E1F67"/>
    <w:rsid w:val="005E23A1"/>
    <w:rsid w:val="005E268D"/>
    <w:rsid w:val="005F2270"/>
    <w:rsid w:val="005F24A8"/>
    <w:rsid w:val="005F5663"/>
    <w:rsid w:val="00606A21"/>
    <w:rsid w:val="00611DE6"/>
    <w:rsid w:val="00616AFB"/>
    <w:rsid w:val="0061752C"/>
    <w:rsid w:val="00620113"/>
    <w:rsid w:val="00620951"/>
    <w:rsid w:val="00620F00"/>
    <w:rsid w:val="00624FF9"/>
    <w:rsid w:val="006259FF"/>
    <w:rsid w:val="00630DE9"/>
    <w:rsid w:val="00632BE4"/>
    <w:rsid w:val="00632F72"/>
    <w:rsid w:val="006406AF"/>
    <w:rsid w:val="00640EC2"/>
    <w:rsid w:val="006412E5"/>
    <w:rsid w:val="0064175E"/>
    <w:rsid w:val="0064384D"/>
    <w:rsid w:val="00643ED8"/>
    <w:rsid w:val="00646738"/>
    <w:rsid w:val="0064789B"/>
    <w:rsid w:val="006531C9"/>
    <w:rsid w:val="00653817"/>
    <w:rsid w:val="00653E70"/>
    <w:rsid w:val="0065457B"/>
    <w:rsid w:val="00656266"/>
    <w:rsid w:val="00660745"/>
    <w:rsid w:val="0066168F"/>
    <w:rsid w:val="0066183D"/>
    <w:rsid w:val="0066704D"/>
    <w:rsid w:val="00667291"/>
    <w:rsid w:val="0067124C"/>
    <w:rsid w:val="00671475"/>
    <w:rsid w:val="00673851"/>
    <w:rsid w:val="00675AB2"/>
    <w:rsid w:val="00676BED"/>
    <w:rsid w:val="00677A5E"/>
    <w:rsid w:val="00682583"/>
    <w:rsid w:val="00682802"/>
    <w:rsid w:val="00682893"/>
    <w:rsid w:val="006865F7"/>
    <w:rsid w:val="00687CA0"/>
    <w:rsid w:val="00690BC2"/>
    <w:rsid w:val="00691362"/>
    <w:rsid w:val="00691E62"/>
    <w:rsid w:val="00696223"/>
    <w:rsid w:val="006A0118"/>
    <w:rsid w:val="006A0342"/>
    <w:rsid w:val="006A1D05"/>
    <w:rsid w:val="006A28FB"/>
    <w:rsid w:val="006A32A9"/>
    <w:rsid w:val="006A4637"/>
    <w:rsid w:val="006B0C8A"/>
    <w:rsid w:val="006B21CD"/>
    <w:rsid w:val="006B2E99"/>
    <w:rsid w:val="006B4120"/>
    <w:rsid w:val="006B53E8"/>
    <w:rsid w:val="006B586B"/>
    <w:rsid w:val="006C08D4"/>
    <w:rsid w:val="006C1F59"/>
    <w:rsid w:val="006C52FA"/>
    <w:rsid w:val="006D34D9"/>
    <w:rsid w:val="006D434A"/>
    <w:rsid w:val="006D45E2"/>
    <w:rsid w:val="006D6E6A"/>
    <w:rsid w:val="006E10D9"/>
    <w:rsid w:val="006E18B9"/>
    <w:rsid w:val="006E7FD7"/>
    <w:rsid w:val="006F3D92"/>
    <w:rsid w:val="006F637A"/>
    <w:rsid w:val="006F65EB"/>
    <w:rsid w:val="00704345"/>
    <w:rsid w:val="0070647D"/>
    <w:rsid w:val="00710B79"/>
    <w:rsid w:val="00714458"/>
    <w:rsid w:val="007165ED"/>
    <w:rsid w:val="0072400B"/>
    <w:rsid w:val="00725D01"/>
    <w:rsid w:val="00731269"/>
    <w:rsid w:val="00731B1D"/>
    <w:rsid w:val="007344AD"/>
    <w:rsid w:val="00735349"/>
    <w:rsid w:val="00740B76"/>
    <w:rsid w:val="00741791"/>
    <w:rsid w:val="00741F90"/>
    <w:rsid w:val="0074244C"/>
    <w:rsid w:val="00742C4D"/>
    <w:rsid w:val="0074411F"/>
    <w:rsid w:val="007455F5"/>
    <w:rsid w:val="007470D4"/>
    <w:rsid w:val="007523B0"/>
    <w:rsid w:val="0075459C"/>
    <w:rsid w:val="007552C6"/>
    <w:rsid w:val="00756981"/>
    <w:rsid w:val="00760E17"/>
    <w:rsid w:val="0076209E"/>
    <w:rsid w:val="00764196"/>
    <w:rsid w:val="00770732"/>
    <w:rsid w:val="007714B0"/>
    <w:rsid w:val="007746B7"/>
    <w:rsid w:val="00781366"/>
    <w:rsid w:val="0078355E"/>
    <w:rsid w:val="00783F7A"/>
    <w:rsid w:val="0078487C"/>
    <w:rsid w:val="0078575C"/>
    <w:rsid w:val="007865BE"/>
    <w:rsid w:val="0079461C"/>
    <w:rsid w:val="007A00F8"/>
    <w:rsid w:val="007A410D"/>
    <w:rsid w:val="007A740D"/>
    <w:rsid w:val="007B1A5A"/>
    <w:rsid w:val="007B1B33"/>
    <w:rsid w:val="007B2826"/>
    <w:rsid w:val="007B7CC9"/>
    <w:rsid w:val="007C6301"/>
    <w:rsid w:val="007D176A"/>
    <w:rsid w:val="007D1D53"/>
    <w:rsid w:val="007D1F87"/>
    <w:rsid w:val="007D320B"/>
    <w:rsid w:val="007E42AA"/>
    <w:rsid w:val="007E7D85"/>
    <w:rsid w:val="007F0248"/>
    <w:rsid w:val="007F041C"/>
    <w:rsid w:val="007F1411"/>
    <w:rsid w:val="007F28F9"/>
    <w:rsid w:val="007F4227"/>
    <w:rsid w:val="007F4B38"/>
    <w:rsid w:val="007F6CA8"/>
    <w:rsid w:val="008033CE"/>
    <w:rsid w:val="008033E2"/>
    <w:rsid w:val="0080785A"/>
    <w:rsid w:val="00810DA7"/>
    <w:rsid w:val="008165FC"/>
    <w:rsid w:val="008176B5"/>
    <w:rsid w:val="008203C6"/>
    <w:rsid w:val="008225AF"/>
    <w:rsid w:val="00824307"/>
    <w:rsid w:val="00840770"/>
    <w:rsid w:val="008420E2"/>
    <w:rsid w:val="00844345"/>
    <w:rsid w:val="00844CDE"/>
    <w:rsid w:val="008450F6"/>
    <w:rsid w:val="0084594A"/>
    <w:rsid w:val="00845C42"/>
    <w:rsid w:val="008465C6"/>
    <w:rsid w:val="008511FA"/>
    <w:rsid w:val="00852655"/>
    <w:rsid w:val="00852726"/>
    <w:rsid w:val="008529AE"/>
    <w:rsid w:val="00852FC3"/>
    <w:rsid w:val="00857CCA"/>
    <w:rsid w:val="00862428"/>
    <w:rsid w:val="008639FD"/>
    <w:rsid w:val="008667D1"/>
    <w:rsid w:val="00870193"/>
    <w:rsid w:val="0087055B"/>
    <w:rsid w:val="0087336F"/>
    <w:rsid w:val="00873A4A"/>
    <w:rsid w:val="00877DA1"/>
    <w:rsid w:val="00880D22"/>
    <w:rsid w:val="0088556F"/>
    <w:rsid w:val="008861B1"/>
    <w:rsid w:val="00890FBA"/>
    <w:rsid w:val="008916AB"/>
    <w:rsid w:val="0089222B"/>
    <w:rsid w:val="008A4A77"/>
    <w:rsid w:val="008B5E35"/>
    <w:rsid w:val="008B74B6"/>
    <w:rsid w:val="008C116B"/>
    <w:rsid w:val="008C11D2"/>
    <w:rsid w:val="008C4FDF"/>
    <w:rsid w:val="008C63CD"/>
    <w:rsid w:val="008C7739"/>
    <w:rsid w:val="008C7CE1"/>
    <w:rsid w:val="008D69D0"/>
    <w:rsid w:val="008D6C21"/>
    <w:rsid w:val="008E3721"/>
    <w:rsid w:val="008E6031"/>
    <w:rsid w:val="008E7175"/>
    <w:rsid w:val="008E7353"/>
    <w:rsid w:val="008E7A89"/>
    <w:rsid w:val="008E7E2C"/>
    <w:rsid w:val="008F00C0"/>
    <w:rsid w:val="008F3EDF"/>
    <w:rsid w:val="008F6DD3"/>
    <w:rsid w:val="008F7340"/>
    <w:rsid w:val="00900DBA"/>
    <w:rsid w:val="00902E65"/>
    <w:rsid w:val="00903AF2"/>
    <w:rsid w:val="00903BA4"/>
    <w:rsid w:val="0090402D"/>
    <w:rsid w:val="00904279"/>
    <w:rsid w:val="009143CA"/>
    <w:rsid w:val="00922D13"/>
    <w:rsid w:val="00922E6C"/>
    <w:rsid w:val="009235B3"/>
    <w:rsid w:val="0092467A"/>
    <w:rsid w:val="00926C71"/>
    <w:rsid w:val="0092797E"/>
    <w:rsid w:val="0093156D"/>
    <w:rsid w:val="00932CF3"/>
    <w:rsid w:val="00935590"/>
    <w:rsid w:val="0094151F"/>
    <w:rsid w:val="00941D56"/>
    <w:rsid w:val="00943DED"/>
    <w:rsid w:val="009441EB"/>
    <w:rsid w:val="00947B67"/>
    <w:rsid w:val="00950B30"/>
    <w:rsid w:val="009548EE"/>
    <w:rsid w:val="00956241"/>
    <w:rsid w:val="00960392"/>
    <w:rsid w:val="009622AA"/>
    <w:rsid w:val="00964316"/>
    <w:rsid w:val="00966527"/>
    <w:rsid w:val="00974003"/>
    <w:rsid w:val="0097566B"/>
    <w:rsid w:val="009774F9"/>
    <w:rsid w:val="0098315F"/>
    <w:rsid w:val="00984A41"/>
    <w:rsid w:val="00992B65"/>
    <w:rsid w:val="009936C7"/>
    <w:rsid w:val="009940D3"/>
    <w:rsid w:val="009953E8"/>
    <w:rsid w:val="009A1161"/>
    <w:rsid w:val="009A2BD8"/>
    <w:rsid w:val="009A3993"/>
    <w:rsid w:val="009A43FC"/>
    <w:rsid w:val="009A5E6A"/>
    <w:rsid w:val="009A69D1"/>
    <w:rsid w:val="009A71AC"/>
    <w:rsid w:val="009B1936"/>
    <w:rsid w:val="009B2519"/>
    <w:rsid w:val="009B5CA7"/>
    <w:rsid w:val="009B71C0"/>
    <w:rsid w:val="009B7456"/>
    <w:rsid w:val="009C1DD0"/>
    <w:rsid w:val="009C3006"/>
    <w:rsid w:val="009C53B2"/>
    <w:rsid w:val="009C6528"/>
    <w:rsid w:val="009D78BC"/>
    <w:rsid w:val="009E0125"/>
    <w:rsid w:val="009E17BF"/>
    <w:rsid w:val="009E32AD"/>
    <w:rsid w:val="009E3DA7"/>
    <w:rsid w:val="009F4DC0"/>
    <w:rsid w:val="00A1005A"/>
    <w:rsid w:val="00A11BF7"/>
    <w:rsid w:val="00A12AE5"/>
    <w:rsid w:val="00A13093"/>
    <w:rsid w:val="00A14387"/>
    <w:rsid w:val="00A15288"/>
    <w:rsid w:val="00A22108"/>
    <w:rsid w:val="00A2273B"/>
    <w:rsid w:val="00A227B1"/>
    <w:rsid w:val="00A24792"/>
    <w:rsid w:val="00A31CF9"/>
    <w:rsid w:val="00A35E58"/>
    <w:rsid w:val="00A411ED"/>
    <w:rsid w:val="00A416E7"/>
    <w:rsid w:val="00A4200C"/>
    <w:rsid w:val="00A42A4B"/>
    <w:rsid w:val="00A42BCB"/>
    <w:rsid w:val="00A45818"/>
    <w:rsid w:val="00A463D9"/>
    <w:rsid w:val="00A47097"/>
    <w:rsid w:val="00A52C91"/>
    <w:rsid w:val="00A54F7B"/>
    <w:rsid w:val="00A54FD9"/>
    <w:rsid w:val="00A570FD"/>
    <w:rsid w:val="00A60152"/>
    <w:rsid w:val="00A603B6"/>
    <w:rsid w:val="00A609D2"/>
    <w:rsid w:val="00A623D6"/>
    <w:rsid w:val="00A62ADB"/>
    <w:rsid w:val="00A632CA"/>
    <w:rsid w:val="00A64808"/>
    <w:rsid w:val="00A67F48"/>
    <w:rsid w:val="00A72989"/>
    <w:rsid w:val="00A72B6C"/>
    <w:rsid w:val="00A750A3"/>
    <w:rsid w:val="00A76587"/>
    <w:rsid w:val="00A7727A"/>
    <w:rsid w:val="00A8155C"/>
    <w:rsid w:val="00A81E6C"/>
    <w:rsid w:val="00A872E5"/>
    <w:rsid w:val="00A87FB3"/>
    <w:rsid w:val="00A902A8"/>
    <w:rsid w:val="00A946DF"/>
    <w:rsid w:val="00A9504A"/>
    <w:rsid w:val="00AA1F18"/>
    <w:rsid w:val="00AA2436"/>
    <w:rsid w:val="00AA38CE"/>
    <w:rsid w:val="00AA5D17"/>
    <w:rsid w:val="00AA61AD"/>
    <w:rsid w:val="00AA733C"/>
    <w:rsid w:val="00AA73F5"/>
    <w:rsid w:val="00AB1DAA"/>
    <w:rsid w:val="00AB2B7C"/>
    <w:rsid w:val="00AB3E5A"/>
    <w:rsid w:val="00AC796B"/>
    <w:rsid w:val="00AC7F97"/>
    <w:rsid w:val="00AD02B3"/>
    <w:rsid w:val="00AD0FD1"/>
    <w:rsid w:val="00AD38C1"/>
    <w:rsid w:val="00AD6421"/>
    <w:rsid w:val="00AD6F25"/>
    <w:rsid w:val="00AD73F0"/>
    <w:rsid w:val="00AE1639"/>
    <w:rsid w:val="00AE1741"/>
    <w:rsid w:val="00AE5152"/>
    <w:rsid w:val="00AF0F4C"/>
    <w:rsid w:val="00AF2E9A"/>
    <w:rsid w:val="00AF2F70"/>
    <w:rsid w:val="00AF3871"/>
    <w:rsid w:val="00AF646B"/>
    <w:rsid w:val="00B10964"/>
    <w:rsid w:val="00B12321"/>
    <w:rsid w:val="00B14475"/>
    <w:rsid w:val="00B17606"/>
    <w:rsid w:val="00B24541"/>
    <w:rsid w:val="00B30C09"/>
    <w:rsid w:val="00B31D5D"/>
    <w:rsid w:val="00B34127"/>
    <w:rsid w:val="00B34CD5"/>
    <w:rsid w:val="00B35705"/>
    <w:rsid w:val="00B365BB"/>
    <w:rsid w:val="00B41A0C"/>
    <w:rsid w:val="00B447D9"/>
    <w:rsid w:val="00B45532"/>
    <w:rsid w:val="00B45DA0"/>
    <w:rsid w:val="00B47706"/>
    <w:rsid w:val="00B47D3C"/>
    <w:rsid w:val="00B5229B"/>
    <w:rsid w:val="00B5278B"/>
    <w:rsid w:val="00B552E7"/>
    <w:rsid w:val="00B57A1F"/>
    <w:rsid w:val="00B57E2E"/>
    <w:rsid w:val="00B6305D"/>
    <w:rsid w:val="00B6543F"/>
    <w:rsid w:val="00B669B5"/>
    <w:rsid w:val="00B7396D"/>
    <w:rsid w:val="00B73F2F"/>
    <w:rsid w:val="00B75E22"/>
    <w:rsid w:val="00B83505"/>
    <w:rsid w:val="00B841BE"/>
    <w:rsid w:val="00B84F59"/>
    <w:rsid w:val="00B852D8"/>
    <w:rsid w:val="00B86BB7"/>
    <w:rsid w:val="00B877EA"/>
    <w:rsid w:val="00B93957"/>
    <w:rsid w:val="00B93EB0"/>
    <w:rsid w:val="00B96BDC"/>
    <w:rsid w:val="00B97077"/>
    <w:rsid w:val="00BA5534"/>
    <w:rsid w:val="00BA74D2"/>
    <w:rsid w:val="00BB602B"/>
    <w:rsid w:val="00BB66B1"/>
    <w:rsid w:val="00BC282D"/>
    <w:rsid w:val="00BC7E2C"/>
    <w:rsid w:val="00BD0320"/>
    <w:rsid w:val="00BD19B0"/>
    <w:rsid w:val="00BD2E85"/>
    <w:rsid w:val="00BE3425"/>
    <w:rsid w:val="00BE42EA"/>
    <w:rsid w:val="00BE49B9"/>
    <w:rsid w:val="00BE4A3B"/>
    <w:rsid w:val="00BE4D7D"/>
    <w:rsid w:val="00BE4DE4"/>
    <w:rsid w:val="00BE77EB"/>
    <w:rsid w:val="00BE7E3C"/>
    <w:rsid w:val="00BF01DE"/>
    <w:rsid w:val="00BF502F"/>
    <w:rsid w:val="00BF60CD"/>
    <w:rsid w:val="00BF69BE"/>
    <w:rsid w:val="00C00B1C"/>
    <w:rsid w:val="00C07E48"/>
    <w:rsid w:val="00C11E40"/>
    <w:rsid w:val="00C158BA"/>
    <w:rsid w:val="00C16527"/>
    <w:rsid w:val="00C176AC"/>
    <w:rsid w:val="00C25AB9"/>
    <w:rsid w:val="00C25E11"/>
    <w:rsid w:val="00C278A6"/>
    <w:rsid w:val="00C3165B"/>
    <w:rsid w:val="00C33257"/>
    <w:rsid w:val="00C33546"/>
    <w:rsid w:val="00C437BE"/>
    <w:rsid w:val="00C4410B"/>
    <w:rsid w:val="00C44805"/>
    <w:rsid w:val="00C47BBC"/>
    <w:rsid w:val="00C50D04"/>
    <w:rsid w:val="00C5117C"/>
    <w:rsid w:val="00C52585"/>
    <w:rsid w:val="00C52E95"/>
    <w:rsid w:val="00C53CB3"/>
    <w:rsid w:val="00C53D97"/>
    <w:rsid w:val="00C56E6A"/>
    <w:rsid w:val="00C61D98"/>
    <w:rsid w:val="00C6464E"/>
    <w:rsid w:val="00C65A3F"/>
    <w:rsid w:val="00C65D90"/>
    <w:rsid w:val="00C66731"/>
    <w:rsid w:val="00C70128"/>
    <w:rsid w:val="00C72C02"/>
    <w:rsid w:val="00C809C2"/>
    <w:rsid w:val="00C829AD"/>
    <w:rsid w:val="00C848E5"/>
    <w:rsid w:val="00C87A6B"/>
    <w:rsid w:val="00C91503"/>
    <w:rsid w:val="00C92FDB"/>
    <w:rsid w:val="00C95C1D"/>
    <w:rsid w:val="00CA0922"/>
    <w:rsid w:val="00CA1AAC"/>
    <w:rsid w:val="00CA7156"/>
    <w:rsid w:val="00CB02CE"/>
    <w:rsid w:val="00CB3F67"/>
    <w:rsid w:val="00CC5952"/>
    <w:rsid w:val="00CC7C5B"/>
    <w:rsid w:val="00CD0419"/>
    <w:rsid w:val="00CD224B"/>
    <w:rsid w:val="00CD38AA"/>
    <w:rsid w:val="00CD3967"/>
    <w:rsid w:val="00CD3E4B"/>
    <w:rsid w:val="00CD43D7"/>
    <w:rsid w:val="00CE062F"/>
    <w:rsid w:val="00CE14B5"/>
    <w:rsid w:val="00CE4813"/>
    <w:rsid w:val="00CF0EAD"/>
    <w:rsid w:val="00CF1BCE"/>
    <w:rsid w:val="00CF562A"/>
    <w:rsid w:val="00D00524"/>
    <w:rsid w:val="00D04930"/>
    <w:rsid w:val="00D049F9"/>
    <w:rsid w:val="00D04B7C"/>
    <w:rsid w:val="00D07091"/>
    <w:rsid w:val="00D11DFB"/>
    <w:rsid w:val="00D1419F"/>
    <w:rsid w:val="00D14B8A"/>
    <w:rsid w:val="00D15812"/>
    <w:rsid w:val="00D161B8"/>
    <w:rsid w:val="00D217A1"/>
    <w:rsid w:val="00D26752"/>
    <w:rsid w:val="00D30B6E"/>
    <w:rsid w:val="00D31260"/>
    <w:rsid w:val="00D3163C"/>
    <w:rsid w:val="00D32744"/>
    <w:rsid w:val="00D33048"/>
    <w:rsid w:val="00D348E9"/>
    <w:rsid w:val="00D4036C"/>
    <w:rsid w:val="00D40724"/>
    <w:rsid w:val="00D40B0A"/>
    <w:rsid w:val="00D40DA6"/>
    <w:rsid w:val="00D4110D"/>
    <w:rsid w:val="00D415DF"/>
    <w:rsid w:val="00D437AA"/>
    <w:rsid w:val="00D44D86"/>
    <w:rsid w:val="00D5477D"/>
    <w:rsid w:val="00D550F6"/>
    <w:rsid w:val="00D556CD"/>
    <w:rsid w:val="00D55D3A"/>
    <w:rsid w:val="00D63332"/>
    <w:rsid w:val="00D6362E"/>
    <w:rsid w:val="00D67D09"/>
    <w:rsid w:val="00D70330"/>
    <w:rsid w:val="00D712A0"/>
    <w:rsid w:val="00D7358B"/>
    <w:rsid w:val="00D743DF"/>
    <w:rsid w:val="00D74743"/>
    <w:rsid w:val="00D82B68"/>
    <w:rsid w:val="00D863CA"/>
    <w:rsid w:val="00D86F6D"/>
    <w:rsid w:val="00D871B9"/>
    <w:rsid w:val="00D87D15"/>
    <w:rsid w:val="00D9247E"/>
    <w:rsid w:val="00D92995"/>
    <w:rsid w:val="00D9306A"/>
    <w:rsid w:val="00D9325D"/>
    <w:rsid w:val="00D954FF"/>
    <w:rsid w:val="00DA42BC"/>
    <w:rsid w:val="00DB2B4E"/>
    <w:rsid w:val="00DB6F71"/>
    <w:rsid w:val="00DC2DC2"/>
    <w:rsid w:val="00DC36CA"/>
    <w:rsid w:val="00DC539E"/>
    <w:rsid w:val="00DD2AF6"/>
    <w:rsid w:val="00DD5E7B"/>
    <w:rsid w:val="00DD773C"/>
    <w:rsid w:val="00DE1471"/>
    <w:rsid w:val="00DE1B66"/>
    <w:rsid w:val="00DE3B05"/>
    <w:rsid w:val="00DE5A04"/>
    <w:rsid w:val="00DE5B15"/>
    <w:rsid w:val="00DF12A7"/>
    <w:rsid w:val="00DF340E"/>
    <w:rsid w:val="00DF6641"/>
    <w:rsid w:val="00E02554"/>
    <w:rsid w:val="00E02592"/>
    <w:rsid w:val="00E04C20"/>
    <w:rsid w:val="00E0742D"/>
    <w:rsid w:val="00E15224"/>
    <w:rsid w:val="00E167DE"/>
    <w:rsid w:val="00E20158"/>
    <w:rsid w:val="00E20362"/>
    <w:rsid w:val="00E227B0"/>
    <w:rsid w:val="00E237D3"/>
    <w:rsid w:val="00E23D22"/>
    <w:rsid w:val="00E248B1"/>
    <w:rsid w:val="00E37026"/>
    <w:rsid w:val="00E44AC7"/>
    <w:rsid w:val="00E44B36"/>
    <w:rsid w:val="00E44DCE"/>
    <w:rsid w:val="00E4681A"/>
    <w:rsid w:val="00E47F08"/>
    <w:rsid w:val="00E50432"/>
    <w:rsid w:val="00E507C4"/>
    <w:rsid w:val="00E53F65"/>
    <w:rsid w:val="00E566D1"/>
    <w:rsid w:val="00E56F76"/>
    <w:rsid w:val="00E6189F"/>
    <w:rsid w:val="00E61A9C"/>
    <w:rsid w:val="00E63379"/>
    <w:rsid w:val="00E6417C"/>
    <w:rsid w:val="00E64622"/>
    <w:rsid w:val="00E67D65"/>
    <w:rsid w:val="00E714AD"/>
    <w:rsid w:val="00E71AE2"/>
    <w:rsid w:val="00E733D7"/>
    <w:rsid w:val="00E74498"/>
    <w:rsid w:val="00E745C2"/>
    <w:rsid w:val="00E74BD6"/>
    <w:rsid w:val="00E77094"/>
    <w:rsid w:val="00E812CA"/>
    <w:rsid w:val="00E81F6E"/>
    <w:rsid w:val="00E83BB7"/>
    <w:rsid w:val="00E84C05"/>
    <w:rsid w:val="00E84D43"/>
    <w:rsid w:val="00E84D9A"/>
    <w:rsid w:val="00E872A1"/>
    <w:rsid w:val="00E873FF"/>
    <w:rsid w:val="00E8773A"/>
    <w:rsid w:val="00E87824"/>
    <w:rsid w:val="00EA02FF"/>
    <w:rsid w:val="00EA177C"/>
    <w:rsid w:val="00EA1B02"/>
    <w:rsid w:val="00EA1B79"/>
    <w:rsid w:val="00EA2124"/>
    <w:rsid w:val="00EA3871"/>
    <w:rsid w:val="00EA4EBF"/>
    <w:rsid w:val="00EA65AD"/>
    <w:rsid w:val="00EB1C93"/>
    <w:rsid w:val="00EB223C"/>
    <w:rsid w:val="00ED4A5D"/>
    <w:rsid w:val="00ED4E34"/>
    <w:rsid w:val="00ED67FD"/>
    <w:rsid w:val="00EE06C2"/>
    <w:rsid w:val="00EE1D15"/>
    <w:rsid w:val="00EE3DAA"/>
    <w:rsid w:val="00EE3F2F"/>
    <w:rsid w:val="00EE509D"/>
    <w:rsid w:val="00EE5A41"/>
    <w:rsid w:val="00EE60A1"/>
    <w:rsid w:val="00EF162A"/>
    <w:rsid w:val="00EF2D3B"/>
    <w:rsid w:val="00EF3C16"/>
    <w:rsid w:val="00EF4A88"/>
    <w:rsid w:val="00EF7024"/>
    <w:rsid w:val="00EF7094"/>
    <w:rsid w:val="00F0013D"/>
    <w:rsid w:val="00F05BD8"/>
    <w:rsid w:val="00F06884"/>
    <w:rsid w:val="00F103F8"/>
    <w:rsid w:val="00F108D1"/>
    <w:rsid w:val="00F129DF"/>
    <w:rsid w:val="00F148AD"/>
    <w:rsid w:val="00F22339"/>
    <w:rsid w:val="00F25E90"/>
    <w:rsid w:val="00F26333"/>
    <w:rsid w:val="00F2795D"/>
    <w:rsid w:val="00F35010"/>
    <w:rsid w:val="00F3508B"/>
    <w:rsid w:val="00F352B5"/>
    <w:rsid w:val="00F43143"/>
    <w:rsid w:val="00F4337B"/>
    <w:rsid w:val="00F43C17"/>
    <w:rsid w:val="00F44518"/>
    <w:rsid w:val="00F4663D"/>
    <w:rsid w:val="00F4725E"/>
    <w:rsid w:val="00F505C0"/>
    <w:rsid w:val="00F5068D"/>
    <w:rsid w:val="00F50F6C"/>
    <w:rsid w:val="00F52CE8"/>
    <w:rsid w:val="00F53627"/>
    <w:rsid w:val="00F56308"/>
    <w:rsid w:val="00F57ACD"/>
    <w:rsid w:val="00F57D1E"/>
    <w:rsid w:val="00F60990"/>
    <w:rsid w:val="00F6108F"/>
    <w:rsid w:val="00F6142A"/>
    <w:rsid w:val="00F626EB"/>
    <w:rsid w:val="00F62A99"/>
    <w:rsid w:val="00F64A2B"/>
    <w:rsid w:val="00F66085"/>
    <w:rsid w:val="00F666F5"/>
    <w:rsid w:val="00F670BD"/>
    <w:rsid w:val="00F7199D"/>
    <w:rsid w:val="00F71E3B"/>
    <w:rsid w:val="00F74F72"/>
    <w:rsid w:val="00F754C4"/>
    <w:rsid w:val="00F76053"/>
    <w:rsid w:val="00F762B4"/>
    <w:rsid w:val="00F81694"/>
    <w:rsid w:val="00F81A98"/>
    <w:rsid w:val="00F905FC"/>
    <w:rsid w:val="00F90CA2"/>
    <w:rsid w:val="00F927E6"/>
    <w:rsid w:val="00F941E2"/>
    <w:rsid w:val="00F95BCE"/>
    <w:rsid w:val="00F973CC"/>
    <w:rsid w:val="00F97DB2"/>
    <w:rsid w:val="00F97E9F"/>
    <w:rsid w:val="00FA14A3"/>
    <w:rsid w:val="00FA3D93"/>
    <w:rsid w:val="00FA7F3C"/>
    <w:rsid w:val="00FB0E58"/>
    <w:rsid w:val="00FB27D9"/>
    <w:rsid w:val="00FB4AEB"/>
    <w:rsid w:val="00FB6D8B"/>
    <w:rsid w:val="00FC0769"/>
    <w:rsid w:val="00FC1890"/>
    <w:rsid w:val="00FC19B3"/>
    <w:rsid w:val="00FC1C4B"/>
    <w:rsid w:val="00FC77A7"/>
    <w:rsid w:val="00FD5BA4"/>
    <w:rsid w:val="00FD5E42"/>
    <w:rsid w:val="00FD6034"/>
    <w:rsid w:val="00FD6818"/>
    <w:rsid w:val="00FE1F33"/>
    <w:rsid w:val="00FE45D3"/>
    <w:rsid w:val="00FE5A83"/>
    <w:rsid w:val="00FE7A74"/>
    <w:rsid w:val="00FF3439"/>
    <w:rsid w:val="00FF6C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o:shapelayout v:ext="edit">
      <o:idmap v:ext="edit" data="1"/>
    </o:shapelayout>
  </w:shapeDefaults>
  <w:decimalSymbol w:val="."/>
  <w:listSeparator w:val=","/>
  <w14:docId w14:val="0EE826F8"/>
  <w15:docId w15:val="{6D0B1983-5E9B-4976-ACF4-F968D732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208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uiPriority w:val="9"/>
    <w:qFormat/>
    <w:rsid w:val="003D506A"/>
    <w:pPr>
      <w:keepNext/>
      <w:keepLines/>
      <w:spacing w:before="60" w:after="480"/>
      <w:outlineLvl w:val="0"/>
    </w:pPr>
    <w:rPr>
      <w:rFonts w:eastAsiaTheme="majorEastAsia" w:cstheme="majorBidi"/>
      <w:b/>
      <w:bCs/>
      <w:caps/>
      <w:color w:val="0092BB" w:themeColor="accent1"/>
      <w:sz w:val="36"/>
      <w:szCs w:val="36"/>
    </w:rPr>
  </w:style>
  <w:style w:type="paragraph" w:styleId="Heading2">
    <w:name w:val="heading 2"/>
    <w:basedOn w:val="Normal"/>
    <w:next w:val="BodyText"/>
    <w:link w:val="Heading2Char"/>
    <w:uiPriority w:val="9"/>
    <w:unhideWhenUsed/>
    <w:qFormat/>
    <w:rsid w:val="0036028B"/>
    <w:pPr>
      <w:keepNext/>
      <w:keepLines/>
      <w:spacing w:before="200"/>
      <w:outlineLvl w:val="1"/>
    </w:pPr>
    <w:rPr>
      <w:rFonts w:eastAsiaTheme="majorEastAsia" w:cstheme="majorBidi"/>
      <w:bCs/>
      <w:color w:val="0092BB" w:themeColor="accent1"/>
      <w:sz w:val="28"/>
      <w:szCs w:val="26"/>
    </w:rPr>
  </w:style>
  <w:style w:type="paragraph" w:styleId="Heading3">
    <w:name w:val="heading 3"/>
    <w:basedOn w:val="Normal"/>
    <w:next w:val="BodyText"/>
    <w:link w:val="Heading3Char"/>
    <w:uiPriority w:val="9"/>
    <w:unhideWhenUsed/>
    <w:qFormat/>
    <w:rsid w:val="003D506A"/>
    <w:pPr>
      <w:keepNext/>
      <w:keepLines/>
      <w:spacing w:before="60" w:after="60"/>
      <w:outlineLvl w:val="2"/>
    </w:pPr>
    <w:rPr>
      <w:rFonts w:eastAsiaTheme="majorEastAsia"/>
      <w:bCs/>
      <w:color w:val="0092BB" w:themeColor="accent1"/>
    </w:rPr>
  </w:style>
  <w:style w:type="paragraph" w:styleId="Heading4">
    <w:name w:val="heading 4"/>
    <w:basedOn w:val="Normal"/>
    <w:next w:val="Normal"/>
    <w:link w:val="Heading4Char"/>
    <w:uiPriority w:val="9"/>
    <w:unhideWhenUsed/>
    <w:qFormat/>
    <w:rsid w:val="003D506A"/>
    <w:pPr>
      <w:keepNext/>
      <w:keepLines/>
      <w:spacing w:before="200" w:after="60"/>
      <w:outlineLvl w:val="3"/>
    </w:pPr>
    <w:rPr>
      <w:rFonts w:eastAsiaTheme="majorEastAsia"/>
      <w:b/>
      <w:bCs/>
      <w:iCs/>
      <w:color w:val="0092B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506A"/>
    <w:rPr>
      <w:rFonts w:ascii="Arial" w:eastAsiaTheme="majorEastAsia" w:hAnsi="Arial" w:cs="Arial"/>
      <w:bCs/>
      <w:color w:val="0092BB" w:themeColor="accent1"/>
      <w:sz w:val="24"/>
      <w:szCs w:val="20"/>
    </w:rPr>
  </w:style>
  <w:style w:type="paragraph" w:styleId="BlockText">
    <w:name w:val="Block Text"/>
    <w:basedOn w:val="Normal"/>
    <w:uiPriority w:val="99"/>
    <w:semiHidden/>
    <w:unhideWhenUsed/>
    <w:rsid w:val="001A2C75"/>
    <w:pPr>
      <w:pBdr>
        <w:top w:val="single" w:sz="2" w:space="10" w:color="0092BB" w:themeColor="accent1" w:shadow="1" w:frame="1"/>
        <w:left w:val="single" w:sz="2" w:space="10" w:color="0092BB" w:themeColor="accent1" w:shadow="1" w:frame="1"/>
        <w:bottom w:val="single" w:sz="2" w:space="10" w:color="0092BB" w:themeColor="accent1" w:shadow="1" w:frame="1"/>
        <w:right w:val="single" w:sz="2" w:space="10" w:color="0092BB" w:themeColor="accent1" w:shadow="1" w:frame="1"/>
      </w:pBdr>
      <w:ind w:left="1152" w:right="1152"/>
    </w:pPr>
    <w:rPr>
      <w:rFonts w:eastAsiaTheme="minorEastAsia"/>
      <w:i/>
      <w:iCs/>
      <w:color w:val="0092BB" w:themeColor="accent1"/>
    </w:rPr>
  </w:style>
  <w:style w:type="paragraph" w:styleId="BodyText">
    <w:name w:val="Body Text"/>
    <w:basedOn w:val="Normal"/>
    <w:link w:val="BodyTextChar"/>
    <w:uiPriority w:val="99"/>
    <w:unhideWhenUsed/>
    <w:rsid w:val="004C7F79"/>
    <w:pPr>
      <w:spacing w:line="288" w:lineRule="auto"/>
    </w:pPr>
    <w:rPr>
      <w:color w:val="616264"/>
      <w:lang w:val="fr-FR"/>
    </w:rPr>
  </w:style>
  <w:style w:type="character" w:customStyle="1" w:styleId="BodyTextChar">
    <w:name w:val="Body Text Char"/>
    <w:basedOn w:val="DefaultParagraphFont"/>
    <w:link w:val="BodyText"/>
    <w:uiPriority w:val="99"/>
    <w:rsid w:val="004C7F79"/>
    <w:rPr>
      <w:rFonts w:ascii="Arial" w:hAnsi="Arial" w:cs="Arial"/>
      <w:color w:val="616264"/>
      <w:sz w:val="20"/>
      <w:szCs w:val="20"/>
      <w:lang w:val="fr-FR"/>
    </w:rPr>
  </w:style>
  <w:style w:type="character" w:customStyle="1" w:styleId="Heading1Char">
    <w:name w:val="Heading 1 Char"/>
    <w:basedOn w:val="DefaultParagraphFont"/>
    <w:link w:val="Heading1"/>
    <w:uiPriority w:val="9"/>
    <w:rsid w:val="003D506A"/>
    <w:rPr>
      <w:rFonts w:ascii="Arial" w:eastAsiaTheme="majorEastAsia" w:hAnsi="Arial" w:cstheme="majorBidi"/>
      <w:b/>
      <w:bCs/>
      <w:caps/>
      <w:color w:val="0092BB" w:themeColor="accent1"/>
      <w:sz w:val="36"/>
      <w:szCs w:val="36"/>
    </w:rPr>
  </w:style>
  <w:style w:type="character" w:customStyle="1" w:styleId="Heading2Char">
    <w:name w:val="Heading 2 Char"/>
    <w:basedOn w:val="DefaultParagraphFont"/>
    <w:link w:val="Heading2"/>
    <w:uiPriority w:val="9"/>
    <w:rsid w:val="0036028B"/>
    <w:rPr>
      <w:rFonts w:ascii="Arial" w:eastAsiaTheme="majorEastAsia" w:hAnsi="Arial" w:cstheme="majorBidi"/>
      <w:bCs/>
      <w:color w:val="0092BB" w:themeColor="accent1"/>
      <w:sz w:val="28"/>
      <w:szCs w:val="26"/>
    </w:rPr>
  </w:style>
  <w:style w:type="paragraph" w:styleId="ListParagraph">
    <w:name w:val="List Paragraph"/>
    <w:aliases w:val="List Paragraph1,Lijstalinea,Bullet List Paragraph,Heading 2_sj"/>
    <w:basedOn w:val="Normal"/>
    <w:link w:val="ListParagraphChar"/>
    <w:uiPriority w:val="34"/>
    <w:qFormat/>
    <w:rsid w:val="00175E26"/>
    <w:pPr>
      <w:ind w:left="720"/>
      <w:contextualSpacing/>
    </w:pPr>
  </w:style>
  <w:style w:type="paragraph" w:styleId="BalloonText">
    <w:name w:val="Balloon Text"/>
    <w:basedOn w:val="Normal"/>
    <w:link w:val="BalloonTextChar"/>
    <w:uiPriority w:val="99"/>
    <w:semiHidden/>
    <w:unhideWhenUsed/>
    <w:rsid w:val="00237EF9"/>
    <w:rPr>
      <w:rFonts w:ascii="Tahoma" w:hAnsi="Tahoma" w:cs="Tahoma"/>
      <w:sz w:val="16"/>
      <w:szCs w:val="16"/>
    </w:rPr>
  </w:style>
  <w:style w:type="character" w:customStyle="1" w:styleId="BalloonTextChar">
    <w:name w:val="Balloon Text Char"/>
    <w:basedOn w:val="DefaultParagraphFont"/>
    <w:link w:val="BalloonText"/>
    <w:uiPriority w:val="99"/>
    <w:semiHidden/>
    <w:rsid w:val="00237EF9"/>
    <w:rPr>
      <w:rFonts w:ascii="Tahoma" w:hAnsi="Tahoma" w:cs="Tahoma"/>
      <w:color w:val="616264"/>
      <w:sz w:val="16"/>
      <w:szCs w:val="16"/>
    </w:rPr>
  </w:style>
  <w:style w:type="paragraph" w:styleId="Header">
    <w:name w:val="header"/>
    <w:basedOn w:val="Normal"/>
    <w:link w:val="HeaderChar"/>
    <w:uiPriority w:val="99"/>
    <w:unhideWhenUsed/>
    <w:rsid w:val="00764196"/>
    <w:pPr>
      <w:tabs>
        <w:tab w:val="center" w:pos="4513"/>
        <w:tab w:val="right" w:pos="9026"/>
      </w:tabs>
    </w:pPr>
    <w:rPr>
      <w:noProof/>
    </w:rPr>
  </w:style>
  <w:style w:type="character" w:customStyle="1" w:styleId="HeaderChar">
    <w:name w:val="Header Char"/>
    <w:basedOn w:val="DefaultParagraphFont"/>
    <w:link w:val="Header"/>
    <w:uiPriority w:val="99"/>
    <w:rsid w:val="00764196"/>
    <w:rPr>
      <w:rFonts w:ascii="Arial" w:hAnsi="Arial" w:cs="Arial"/>
      <w:noProof/>
      <w:sz w:val="20"/>
      <w:szCs w:val="20"/>
    </w:rPr>
  </w:style>
  <w:style w:type="paragraph" w:styleId="Footer">
    <w:name w:val="footer"/>
    <w:basedOn w:val="Normal"/>
    <w:link w:val="FooterChar"/>
    <w:uiPriority w:val="99"/>
    <w:unhideWhenUsed/>
    <w:rsid w:val="006406AF"/>
    <w:pPr>
      <w:jc w:val="right"/>
    </w:pPr>
    <w:rPr>
      <w:caps/>
      <w:color w:val="616264" w:themeColor="text2"/>
      <w:sz w:val="22"/>
      <w:szCs w:val="22"/>
    </w:rPr>
  </w:style>
  <w:style w:type="character" w:customStyle="1" w:styleId="FooterChar">
    <w:name w:val="Footer Char"/>
    <w:basedOn w:val="DefaultParagraphFont"/>
    <w:link w:val="Footer"/>
    <w:uiPriority w:val="99"/>
    <w:rsid w:val="006406AF"/>
    <w:rPr>
      <w:rFonts w:ascii="Arial" w:hAnsi="Arial" w:cs="Arial"/>
      <w:caps/>
      <w:color w:val="616264" w:themeColor="text2"/>
    </w:rPr>
  </w:style>
  <w:style w:type="table" w:styleId="TableGrid">
    <w:name w:val="Table Grid"/>
    <w:basedOn w:val="TableNormal"/>
    <w:uiPriority w:val="39"/>
    <w:rsid w:val="00384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27072F"/>
    <w:rPr>
      <w:rFonts w:ascii="Arial" w:hAnsi="Arial" w:cs="Arial"/>
      <w:color w:val="616264"/>
      <w:sz w:val="16"/>
      <w:szCs w:val="20"/>
    </w:rPr>
  </w:style>
  <w:style w:type="paragraph" w:customStyle="1" w:styleId="Tabletext">
    <w:name w:val="Table text"/>
    <w:basedOn w:val="Normal"/>
    <w:link w:val="TabletextChar"/>
    <w:qFormat/>
    <w:rsid w:val="0027072F"/>
    <w:rPr>
      <w:color w:val="616264"/>
      <w:sz w:val="16"/>
    </w:rPr>
  </w:style>
  <w:style w:type="paragraph" w:customStyle="1" w:styleId="TableHeader">
    <w:name w:val="Table Header"/>
    <w:basedOn w:val="Tabletext"/>
    <w:link w:val="TableHeaderChar"/>
    <w:qFormat/>
    <w:rsid w:val="0027072F"/>
    <w:rPr>
      <w:color w:val="FFFFFF" w:themeColor="background1"/>
    </w:rPr>
  </w:style>
  <w:style w:type="paragraph" w:customStyle="1" w:styleId="Tablefirstcolumn">
    <w:name w:val="Table first column"/>
    <w:link w:val="TablefirstcolumnChar"/>
    <w:qFormat/>
    <w:rsid w:val="0027072F"/>
    <w:pPr>
      <w:spacing w:after="0" w:line="240" w:lineRule="auto"/>
    </w:pPr>
    <w:rPr>
      <w:rFonts w:ascii="Arial" w:hAnsi="Arial" w:cs="Arial"/>
      <w:color w:val="0092BB" w:themeColor="accent1"/>
      <w:sz w:val="16"/>
      <w:szCs w:val="20"/>
    </w:rPr>
  </w:style>
  <w:style w:type="character" w:customStyle="1" w:styleId="TableHeaderChar">
    <w:name w:val="Table Header Char"/>
    <w:basedOn w:val="TabletextChar"/>
    <w:link w:val="TableHeader"/>
    <w:rsid w:val="0027072F"/>
    <w:rPr>
      <w:rFonts w:ascii="Arial" w:hAnsi="Arial" w:cs="Arial"/>
      <w:color w:val="FFFFFF" w:themeColor="background1"/>
      <w:sz w:val="16"/>
      <w:szCs w:val="20"/>
    </w:rPr>
  </w:style>
  <w:style w:type="character" w:customStyle="1" w:styleId="TablefirstcolumnChar">
    <w:name w:val="Table first column Char"/>
    <w:basedOn w:val="TableHeaderChar"/>
    <w:link w:val="Tablefirstcolumn"/>
    <w:rsid w:val="0027072F"/>
    <w:rPr>
      <w:rFonts w:ascii="Arial" w:hAnsi="Arial" w:cs="Arial"/>
      <w:color w:val="0092BB" w:themeColor="accent1"/>
      <w:sz w:val="16"/>
      <w:szCs w:val="20"/>
    </w:rPr>
  </w:style>
  <w:style w:type="paragraph" w:styleId="ListBullet">
    <w:name w:val="List Bullet"/>
    <w:basedOn w:val="Normal"/>
    <w:link w:val="ListBulletChar"/>
    <w:uiPriority w:val="99"/>
    <w:unhideWhenUsed/>
    <w:rsid w:val="002C7928"/>
    <w:pPr>
      <w:numPr>
        <w:numId w:val="1"/>
      </w:numPr>
      <w:spacing w:line="288" w:lineRule="auto"/>
      <w:ind w:left="357" w:hanging="357"/>
    </w:pPr>
    <w:rPr>
      <w:color w:val="616264"/>
    </w:rPr>
  </w:style>
  <w:style w:type="paragraph" w:styleId="ListNumber">
    <w:name w:val="List Number"/>
    <w:basedOn w:val="Normal"/>
    <w:uiPriority w:val="99"/>
    <w:unhideWhenUsed/>
    <w:rsid w:val="009774F9"/>
    <w:pPr>
      <w:numPr>
        <w:numId w:val="10"/>
      </w:numPr>
      <w:spacing w:line="288" w:lineRule="auto"/>
      <w:ind w:left="505" w:hanging="505"/>
    </w:pPr>
    <w:rPr>
      <w:color w:val="616264"/>
    </w:rPr>
  </w:style>
  <w:style w:type="table" w:customStyle="1" w:styleId="ETFTable">
    <w:name w:val="ETF Table"/>
    <w:basedOn w:val="TableNormal"/>
    <w:uiPriority w:val="99"/>
    <w:qFormat/>
    <w:rsid w:val="0027072F"/>
    <w:pPr>
      <w:spacing w:after="0" w:line="240" w:lineRule="auto"/>
    </w:pPr>
    <w:rPr>
      <w:rFonts w:ascii="Arial" w:hAnsi="Arial"/>
      <w:color w:val="616264"/>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vAlign w:val="center"/>
    </w:tcPr>
    <w:tblStylePr w:type="firstRow">
      <w:rPr>
        <w:rFonts w:ascii="Arial" w:hAnsi="Arial"/>
        <w:b w:val="0"/>
        <w:i w:val="0"/>
        <w:color w:val="FEFEFE"/>
        <w:sz w:val="22"/>
      </w:rPr>
      <w:tblPr/>
      <w:tcPr>
        <w:shd w:val="clear" w:color="auto" w:fill="0092BB" w:themeFill="accent1"/>
      </w:tcPr>
    </w:tblStylePr>
    <w:tblStylePr w:type="firstCol">
      <w:rPr>
        <w:color w:val="0092BB" w:themeColor="accent1"/>
      </w:rPr>
      <w:tblPr/>
      <w:tcPr>
        <w:shd w:val="clear" w:color="auto" w:fill="C9C9C9"/>
      </w:tcPr>
    </w:tblStylePr>
  </w:style>
  <w:style w:type="paragraph" w:styleId="Title">
    <w:name w:val="Title"/>
    <w:basedOn w:val="Normal"/>
    <w:next w:val="Normal"/>
    <w:link w:val="TitleChar"/>
    <w:uiPriority w:val="10"/>
    <w:qFormat/>
    <w:rsid w:val="00EE60A1"/>
    <w:rPr>
      <w:rFonts w:eastAsiaTheme="majorEastAsia" w:cstheme="majorBidi"/>
      <w:b/>
      <w:bCs/>
      <w:caps/>
      <w:color w:val="0092BB" w:themeColor="accent1"/>
      <w:spacing w:val="-40"/>
      <w:sz w:val="86"/>
      <w:szCs w:val="28"/>
    </w:rPr>
  </w:style>
  <w:style w:type="character" w:customStyle="1" w:styleId="TitleChar">
    <w:name w:val="Title Char"/>
    <w:basedOn w:val="DefaultParagraphFont"/>
    <w:link w:val="Title"/>
    <w:uiPriority w:val="10"/>
    <w:rsid w:val="00EE60A1"/>
    <w:rPr>
      <w:rFonts w:ascii="Arial" w:eastAsiaTheme="majorEastAsia" w:hAnsi="Arial" w:cstheme="majorBidi"/>
      <w:b/>
      <w:bCs/>
      <w:caps/>
      <w:color w:val="0092BB" w:themeColor="accent1"/>
      <w:spacing w:val="-40"/>
      <w:sz w:val="86"/>
      <w:szCs w:val="28"/>
    </w:rPr>
  </w:style>
  <w:style w:type="paragraph" w:styleId="ListNumber2">
    <w:name w:val="List Number 2"/>
    <w:basedOn w:val="Normal"/>
    <w:uiPriority w:val="99"/>
    <w:unhideWhenUsed/>
    <w:rsid w:val="00090434"/>
    <w:pPr>
      <w:numPr>
        <w:numId w:val="6"/>
      </w:numPr>
      <w:ind w:left="641" w:hanging="357"/>
    </w:pPr>
    <w:rPr>
      <w:color w:val="6D6E71"/>
    </w:rPr>
  </w:style>
  <w:style w:type="paragraph" w:styleId="ListBullet2">
    <w:name w:val="List Bullet 2"/>
    <w:basedOn w:val="Normal"/>
    <w:uiPriority w:val="99"/>
    <w:unhideWhenUsed/>
    <w:rsid w:val="001640CE"/>
    <w:pPr>
      <w:numPr>
        <w:numId w:val="2"/>
      </w:numPr>
      <w:ind w:left="641" w:hanging="357"/>
    </w:pPr>
    <w:rPr>
      <w:color w:val="6D6E71"/>
    </w:rPr>
  </w:style>
  <w:style w:type="character" w:customStyle="1" w:styleId="ListBulletChar">
    <w:name w:val="List Bullet Char"/>
    <w:basedOn w:val="DefaultParagraphFont"/>
    <w:link w:val="ListBullet"/>
    <w:uiPriority w:val="99"/>
    <w:rsid w:val="002C7928"/>
    <w:rPr>
      <w:rFonts w:ascii="Arial" w:hAnsi="Arial" w:cs="Arial"/>
      <w:color w:val="616264"/>
      <w:sz w:val="20"/>
      <w:szCs w:val="20"/>
    </w:rPr>
  </w:style>
  <w:style w:type="character" w:styleId="SubtleEmphasis">
    <w:name w:val="Subtle Emphasis"/>
    <w:basedOn w:val="DefaultParagraphFont"/>
    <w:uiPriority w:val="19"/>
    <w:qFormat/>
    <w:rsid w:val="005A6ABD"/>
    <w:rPr>
      <w:i/>
      <w:iCs/>
      <w:color w:val="616264"/>
    </w:rPr>
  </w:style>
  <w:style w:type="paragraph" w:styleId="FootnoteText">
    <w:name w:val="footnote text"/>
    <w:aliases w:val="Текст сноски Знак,Текст сноски Знак1 Знак,Текст сноски Знак Знак Знак,Footnote Text Char Знак Знак,Footnote Text Char Знак,F1,Текст сноски-FN,Oaeno niinee-FN,Oaeno niinee Ciae,Table_Footnote_last,single space,FOOTNOTES,fn,ADB,fn Char,ft,f"/>
    <w:basedOn w:val="Normal"/>
    <w:link w:val="FootnoteTextChar"/>
    <w:uiPriority w:val="99"/>
    <w:qFormat/>
    <w:rsid w:val="000D5434"/>
    <w:pPr>
      <w:spacing w:before="60"/>
    </w:pPr>
    <w:rPr>
      <w:color w:val="616264"/>
      <w:sz w:val="18"/>
    </w:rPr>
  </w:style>
  <w:style w:type="character" w:customStyle="1" w:styleId="FootnoteTextChar">
    <w:name w:val="Footnote Text Char"/>
    <w:aliases w:val="Текст сноски Знак Char,Текст сноски Знак1 Знак Char,Текст сноски Знак Знак Знак Char,Footnote Text Char Знак Знак Char,Footnote Text Char Знак Char,F1 Char,Текст сноски-FN Char,Oaeno niinee-FN Char,Oaeno niinee Ciae Char,fn Char1"/>
    <w:basedOn w:val="DefaultParagraphFont"/>
    <w:link w:val="FootnoteText"/>
    <w:uiPriority w:val="99"/>
    <w:rsid w:val="000D5434"/>
    <w:rPr>
      <w:rFonts w:ascii="Arial" w:hAnsi="Arial" w:cs="Arial"/>
      <w:color w:val="616264"/>
      <w:sz w:val="18"/>
      <w:szCs w:val="20"/>
    </w:rPr>
  </w:style>
  <w:style w:type="character" w:customStyle="1" w:styleId="Heading4Char">
    <w:name w:val="Heading 4 Char"/>
    <w:basedOn w:val="DefaultParagraphFont"/>
    <w:link w:val="Heading4"/>
    <w:uiPriority w:val="9"/>
    <w:rsid w:val="003D506A"/>
    <w:rPr>
      <w:rFonts w:ascii="Arial" w:eastAsiaTheme="majorEastAsia" w:hAnsi="Arial" w:cs="Arial"/>
      <w:b/>
      <w:bCs/>
      <w:iCs/>
      <w:color w:val="0092BB" w:themeColor="accent1"/>
      <w:sz w:val="20"/>
      <w:szCs w:val="20"/>
    </w:rPr>
  </w:style>
  <w:style w:type="paragraph" w:styleId="TOCHeading">
    <w:name w:val="TOC Heading"/>
    <w:basedOn w:val="Heading1"/>
    <w:next w:val="Normal"/>
    <w:uiPriority w:val="39"/>
    <w:unhideWhenUsed/>
    <w:qFormat/>
    <w:rsid w:val="00511CD0"/>
    <w:pPr>
      <w:spacing w:before="480" w:after="0" w:line="276" w:lineRule="auto"/>
      <w:outlineLvl w:val="9"/>
    </w:pPr>
    <w:rPr>
      <w:rFonts w:cs="Arial"/>
      <w:caps w:val="0"/>
      <w:sz w:val="60"/>
      <w:szCs w:val="60"/>
    </w:rPr>
  </w:style>
  <w:style w:type="paragraph" w:styleId="TOC1">
    <w:name w:val="toc 1"/>
    <w:basedOn w:val="Normal"/>
    <w:next w:val="Normal"/>
    <w:autoRedefine/>
    <w:uiPriority w:val="39"/>
    <w:unhideWhenUsed/>
    <w:rsid w:val="00731B1D"/>
    <w:pPr>
      <w:tabs>
        <w:tab w:val="right" w:leader="dot" w:pos="9091"/>
      </w:tabs>
      <w:spacing w:after="100"/>
    </w:pPr>
    <w:rPr>
      <w:noProof/>
      <w:color w:val="0092BB" w:themeColor="accent1"/>
    </w:rPr>
  </w:style>
  <w:style w:type="paragraph" w:styleId="TOC2">
    <w:name w:val="toc 2"/>
    <w:basedOn w:val="Normal"/>
    <w:next w:val="Normal"/>
    <w:autoRedefine/>
    <w:uiPriority w:val="39"/>
    <w:unhideWhenUsed/>
    <w:rsid w:val="0067124C"/>
    <w:pPr>
      <w:spacing w:after="100"/>
      <w:ind w:left="200"/>
    </w:pPr>
  </w:style>
  <w:style w:type="paragraph" w:styleId="TOC3">
    <w:name w:val="toc 3"/>
    <w:basedOn w:val="Normal"/>
    <w:next w:val="Normal"/>
    <w:autoRedefine/>
    <w:uiPriority w:val="39"/>
    <w:unhideWhenUsed/>
    <w:rsid w:val="0067124C"/>
    <w:pPr>
      <w:spacing w:after="100"/>
      <w:ind w:left="400"/>
    </w:pPr>
  </w:style>
  <w:style w:type="character" w:styleId="Hyperlink">
    <w:name w:val="Hyperlink"/>
    <w:basedOn w:val="DefaultParagraphFont"/>
    <w:uiPriority w:val="99"/>
    <w:unhideWhenUsed/>
    <w:rsid w:val="0067124C"/>
    <w:rPr>
      <w:color w:val="0000FF" w:themeColor="hyperlink"/>
      <w:u w:val="single"/>
    </w:rPr>
  </w:style>
  <w:style w:type="character" w:styleId="FootnoteReference">
    <w:name w:val="footnote reference"/>
    <w:aliases w:val="16 Point,Superscript 6 Point,BVI fnr,nota pié di pagina,Error-Fußnotenzeichen5,Error-Fußnotenzeichen6,Error-Fußnotenzeichen3,ftref,Times 10 Point,Exposant 3 Point,Footnote symbol,Footnote reference number,Footnote Reference 2, BVI fnr"/>
    <w:basedOn w:val="DefaultParagraphFont"/>
    <w:link w:val="RefCharCarCar"/>
    <w:uiPriority w:val="99"/>
    <w:unhideWhenUsed/>
    <w:rsid w:val="00C87A6B"/>
    <w:rPr>
      <w:vertAlign w:val="superscript"/>
    </w:rPr>
  </w:style>
  <w:style w:type="paragraph" w:styleId="ListBullet3">
    <w:name w:val="List Bullet 3"/>
    <w:basedOn w:val="Normal"/>
    <w:uiPriority w:val="99"/>
    <w:semiHidden/>
    <w:unhideWhenUsed/>
    <w:rsid w:val="001640CE"/>
    <w:pPr>
      <w:numPr>
        <w:numId w:val="3"/>
      </w:numPr>
      <w:ind w:left="924" w:hanging="357"/>
    </w:pPr>
  </w:style>
  <w:style w:type="paragraph" w:styleId="ListBullet4">
    <w:name w:val="List Bullet 4"/>
    <w:basedOn w:val="Normal"/>
    <w:uiPriority w:val="99"/>
    <w:semiHidden/>
    <w:unhideWhenUsed/>
    <w:rsid w:val="001640CE"/>
    <w:pPr>
      <w:numPr>
        <w:numId w:val="4"/>
      </w:numPr>
      <w:ind w:left="1208" w:hanging="357"/>
    </w:pPr>
  </w:style>
  <w:style w:type="paragraph" w:styleId="ListBullet5">
    <w:name w:val="List Bullet 5"/>
    <w:basedOn w:val="Normal"/>
    <w:uiPriority w:val="99"/>
    <w:semiHidden/>
    <w:unhideWhenUsed/>
    <w:rsid w:val="001640CE"/>
    <w:pPr>
      <w:numPr>
        <w:numId w:val="5"/>
      </w:numPr>
      <w:ind w:left="1491" w:hanging="357"/>
    </w:pPr>
  </w:style>
  <w:style w:type="paragraph" w:styleId="ListContinue">
    <w:name w:val="List Continue"/>
    <w:basedOn w:val="Normal"/>
    <w:uiPriority w:val="99"/>
    <w:semiHidden/>
    <w:unhideWhenUsed/>
    <w:rsid w:val="002C7928"/>
    <w:pPr>
      <w:ind w:left="284"/>
    </w:pPr>
  </w:style>
  <w:style w:type="paragraph" w:styleId="ListContinue2">
    <w:name w:val="List Continue 2"/>
    <w:basedOn w:val="Normal"/>
    <w:uiPriority w:val="99"/>
    <w:semiHidden/>
    <w:unhideWhenUsed/>
    <w:rsid w:val="002C7928"/>
    <w:pPr>
      <w:ind w:left="567"/>
    </w:pPr>
  </w:style>
  <w:style w:type="paragraph" w:styleId="ListContinue3">
    <w:name w:val="List Continue 3"/>
    <w:basedOn w:val="Normal"/>
    <w:uiPriority w:val="99"/>
    <w:semiHidden/>
    <w:unhideWhenUsed/>
    <w:rsid w:val="002C7928"/>
    <w:pPr>
      <w:ind w:left="851"/>
    </w:pPr>
  </w:style>
  <w:style w:type="paragraph" w:styleId="ListContinue4">
    <w:name w:val="List Continue 4"/>
    <w:basedOn w:val="Normal"/>
    <w:uiPriority w:val="99"/>
    <w:semiHidden/>
    <w:unhideWhenUsed/>
    <w:rsid w:val="002C7928"/>
    <w:pPr>
      <w:ind w:left="1134"/>
    </w:pPr>
  </w:style>
  <w:style w:type="paragraph" w:styleId="ListContinue5">
    <w:name w:val="List Continue 5"/>
    <w:basedOn w:val="Normal"/>
    <w:uiPriority w:val="99"/>
    <w:semiHidden/>
    <w:unhideWhenUsed/>
    <w:rsid w:val="002C7928"/>
    <w:pPr>
      <w:ind w:left="1418"/>
    </w:pPr>
  </w:style>
  <w:style w:type="paragraph" w:styleId="ListNumber3">
    <w:name w:val="List Number 3"/>
    <w:basedOn w:val="Normal"/>
    <w:uiPriority w:val="99"/>
    <w:semiHidden/>
    <w:unhideWhenUsed/>
    <w:rsid w:val="001640CE"/>
    <w:pPr>
      <w:numPr>
        <w:numId w:val="7"/>
      </w:numPr>
      <w:ind w:left="924" w:hanging="357"/>
    </w:pPr>
  </w:style>
  <w:style w:type="paragraph" w:styleId="ListNumber4">
    <w:name w:val="List Number 4"/>
    <w:basedOn w:val="Normal"/>
    <w:uiPriority w:val="99"/>
    <w:semiHidden/>
    <w:unhideWhenUsed/>
    <w:rsid w:val="001640CE"/>
    <w:pPr>
      <w:numPr>
        <w:numId w:val="8"/>
      </w:numPr>
      <w:ind w:left="1208" w:hanging="357"/>
    </w:pPr>
  </w:style>
  <w:style w:type="paragraph" w:styleId="ListNumber5">
    <w:name w:val="List Number 5"/>
    <w:basedOn w:val="Normal"/>
    <w:uiPriority w:val="99"/>
    <w:semiHidden/>
    <w:unhideWhenUsed/>
    <w:rsid w:val="001640CE"/>
    <w:pPr>
      <w:numPr>
        <w:numId w:val="9"/>
      </w:numPr>
      <w:ind w:left="1491" w:hanging="357"/>
    </w:pPr>
  </w:style>
  <w:style w:type="paragraph" w:styleId="Quote">
    <w:name w:val="Quote"/>
    <w:basedOn w:val="Normal"/>
    <w:next w:val="Normal"/>
    <w:link w:val="QuoteChar"/>
    <w:uiPriority w:val="29"/>
    <w:qFormat/>
    <w:rsid w:val="00AF646B"/>
    <w:pPr>
      <w:spacing w:before="200" w:after="160"/>
    </w:pPr>
    <w:rPr>
      <w:i/>
      <w:iCs/>
      <w:color w:val="404040" w:themeColor="text1" w:themeTint="BF"/>
    </w:rPr>
  </w:style>
  <w:style w:type="character" w:customStyle="1" w:styleId="QuoteChar">
    <w:name w:val="Quote Char"/>
    <w:basedOn w:val="DefaultParagraphFont"/>
    <w:link w:val="Quote"/>
    <w:uiPriority w:val="29"/>
    <w:rsid w:val="00AF646B"/>
    <w:rPr>
      <w:rFonts w:ascii="Arial" w:hAnsi="Arial" w:cs="Arial"/>
      <w:i/>
      <w:iCs/>
      <w:color w:val="404040" w:themeColor="text1" w:themeTint="BF"/>
      <w:sz w:val="20"/>
      <w:szCs w:val="20"/>
    </w:rPr>
  </w:style>
  <w:style w:type="character" w:styleId="PlaceholderText">
    <w:name w:val="Placeholder Text"/>
    <w:basedOn w:val="DefaultParagraphFont"/>
    <w:uiPriority w:val="99"/>
    <w:semiHidden/>
    <w:rsid w:val="00156998"/>
    <w:rPr>
      <w:color w:val="808080"/>
    </w:rPr>
  </w:style>
  <w:style w:type="paragraph" w:styleId="NormalWeb">
    <w:name w:val="Normal (Web)"/>
    <w:basedOn w:val="Normal"/>
    <w:uiPriority w:val="99"/>
    <w:semiHidden/>
    <w:unhideWhenUsed/>
    <w:rsid w:val="00F505C0"/>
  </w:style>
  <w:style w:type="character" w:customStyle="1" w:styleId="ListParagraphChar">
    <w:name w:val="List Paragraph Char"/>
    <w:aliases w:val="List Paragraph1 Char,Lijstalinea Char,Bullet List Paragraph Char,Heading 2_sj Char"/>
    <w:link w:val="ListParagraph"/>
    <w:uiPriority w:val="34"/>
    <w:locked/>
    <w:rsid w:val="00D437AA"/>
    <w:rPr>
      <w:rFonts w:ascii="Arial" w:hAnsi="Arial" w:cs="Arial"/>
      <w:sz w:val="20"/>
      <w:szCs w:val="20"/>
    </w:rPr>
  </w:style>
  <w:style w:type="character" w:styleId="CommentReference">
    <w:name w:val="annotation reference"/>
    <w:basedOn w:val="DefaultParagraphFont"/>
    <w:uiPriority w:val="99"/>
    <w:semiHidden/>
    <w:unhideWhenUsed/>
    <w:rsid w:val="00FD6034"/>
    <w:rPr>
      <w:sz w:val="16"/>
      <w:szCs w:val="16"/>
    </w:rPr>
  </w:style>
  <w:style w:type="paragraph" w:styleId="CommentText">
    <w:name w:val="annotation text"/>
    <w:basedOn w:val="Normal"/>
    <w:link w:val="CommentTextChar"/>
    <w:uiPriority w:val="99"/>
    <w:unhideWhenUsed/>
    <w:rsid w:val="00FD6034"/>
  </w:style>
  <w:style w:type="character" w:customStyle="1" w:styleId="CommentTextChar">
    <w:name w:val="Comment Text Char"/>
    <w:basedOn w:val="DefaultParagraphFont"/>
    <w:link w:val="CommentText"/>
    <w:uiPriority w:val="99"/>
    <w:rsid w:val="00FD603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D6034"/>
    <w:rPr>
      <w:b/>
      <w:bCs/>
    </w:rPr>
  </w:style>
  <w:style w:type="character" w:customStyle="1" w:styleId="CommentSubjectChar">
    <w:name w:val="Comment Subject Char"/>
    <w:basedOn w:val="CommentTextChar"/>
    <w:link w:val="CommentSubject"/>
    <w:uiPriority w:val="99"/>
    <w:semiHidden/>
    <w:rsid w:val="00FD6034"/>
    <w:rPr>
      <w:rFonts w:ascii="Arial" w:hAnsi="Arial" w:cs="Arial"/>
      <w:b/>
      <w:bCs/>
      <w:sz w:val="20"/>
      <w:szCs w:val="20"/>
    </w:rPr>
  </w:style>
  <w:style w:type="paragraph" w:customStyle="1" w:styleId="Default">
    <w:name w:val="Default"/>
    <w:rsid w:val="004F68C5"/>
    <w:pPr>
      <w:autoSpaceDE w:val="0"/>
      <w:autoSpaceDN w:val="0"/>
      <w:adjustRightInd w:val="0"/>
      <w:spacing w:after="0" w:line="240" w:lineRule="auto"/>
    </w:pPr>
    <w:rPr>
      <w:rFonts w:ascii="Arial" w:hAnsi="Arial" w:cs="Arial"/>
      <w:color w:val="000000"/>
      <w:sz w:val="24"/>
      <w:szCs w:val="24"/>
      <w:lang w:val="en-US"/>
    </w:rPr>
  </w:style>
  <w:style w:type="paragraph" w:styleId="Bibliography">
    <w:name w:val="Bibliography"/>
    <w:basedOn w:val="Normal"/>
    <w:next w:val="Normal"/>
    <w:uiPriority w:val="37"/>
    <w:unhideWhenUsed/>
    <w:rsid w:val="004F68C5"/>
    <w:pPr>
      <w:spacing w:line="276" w:lineRule="auto"/>
    </w:pPr>
    <w:rPr>
      <w:rFonts w:asciiTheme="minorHAnsi" w:hAnsiTheme="minorHAnsi" w:cstheme="minorBidi"/>
      <w:sz w:val="22"/>
      <w:szCs w:val="22"/>
    </w:rPr>
  </w:style>
  <w:style w:type="paragraph" w:customStyle="1" w:styleId="RefCharCarCar">
    <w:name w:val="Ref Char Car Car"/>
    <w:aliases w:val="de nota al pie Char Car Car,Ref Char Char Car Car,de nota al pie Char Char Car Car,ftref Char Char Char Char Car Car,ftref Car Char Char Char Char Char Car Car"/>
    <w:basedOn w:val="Normal"/>
    <w:link w:val="FootnoteReference"/>
    <w:uiPriority w:val="99"/>
    <w:rsid w:val="00C56E6A"/>
    <w:pPr>
      <w:spacing w:after="160" w:line="240" w:lineRule="exact"/>
    </w:pPr>
    <w:rPr>
      <w:rFonts w:asciiTheme="minorHAnsi" w:hAnsiTheme="minorHAnsi" w:cstheme="minorBidi"/>
      <w:sz w:val="22"/>
      <w:szCs w:val="22"/>
      <w:vertAlign w:val="superscript"/>
    </w:rPr>
  </w:style>
  <w:style w:type="character" w:customStyle="1" w:styleId="A8">
    <w:name w:val="A8"/>
    <w:uiPriority w:val="99"/>
    <w:rsid w:val="00C56E6A"/>
    <w:rPr>
      <w:rFonts w:cs="Myriad Pro"/>
      <w:color w:val="000000"/>
      <w:sz w:val="21"/>
      <w:szCs w:val="21"/>
    </w:rPr>
  </w:style>
  <w:style w:type="character" w:customStyle="1" w:styleId="NichtaufgelsteErwhnung1">
    <w:name w:val="Nicht aufgelöste Erwähnung1"/>
    <w:basedOn w:val="DefaultParagraphFont"/>
    <w:uiPriority w:val="99"/>
    <w:semiHidden/>
    <w:unhideWhenUsed/>
    <w:rsid w:val="00165A12"/>
    <w:rPr>
      <w:color w:val="808080"/>
      <w:shd w:val="clear" w:color="auto" w:fill="E6E6E6"/>
    </w:rPr>
  </w:style>
  <w:style w:type="paragraph" w:styleId="Caption">
    <w:name w:val="caption"/>
    <w:basedOn w:val="Normal"/>
    <w:next w:val="Normal"/>
    <w:uiPriority w:val="35"/>
    <w:unhideWhenUsed/>
    <w:qFormat/>
    <w:rsid w:val="0033474A"/>
    <w:rPr>
      <w:rFonts w:asciiTheme="minorHAnsi" w:hAnsiTheme="minorHAnsi" w:cstheme="minorBidi"/>
      <w:i/>
      <w:iCs/>
      <w:color w:val="616264" w:themeColor="text2"/>
      <w:sz w:val="18"/>
      <w:szCs w:val="18"/>
      <w:lang w:val="de-DE"/>
    </w:rPr>
  </w:style>
  <w:style w:type="paragraph" w:customStyle="1" w:styleId="CharCharCharCharCarCarCharCharCarCarCharChar">
    <w:name w:val="Char Char Char Char Car Car Char Char Car Car Char Char"/>
    <w:basedOn w:val="Normal"/>
    <w:next w:val="Normal"/>
    <w:uiPriority w:val="99"/>
    <w:rsid w:val="003921D7"/>
    <w:pPr>
      <w:spacing w:after="160" w:line="240" w:lineRule="exact"/>
    </w:pPr>
    <w:rPr>
      <w:rFonts w:asciiTheme="minorHAnsi" w:hAnsiTheme="minorHAnsi" w:cstheme="minorBidi"/>
      <w:sz w:val="22"/>
      <w:szCs w:val="22"/>
      <w:vertAlign w:val="superscript"/>
    </w:rPr>
  </w:style>
  <w:style w:type="character" w:styleId="FollowedHyperlink">
    <w:name w:val="FollowedHyperlink"/>
    <w:basedOn w:val="DefaultParagraphFont"/>
    <w:uiPriority w:val="99"/>
    <w:semiHidden/>
    <w:unhideWhenUsed/>
    <w:rsid w:val="00F352B5"/>
    <w:rPr>
      <w:color w:val="800080" w:themeColor="followedHyperlink"/>
      <w:u w:val="single"/>
    </w:rPr>
  </w:style>
  <w:style w:type="paragraph" w:customStyle="1" w:styleId="MediumList2-Accent41">
    <w:name w:val="Medium List 2 - Accent 41"/>
    <w:basedOn w:val="Normal"/>
    <w:uiPriority w:val="34"/>
    <w:qFormat/>
    <w:rsid w:val="00A14387"/>
    <w:pPr>
      <w:spacing w:line="276" w:lineRule="auto"/>
      <w:ind w:left="720"/>
      <w:contextualSpacing/>
    </w:pPr>
    <w:rPr>
      <w:rFonts w:ascii="Calibri" w:eastAsia="Calibri" w:hAnsi="Calibri"/>
      <w:sz w:val="22"/>
      <w:szCs w:val="22"/>
    </w:rPr>
  </w:style>
  <w:style w:type="paragraph" w:customStyle="1" w:styleId="FootnoteReference2CharCharCharCharChar">
    <w:name w:val="Footnote Reference 2 Char Char Char Char Char"/>
    <w:aliases w:val="16 Point Char Char Char Char Char,Superscript 6 Point Char Char Char Char Char,BVI fnr Char Char Char Char Char,nota pié di pagina Char Char Char Char Char"/>
    <w:basedOn w:val="Normal"/>
    <w:uiPriority w:val="99"/>
    <w:rsid w:val="006C1F59"/>
    <w:pPr>
      <w:spacing w:after="160" w:line="240" w:lineRule="exact"/>
    </w:pPr>
    <w:rPr>
      <w:rFonts w:asciiTheme="minorHAnsi" w:hAnsiTheme="minorHAnsi" w:cstheme="minorBidi"/>
      <w:sz w:val="22"/>
      <w:szCs w:val="22"/>
      <w:vertAlign w:val="superscript"/>
    </w:rPr>
  </w:style>
  <w:style w:type="character" w:customStyle="1" w:styleId="NichtaufgelsteErwhnung2">
    <w:name w:val="Nicht aufgelöste Erwähnung2"/>
    <w:basedOn w:val="DefaultParagraphFont"/>
    <w:uiPriority w:val="99"/>
    <w:semiHidden/>
    <w:unhideWhenUsed/>
    <w:rsid w:val="00F76053"/>
    <w:rPr>
      <w:color w:val="808080"/>
      <w:shd w:val="clear" w:color="auto" w:fill="E6E6E6"/>
    </w:rPr>
  </w:style>
  <w:style w:type="character" w:styleId="UnresolvedMention">
    <w:name w:val="Unresolved Mention"/>
    <w:basedOn w:val="DefaultParagraphFont"/>
    <w:uiPriority w:val="99"/>
    <w:semiHidden/>
    <w:unhideWhenUsed/>
    <w:rsid w:val="005F227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39591">
      <w:bodyDiv w:val="1"/>
      <w:marLeft w:val="0"/>
      <w:marRight w:val="0"/>
      <w:marTop w:val="0"/>
      <w:marBottom w:val="0"/>
      <w:divBdr>
        <w:top w:val="none" w:sz="0" w:space="0" w:color="auto"/>
        <w:left w:val="none" w:sz="0" w:space="0" w:color="auto"/>
        <w:bottom w:val="none" w:sz="0" w:space="0" w:color="auto"/>
        <w:right w:val="none" w:sz="0" w:space="0" w:color="auto"/>
      </w:divBdr>
    </w:div>
    <w:div w:id="46078345">
      <w:bodyDiv w:val="1"/>
      <w:marLeft w:val="0"/>
      <w:marRight w:val="0"/>
      <w:marTop w:val="0"/>
      <w:marBottom w:val="0"/>
      <w:divBdr>
        <w:top w:val="none" w:sz="0" w:space="0" w:color="auto"/>
        <w:left w:val="none" w:sz="0" w:space="0" w:color="auto"/>
        <w:bottom w:val="none" w:sz="0" w:space="0" w:color="auto"/>
        <w:right w:val="none" w:sz="0" w:space="0" w:color="auto"/>
      </w:divBdr>
    </w:div>
    <w:div w:id="105661949">
      <w:bodyDiv w:val="1"/>
      <w:marLeft w:val="0"/>
      <w:marRight w:val="0"/>
      <w:marTop w:val="0"/>
      <w:marBottom w:val="0"/>
      <w:divBdr>
        <w:top w:val="none" w:sz="0" w:space="0" w:color="auto"/>
        <w:left w:val="none" w:sz="0" w:space="0" w:color="auto"/>
        <w:bottom w:val="none" w:sz="0" w:space="0" w:color="auto"/>
        <w:right w:val="none" w:sz="0" w:space="0" w:color="auto"/>
      </w:divBdr>
    </w:div>
    <w:div w:id="110705361">
      <w:bodyDiv w:val="1"/>
      <w:marLeft w:val="0"/>
      <w:marRight w:val="0"/>
      <w:marTop w:val="0"/>
      <w:marBottom w:val="0"/>
      <w:divBdr>
        <w:top w:val="none" w:sz="0" w:space="0" w:color="auto"/>
        <w:left w:val="none" w:sz="0" w:space="0" w:color="auto"/>
        <w:bottom w:val="none" w:sz="0" w:space="0" w:color="auto"/>
        <w:right w:val="none" w:sz="0" w:space="0" w:color="auto"/>
      </w:divBdr>
    </w:div>
    <w:div w:id="251740123">
      <w:bodyDiv w:val="1"/>
      <w:marLeft w:val="0"/>
      <w:marRight w:val="0"/>
      <w:marTop w:val="0"/>
      <w:marBottom w:val="0"/>
      <w:divBdr>
        <w:top w:val="none" w:sz="0" w:space="0" w:color="auto"/>
        <w:left w:val="none" w:sz="0" w:space="0" w:color="auto"/>
        <w:bottom w:val="none" w:sz="0" w:space="0" w:color="auto"/>
        <w:right w:val="none" w:sz="0" w:space="0" w:color="auto"/>
      </w:divBdr>
    </w:div>
    <w:div w:id="283733831">
      <w:bodyDiv w:val="1"/>
      <w:marLeft w:val="0"/>
      <w:marRight w:val="0"/>
      <w:marTop w:val="0"/>
      <w:marBottom w:val="0"/>
      <w:divBdr>
        <w:top w:val="none" w:sz="0" w:space="0" w:color="auto"/>
        <w:left w:val="none" w:sz="0" w:space="0" w:color="auto"/>
        <w:bottom w:val="none" w:sz="0" w:space="0" w:color="auto"/>
        <w:right w:val="none" w:sz="0" w:space="0" w:color="auto"/>
      </w:divBdr>
    </w:div>
    <w:div w:id="624389532">
      <w:bodyDiv w:val="1"/>
      <w:marLeft w:val="0"/>
      <w:marRight w:val="0"/>
      <w:marTop w:val="0"/>
      <w:marBottom w:val="0"/>
      <w:divBdr>
        <w:top w:val="none" w:sz="0" w:space="0" w:color="auto"/>
        <w:left w:val="none" w:sz="0" w:space="0" w:color="auto"/>
        <w:bottom w:val="none" w:sz="0" w:space="0" w:color="auto"/>
        <w:right w:val="none" w:sz="0" w:space="0" w:color="auto"/>
      </w:divBdr>
    </w:div>
    <w:div w:id="680007297">
      <w:bodyDiv w:val="1"/>
      <w:marLeft w:val="0"/>
      <w:marRight w:val="0"/>
      <w:marTop w:val="0"/>
      <w:marBottom w:val="0"/>
      <w:divBdr>
        <w:top w:val="none" w:sz="0" w:space="0" w:color="auto"/>
        <w:left w:val="none" w:sz="0" w:space="0" w:color="auto"/>
        <w:bottom w:val="none" w:sz="0" w:space="0" w:color="auto"/>
        <w:right w:val="none" w:sz="0" w:space="0" w:color="auto"/>
      </w:divBdr>
    </w:div>
    <w:div w:id="782303686">
      <w:bodyDiv w:val="1"/>
      <w:marLeft w:val="0"/>
      <w:marRight w:val="0"/>
      <w:marTop w:val="0"/>
      <w:marBottom w:val="0"/>
      <w:divBdr>
        <w:top w:val="none" w:sz="0" w:space="0" w:color="auto"/>
        <w:left w:val="none" w:sz="0" w:space="0" w:color="auto"/>
        <w:bottom w:val="none" w:sz="0" w:space="0" w:color="auto"/>
        <w:right w:val="none" w:sz="0" w:space="0" w:color="auto"/>
      </w:divBdr>
    </w:div>
    <w:div w:id="837380825">
      <w:bodyDiv w:val="1"/>
      <w:marLeft w:val="0"/>
      <w:marRight w:val="0"/>
      <w:marTop w:val="0"/>
      <w:marBottom w:val="0"/>
      <w:divBdr>
        <w:top w:val="none" w:sz="0" w:space="0" w:color="auto"/>
        <w:left w:val="none" w:sz="0" w:space="0" w:color="auto"/>
        <w:bottom w:val="none" w:sz="0" w:space="0" w:color="auto"/>
        <w:right w:val="none" w:sz="0" w:space="0" w:color="auto"/>
      </w:divBdr>
    </w:div>
    <w:div w:id="849834250">
      <w:bodyDiv w:val="1"/>
      <w:marLeft w:val="0"/>
      <w:marRight w:val="0"/>
      <w:marTop w:val="0"/>
      <w:marBottom w:val="0"/>
      <w:divBdr>
        <w:top w:val="none" w:sz="0" w:space="0" w:color="auto"/>
        <w:left w:val="none" w:sz="0" w:space="0" w:color="auto"/>
        <w:bottom w:val="none" w:sz="0" w:space="0" w:color="auto"/>
        <w:right w:val="none" w:sz="0" w:space="0" w:color="auto"/>
      </w:divBdr>
    </w:div>
    <w:div w:id="1023285881">
      <w:bodyDiv w:val="1"/>
      <w:marLeft w:val="0"/>
      <w:marRight w:val="0"/>
      <w:marTop w:val="0"/>
      <w:marBottom w:val="0"/>
      <w:divBdr>
        <w:top w:val="none" w:sz="0" w:space="0" w:color="auto"/>
        <w:left w:val="none" w:sz="0" w:space="0" w:color="auto"/>
        <w:bottom w:val="none" w:sz="0" w:space="0" w:color="auto"/>
        <w:right w:val="none" w:sz="0" w:space="0" w:color="auto"/>
      </w:divBdr>
    </w:div>
    <w:div w:id="1035815860">
      <w:bodyDiv w:val="1"/>
      <w:marLeft w:val="0"/>
      <w:marRight w:val="0"/>
      <w:marTop w:val="0"/>
      <w:marBottom w:val="0"/>
      <w:divBdr>
        <w:top w:val="none" w:sz="0" w:space="0" w:color="auto"/>
        <w:left w:val="none" w:sz="0" w:space="0" w:color="auto"/>
        <w:bottom w:val="none" w:sz="0" w:space="0" w:color="auto"/>
        <w:right w:val="none" w:sz="0" w:space="0" w:color="auto"/>
      </w:divBdr>
    </w:div>
    <w:div w:id="1048451147">
      <w:bodyDiv w:val="1"/>
      <w:marLeft w:val="0"/>
      <w:marRight w:val="0"/>
      <w:marTop w:val="0"/>
      <w:marBottom w:val="0"/>
      <w:divBdr>
        <w:top w:val="none" w:sz="0" w:space="0" w:color="auto"/>
        <w:left w:val="none" w:sz="0" w:space="0" w:color="auto"/>
        <w:bottom w:val="none" w:sz="0" w:space="0" w:color="auto"/>
        <w:right w:val="none" w:sz="0" w:space="0" w:color="auto"/>
      </w:divBdr>
    </w:div>
    <w:div w:id="1205556836">
      <w:bodyDiv w:val="1"/>
      <w:marLeft w:val="0"/>
      <w:marRight w:val="0"/>
      <w:marTop w:val="0"/>
      <w:marBottom w:val="0"/>
      <w:divBdr>
        <w:top w:val="none" w:sz="0" w:space="0" w:color="auto"/>
        <w:left w:val="none" w:sz="0" w:space="0" w:color="auto"/>
        <w:bottom w:val="none" w:sz="0" w:space="0" w:color="auto"/>
        <w:right w:val="none" w:sz="0" w:space="0" w:color="auto"/>
      </w:divBdr>
    </w:div>
    <w:div w:id="1206256041">
      <w:bodyDiv w:val="1"/>
      <w:marLeft w:val="0"/>
      <w:marRight w:val="0"/>
      <w:marTop w:val="0"/>
      <w:marBottom w:val="0"/>
      <w:divBdr>
        <w:top w:val="none" w:sz="0" w:space="0" w:color="auto"/>
        <w:left w:val="none" w:sz="0" w:space="0" w:color="auto"/>
        <w:bottom w:val="none" w:sz="0" w:space="0" w:color="auto"/>
        <w:right w:val="none" w:sz="0" w:space="0" w:color="auto"/>
      </w:divBdr>
    </w:div>
    <w:div w:id="1302074451">
      <w:bodyDiv w:val="1"/>
      <w:marLeft w:val="0"/>
      <w:marRight w:val="0"/>
      <w:marTop w:val="0"/>
      <w:marBottom w:val="0"/>
      <w:divBdr>
        <w:top w:val="none" w:sz="0" w:space="0" w:color="auto"/>
        <w:left w:val="none" w:sz="0" w:space="0" w:color="auto"/>
        <w:bottom w:val="none" w:sz="0" w:space="0" w:color="auto"/>
        <w:right w:val="none" w:sz="0" w:space="0" w:color="auto"/>
      </w:divBdr>
    </w:div>
    <w:div w:id="1344699946">
      <w:bodyDiv w:val="1"/>
      <w:marLeft w:val="0"/>
      <w:marRight w:val="0"/>
      <w:marTop w:val="0"/>
      <w:marBottom w:val="0"/>
      <w:divBdr>
        <w:top w:val="none" w:sz="0" w:space="0" w:color="auto"/>
        <w:left w:val="none" w:sz="0" w:space="0" w:color="auto"/>
        <w:bottom w:val="none" w:sz="0" w:space="0" w:color="auto"/>
        <w:right w:val="none" w:sz="0" w:space="0" w:color="auto"/>
      </w:divBdr>
    </w:div>
    <w:div w:id="1385178449">
      <w:bodyDiv w:val="1"/>
      <w:marLeft w:val="0"/>
      <w:marRight w:val="0"/>
      <w:marTop w:val="0"/>
      <w:marBottom w:val="0"/>
      <w:divBdr>
        <w:top w:val="none" w:sz="0" w:space="0" w:color="auto"/>
        <w:left w:val="none" w:sz="0" w:space="0" w:color="auto"/>
        <w:bottom w:val="none" w:sz="0" w:space="0" w:color="auto"/>
        <w:right w:val="none" w:sz="0" w:space="0" w:color="auto"/>
      </w:divBdr>
    </w:div>
    <w:div w:id="1465078595">
      <w:bodyDiv w:val="1"/>
      <w:marLeft w:val="0"/>
      <w:marRight w:val="0"/>
      <w:marTop w:val="0"/>
      <w:marBottom w:val="0"/>
      <w:divBdr>
        <w:top w:val="none" w:sz="0" w:space="0" w:color="auto"/>
        <w:left w:val="none" w:sz="0" w:space="0" w:color="auto"/>
        <w:bottom w:val="none" w:sz="0" w:space="0" w:color="auto"/>
        <w:right w:val="none" w:sz="0" w:space="0" w:color="auto"/>
      </w:divBdr>
    </w:div>
    <w:div w:id="1475681242">
      <w:bodyDiv w:val="1"/>
      <w:marLeft w:val="0"/>
      <w:marRight w:val="0"/>
      <w:marTop w:val="0"/>
      <w:marBottom w:val="0"/>
      <w:divBdr>
        <w:top w:val="none" w:sz="0" w:space="0" w:color="auto"/>
        <w:left w:val="none" w:sz="0" w:space="0" w:color="auto"/>
        <w:bottom w:val="none" w:sz="0" w:space="0" w:color="auto"/>
        <w:right w:val="none" w:sz="0" w:space="0" w:color="auto"/>
      </w:divBdr>
    </w:div>
    <w:div w:id="1519545384">
      <w:bodyDiv w:val="1"/>
      <w:marLeft w:val="0"/>
      <w:marRight w:val="0"/>
      <w:marTop w:val="0"/>
      <w:marBottom w:val="0"/>
      <w:divBdr>
        <w:top w:val="none" w:sz="0" w:space="0" w:color="auto"/>
        <w:left w:val="none" w:sz="0" w:space="0" w:color="auto"/>
        <w:bottom w:val="none" w:sz="0" w:space="0" w:color="auto"/>
        <w:right w:val="none" w:sz="0" w:space="0" w:color="auto"/>
      </w:divBdr>
    </w:div>
    <w:div w:id="1523473715">
      <w:bodyDiv w:val="1"/>
      <w:marLeft w:val="0"/>
      <w:marRight w:val="0"/>
      <w:marTop w:val="0"/>
      <w:marBottom w:val="0"/>
      <w:divBdr>
        <w:top w:val="none" w:sz="0" w:space="0" w:color="auto"/>
        <w:left w:val="none" w:sz="0" w:space="0" w:color="auto"/>
        <w:bottom w:val="none" w:sz="0" w:space="0" w:color="auto"/>
        <w:right w:val="none" w:sz="0" w:space="0" w:color="auto"/>
      </w:divBdr>
    </w:div>
    <w:div w:id="1547838839">
      <w:bodyDiv w:val="1"/>
      <w:marLeft w:val="0"/>
      <w:marRight w:val="0"/>
      <w:marTop w:val="0"/>
      <w:marBottom w:val="0"/>
      <w:divBdr>
        <w:top w:val="none" w:sz="0" w:space="0" w:color="auto"/>
        <w:left w:val="none" w:sz="0" w:space="0" w:color="auto"/>
        <w:bottom w:val="none" w:sz="0" w:space="0" w:color="auto"/>
        <w:right w:val="none" w:sz="0" w:space="0" w:color="auto"/>
      </w:divBdr>
    </w:div>
    <w:div w:id="1597254490">
      <w:bodyDiv w:val="1"/>
      <w:marLeft w:val="0"/>
      <w:marRight w:val="0"/>
      <w:marTop w:val="0"/>
      <w:marBottom w:val="0"/>
      <w:divBdr>
        <w:top w:val="none" w:sz="0" w:space="0" w:color="auto"/>
        <w:left w:val="none" w:sz="0" w:space="0" w:color="auto"/>
        <w:bottom w:val="none" w:sz="0" w:space="0" w:color="auto"/>
        <w:right w:val="none" w:sz="0" w:space="0" w:color="auto"/>
      </w:divBdr>
    </w:div>
    <w:div w:id="1608999365">
      <w:bodyDiv w:val="1"/>
      <w:marLeft w:val="0"/>
      <w:marRight w:val="0"/>
      <w:marTop w:val="0"/>
      <w:marBottom w:val="0"/>
      <w:divBdr>
        <w:top w:val="none" w:sz="0" w:space="0" w:color="auto"/>
        <w:left w:val="none" w:sz="0" w:space="0" w:color="auto"/>
        <w:bottom w:val="none" w:sz="0" w:space="0" w:color="auto"/>
        <w:right w:val="none" w:sz="0" w:space="0" w:color="auto"/>
      </w:divBdr>
      <w:divsChild>
        <w:div w:id="139544013">
          <w:marLeft w:val="850"/>
          <w:marRight w:val="0"/>
          <w:marTop w:val="77"/>
          <w:marBottom w:val="120"/>
          <w:divBdr>
            <w:top w:val="none" w:sz="0" w:space="0" w:color="auto"/>
            <w:left w:val="none" w:sz="0" w:space="0" w:color="auto"/>
            <w:bottom w:val="none" w:sz="0" w:space="0" w:color="auto"/>
            <w:right w:val="none" w:sz="0" w:space="0" w:color="auto"/>
          </w:divBdr>
        </w:div>
        <w:div w:id="223179386">
          <w:marLeft w:val="850"/>
          <w:marRight w:val="0"/>
          <w:marTop w:val="77"/>
          <w:marBottom w:val="120"/>
          <w:divBdr>
            <w:top w:val="none" w:sz="0" w:space="0" w:color="auto"/>
            <w:left w:val="none" w:sz="0" w:space="0" w:color="auto"/>
            <w:bottom w:val="none" w:sz="0" w:space="0" w:color="auto"/>
            <w:right w:val="none" w:sz="0" w:space="0" w:color="auto"/>
          </w:divBdr>
        </w:div>
        <w:div w:id="312876868">
          <w:marLeft w:val="850"/>
          <w:marRight w:val="0"/>
          <w:marTop w:val="77"/>
          <w:marBottom w:val="120"/>
          <w:divBdr>
            <w:top w:val="none" w:sz="0" w:space="0" w:color="auto"/>
            <w:left w:val="none" w:sz="0" w:space="0" w:color="auto"/>
            <w:bottom w:val="none" w:sz="0" w:space="0" w:color="auto"/>
            <w:right w:val="none" w:sz="0" w:space="0" w:color="auto"/>
          </w:divBdr>
        </w:div>
        <w:div w:id="1367677015">
          <w:marLeft w:val="850"/>
          <w:marRight w:val="0"/>
          <w:marTop w:val="77"/>
          <w:marBottom w:val="120"/>
          <w:divBdr>
            <w:top w:val="none" w:sz="0" w:space="0" w:color="auto"/>
            <w:left w:val="none" w:sz="0" w:space="0" w:color="auto"/>
            <w:bottom w:val="none" w:sz="0" w:space="0" w:color="auto"/>
            <w:right w:val="none" w:sz="0" w:space="0" w:color="auto"/>
          </w:divBdr>
        </w:div>
      </w:divsChild>
    </w:div>
    <w:div w:id="1634408980">
      <w:bodyDiv w:val="1"/>
      <w:marLeft w:val="0"/>
      <w:marRight w:val="0"/>
      <w:marTop w:val="0"/>
      <w:marBottom w:val="0"/>
      <w:divBdr>
        <w:top w:val="none" w:sz="0" w:space="0" w:color="auto"/>
        <w:left w:val="none" w:sz="0" w:space="0" w:color="auto"/>
        <w:bottom w:val="none" w:sz="0" w:space="0" w:color="auto"/>
        <w:right w:val="none" w:sz="0" w:space="0" w:color="auto"/>
      </w:divBdr>
    </w:div>
    <w:div w:id="1705909409">
      <w:bodyDiv w:val="1"/>
      <w:marLeft w:val="0"/>
      <w:marRight w:val="0"/>
      <w:marTop w:val="0"/>
      <w:marBottom w:val="0"/>
      <w:divBdr>
        <w:top w:val="none" w:sz="0" w:space="0" w:color="auto"/>
        <w:left w:val="none" w:sz="0" w:space="0" w:color="auto"/>
        <w:bottom w:val="none" w:sz="0" w:space="0" w:color="auto"/>
        <w:right w:val="none" w:sz="0" w:space="0" w:color="auto"/>
      </w:divBdr>
    </w:div>
    <w:div w:id="1732657559">
      <w:bodyDiv w:val="1"/>
      <w:marLeft w:val="0"/>
      <w:marRight w:val="0"/>
      <w:marTop w:val="0"/>
      <w:marBottom w:val="0"/>
      <w:divBdr>
        <w:top w:val="none" w:sz="0" w:space="0" w:color="auto"/>
        <w:left w:val="none" w:sz="0" w:space="0" w:color="auto"/>
        <w:bottom w:val="none" w:sz="0" w:space="0" w:color="auto"/>
        <w:right w:val="none" w:sz="0" w:space="0" w:color="auto"/>
      </w:divBdr>
    </w:div>
    <w:div w:id="1783913371">
      <w:bodyDiv w:val="1"/>
      <w:marLeft w:val="0"/>
      <w:marRight w:val="0"/>
      <w:marTop w:val="0"/>
      <w:marBottom w:val="0"/>
      <w:divBdr>
        <w:top w:val="none" w:sz="0" w:space="0" w:color="auto"/>
        <w:left w:val="none" w:sz="0" w:space="0" w:color="auto"/>
        <w:bottom w:val="none" w:sz="0" w:space="0" w:color="auto"/>
        <w:right w:val="none" w:sz="0" w:space="0" w:color="auto"/>
      </w:divBdr>
    </w:div>
    <w:div w:id="1815636716">
      <w:bodyDiv w:val="1"/>
      <w:marLeft w:val="0"/>
      <w:marRight w:val="0"/>
      <w:marTop w:val="0"/>
      <w:marBottom w:val="0"/>
      <w:divBdr>
        <w:top w:val="none" w:sz="0" w:space="0" w:color="auto"/>
        <w:left w:val="none" w:sz="0" w:space="0" w:color="auto"/>
        <w:bottom w:val="none" w:sz="0" w:space="0" w:color="auto"/>
        <w:right w:val="none" w:sz="0" w:space="0" w:color="auto"/>
      </w:divBdr>
    </w:div>
    <w:div w:id="1912305997">
      <w:bodyDiv w:val="1"/>
      <w:marLeft w:val="0"/>
      <w:marRight w:val="0"/>
      <w:marTop w:val="0"/>
      <w:marBottom w:val="0"/>
      <w:divBdr>
        <w:top w:val="none" w:sz="0" w:space="0" w:color="auto"/>
        <w:left w:val="none" w:sz="0" w:space="0" w:color="auto"/>
        <w:bottom w:val="none" w:sz="0" w:space="0" w:color="auto"/>
        <w:right w:val="none" w:sz="0" w:space="0" w:color="auto"/>
      </w:divBdr>
    </w:div>
    <w:div w:id="1956213553">
      <w:bodyDiv w:val="1"/>
      <w:marLeft w:val="0"/>
      <w:marRight w:val="0"/>
      <w:marTop w:val="0"/>
      <w:marBottom w:val="0"/>
      <w:divBdr>
        <w:top w:val="none" w:sz="0" w:space="0" w:color="auto"/>
        <w:left w:val="none" w:sz="0" w:space="0" w:color="auto"/>
        <w:bottom w:val="none" w:sz="0" w:space="0" w:color="auto"/>
        <w:right w:val="none" w:sz="0" w:space="0" w:color="auto"/>
      </w:divBdr>
    </w:div>
    <w:div w:id="1972590708">
      <w:bodyDiv w:val="1"/>
      <w:marLeft w:val="0"/>
      <w:marRight w:val="0"/>
      <w:marTop w:val="0"/>
      <w:marBottom w:val="0"/>
      <w:divBdr>
        <w:top w:val="none" w:sz="0" w:space="0" w:color="auto"/>
        <w:left w:val="none" w:sz="0" w:space="0" w:color="auto"/>
        <w:bottom w:val="none" w:sz="0" w:space="0" w:color="auto"/>
        <w:right w:val="none" w:sz="0" w:space="0" w:color="auto"/>
      </w:divBdr>
    </w:div>
    <w:div w:id="1997372878">
      <w:bodyDiv w:val="1"/>
      <w:marLeft w:val="0"/>
      <w:marRight w:val="0"/>
      <w:marTop w:val="0"/>
      <w:marBottom w:val="0"/>
      <w:divBdr>
        <w:top w:val="none" w:sz="0" w:space="0" w:color="auto"/>
        <w:left w:val="none" w:sz="0" w:space="0" w:color="auto"/>
        <w:bottom w:val="none" w:sz="0" w:space="0" w:color="auto"/>
        <w:right w:val="none" w:sz="0" w:space="0" w:color="auto"/>
      </w:divBdr>
    </w:div>
    <w:div w:id="2010668569">
      <w:bodyDiv w:val="1"/>
      <w:marLeft w:val="0"/>
      <w:marRight w:val="0"/>
      <w:marTop w:val="0"/>
      <w:marBottom w:val="0"/>
      <w:divBdr>
        <w:top w:val="none" w:sz="0" w:space="0" w:color="auto"/>
        <w:left w:val="none" w:sz="0" w:space="0" w:color="auto"/>
        <w:bottom w:val="none" w:sz="0" w:space="0" w:color="auto"/>
        <w:right w:val="none" w:sz="0" w:space="0" w:color="auto"/>
      </w:divBdr>
    </w:div>
    <w:div w:id="2020352706">
      <w:bodyDiv w:val="1"/>
      <w:marLeft w:val="0"/>
      <w:marRight w:val="0"/>
      <w:marTop w:val="0"/>
      <w:marBottom w:val="0"/>
      <w:divBdr>
        <w:top w:val="none" w:sz="0" w:space="0" w:color="auto"/>
        <w:left w:val="none" w:sz="0" w:space="0" w:color="auto"/>
        <w:bottom w:val="none" w:sz="0" w:space="0" w:color="auto"/>
        <w:right w:val="none" w:sz="0" w:space="0" w:color="auto"/>
      </w:divBdr>
    </w:div>
    <w:div w:id="208460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chart" Target="charts/chart3.xml"/><Relationship Id="rId39" Type="http://schemas.openxmlformats.org/officeDocument/2006/relationships/hyperlink" Target="http://caucasusbarometer.org" TargetMode="External"/><Relationship Id="rId21" Type="http://schemas.openxmlformats.org/officeDocument/2006/relationships/hyperlink" Target="http://www.hr.ge/" TargetMode="External"/><Relationship Id="rId34" Type="http://schemas.openxmlformats.org/officeDocument/2006/relationships/chart" Target="charts/chart11.xml"/><Relationship Id="rId42" Type="http://schemas.openxmlformats.org/officeDocument/2006/relationships/hyperlink" Target="http://www.etf.europa.eu/webatt.nsf/0/233AD94A2CEBED50C12580E60051DF39/$file/Georgia%202016.pdf" TargetMode="External"/><Relationship Id="rId47" Type="http://schemas.openxmlformats.org/officeDocument/2006/relationships/hyperlink" Target="http://publications.jrc.ec.europa.eu/repository/bitstream/JRC89712/occupational%20mismatch%20in%20europe.pdf" TargetMode="External"/><Relationship Id="rId50" Type="http://schemas.openxmlformats.org/officeDocument/2006/relationships/hyperlink" Target="http://geostat.ge/cms/site_images/_files/georgian/labour/dasaqmeba-umushevroba%202016_GEO.pdf" TargetMode="External"/><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6.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hyperlink" Target="http://www.mrdi.gov.ge/sites/default/files/social-economic_development_strategy_of_georgia_georgia_2020.pdf" TargetMode="External"/><Relationship Id="rId45" Type="http://schemas.openxmlformats.org/officeDocument/2006/relationships/hyperlink" Target="http://ec.europa.eu/eurostat/documents/3888793/7753369/KS-TC-16-023-EN-N.pdf/438b69b5-2fcb-4923-b9e2-fa7b59906438" TargetMode="External"/><Relationship Id="rId53" Type="http://schemas.openxmlformats.org/officeDocument/2006/relationships/hyperlink" Target="http://iom.ge/1/sites/default/files/pdf/Labour%20Market%20in%20Georgia.pdf"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geostat.ge/cms/site_images/_files/english/labour/employment%20and%20unemployment%202016_ENG.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hr.gov.ge/"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hyperlink" Target="http://ec.europa.eu/social/main.jsp?catId=89&amp;langId=en&amp;newsId=1045&amp;moreDocuments=yes&amp;tableName=news" TargetMode="External"/><Relationship Id="rId48" Type="http://schemas.openxmlformats.org/officeDocument/2006/relationships/hyperlink" Target="http://www.case-research.eu/uploads/zalacznik/2017-01-10/CNR_2013_113_0.pdf"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dfwatch.net/traditional-gender-roles-cause-inequality-in-labor-market-34336"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www.adb.org/sites/default/files/project-document/76055/44152-012-reg-tacr-06.pdf" TargetMode="External"/><Relationship Id="rId46" Type="http://schemas.openxmlformats.org/officeDocument/2006/relationships/hyperlink" Target="http://documents.worldbank.org/curated/en/779561468275119198/pdf/781430GE0v10RE0Box0385291B00PUBLIC0.pdf" TargetMode="External"/><Relationship Id="rId20" Type="http://schemas.openxmlformats.org/officeDocument/2006/relationships/hyperlink" Target="http://www.jobs.ge/" TargetMode="External"/><Relationship Id="rId41" Type="http://schemas.openxmlformats.org/officeDocument/2006/relationships/hyperlink" Target="http://www.etf.europa.eu/webatt.nsf/0/226927FBAE4DA4E2C1257B4D0043A93E/$file/Migration&amp;skills_Georgia.pdf" TargetMode="External"/><Relationship Id="rId54" Type="http://schemas.openxmlformats.org/officeDocument/2006/relationships/hyperlink" Target="http://documents.worldbank.org/curated/en/999371468242985088/Georgia-Skills-mismatch-unemployment-labor-market-challenge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worknet.gov.ge"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moh.gov.ge/uploads/files/oldMoh/01_GEO/Shroma/kvleva/4.pdf" TargetMode="External"/><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chart" Target="charts/chart8.xml"/><Relationship Id="rId44" Type="http://schemas.openxmlformats.org/officeDocument/2006/relationships/hyperlink" Target="http://ec.europa.eu/social/main.jsp?catId=738&amp;langId=en&amp;pubId=7860" TargetMode="External"/><Relationship Id="rId52" Type="http://schemas.openxmlformats.org/officeDocument/2006/relationships/hyperlink" Target="http://unicef.ge/uploads/PISA_eng_WEB.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geostat.ge/?action=page&amp;p_id=145&amp;lang=geo" TargetMode="External"/><Relationship Id="rId13" Type="http://schemas.openxmlformats.org/officeDocument/2006/relationships/hyperlink" Target="http://crrc-caucasus.blogspot.com/2015/06/connections-or-education-on-most.html" TargetMode="External"/><Relationship Id="rId18" Type="http://schemas.openxmlformats.org/officeDocument/2006/relationships/hyperlink" Target="http://geostat.ge/index.php?action=page&amp;p_id=146&amp;lang=eng" TargetMode="External"/><Relationship Id="rId3" Type="http://schemas.openxmlformats.org/officeDocument/2006/relationships/hyperlink" Target="https://tradingeconomics.com/georgia/gdp-per-capita-ppp" TargetMode="External"/><Relationship Id="rId7" Type="http://schemas.openxmlformats.org/officeDocument/2006/relationships/hyperlink" Target="http://census.ge/ge/results/census1/educationge" TargetMode="External"/><Relationship Id="rId12" Type="http://schemas.openxmlformats.org/officeDocument/2006/relationships/hyperlink" Target="http://mra.gov.ge/eng/static/8769" TargetMode="External"/><Relationship Id="rId17" Type="http://schemas.openxmlformats.org/officeDocument/2006/relationships/hyperlink" Target="http://geostat.ge/cms/site_images/_files/english/methodology/labour%20force%20statistics%20Eng.pdf" TargetMode="External"/><Relationship Id="rId2" Type="http://schemas.openxmlformats.org/officeDocument/2006/relationships/hyperlink" Target="https://tradingeconomics.com/georgia/ease-of-doing-business" TargetMode="External"/><Relationship Id="rId16" Type="http://schemas.openxmlformats.org/officeDocument/2006/relationships/hyperlink" Target="http://www.lmis.gov.ge/Lmis/Lmis.Portal.Web/Pages/User/Surveys.aspx?ID=7a09257c-ac3c-4860-a7b0-b8fb3922405f" TargetMode="External"/><Relationship Id="rId1" Type="http://schemas.openxmlformats.org/officeDocument/2006/relationships/hyperlink" Target="https://tradingeconomics.com/georgia/inflation-cpi" TargetMode="External"/><Relationship Id="rId6" Type="http://schemas.openxmlformats.org/officeDocument/2006/relationships/hyperlink" Target="http://caucasusbarometer.org/en/cb2015ge/RESPEDU-by-ETHNIC/" TargetMode="External"/><Relationship Id="rId11" Type="http://schemas.openxmlformats.org/officeDocument/2006/relationships/hyperlink" Target="http://moh.gov.ge/uploads/files/oldMoh/01_GEO/Shroma/kanonmdebloba/1.pdf" TargetMode="External"/><Relationship Id="rId5" Type="http://schemas.openxmlformats.org/officeDocument/2006/relationships/hyperlink" Target="http://census.ge/ge/results/census1/demo" TargetMode="External"/><Relationship Id="rId15" Type="http://schemas.openxmlformats.org/officeDocument/2006/relationships/hyperlink" Target="http://www.geostat.ge/index.php?action=page&amp;p_id=143&amp;lang=eng" TargetMode="External"/><Relationship Id="rId10" Type="http://schemas.openxmlformats.org/officeDocument/2006/relationships/hyperlink" Target="http://www.lmis.gov.ge/Lmis/Lmis.Portal.Web/Default.aspx" TargetMode="External"/><Relationship Id="rId19" Type="http://schemas.openxmlformats.org/officeDocument/2006/relationships/hyperlink" Target="http://geostat.ge/index.php?action=page&amp;p_id=149&amp;lang=eng" TargetMode="External"/><Relationship Id="rId4" Type="http://schemas.openxmlformats.org/officeDocument/2006/relationships/hyperlink" Target="http://geostat.ge/cms/site_images/_files/georgian/nad/pres-relizi_2016_GEO.pdf" TargetMode="External"/><Relationship Id="rId9" Type="http://schemas.openxmlformats.org/officeDocument/2006/relationships/hyperlink" Target="http://gtuc.ge/?p=3123" TargetMode="External"/><Relationship Id="rId14" Type="http://schemas.openxmlformats.org/officeDocument/2006/relationships/hyperlink" Target="http://www.lmis.gov.ge/Lmis/Lmis.Portal.Web/Pages/User/Surveys.aspx?ID=7a09257c-ac3c-4860-a7b0-b8fb3922405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adc01eco\projekte\ETF-Transtec-ESE\Data\indicators\v3%20November%202017\ETF%20Skills%20Mismatch%20Figures%20v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dc01eco\projekte\ETF-Transtec-ESE\Reports\CountryReport\_final_versions\ETF%20Skills%20Mismatch%20Figures%20v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dc01eco\projekte\ETF-Transtec-ESE\Reports\CountryReport\_final_versions\ETF%20Skills%20Mismatch%20Figures%20v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adc01eco\projekte\ETF-Transtec-ESE\Reports\CountryReport\_final_versions\ETF%20Skills%20Mismatch%20Figures%20v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c01eco\projekte\ETF-Transtec-ESE\Data\indicators\v3%20November%202017\ETF%20Skills%20Mismatch%20Figures%20v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oleObject" Target="file:////adc01eco\projekte\ETF-Transtec-ESE\Data\indicators\v3%20November%202017\ETF%20Skills%20Mismatch%20Figures%20v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c01eco\projekte\ETF-Transtec-ESE\Reports\CountryReport\_final_versions\ETF%20Skills%20Mismatch%20Figures%20v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'F10 Rates_age'!$J$10</c:f>
              <c:strCache>
                <c:ptCount val="1"/>
                <c:pt idx="0">
                  <c:v>15-19</c:v>
                </c:pt>
              </c:strCache>
            </c:strRef>
          </c:tx>
          <c:spPr>
            <a:ln w="28575" cap="rnd">
              <a:solidFill>
                <a:schemeClr val="tx1"/>
              </a:solidFill>
              <a:round/>
            </a:ln>
            <a:effectLst/>
          </c:spPr>
          <c:marker>
            <c:symbol val="none"/>
          </c:marker>
          <c:dLbls>
            <c:dLbl>
              <c:idx val="0"/>
              <c:layout>
                <c:manualLayout>
                  <c:x val="-5.8688947499060423E-2"/>
                  <c:y val="3.16205533596837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87-456C-B3EF-52E080498BAF}"/>
                </c:ext>
              </c:extLst>
            </c:dLbl>
            <c:dLbl>
              <c:idx val="3"/>
              <c:layout>
                <c:manualLayout>
                  <c:x val="-2.2934761749027199E-2"/>
                  <c:y val="-9.4861660079051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87-456C-B3EF-52E080498BAF}"/>
                </c:ext>
              </c:extLst>
            </c:dLbl>
            <c:dLbl>
              <c:idx val="5"/>
              <c:layout>
                <c:manualLayout>
                  <c:x val="-4.6770885582382668E-2"/>
                  <c:y val="-9.4861660079051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87-456C-B3EF-52E080498BAF}"/>
                </c:ext>
              </c:extLst>
            </c:dLbl>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Rates_age'!$K$10:$P$10</c:f>
              <c:numCache>
                <c:formatCode>General</c:formatCode>
                <c:ptCount val="6"/>
                <c:pt idx="0">
                  <c:v>33.403533935546875</c:v>
                </c:pt>
                <c:pt idx="1">
                  <c:v>36.905780792236328</c:v>
                </c:pt>
                <c:pt idx="2">
                  <c:v>43.13397216796875</c:v>
                </c:pt>
                <c:pt idx="3">
                  <c:v>31.845487594604492</c:v>
                </c:pt>
                <c:pt idx="4">
                  <c:v>26.186994552612305</c:v>
                </c:pt>
                <c:pt idx="5">
                  <c:v>31.556324005126953</c:v>
                </c:pt>
              </c:numCache>
            </c:numRef>
          </c:val>
          <c:smooth val="0"/>
          <c:extLst>
            <c:ext xmlns:c16="http://schemas.microsoft.com/office/drawing/2014/chart" uri="{C3380CC4-5D6E-409C-BE32-E72D297353CC}">
              <c16:uniqueId val="{00000003-FF87-456C-B3EF-52E080498BAF}"/>
            </c:ext>
          </c:extLst>
        </c:ser>
        <c:ser>
          <c:idx val="1"/>
          <c:order val="1"/>
          <c:tx>
            <c:strRef>
              <c:f>'F10 Rates_age'!$J$11</c:f>
              <c:strCache>
                <c:ptCount val="1"/>
                <c:pt idx="0">
                  <c:v>20-24</c:v>
                </c:pt>
              </c:strCache>
            </c:strRef>
          </c:tx>
          <c:spPr>
            <a:ln w="28575" cap="rnd">
              <a:solidFill>
                <a:schemeClr val="accent2"/>
              </a:solidFill>
              <a:round/>
            </a:ln>
            <a:effectLst/>
          </c:spPr>
          <c:marker>
            <c:symbol val="none"/>
          </c:marker>
          <c:dLbls>
            <c:numFmt formatCode="#,##0.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Rates_age'!$K$11:$P$11</c:f>
              <c:numCache>
                <c:formatCode>General</c:formatCode>
                <c:ptCount val="6"/>
                <c:pt idx="0">
                  <c:v>36.327251434326172</c:v>
                </c:pt>
                <c:pt idx="1">
                  <c:v>32.209053039550781</c:v>
                </c:pt>
                <c:pt idx="2">
                  <c:v>33.69219970703125</c:v>
                </c:pt>
                <c:pt idx="3">
                  <c:v>30.464382171630859</c:v>
                </c:pt>
                <c:pt idx="4">
                  <c:v>31.955820083618164</c:v>
                </c:pt>
                <c:pt idx="5">
                  <c:v>30.070095062255859</c:v>
                </c:pt>
              </c:numCache>
            </c:numRef>
          </c:val>
          <c:smooth val="0"/>
          <c:extLst>
            <c:ext xmlns:c16="http://schemas.microsoft.com/office/drawing/2014/chart" uri="{C3380CC4-5D6E-409C-BE32-E72D297353CC}">
              <c16:uniqueId val="{00000004-FF87-456C-B3EF-52E080498BAF}"/>
            </c:ext>
          </c:extLst>
        </c:ser>
        <c:ser>
          <c:idx val="2"/>
          <c:order val="2"/>
          <c:tx>
            <c:strRef>
              <c:f>'F10 Rates_age'!$J$12</c:f>
              <c:strCache>
                <c:ptCount val="1"/>
                <c:pt idx="0">
                  <c:v>25-29</c:v>
                </c:pt>
              </c:strCache>
            </c:strRef>
          </c:tx>
          <c:spPr>
            <a:ln w="28575" cap="rnd">
              <a:solidFill>
                <a:schemeClr val="accent3"/>
              </a:solidFill>
              <a:round/>
            </a:ln>
            <a:effectLst/>
          </c:spPr>
          <c:marker>
            <c:symbol val="none"/>
          </c:marker>
          <c:dLbls>
            <c:numFmt formatCode="#,##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Rates_age'!$K$12:$P$12</c:f>
              <c:numCache>
                <c:formatCode>General</c:formatCode>
                <c:ptCount val="6"/>
                <c:pt idx="0">
                  <c:v>24.953815460205078</c:v>
                </c:pt>
                <c:pt idx="1">
                  <c:v>25.056730270385742</c:v>
                </c:pt>
                <c:pt idx="2">
                  <c:v>25.640693664550781</c:v>
                </c:pt>
                <c:pt idx="3">
                  <c:v>23.240716934204102</c:v>
                </c:pt>
                <c:pt idx="4">
                  <c:v>20.383026123046875</c:v>
                </c:pt>
                <c:pt idx="5">
                  <c:v>21.605161666870117</c:v>
                </c:pt>
              </c:numCache>
            </c:numRef>
          </c:val>
          <c:smooth val="0"/>
          <c:extLst>
            <c:ext xmlns:c16="http://schemas.microsoft.com/office/drawing/2014/chart" uri="{C3380CC4-5D6E-409C-BE32-E72D297353CC}">
              <c16:uniqueId val="{00000005-FF87-456C-B3EF-52E080498BAF}"/>
            </c:ext>
          </c:extLst>
        </c:ser>
        <c:ser>
          <c:idx val="3"/>
          <c:order val="3"/>
          <c:tx>
            <c:strRef>
              <c:f>'F10 Rates_age'!$J$13</c:f>
              <c:strCache>
                <c:ptCount val="1"/>
                <c:pt idx="0">
                  <c:v>30-49</c:v>
                </c:pt>
              </c:strCache>
            </c:strRef>
          </c:tx>
          <c:spPr>
            <a:ln w="28575" cap="rnd">
              <a:solidFill>
                <a:schemeClr val="accent4"/>
              </a:solidFill>
              <a:round/>
            </a:ln>
            <a:effectLst/>
          </c:spPr>
          <c:marker>
            <c:symbol val="none"/>
          </c:marker>
          <c:dLbls>
            <c:numFmt formatCode="#,##0.0" sourceLinked="0"/>
            <c:spPr>
              <a:solidFill>
                <a:schemeClr val="accent4"/>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Rates_age'!$K$13:$P$13</c:f>
              <c:numCache>
                <c:formatCode>General</c:formatCode>
                <c:ptCount val="6"/>
                <c:pt idx="0">
                  <c:v>15.222781181335449</c:v>
                </c:pt>
                <c:pt idx="1">
                  <c:v>15.941351890563965</c:v>
                </c:pt>
                <c:pt idx="2">
                  <c:v>14.946598052978516</c:v>
                </c:pt>
                <c:pt idx="3">
                  <c:v>12.785654067993164</c:v>
                </c:pt>
                <c:pt idx="4">
                  <c:v>12.436955451965332</c:v>
                </c:pt>
                <c:pt idx="5">
                  <c:v>12.317042350769043</c:v>
                </c:pt>
              </c:numCache>
            </c:numRef>
          </c:val>
          <c:smooth val="0"/>
          <c:extLst>
            <c:ext xmlns:c16="http://schemas.microsoft.com/office/drawing/2014/chart" uri="{C3380CC4-5D6E-409C-BE32-E72D297353CC}">
              <c16:uniqueId val="{00000006-FF87-456C-B3EF-52E080498BAF}"/>
            </c:ext>
          </c:extLst>
        </c:ser>
        <c:ser>
          <c:idx val="4"/>
          <c:order val="4"/>
          <c:tx>
            <c:strRef>
              <c:f>'F10 Rates_age'!$J$14</c:f>
              <c:strCache>
                <c:ptCount val="1"/>
                <c:pt idx="0">
                  <c:v>50-59</c:v>
                </c:pt>
              </c:strCache>
            </c:strRef>
          </c:tx>
          <c:spPr>
            <a:ln w="28575" cap="rnd">
              <a:solidFill>
                <a:schemeClr val="accent5"/>
              </a:solidFill>
              <a:round/>
            </a:ln>
            <a:effectLst/>
          </c:spPr>
          <c:marker>
            <c:symbol val="none"/>
          </c:marker>
          <c:dLbls>
            <c:numFmt formatCode="#,##0.0" sourceLinked="0"/>
            <c:spPr>
              <a:solidFill>
                <a:schemeClr val="accent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Rates_age'!$K$14:$P$14</c:f>
              <c:numCache>
                <c:formatCode>General</c:formatCode>
                <c:ptCount val="6"/>
                <c:pt idx="0">
                  <c:v>10.320615768432617</c:v>
                </c:pt>
                <c:pt idx="1">
                  <c:v>10.577876091003418</c:v>
                </c:pt>
                <c:pt idx="2">
                  <c:v>9.3320674896240234</c:v>
                </c:pt>
                <c:pt idx="3">
                  <c:v>8.2755727767944336</c:v>
                </c:pt>
                <c:pt idx="4">
                  <c:v>8.6542797088623047</c:v>
                </c:pt>
                <c:pt idx="5">
                  <c:v>8.9512290954589844</c:v>
                </c:pt>
              </c:numCache>
            </c:numRef>
          </c:val>
          <c:smooth val="0"/>
          <c:extLst>
            <c:ext xmlns:c16="http://schemas.microsoft.com/office/drawing/2014/chart" uri="{C3380CC4-5D6E-409C-BE32-E72D297353CC}">
              <c16:uniqueId val="{00000007-FF87-456C-B3EF-52E080498BAF}"/>
            </c:ext>
          </c:extLst>
        </c:ser>
        <c:ser>
          <c:idx val="5"/>
          <c:order val="5"/>
          <c:tx>
            <c:strRef>
              <c:f>'F10 Rates_age'!$J$15</c:f>
              <c:strCache>
                <c:ptCount val="1"/>
                <c:pt idx="0">
                  <c:v>60-74</c:v>
                </c:pt>
              </c:strCache>
            </c:strRef>
          </c:tx>
          <c:spPr>
            <a:ln w="28575" cap="rnd">
              <a:solidFill>
                <a:schemeClr val="accent6"/>
              </a:solidFill>
              <a:round/>
            </a:ln>
            <a:effectLst/>
          </c:spPr>
          <c:marker>
            <c:symbol val="none"/>
          </c:marker>
          <c:dLbls>
            <c:numFmt formatCode="#,##0.0" sourceLinked="0"/>
            <c:spPr>
              <a:solidFill>
                <a:schemeClr val="accent6"/>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Rates_age'!$K$15:$P$15</c:f>
              <c:numCache>
                <c:formatCode>General</c:formatCode>
                <c:ptCount val="6"/>
                <c:pt idx="0">
                  <c:v>3.0244641304016113</c:v>
                </c:pt>
                <c:pt idx="1">
                  <c:v>3.2405960559844971</c:v>
                </c:pt>
                <c:pt idx="2">
                  <c:v>3.6150431632995605</c:v>
                </c:pt>
                <c:pt idx="3">
                  <c:v>2.9866304397583008</c:v>
                </c:pt>
                <c:pt idx="4">
                  <c:v>3.2193684577941895</c:v>
                </c:pt>
                <c:pt idx="5">
                  <c:v>3.7939901351928711</c:v>
                </c:pt>
              </c:numCache>
            </c:numRef>
          </c:val>
          <c:smooth val="0"/>
          <c:extLst>
            <c:ext xmlns:c16="http://schemas.microsoft.com/office/drawing/2014/chart" uri="{C3380CC4-5D6E-409C-BE32-E72D297353CC}">
              <c16:uniqueId val="{00000008-FF87-456C-B3EF-52E080498BAF}"/>
            </c:ext>
          </c:extLst>
        </c:ser>
        <c:dLbls>
          <c:showLegendKey val="0"/>
          <c:showVal val="0"/>
          <c:showCatName val="0"/>
          <c:showSerName val="0"/>
          <c:showPercent val="0"/>
          <c:showBubbleSize val="0"/>
        </c:dLbls>
        <c:smooth val="0"/>
        <c:axId val="350940416"/>
        <c:axId val="350940024"/>
      </c:lineChart>
      <c:catAx>
        <c:axId val="3509404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940024"/>
        <c:crosses val="autoZero"/>
        <c:auto val="1"/>
        <c:lblAlgn val="ctr"/>
        <c:lblOffset val="100"/>
        <c:noMultiLvlLbl val="0"/>
      </c:catAx>
      <c:valAx>
        <c:axId val="350940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a:t>საქართველო</a:t>
                </a:r>
                <a:r>
                  <a:rPr lang="de-DE"/>
                  <a:t>: % </a:t>
                </a:r>
                <a:r>
                  <a:rPr lang="ka-GE"/>
                  <a:t>წილი უმუშევრების შრომით</a:t>
                </a:r>
                <a:r>
                  <a:rPr lang="ka-GE" baseline="0"/>
                  <a:t> ძალაზე ასაკის მიხედვით</a:t>
                </a:r>
                <a:endParaRPr lang="de-DE"/>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0940416"/>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16447944006998"/>
          <c:y val="5.0925925925925923E-2"/>
          <c:w val="0.76672440944881892"/>
          <c:h val="0.73577136191309422"/>
        </c:manualLayout>
      </c:layout>
      <c:barChart>
        <c:barDir val="col"/>
        <c:grouping val="clustered"/>
        <c:varyColors val="0"/>
        <c:ser>
          <c:idx val="0"/>
          <c:order val="0"/>
          <c:tx>
            <c:strRef>
              <c:f>'F1_6 CVAR'!$B$7</c:f>
              <c:strCache>
                <c:ptCount val="1"/>
                <c:pt idx="0">
                  <c:v>2011</c:v>
                </c:pt>
              </c:strCache>
              <c:extLst xmlns:c15="http://schemas.microsoft.com/office/drawing/2012/chart"/>
            </c:strRef>
          </c:tx>
          <c:spPr>
            <a:solidFill>
              <a:schemeClr val="bg1">
                <a:lumMod val="9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c:strRef>
          </c:cat>
          <c:val>
            <c:numRef>
              <c:f>'F1_6 CVAR'!$B$8:$B$11</c:f>
              <c:numCache>
                <c:formatCode>General</c:formatCode>
                <c:ptCount val="1"/>
                <c:pt idx="0">
                  <c:v>0.10701071470975876</c:v>
                </c:pt>
              </c:numCache>
              <c:extLst/>
            </c:numRef>
          </c:val>
          <c:extLst>
            <c:ext xmlns:c16="http://schemas.microsoft.com/office/drawing/2014/chart" uri="{C3380CC4-5D6E-409C-BE32-E72D297353CC}">
              <c16:uniqueId val="{00000000-CEBD-42F7-BA49-1063A32B5382}"/>
            </c:ext>
          </c:extLst>
        </c:ser>
        <c:ser>
          <c:idx val="1"/>
          <c:order val="1"/>
          <c:tx>
            <c:strRef>
              <c:f>'F1_6 CVAR'!$C$7</c:f>
              <c:strCache>
                <c:ptCount val="1"/>
                <c:pt idx="0">
                  <c:v>2012</c:v>
                </c:pt>
              </c:strCache>
              <c:extLst xmlns:c15="http://schemas.microsoft.com/office/drawing/2012/chart"/>
            </c:strRef>
          </c:tx>
          <c:spPr>
            <a:solidFill>
              <a:schemeClr val="bg1">
                <a:lumMod val="8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c:strRef>
          </c:cat>
          <c:val>
            <c:numRef>
              <c:f>'F1_6 CVAR'!$C$8:$C$11</c:f>
              <c:numCache>
                <c:formatCode>General</c:formatCode>
                <c:ptCount val="1"/>
                <c:pt idx="0">
                  <c:v>0.1026943251490593</c:v>
                </c:pt>
              </c:numCache>
              <c:extLst/>
            </c:numRef>
          </c:val>
          <c:extLst>
            <c:ext xmlns:c16="http://schemas.microsoft.com/office/drawing/2014/chart" uri="{C3380CC4-5D6E-409C-BE32-E72D297353CC}">
              <c16:uniqueId val="{00000001-CEBD-42F7-BA49-1063A32B5382}"/>
            </c:ext>
          </c:extLst>
        </c:ser>
        <c:ser>
          <c:idx val="2"/>
          <c:order val="2"/>
          <c:tx>
            <c:strRef>
              <c:f>'F1_6 CVAR'!$D$7</c:f>
              <c:strCache>
                <c:ptCount val="1"/>
                <c:pt idx="0">
                  <c:v>2013</c:v>
                </c:pt>
              </c:strCache>
              <c:extLst xmlns:c15="http://schemas.microsoft.com/office/drawing/2012/chart"/>
            </c:strRef>
          </c:tx>
          <c:spPr>
            <a:solidFill>
              <a:schemeClr val="bg1">
                <a:lumMod val="7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c:strRef>
          </c:cat>
          <c:val>
            <c:numRef>
              <c:f>'F1_6 CVAR'!$D$8:$D$11</c:f>
              <c:numCache>
                <c:formatCode>General</c:formatCode>
                <c:ptCount val="1"/>
                <c:pt idx="0">
                  <c:v>0.10777045786380768</c:v>
                </c:pt>
              </c:numCache>
              <c:extLst/>
            </c:numRef>
          </c:val>
          <c:extLst>
            <c:ext xmlns:c16="http://schemas.microsoft.com/office/drawing/2014/chart" uri="{C3380CC4-5D6E-409C-BE32-E72D297353CC}">
              <c16:uniqueId val="{00000002-CEBD-42F7-BA49-1063A32B5382}"/>
            </c:ext>
          </c:extLst>
        </c:ser>
        <c:ser>
          <c:idx val="3"/>
          <c:order val="3"/>
          <c:tx>
            <c:strRef>
              <c:f>'F1_6 CVAR'!$E$7</c:f>
              <c:strCache>
                <c:ptCount val="1"/>
                <c:pt idx="0">
                  <c:v>2014</c:v>
                </c:pt>
              </c:strCache>
            </c:strRef>
          </c:tx>
          <c:spPr>
            <a:solidFill>
              <a:schemeClr val="bg1">
                <a:lumMod val="6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c:strRef>
          </c:cat>
          <c:val>
            <c:numRef>
              <c:f>'F1_6 CVAR'!$E$8:$E$11</c:f>
              <c:numCache>
                <c:formatCode>General</c:formatCode>
                <c:ptCount val="1"/>
                <c:pt idx="0">
                  <c:v>0.10742094367742538</c:v>
                </c:pt>
              </c:numCache>
              <c:extLst/>
            </c:numRef>
          </c:val>
          <c:extLst>
            <c:ext xmlns:c16="http://schemas.microsoft.com/office/drawing/2014/chart" uri="{C3380CC4-5D6E-409C-BE32-E72D297353CC}">
              <c16:uniqueId val="{00000003-CEBD-42F7-BA49-1063A32B5382}"/>
            </c:ext>
          </c:extLst>
        </c:ser>
        <c:ser>
          <c:idx val="4"/>
          <c:order val="4"/>
          <c:tx>
            <c:strRef>
              <c:f>'F1_6 CVAR'!$F$7</c:f>
              <c:strCache>
                <c:ptCount val="1"/>
                <c:pt idx="0">
                  <c:v>2015</c:v>
                </c:pt>
              </c:strCache>
            </c:strRef>
          </c:tx>
          <c:spPr>
            <a:solidFill>
              <a:schemeClr val="bg1">
                <a:lumMod val="50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c:strRef>
          </c:cat>
          <c:val>
            <c:numRef>
              <c:f>'F1_6 CVAR'!$F$8:$F$11</c:f>
              <c:numCache>
                <c:formatCode>General</c:formatCode>
                <c:ptCount val="1"/>
                <c:pt idx="0">
                  <c:v>0.10266351699829102</c:v>
                </c:pt>
              </c:numCache>
              <c:extLst/>
            </c:numRef>
          </c:val>
          <c:extLst>
            <c:ext xmlns:c16="http://schemas.microsoft.com/office/drawing/2014/chart" uri="{C3380CC4-5D6E-409C-BE32-E72D297353CC}">
              <c16:uniqueId val="{00000004-CEBD-42F7-BA49-1063A32B5382}"/>
            </c:ext>
          </c:extLst>
        </c:ser>
        <c:ser>
          <c:idx val="5"/>
          <c:order val="5"/>
          <c:tx>
            <c:strRef>
              <c:f>'F1_6 CVAR'!$G$7</c:f>
              <c:strCache>
                <c:ptCount val="1"/>
                <c:pt idx="0">
                  <c:v>2016</c:v>
                </c:pt>
              </c:strCache>
            </c:strRef>
          </c:tx>
          <c:spPr>
            <a:solidFill>
              <a:schemeClr val="tx1">
                <a:lumMod val="65000"/>
                <a:lumOff val="3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c:strRef>
          </c:cat>
          <c:val>
            <c:numRef>
              <c:f>'F1_6 CVAR'!$G$8:$G$11</c:f>
              <c:numCache>
                <c:formatCode>General</c:formatCode>
                <c:ptCount val="1"/>
                <c:pt idx="0">
                  <c:v>0.10278835147619247</c:v>
                </c:pt>
              </c:numCache>
              <c:extLst/>
            </c:numRef>
          </c:val>
          <c:extLst>
            <c:ext xmlns:c16="http://schemas.microsoft.com/office/drawing/2014/chart" uri="{C3380CC4-5D6E-409C-BE32-E72D297353CC}">
              <c16:uniqueId val="{00000005-CEBD-42F7-BA49-1063A32B5382}"/>
            </c:ext>
          </c:extLst>
        </c:ser>
        <c:dLbls>
          <c:showLegendKey val="0"/>
          <c:showVal val="0"/>
          <c:showCatName val="0"/>
          <c:showSerName val="0"/>
          <c:showPercent val="0"/>
          <c:showBubbleSize val="0"/>
        </c:dLbls>
        <c:gapWidth val="99"/>
        <c:axId val="355599544"/>
        <c:axId val="355599936"/>
        <c:extLst/>
      </c:barChart>
      <c:catAx>
        <c:axId val="35559954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599936"/>
        <c:crosses val="autoZero"/>
        <c:auto val="1"/>
        <c:lblAlgn val="ctr"/>
        <c:lblOffset val="100"/>
        <c:noMultiLvlLbl val="0"/>
      </c:catAx>
      <c:valAx>
        <c:axId val="3555999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a:t>საქათველო</a:t>
                </a:r>
                <a:r>
                  <a:rPr lang="de-DE"/>
                  <a:t>:</a:t>
                </a:r>
                <a:r>
                  <a:rPr lang="ka-GE"/>
                  <a:t> ვარიაციის კოეფიციენტი</a:t>
                </a:r>
                <a:r>
                  <a:rPr lang="de-DE"/>
                  <a:t> (</a:t>
                </a:r>
                <a:r>
                  <a:rPr lang="ka-GE"/>
                  <a:t>უმუშევრონა</a:t>
                </a:r>
                <a:r>
                  <a:rPr lang="ka-GE" baseline="0"/>
                  <a:t> </a:t>
                </a:r>
                <a:r>
                  <a:rPr lang="de-DE"/>
                  <a:t>vs. </a:t>
                </a:r>
                <a:r>
                  <a:rPr lang="ka-GE"/>
                  <a:t>სამუშაო ასაკის მოსახლეობას</a:t>
                </a:r>
                <a:r>
                  <a:rPr lang="de-DE"/>
                  <a:t> 15-64</a:t>
                </a:r>
                <a:r>
                  <a:rPr lang="ka-GE" baseline="0"/>
                  <a:t> ასაკის ხალხთან</a:t>
                </a:r>
                <a:endParaRPr lang="de-DE"/>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599544"/>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8209566929133858"/>
        </c:manualLayout>
      </c:layout>
      <c:barChart>
        <c:barDir val="col"/>
        <c:grouping val="clustered"/>
        <c:varyColors val="0"/>
        <c:ser>
          <c:idx val="0"/>
          <c:order val="0"/>
          <c:tx>
            <c:strRef>
              <c:f>'F1_7 CVAR'!$B$15</c:f>
              <c:strCache>
                <c:ptCount val="1"/>
                <c:pt idx="0">
                  <c:v>Georgia</c:v>
                </c:pt>
              </c:strCache>
              <c:extLst xmlns:c15="http://schemas.microsoft.com/office/drawing/2012/chart"/>
            </c:strRef>
          </c:tx>
          <c:spPr>
            <a:solidFill>
              <a:schemeClr val="accent1"/>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'F1_7 CVAR'!$A$16:$A$21</c:f>
              <c:strCache>
                <c:ptCount val="6"/>
                <c:pt idx="0">
                  <c:v>15-19</c:v>
                </c:pt>
                <c:pt idx="1">
                  <c:v>20-24</c:v>
                </c:pt>
                <c:pt idx="2">
                  <c:v>25-29</c:v>
                </c:pt>
                <c:pt idx="3">
                  <c:v>30-49</c:v>
                </c:pt>
                <c:pt idx="4">
                  <c:v>50-64</c:v>
                </c:pt>
                <c:pt idx="5">
                  <c:v>15-64</c:v>
                </c:pt>
              </c:strCache>
              <c:extLst xmlns:c15="http://schemas.microsoft.com/office/drawing/2012/chart"/>
            </c:strRef>
          </c:cat>
          <c:val>
            <c:numRef>
              <c:f>'F1_7 CVAR'!$B$16:$B$21</c:f>
              <c:numCache>
                <c:formatCode>General</c:formatCode>
                <c:ptCount val="6"/>
                <c:pt idx="0">
                  <c:v>0.22414124011993408</c:v>
                </c:pt>
                <c:pt idx="1">
                  <c:v>0.1247713640332222</c:v>
                </c:pt>
                <c:pt idx="2">
                  <c:v>4.3740108609199524E-2</c:v>
                </c:pt>
                <c:pt idx="3">
                  <c:v>3.28647680580616E-2</c:v>
                </c:pt>
                <c:pt idx="4">
                  <c:v>3.6881841719150543E-2</c:v>
                </c:pt>
                <c:pt idx="5">
                  <c:v>0.10742094367742538</c:v>
                </c:pt>
              </c:numCache>
              <c:extLst xmlns:c15="http://schemas.microsoft.com/office/drawing/2012/chart"/>
            </c:numRef>
          </c:val>
          <c:extLst>
            <c:ext xmlns:c16="http://schemas.microsoft.com/office/drawing/2014/chart" uri="{C3380CC4-5D6E-409C-BE32-E72D297353CC}">
              <c16:uniqueId val="{00000000-DF67-4D0F-9926-62F436C4EA11}"/>
            </c:ext>
          </c:extLst>
        </c:ser>
        <c:dLbls>
          <c:showLegendKey val="0"/>
          <c:showVal val="0"/>
          <c:showCatName val="0"/>
          <c:showSerName val="0"/>
          <c:showPercent val="0"/>
          <c:showBubbleSize val="0"/>
        </c:dLbls>
        <c:gapWidth val="99"/>
        <c:axId val="355601112"/>
        <c:axId val="355601504"/>
        <c:extLst>
          <c:ext xmlns:c15="http://schemas.microsoft.com/office/drawing/2012/chart" uri="{02D57815-91ED-43cb-92C2-25804820EDAC}">
            <c15:filteredBarSeries>
              <c15:ser>
                <c:idx val="1"/>
                <c:order val="1"/>
                <c:tx>
                  <c:strRef>
                    <c:extLst>
                      <c:ext uri="{02D57815-91ED-43cb-92C2-25804820EDAC}">
                        <c15:formulaRef>
                          <c15:sqref>'F1_7 CVAR'!$C$15</c15:sqref>
                        </c15:formulaRef>
                      </c:ext>
                    </c:extLst>
                    <c:strCache>
                      <c:ptCount val="1"/>
                      <c:pt idx="0">
                        <c:v>Egypt</c:v>
                      </c:pt>
                    </c:strCache>
                  </c:strRef>
                </c:tx>
                <c:spPr>
                  <a:solidFill>
                    <a:schemeClr val="accent2"/>
                  </a:solidFill>
                  <a:ln>
                    <a:solidFill>
                      <a:schemeClr val="tx1"/>
                    </a:solidFill>
                  </a:ln>
                  <a:effectLst/>
                </c:spPr>
                <c:invertIfNegative val="0"/>
                <c:cat>
                  <c:strRef>
                    <c:extLst>
                      <c:ext uri="{02D57815-91ED-43cb-92C2-25804820EDAC}">
                        <c15:formulaRef>
                          <c15:sqref>'F1_7 CVAR'!$A$16:$A$21</c15:sqref>
                        </c15:formulaRef>
                      </c:ext>
                    </c:extLst>
                    <c:strCache>
                      <c:ptCount val="6"/>
                      <c:pt idx="0">
                        <c:v>15-19</c:v>
                      </c:pt>
                      <c:pt idx="1">
                        <c:v>20-24</c:v>
                      </c:pt>
                      <c:pt idx="2">
                        <c:v>25-29</c:v>
                      </c:pt>
                      <c:pt idx="3">
                        <c:v>30-49</c:v>
                      </c:pt>
                      <c:pt idx="4">
                        <c:v>50-64</c:v>
                      </c:pt>
                      <c:pt idx="5">
                        <c:v>15-64</c:v>
                      </c:pt>
                    </c:strCache>
                  </c:strRef>
                </c:cat>
                <c:val>
                  <c:numRef>
                    <c:extLst>
                      <c:ext uri="{02D57815-91ED-43cb-92C2-25804820EDAC}">
                        <c15:formulaRef>
                          <c15:sqref>'F1_7 CVAR'!$C$16:$C$21</c15:sqref>
                        </c15:formulaRef>
                      </c:ext>
                    </c:extLst>
                    <c:numCache>
                      <c:formatCode>General</c:formatCode>
                      <c:ptCount val="6"/>
                      <c:pt idx="0">
                        <c:v>0.71202707290649414</c:v>
                      </c:pt>
                      <c:pt idx="1">
                        <c:v>0.10939718037843704</c:v>
                      </c:pt>
                      <c:pt idx="2">
                        <c:v>6.7460350692272186E-2</c:v>
                      </c:pt>
                      <c:pt idx="3">
                        <c:v>0.1260630339384079</c:v>
                      </c:pt>
                      <c:pt idx="4">
                        <c:v>0.19526131451129913</c:v>
                      </c:pt>
                      <c:pt idx="5">
                        <c:v>0.16186670958995819</c:v>
                      </c:pt>
                    </c:numCache>
                  </c:numRef>
                </c:val>
                <c:extLst>
                  <c:ext xmlns:c16="http://schemas.microsoft.com/office/drawing/2014/chart" uri="{C3380CC4-5D6E-409C-BE32-E72D297353CC}">
                    <c16:uniqueId val="{00000001-DF67-4D0F-9926-62F436C4EA1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'F1_7 CVAR'!$D$15</c15:sqref>
                        </c15:formulaRef>
                      </c:ext>
                    </c:extLst>
                    <c:strCache>
                      <c:ptCount val="1"/>
                      <c:pt idx="0">
                        <c:v>Morocco*</c:v>
                      </c:pt>
                    </c:strCache>
                  </c:strRef>
                </c:tx>
                <c:spPr>
                  <a:solidFill>
                    <a:schemeClr val="accent3"/>
                  </a:solidFill>
                  <a:ln>
                    <a:solidFill>
                      <a:schemeClr val="tx1"/>
                    </a:solidFill>
                  </a:ln>
                  <a:effectLst/>
                </c:spPr>
                <c:invertIfNegative val="0"/>
                <c:cat>
                  <c:strRef>
                    <c:extLst xmlns:c15="http://schemas.microsoft.com/office/drawing/2012/chart">
                      <c:ext xmlns:c15="http://schemas.microsoft.com/office/drawing/2012/chart" uri="{02D57815-91ED-43cb-92C2-25804820EDAC}">
                        <c15:formulaRef>
                          <c15:sqref>'F1_7 CVAR'!$A$16:$A$21</c15:sqref>
                        </c15:formulaRef>
                      </c:ext>
                    </c:extLst>
                    <c:strCache>
                      <c:ptCount val="6"/>
                      <c:pt idx="0">
                        <c:v>15-19</c:v>
                      </c:pt>
                      <c:pt idx="1">
                        <c:v>20-24</c:v>
                      </c:pt>
                      <c:pt idx="2">
                        <c:v>25-29</c:v>
                      </c:pt>
                      <c:pt idx="3">
                        <c:v>30-49</c:v>
                      </c:pt>
                      <c:pt idx="4">
                        <c:v>50-64</c:v>
                      </c:pt>
                      <c:pt idx="5">
                        <c:v>15-64</c:v>
                      </c:pt>
                    </c:strCache>
                  </c:strRef>
                </c:cat>
                <c:val>
                  <c:numRef>
                    <c:extLst xmlns:c15="http://schemas.microsoft.com/office/drawing/2012/chart">
                      <c:ext xmlns:c15="http://schemas.microsoft.com/office/drawing/2012/chart" uri="{02D57815-91ED-43cb-92C2-25804820EDAC}">
                        <c15:formulaRef>
                          <c15:sqref>'F1_7 CVAR'!$D$16:$D$21</c15:sqref>
                        </c15:formulaRef>
                      </c:ext>
                    </c:extLst>
                    <c:numCache>
                      <c:formatCode>General</c:formatCode>
                      <c:ptCount val="6"/>
                      <c:pt idx="0">
                        <c:v>0</c:v>
                      </c:pt>
                      <c:pt idx="1">
                        <c:v>0</c:v>
                      </c:pt>
                      <c:pt idx="2">
                        <c:v>0</c:v>
                      </c:pt>
                      <c:pt idx="5">
                        <c:v>5.9178024530410767E-2</c:v>
                      </c:pt>
                    </c:numCache>
                  </c:numRef>
                </c:val>
                <c:extLst xmlns:c15="http://schemas.microsoft.com/office/drawing/2012/chart">
                  <c:ext xmlns:c16="http://schemas.microsoft.com/office/drawing/2014/chart" uri="{C3380CC4-5D6E-409C-BE32-E72D297353CC}">
                    <c16:uniqueId val="{00000002-DF67-4D0F-9926-62F436C4EA1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'F1_7 CVAR'!$E$15</c15:sqref>
                        </c15:formulaRef>
                      </c:ext>
                    </c:extLst>
                    <c:strCache>
                      <c:ptCount val="1"/>
                      <c:pt idx="0">
                        <c:v>Serbia</c:v>
                      </c:pt>
                    </c:strCache>
                  </c:strRef>
                </c:tx>
                <c:spPr>
                  <a:solidFill>
                    <a:schemeClr val="accent4"/>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'F1_7 CVAR'!$A$16:$A$21</c15:sqref>
                        </c15:formulaRef>
                      </c:ext>
                    </c:extLst>
                    <c:strCache>
                      <c:ptCount val="6"/>
                      <c:pt idx="0">
                        <c:v>15-19</c:v>
                      </c:pt>
                      <c:pt idx="1">
                        <c:v>20-24</c:v>
                      </c:pt>
                      <c:pt idx="2">
                        <c:v>25-29</c:v>
                      </c:pt>
                      <c:pt idx="3">
                        <c:v>30-49</c:v>
                      </c:pt>
                      <c:pt idx="4">
                        <c:v>50-64</c:v>
                      </c:pt>
                      <c:pt idx="5">
                        <c:v>15-64</c:v>
                      </c:pt>
                    </c:strCache>
                  </c:strRef>
                </c:cat>
                <c:val>
                  <c:numRef>
                    <c:extLst xmlns:c15="http://schemas.microsoft.com/office/drawing/2012/chart">
                      <c:ext xmlns:c15="http://schemas.microsoft.com/office/drawing/2012/chart" uri="{02D57815-91ED-43cb-92C2-25804820EDAC}">
                        <c15:formulaRef>
                          <c15:sqref>'F1_7 CVAR'!$E$16:$E$21</c15:sqref>
                        </c15:formulaRef>
                      </c:ext>
                    </c:extLst>
                    <c:numCache>
                      <c:formatCode>General</c:formatCode>
                      <c:ptCount val="6"/>
                      <c:pt idx="0">
                        <c:v>7.915496826171875E-2</c:v>
                      </c:pt>
                      <c:pt idx="1">
                        <c:v>0.21543410420417786</c:v>
                      </c:pt>
                      <c:pt idx="2">
                        <c:v>5.6831978261470795E-2</c:v>
                      </c:pt>
                      <c:pt idx="3">
                        <c:v>0.10120756179094315</c:v>
                      </c:pt>
                      <c:pt idx="4">
                        <c:v>0.13244229555130005</c:v>
                      </c:pt>
                      <c:pt idx="5">
                        <c:v>0.14945986866950989</c:v>
                      </c:pt>
                    </c:numCache>
                  </c:numRef>
                </c:val>
                <c:extLst xmlns:c15="http://schemas.microsoft.com/office/drawing/2012/chart">
                  <c:ext xmlns:c16="http://schemas.microsoft.com/office/drawing/2014/chart" uri="{C3380CC4-5D6E-409C-BE32-E72D297353CC}">
                    <c16:uniqueId val="{00000003-DF67-4D0F-9926-62F436C4EA11}"/>
                  </c:ext>
                </c:extLst>
              </c15:ser>
            </c15:filteredBarSeries>
          </c:ext>
        </c:extLst>
      </c:barChart>
      <c:catAx>
        <c:axId val="35560111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601504"/>
        <c:crosses val="autoZero"/>
        <c:auto val="1"/>
        <c:lblAlgn val="ctr"/>
        <c:lblOffset val="100"/>
        <c:noMultiLvlLbl val="0"/>
      </c:catAx>
      <c:valAx>
        <c:axId val="35560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sz="1000" b="0" i="0" baseline="0">
                    <a:effectLst/>
                  </a:rPr>
                  <a:t>საქართველო</a:t>
                </a:r>
                <a:r>
                  <a:rPr lang="de-DE" sz="1000" b="0" i="0" baseline="0">
                    <a:effectLst/>
                  </a:rPr>
                  <a:t>: </a:t>
                </a:r>
                <a:r>
                  <a:rPr lang="ka-GE" sz="1000" b="0" i="0" baseline="0">
                    <a:effectLst/>
                  </a:rPr>
                  <a:t>ვარიაციის კოეფიციენტი = დასაქმბულების შეფასრდება სამუშაო ასაკის მოხალისეებთან</a:t>
                </a:r>
                <a:endParaRPr lang="de-DE"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60111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86262335958005232"/>
        </c:manualLayout>
      </c:layout>
      <c:barChart>
        <c:barDir val="col"/>
        <c:grouping val="clustered"/>
        <c:varyColors val="0"/>
        <c:ser>
          <c:idx val="0"/>
          <c:order val="0"/>
          <c:tx>
            <c:strRef>
              <c:f>F15_VET!$B$11</c:f>
              <c:strCache>
                <c:ptCount val="1"/>
                <c:pt idx="0">
                  <c:v>CVAR</c:v>
                </c:pt>
              </c:strCache>
            </c:strRef>
          </c:tx>
          <c:spPr>
            <a:solidFill>
              <a:schemeClr val="accent1"/>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F15_VET!$A$12:$A$17</c:f>
              <c:numCache>
                <c:formatCode>General</c:formatCode>
                <c:ptCount val="6"/>
                <c:pt idx="0">
                  <c:v>2011</c:v>
                </c:pt>
                <c:pt idx="1">
                  <c:v>2012</c:v>
                </c:pt>
                <c:pt idx="2">
                  <c:v>2013</c:v>
                </c:pt>
                <c:pt idx="3">
                  <c:v>2014</c:v>
                </c:pt>
                <c:pt idx="4">
                  <c:v>2015</c:v>
                </c:pt>
                <c:pt idx="5">
                  <c:v>2016</c:v>
                </c:pt>
              </c:numCache>
            </c:numRef>
          </c:cat>
          <c:val>
            <c:numRef>
              <c:f>F15_VET!$B$12:$B$17</c:f>
              <c:numCache>
                <c:formatCode>General</c:formatCode>
                <c:ptCount val="6"/>
                <c:pt idx="0">
                  <c:v>5.7186633348464966E-2</c:v>
                </c:pt>
                <c:pt idx="1">
                  <c:v>5.1585298031568527E-2</c:v>
                </c:pt>
                <c:pt idx="2">
                  <c:v>5.0711575895547867E-2</c:v>
                </c:pt>
                <c:pt idx="3">
                  <c:v>4.7127194702625275E-2</c:v>
                </c:pt>
                <c:pt idx="4">
                  <c:v>5.063222348690033E-2</c:v>
                </c:pt>
                <c:pt idx="5">
                  <c:v>3.6094661802053452E-2</c:v>
                </c:pt>
              </c:numCache>
            </c:numRef>
          </c:val>
          <c:extLst>
            <c:ext xmlns:c16="http://schemas.microsoft.com/office/drawing/2014/chart" uri="{C3380CC4-5D6E-409C-BE32-E72D297353CC}">
              <c16:uniqueId val="{00000000-359F-4881-A092-40CF95615EDE}"/>
            </c:ext>
          </c:extLst>
        </c:ser>
        <c:dLbls>
          <c:showLegendKey val="0"/>
          <c:showVal val="0"/>
          <c:showCatName val="0"/>
          <c:showSerName val="0"/>
          <c:showPercent val="0"/>
          <c:showBubbleSize val="0"/>
        </c:dLbls>
        <c:gapWidth val="99"/>
        <c:axId val="357936968"/>
        <c:axId val="357937360"/>
        <c:extLst/>
      </c:barChart>
      <c:catAx>
        <c:axId val="357936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7937360"/>
        <c:crosses val="autoZero"/>
        <c:auto val="1"/>
        <c:lblAlgn val="ctr"/>
        <c:lblOffset val="100"/>
        <c:noMultiLvlLbl val="0"/>
      </c:catAx>
      <c:valAx>
        <c:axId val="35793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sz="1000" b="0" i="0" baseline="0">
                    <a:effectLst/>
                  </a:rPr>
                  <a:t>საქართველო: ვარიაციის კოეფიციენტი (უმუშევრობის წილი შრომის ასაკში მყოფ მოსახლეონაში (პროფესიული და არაპროფესიული)</a:t>
                </a:r>
                <a:endParaRPr lang="de-DE"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793696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F9_Rel_Wages!$K$47</c:f>
              <c:strCache>
                <c:ptCount val="1"/>
                <c:pt idx="0">
                  <c:v>None</c:v>
                </c:pt>
              </c:strCache>
            </c:strRef>
          </c:tx>
          <c:spPr>
            <a:ln w="19050" cap="rnd" cmpd="sng" algn="ctr">
              <a:solidFill>
                <a:schemeClr val="accent6">
                  <a:tint val="54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tint val="54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F9_Rel_Wages!$L$47:$Q$47</c:f>
              <c:numCache>
                <c:formatCode>0</c:formatCode>
                <c:ptCount val="6"/>
                <c:pt idx="0">
                  <c:v>17.674163001804377</c:v>
                </c:pt>
                <c:pt idx="1">
                  <c:v>54.374235655734701</c:v>
                </c:pt>
                <c:pt idx="2">
                  <c:v>73.846456398602811</c:v>
                </c:pt>
                <c:pt idx="3">
                  <c:v>50.788121693134613</c:v>
                </c:pt>
                <c:pt idx="4">
                  <c:v>41.832208019879914</c:v>
                </c:pt>
                <c:pt idx="5">
                  <c:v>90.37143405764138</c:v>
                </c:pt>
              </c:numCache>
            </c:numRef>
          </c:val>
          <c:smooth val="0"/>
          <c:extLst>
            <c:ext xmlns:c16="http://schemas.microsoft.com/office/drawing/2014/chart" uri="{C3380CC4-5D6E-409C-BE32-E72D297353CC}">
              <c16:uniqueId val="{00000000-0845-4AD9-BCE6-7F049173B74B}"/>
            </c:ext>
          </c:extLst>
        </c:ser>
        <c:ser>
          <c:idx val="1"/>
          <c:order val="1"/>
          <c:tx>
            <c:strRef>
              <c:f>F9_Rel_Wages!$K$48</c:f>
              <c:strCache>
                <c:ptCount val="1"/>
                <c:pt idx="0">
                  <c:v>Low</c:v>
                </c:pt>
              </c:strCache>
            </c:strRef>
          </c:tx>
          <c:spPr>
            <a:ln w="19050" cap="rnd" cmpd="sng" algn="ctr">
              <a:solidFill>
                <a:schemeClr val="accent6">
                  <a:tint val="77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tint val="77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F9_Rel_Wages!$L$48:$Q$48</c:f>
              <c:numCache>
                <c:formatCode>0</c:formatCode>
                <c:ptCount val="6"/>
                <c:pt idx="0">
                  <c:v>60.840220473164223</c:v>
                </c:pt>
                <c:pt idx="1">
                  <c:v>71.006337552994125</c:v>
                </c:pt>
                <c:pt idx="2">
                  <c:v>81.340443027738957</c:v>
                </c:pt>
                <c:pt idx="3">
                  <c:v>100</c:v>
                </c:pt>
                <c:pt idx="4">
                  <c:v>143.87413036372405</c:v>
                </c:pt>
                <c:pt idx="5">
                  <c:v>171.70208077534008</c:v>
                </c:pt>
              </c:numCache>
            </c:numRef>
          </c:val>
          <c:smooth val="0"/>
          <c:extLst>
            <c:ext xmlns:c16="http://schemas.microsoft.com/office/drawing/2014/chart" uri="{C3380CC4-5D6E-409C-BE32-E72D297353CC}">
              <c16:uniqueId val="{00000001-0845-4AD9-BCE6-7F049173B74B}"/>
            </c:ext>
          </c:extLst>
        </c:ser>
        <c:ser>
          <c:idx val="2"/>
          <c:order val="2"/>
          <c:tx>
            <c:strRef>
              <c:f>F9_Rel_Wages!$K$49</c:f>
              <c:strCache>
                <c:ptCount val="1"/>
                <c:pt idx="0">
                  <c:v>Medium</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F9_Rel_Wages!$L$49:$Q$49</c:f>
              <c:numCache>
                <c:formatCode>0</c:formatCode>
                <c:ptCount val="6"/>
                <c:pt idx="0">
                  <c:v>172.79195813335588</c:v>
                </c:pt>
                <c:pt idx="1">
                  <c:v>193.4564753120772</c:v>
                </c:pt>
                <c:pt idx="2">
                  <c:v>216.59558438043103</c:v>
                </c:pt>
                <c:pt idx="3">
                  <c:v>254.27198758580323</c:v>
                </c:pt>
                <c:pt idx="4">
                  <c:v>280.40707699117939</c:v>
                </c:pt>
                <c:pt idx="5">
                  <c:v>287.43671363846681</c:v>
                </c:pt>
              </c:numCache>
            </c:numRef>
          </c:val>
          <c:smooth val="0"/>
          <c:extLst>
            <c:ext xmlns:c16="http://schemas.microsoft.com/office/drawing/2014/chart" uri="{C3380CC4-5D6E-409C-BE32-E72D297353CC}">
              <c16:uniqueId val="{00000002-0845-4AD9-BCE6-7F049173B74B}"/>
            </c:ext>
          </c:extLst>
        </c:ser>
        <c:ser>
          <c:idx val="3"/>
          <c:order val="3"/>
          <c:tx>
            <c:strRef>
              <c:f>F9_Rel_Wages!$K$50</c:f>
              <c:strCache>
                <c:ptCount val="1"/>
                <c:pt idx="0">
                  <c:v>High</c:v>
                </c:pt>
              </c:strCache>
            </c:strRef>
          </c:tx>
          <c:spPr>
            <a:ln w="19050" cap="rnd" cmpd="sng" algn="ctr">
              <a:solidFill>
                <a:schemeClr val="accent6">
                  <a:shade val="76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hade val="76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F9_Rel_Wages!$L$50:$Q$50</c:f>
              <c:numCache>
                <c:formatCode>0</c:formatCode>
                <c:ptCount val="6"/>
                <c:pt idx="0">
                  <c:v>465.10652082460985</c:v>
                </c:pt>
                <c:pt idx="1">
                  <c:v>502.48505757347601</c:v>
                </c:pt>
                <c:pt idx="2">
                  <c:v>616.6474730650333</c:v>
                </c:pt>
                <c:pt idx="3">
                  <c:v>638.46319592278064</c:v>
                </c:pt>
                <c:pt idx="4">
                  <c:v>722.91307570422282</c:v>
                </c:pt>
                <c:pt idx="5">
                  <c:v>703.10195637930337</c:v>
                </c:pt>
              </c:numCache>
            </c:numRef>
          </c:val>
          <c:smooth val="0"/>
          <c:extLst>
            <c:ext xmlns:c16="http://schemas.microsoft.com/office/drawing/2014/chart" uri="{C3380CC4-5D6E-409C-BE32-E72D297353CC}">
              <c16:uniqueId val="{00000003-0845-4AD9-BCE6-7F049173B74B}"/>
            </c:ext>
          </c:extLst>
        </c:ser>
        <c:ser>
          <c:idx val="4"/>
          <c:order val="4"/>
          <c:tx>
            <c:strRef>
              <c:f>F9_Rel_Wages!$K$51</c:f>
              <c:strCache>
                <c:ptCount val="1"/>
                <c:pt idx="0">
                  <c:v>Total</c:v>
                </c:pt>
              </c:strCache>
            </c:strRef>
          </c:tx>
          <c:spPr>
            <a:ln w="19050" cap="rnd" cmpd="sng" algn="ctr">
              <a:solidFill>
                <a:schemeClr val="accent6">
                  <a:shade val="53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hade val="53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F9_Rel_Wages!$L$51:$Q$51</c:f>
              <c:numCache>
                <c:formatCode>0</c:formatCode>
                <c:ptCount val="6"/>
                <c:pt idx="0">
                  <c:v>255.73505305398135</c:v>
                </c:pt>
                <c:pt idx="1">
                  <c:v>280.91150145430009</c:v>
                </c:pt>
                <c:pt idx="2">
                  <c:v>336.04683466809075</c:v>
                </c:pt>
                <c:pt idx="3">
                  <c:v>366.88622453142614</c:v>
                </c:pt>
                <c:pt idx="4">
                  <c:v>417.29763535153603</c:v>
                </c:pt>
                <c:pt idx="5">
                  <c:v>422.03992888025488</c:v>
                </c:pt>
              </c:numCache>
            </c:numRef>
          </c:val>
          <c:smooth val="0"/>
          <c:extLst>
            <c:ext xmlns:c16="http://schemas.microsoft.com/office/drawing/2014/chart" uri="{C3380CC4-5D6E-409C-BE32-E72D297353CC}">
              <c16:uniqueId val="{00000004-0845-4AD9-BCE6-7F049173B74B}"/>
            </c:ext>
          </c:extLst>
        </c:ser>
        <c:dLbls>
          <c:dLblPos val="ctr"/>
          <c:showLegendKey val="0"/>
          <c:showVal val="1"/>
          <c:showCatName val="0"/>
          <c:showSerName val="0"/>
          <c:showPercent val="0"/>
          <c:showBubbleSize val="0"/>
        </c:dLbls>
        <c:marker val="1"/>
        <c:smooth val="0"/>
        <c:axId val="357938144"/>
        <c:axId val="357938536"/>
        <c:extLst/>
      </c:lineChart>
      <c:catAx>
        <c:axId val="3579381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357938536"/>
        <c:crosses val="autoZero"/>
        <c:auto val="1"/>
        <c:lblAlgn val="ctr"/>
        <c:lblOffset val="100"/>
        <c:noMultiLvlLbl val="0"/>
      </c:catAx>
      <c:valAx>
        <c:axId val="35793853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ka-GE"/>
                  <a:t>საქართველო</a:t>
                </a:r>
                <a:r>
                  <a:rPr lang="de-DE"/>
                  <a:t>: </a:t>
                </a:r>
                <a:r>
                  <a:rPr lang="ka-GE"/>
                  <a:t>შემოსავალი </a:t>
                </a:r>
                <a:r>
                  <a:rPr lang="de-DE"/>
                  <a:t>(</a:t>
                </a:r>
                <a:r>
                  <a:rPr lang="ka-GE"/>
                  <a:t>ინდექსი</a:t>
                </a:r>
                <a:r>
                  <a:rPr lang="de-DE"/>
                  <a:t>, 2014 </a:t>
                </a:r>
                <a:r>
                  <a:rPr lang="ka-GE"/>
                  <a:t>დაბალი</a:t>
                </a:r>
                <a:r>
                  <a:rPr lang="de-DE"/>
                  <a:t> = 100)</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0" sourceLinked="0"/>
        <c:majorTickMark val="none"/>
        <c:minorTickMark val="none"/>
        <c:tickLblPos val="nextTo"/>
        <c:crossAx val="35793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52709840602236"/>
          <c:y val="3.8095238095238099E-2"/>
          <c:w val="0.81950836481747991"/>
          <c:h val="0.57939584824624191"/>
        </c:manualLayout>
      </c:layout>
      <c:lineChart>
        <c:grouping val="standard"/>
        <c:varyColors val="0"/>
        <c:ser>
          <c:idx val="0"/>
          <c:order val="0"/>
          <c:tx>
            <c:strRef>
              <c:f>'F19 Income_OCC'!$A$49</c:f>
              <c:strCache>
                <c:ptCount val="1"/>
                <c:pt idx="0">
                  <c:v>01 Legislators, senior officials and managers</c:v>
                </c:pt>
              </c:strCache>
            </c:strRef>
          </c:tx>
          <c:spPr>
            <a:ln w="28575" cap="rnd">
              <a:solidFill>
                <a:schemeClr val="accent6">
                  <a:lumMod val="50000"/>
                </a:schemeClr>
              </a:solidFill>
              <a:prstDash val="sysDash"/>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Income_OCC'!$B$49:$G$49</c:f>
              <c:numCache>
                <c:formatCode>0</c:formatCode>
                <c:ptCount val="6"/>
                <c:pt idx="0">
                  <c:v>169.67115463667059</c:v>
                </c:pt>
                <c:pt idx="1">
                  <c:v>202.52280799330063</c:v>
                </c:pt>
                <c:pt idx="2">
                  <c:v>248.18359762711674</c:v>
                </c:pt>
                <c:pt idx="3">
                  <c:v>265.33697427258386</c:v>
                </c:pt>
                <c:pt idx="4">
                  <c:v>316.34633586808769</c:v>
                </c:pt>
                <c:pt idx="5">
                  <c:v>295.44209993357543</c:v>
                </c:pt>
              </c:numCache>
            </c:numRef>
          </c:val>
          <c:smooth val="0"/>
          <c:extLst>
            <c:ext xmlns:c16="http://schemas.microsoft.com/office/drawing/2014/chart" uri="{C3380CC4-5D6E-409C-BE32-E72D297353CC}">
              <c16:uniqueId val="{00000000-A960-4887-8353-FD6149BD3072}"/>
            </c:ext>
          </c:extLst>
        </c:ser>
        <c:ser>
          <c:idx val="1"/>
          <c:order val="1"/>
          <c:tx>
            <c:strRef>
              <c:f>'F19 Income_OCC'!$A$50</c:f>
              <c:strCache>
                <c:ptCount val="1"/>
                <c:pt idx="0">
                  <c:v>02 Professionals</c:v>
                </c:pt>
              </c:strCache>
            </c:strRef>
          </c:tx>
          <c:spPr>
            <a:ln w="28575" cap="rnd">
              <a:solidFill>
                <a:schemeClr val="accent2"/>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Income_OCC'!$B$50:$G$50</c:f>
              <c:numCache>
                <c:formatCode>0</c:formatCode>
                <c:ptCount val="6"/>
                <c:pt idx="0">
                  <c:v>141.9148310138186</c:v>
                </c:pt>
                <c:pt idx="1">
                  <c:v>154.08354405298917</c:v>
                </c:pt>
                <c:pt idx="2">
                  <c:v>194.51669260034512</c:v>
                </c:pt>
                <c:pt idx="3">
                  <c:v>194.14214544178213</c:v>
                </c:pt>
                <c:pt idx="4">
                  <c:v>207.77092177898672</c:v>
                </c:pt>
                <c:pt idx="5">
                  <c:v>214.72099847470764</c:v>
                </c:pt>
              </c:numCache>
            </c:numRef>
          </c:val>
          <c:smooth val="0"/>
          <c:extLst>
            <c:ext xmlns:c16="http://schemas.microsoft.com/office/drawing/2014/chart" uri="{C3380CC4-5D6E-409C-BE32-E72D297353CC}">
              <c16:uniqueId val="{00000001-A960-4887-8353-FD6149BD3072}"/>
            </c:ext>
          </c:extLst>
        </c:ser>
        <c:ser>
          <c:idx val="2"/>
          <c:order val="2"/>
          <c:tx>
            <c:strRef>
              <c:f>'F19 Income_OCC'!$A$51</c:f>
              <c:strCache>
                <c:ptCount val="1"/>
                <c:pt idx="0">
                  <c:v>03 Technicians and associate professionals</c:v>
                </c:pt>
              </c:strCache>
            </c:strRef>
          </c:tx>
          <c:spPr>
            <a:ln w="28575" cap="rnd">
              <a:solidFill>
                <a:schemeClr val="accent3"/>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Income_OCC'!$B$51:$G$51</c:f>
              <c:numCache>
                <c:formatCode>0</c:formatCode>
                <c:ptCount val="6"/>
                <c:pt idx="0">
                  <c:v>120.11391466979902</c:v>
                </c:pt>
                <c:pt idx="1">
                  <c:v>125.00358052940813</c:v>
                </c:pt>
                <c:pt idx="2">
                  <c:v>142.38589803842987</c:v>
                </c:pt>
                <c:pt idx="3">
                  <c:v>159.89935950044273</c:v>
                </c:pt>
                <c:pt idx="4">
                  <c:v>170.5328682461631</c:v>
                </c:pt>
                <c:pt idx="5">
                  <c:v>176.30812632096854</c:v>
                </c:pt>
              </c:numCache>
            </c:numRef>
          </c:val>
          <c:smooth val="0"/>
          <c:extLst>
            <c:ext xmlns:c16="http://schemas.microsoft.com/office/drawing/2014/chart" uri="{C3380CC4-5D6E-409C-BE32-E72D297353CC}">
              <c16:uniqueId val="{00000002-A960-4887-8353-FD6149BD3072}"/>
            </c:ext>
          </c:extLst>
        </c:ser>
        <c:ser>
          <c:idx val="3"/>
          <c:order val="3"/>
          <c:tx>
            <c:strRef>
              <c:f>'F19 Income_OCC'!$A$52</c:f>
              <c:strCache>
                <c:ptCount val="1"/>
                <c:pt idx="0">
                  <c:v>04 Clerks</c:v>
                </c:pt>
              </c:strCache>
            </c:strRef>
          </c:tx>
          <c:spPr>
            <a:ln w="28575" cap="rnd">
              <a:solidFill>
                <a:schemeClr val="accent4"/>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Income_OCC'!$B$52:$G$52</c:f>
              <c:numCache>
                <c:formatCode>0</c:formatCode>
                <c:ptCount val="6"/>
                <c:pt idx="0">
                  <c:v>106.59029569945994</c:v>
                </c:pt>
                <c:pt idx="1">
                  <c:v>107.6303161211561</c:v>
                </c:pt>
                <c:pt idx="2">
                  <c:v>124.77138790044751</c:v>
                </c:pt>
                <c:pt idx="3">
                  <c:v>139.59664064479688</c:v>
                </c:pt>
                <c:pt idx="4">
                  <c:v>169.4037748111285</c:v>
                </c:pt>
                <c:pt idx="5">
                  <c:v>157.7993963121026</c:v>
                </c:pt>
              </c:numCache>
            </c:numRef>
          </c:val>
          <c:smooth val="0"/>
          <c:extLst>
            <c:ext xmlns:c16="http://schemas.microsoft.com/office/drawing/2014/chart" uri="{C3380CC4-5D6E-409C-BE32-E72D297353CC}">
              <c16:uniqueId val="{00000003-A960-4887-8353-FD6149BD3072}"/>
            </c:ext>
          </c:extLst>
        </c:ser>
        <c:ser>
          <c:idx val="4"/>
          <c:order val="4"/>
          <c:tx>
            <c:strRef>
              <c:f>'F19 Income_OCC'!$A$53</c:f>
              <c:strCache>
                <c:ptCount val="1"/>
                <c:pt idx="0">
                  <c:v>05 Service workers and shop and market sales workers</c:v>
                </c:pt>
              </c:strCache>
            </c:strRef>
          </c:tx>
          <c:spPr>
            <a:ln w="28575" cap="rnd">
              <a:solidFill>
                <a:schemeClr val="accent5"/>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Income_OCC'!$B$53:$G$53</c:f>
              <c:numCache>
                <c:formatCode>0</c:formatCode>
                <c:ptCount val="6"/>
                <c:pt idx="0">
                  <c:v>84.220954472153707</c:v>
                </c:pt>
                <c:pt idx="1">
                  <c:v>94.977936422661429</c:v>
                </c:pt>
                <c:pt idx="2">
                  <c:v>109.52132493124715</c:v>
                </c:pt>
                <c:pt idx="3">
                  <c:v>114.15042146684209</c:v>
                </c:pt>
                <c:pt idx="4">
                  <c:v>132.5665940453336</c:v>
                </c:pt>
                <c:pt idx="5">
                  <c:v>135.94835481020948</c:v>
                </c:pt>
              </c:numCache>
            </c:numRef>
          </c:val>
          <c:smooth val="0"/>
          <c:extLst>
            <c:ext xmlns:c16="http://schemas.microsoft.com/office/drawing/2014/chart" uri="{C3380CC4-5D6E-409C-BE32-E72D297353CC}">
              <c16:uniqueId val="{00000004-A960-4887-8353-FD6149BD3072}"/>
            </c:ext>
          </c:extLst>
        </c:ser>
        <c:ser>
          <c:idx val="5"/>
          <c:order val="5"/>
          <c:tx>
            <c:strRef>
              <c:f>'F19 Income_OCC'!$A$54</c:f>
              <c:strCache>
                <c:ptCount val="1"/>
                <c:pt idx="0">
                  <c:v>06 Skilled agricultural and fishery workers</c:v>
                </c:pt>
              </c:strCache>
            </c:strRef>
          </c:tx>
          <c:spPr>
            <a:ln w="28575" cap="rnd">
              <a:solidFill>
                <a:schemeClr val="accent6"/>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Income_OCC'!$B$54:$G$54</c:f>
              <c:numCache>
                <c:formatCode>0</c:formatCode>
                <c:ptCount val="6"/>
                <c:pt idx="0">
                  <c:v>20.649743390753724</c:v>
                </c:pt>
                <c:pt idx="1">
                  <c:v>22.811346378389146</c:v>
                </c:pt>
                <c:pt idx="2">
                  <c:v>25.442941611251761</c:v>
                </c:pt>
                <c:pt idx="3">
                  <c:v>31.360755384143047</c:v>
                </c:pt>
                <c:pt idx="4">
                  <c:v>33.361445364184007</c:v>
                </c:pt>
                <c:pt idx="5">
                  <c:v>34.551128176197096</c:v>
                </c:pt>
              </c:numCache>
            </c:numRef>
          </c:val>
          <c:smooth val="0"/>
          <c:extLst>
            <c:ext xmlns:c16="http://schemas.microsoft.com/office/drawing/2014/chart" uri="{C3380CC4-5D6E-409C-BE32-E72D297353CC}">
              <c16:uniqueId val="{00000005-A960-4887-8353-FD6149BD3072}"/>
            </c:ext>
          </c:extLst>
        </c:ser>
        <c:ser>
          <c:idx val="6"/>
          <c:order val="6"/>
          <c:tx>
            <c:strRef>
              <c:f>'F19 Income_OCC'!$A$55</c:f>
              <c:strCache>
                <c:ptCount val="1"/>
                <c:pt idx="0">
                  <c:v>07 Craft and related trades workers</c:v>
                </c:pt>
              </c:strCache>
            </c:strRef>
          </c:tx>
          <c:spPr>
            <a:ln w="28575" cap="rnd">
              <a:solidFill>
                <a:schemeClr val="accent2"/>
              </a:solidFill>
              <a:prstDash val="sysDot"/>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Income_OCC'!$B$55:$G$55</c:f>
              <c:numCache>
                <c:formatCode>0</c:formatCode>
                <c:ptCount val="6"/>
                <c:pt idx="0">
                  <c:v>86.473653263443339</c:v>
                </c:pt>
                <c:pt idx="1">
                  <c:v>90.8324871555633</c:v>
                </c:pt>
                <c:pt idx="2">
                  <c:v>107.92719574082432</c:v>
                </c:pt>
                <c:pt idx="3">
                  <c:v>116.33444596726963</c:v>
                </c:pt>
                <c:pt idx="4">
                  <c:v>128.70224104811712</c:v>
                </c:pt>
                <c:pt idx="5">
                  <c:v>130.66216394137189</c:v>
                </c:pt>
              </c:numCache>
            </c:numRef>
          </c:val>
          <c:smooth val="0"/>
          <c:extLst>
            <c:ext xmlns:c16="http://schemas.microsoft.com/office/drawing/2014/chart" uri="{C3380CC4-5D6E-409C-BE32-E72D297353CC}">
              <c16:uniqueId val="{00000006-A960-4887-8353-FD6149BD3072}"/>
            </c:ext>
          </c:extLst>
        </c:ser>
        <c:ser>
          <c:idx val="7"/>
          <c:order val="7"/>
          <c:tx>
            <c:strRef>
              <c:f>'F19 Income_OCC'!$A$56</c:f>
              <c:strCache>
                <c:ptCount val="1"/>
                <c:pt idx="0">
                  <c:v>08 Plant and machine operators and assemblers</c:v>
                </c:pt>
              </c:strCache>
            </c:strRef>
          </c:tx>
          <c:spPr>
            <a:ln w="28575" cap="rnd">
              <a:solidFill>
                <a:schemeClr val="accent2">
                  <a:lumMod val="60000"/>
                </a:schemeClr>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Income_OCC'!$B$56:$G$56</c:f>
              <c:numCache>
                <c:formatCode>0</c:formatCode>
                <c:ptCount val="6"/>
                <c:pt idx="0">
                  <c:v>91.95022061085615</c:v>
                </c:pt>
                <c:pt idx="1">
                  <c:v>98.885006922668623</c:v>
                </c:pt>
                <c:pt idx="2">
                  <c:v>110.46908665716788</c:v>
                </c:pt>
                <c:pt idx="3">
                  <c:v>124.27574606423796</c:v>
                </c:pt>
                <c:pt idx="4">
                  <c:v>144.13994802927382</c:v>
                </c:pt>
                <c:pt idx="5">
                  <c:v>146.46918906948804</c:v>
                </c:pt>
              </c:numCache>
            </c:numRef>
          </c:val>
          <c:smooth val="0"/>
          <c:extLst>
            <c:ext xmlns:c16="http://schemas.microsoft.com/office/drawing/2014/chart" uri="{C3380CC4-5D6E-409C-BE32-E72D297353CC}">
              <c16:uniqueId val="{00000007-A960-4887-8353-FD6149BD3072}"/>
            </c:ext>
          </c:extLst>
        </c:ser>
        <c:ser>
          <c:idx val="8"/>
          <c:order val="8"/>
          <c:tx>
            <c:strRef>
              <c:f>'F19 Income_OCC'!$A$57</c:f>
              <c:strCache>
                <c:ptCount val="1"/>
                <c:pt idx="0">
                  <c:v>09 Elementary occupations</c:v>
                </c:pt>
              </c:strCache>
            </c:strRef>
          </c:tx>
          <c:spPr>
            <a:ln w="28575" cap="rnd">
              <a:solidFill>
                <a:schemeClr val="accent3">
                  <a:lumMod val="60000"/>
                </a:schemeClr>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Income_OCC'!$B$57:$G$57</c:f>
              <c:numCache>
                <c:formatCode>0</c:formatCode>
                <c:ptCount val="6"/>
                <c:pt idx="0">
                  <c:v>76.040195902276437</c:v>
                </c:pt>
                <c:pt idx="1">
                  <c:v>83.968628296298604</c:v>
                </c:pt>
                <c:pt idx="2">
                  <c:v>90.254722907865514</c:v>
                </c:pt>
                <c:pt idx="3">
                  <c:v>100</c:v>
                </c:pt>
                <c:pt idx="4">
                  <c:v>103.44581803845874</c:v>
                </c:pt>
                <c:pt idx="5">
                  <c:v>118.37307573505413</c:v>
                </c:pt>
              </c:numCache>
            </c:numRef>
          </c:val>
          <c:smooth val="0"/>
          <c:extLst>
            <c:ext xmlns:c16="http://schemas.microsoft.com/office/drawing/2014/chart" uri="{C3380CC4-5D6E-409C-BE32-E72D297353CC}">
              <c16:uniqueId val="{00000008-A960-4887-8353-FD6149BD3072}"/>
            </c:ext>
          </c:extLst>
        </c:ser>
        <c:ser>
          <c:idx val="9"/>
          <c:order val="9"/>
          <c:tx>
            <c:strRef>
              <c:f>'F19 Income_OCC'!$A$58</c:f>
              <c:strCache>
                <c:ptCount val="1"/>
                <c:pt idx="0">
                  <c:v>No information on occupation</c:v>
                </c:pt>
              </c:strCache>
            </c:strRef>
          </c:tx>
          <c:spPr>
            <a:ln w="28575" cap="rnd">
              <a:solidFill>
                <a:schemeClr val="accent4">
                  <a:lumMod val="60000"/>
                </a:schemeClr>
              </a:solidFill>
              <a:prstDash val="dash"/>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Income_OCC'!$B$58:$G$58</c:f>
              <c:numCache>
                <c:formatCode>0</c:formatCode>
                <c:ptCount val="6"/>
                <c:pt idx="0">
                  <c:v>82.280824450664738</c:v>
                </c:pt>
                <c:pt idx="1">
                  <c:v>74.789638125748553</c:v>
                </c:pt>
                <c:pt idx="2">
                  <c:v>100.44459004498003</c:v>
                </c:pt>
                <c:pt idx="3">
                  <c:v>84.394497202352468</c:v>
                </c:pt>
                <c:pt idx="4">
                  <c:v>122.28792202794342</c:v>
                </c:pt>
                <c:pt idx="5">
                  <c:v>139.74647011537127</c:v>
                </c:pt>
              </c:numCache>
            </c:numRef>
          </c:val>
          <c:smooth val="0"/>
          <c:extLst>
            <c:ext xmlns:c16="http://schemas.microsoft.com/office/drawing/2014/chart" uri="{C3380CC4-5D6E-409C-BE32-E72D297353CC}">
              <c16:uniqueId val="{00000009-A960-4887-8353-FD6149BD3072}"/>
            </c:ext>
          </c:extLst>
        </c:ser>
        <c:ser>
          <c:idx val="10"/>
          <c:order val="10"/>
          <c:tx>
            <c:strRef>
              <c:f>'F19 Income_OCC'!$A$59</c:f>
              <c:strCache>
                <c:ptCount val="1"/>
                <c:pt idx="0">
                  <c:v>All occupations</c:v>
                </c:pt>
              </c:strCache>
            </c:strRef>
          </c:tx>
          <c:spPr>
            <a:ln w="28575" cap="rnd">
              <a:solidFill>
                <a:schemeClr val="accent5">
                  <a:lumMod val="60000"/>
                </a:schemeClr>
              </a:solidFill>
              <a:prstDash val="dash"/>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Income_OCC'!$B$59:$G$59</c:f>
              <c:numCache>
                <c:formatCode>0</c:formatCode>
                <c:ptCount val="6"/>
                <c:pt idx="0">
                  <c:v>68.100913492859988</c:v>
                </c:pt>
                <c:pt idx="1">
                  <c:v>74.80526789898704</c:v>
                </c:pt>
                <c:pt idx="2">
                  <c:v>89.487525284880803</c:v>
                </c:pt>
                <c:pt idx="3">
                  <c:v>97.699885529673452</c:v>
                </c:pt>
                <c:pt idx="4">
                  <c:v>111.12418887638091</c:v>
                </c:pt>
                <c:pt idx="5">
                  <c:v>112.38703291705292</c:v>
                </c:pt>
              </c:numCache>
            </c:numRef>
          </c:val>
          <c:smooth val="0"/>
          <c:extLst>
            <c:ext xmlns:c16="http://schemas.microsoft.com/office/drawing/2014/chart" uri="{C3380CC4-5D6E-409C-BE32-E72D297353CC}">
              <c16:uniqueId val="{0000000A-A960-4887-8353-FD6149BD3072}"/>
            </c:ext>
          </c:extLst>
        </c:ser>
        <c:dLbls>
          <c:showLegendKey val="0"/>
          <c:showVal val="0"/>
          <c:showCatName val="0"/>
          <c:showSerName val="0"/>
          <c:showPercent val="0"/>
          <c:showBubbleSize val="0"/>
        </c:dLbls>
        <c:smooth val="0"/>
        <c:axId val="357939320"/>
        <c:axId val="357939712"/>
      </c:lineChart>
      <c:catAx>
        <c:axId val="357939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7939712"/>
        <c:crosses val="autoZero"/>
        <c:auto val="1"/>
        <c:lblAlgn val="ctr"/>
        <c:lblOffset val="100"/>
        <c:noMultiLvlLbl val="0"/>
      </c:catAx>
      <c:valAx>
        <c:axId val="35793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ka-GE" sz="900"/>
                  <a:t>საქართველო</a:t>
                </a:r>
                <a:r>
                  <a:rPr lang="de-DE" sz="900"/>
                  <a:t>:</a:t>
                </a:r>
                <a:r>
                  <a:rPr lang="de-DE" sz="900" baseline="0"/>
                  <a:t> </a:t>
                </a:r>
                <a:r>
                  <a:rPr lang="ka-GE" sz="900" baseline="0"/>
                  <a:t>საშუალო ხელფასის ინდექსი დასაქმებულთათვის</a:t>
                </a:r>
                <a:endParaRPr lang="de-DE" sz="900"/>
              </a:p>
              <a:p>
                <a:pPr>
                  <a:defRPr sz="900"/>
                </a:pPr>
                <a:r>
                  <a:rPr lang="ka-GE" sz="900"/>
                  <a:t>(საბაზისო</a:t>
                </a:r>
                <a:r>
                  <a:rPr lang="ka-GE" sz="900" baseline="0"/>
                  <a:t> პროფესიები</a:t>
                </a:r>
                <a:r>
                  <a:rPr lang="de-DE" sz="900"/>
                  <a:t> 2014 = 100)</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7939320"/>
        <c:crosses val="autoZero"/>
        <c:crossBetween val="between"/>
      </c:valAx>
      <c:spPr>
        <a:noFill/>
        <a:ln>
          <a:solidFill>
            <a:schemeClr val="tx1"/>
          </a:solidFill>
        </a:ln>
        <a:effectLst/>
      </c:spPr>
    </c:plotArea>
    <c:legend>
      <c:legendPos val="b"/>
      <c:layout>
        <c:manualLayout>
          <c:xMode val="edge"/>
          <c:yMode val="edge"/>
          <c:x val="2.561054107461519E-2"/>
          <c:y val="0.68700930565497498"/>
          <c:w val="0.96693494459731322"/>
          <c:h val="0.2922114735658042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67095654709827945"/>
        </c:manualLayout>
      </c:layout>
      <c:barChart>
        <c:barDir val="col"/>
        <c:grouping val="clustered"/>
        <c:varyColors val="0"/>
        <c:ser>
          <c:idx val="0"/>
          <c:order val="0"/>
          <c:tx>
            <c:strRef>
              <c:f>'F3_1 Prop_Unemp_emp'!$A$19</c:f>
              <c:strCache>
                <c:ptCount val="1"/>
                <c:pt idx="0">
                  <c:v>None</c:v>
                </c:pt>
              </c:strCache>
              <c:extLst xmlns:c15="http://schemas.microsoft.com/office/drawing/2012/chart"/>
            </c:strRef>
          </c:tx>
          <c:spPr>
            <a:solidFill>
              <a:schemeClr val="tx1"/>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'F3_1 Prop_Unemp_emp'!$B$18:$G$18</c:f>
              <c:numCache>
                <c:formatCode>General</c:formatCode>
                <c:ptCount val="6"/>
                <c:pt idx="0">
                  <c:v>2011</c:v>
                </c:pt>
                <c:pt idx="1">
                  <c:v>2012</c:v>
                </c:pt>
                <c:pt idx="2">
                  <c:v>2013</c:v>
                </c:pt>
                <c:pt idx="3">
                  <c:v>2014</c:v>
                </c:pt>
                <c:pt idx="4">
                  <c:v>2015</c:v>
                </c:pt>
                <c:pt idx="5">
                  <c:v>2016</c:v>
                </c:pt>
              </c:numCache>
              <c:extLst xmlns:c15="http://schemas.microsoft.com/office/drawing/2012/chart"/>
            </c:numRef>
          </c:cat>
          <c:val>
            <c:numRef>
              <c:f>'F3_1 Prop_Unemp_emp'!$B$19:$G$19</c:f>
              <c:numCache>
                <c:formatCode>General</c:formatCode>
                <c:ptCount val="6"/>
                <c:pt idx="0">
                  <c:v>0.12198567390441895</c:v>
                </c:pt>
                <c:pt idx="1">
                  <c:v>0.257086238861084</c:v>
                </c:pt>
                <c:pt idx="2">
                  <c:v>0</c:v>
                </c:pt>
                <c:pt idx="3">
                  <c:v>0</c:v>
                </c:pt>
                <c:pt idx="4">
                  <c:v>0</c:v>
                </c:pt>
                <c:pt idx="5">
                  <c:v>0</c:v>
                </c:pt>
              </c:numCache>
              <c:extLst xmlns:c15="http://schemas.microsoft.com/office/drawing/2012/chart"/>
            </c:numRef>
          </c:val>
          <c:extLst>
            <c:ext xmlns:c16="http://schemas.microsoft.com/office/drawing/2014/chart" uri="{C3380CC4-5D6E-409C-BE32-E72D297353CC}">
              <c16:uniqueId val="{00000000-ADAF-472C-8C75-43A8A8DE5357}"/>
            </c:ext>
          </c:extLst>
        </c:ser>
        <c:ser>
          <c:idx val="1"/>
          <c:order val="1"/>
          <c:tx>
            <c:strRef>
              <c:f>'F3_1 Prop_Unemp_emp'!$A$20</c:f>
              <c:strCache>
                <c:ptCount val="1"/>
                <c:pt idx="0">
                  <c:v>Low</c:v>
                </c:pt>
              </c:strCache>
            </c:strRef>
          </c:tx>
          <c:spPr>
            <a:solidFill>
              <a:schemeClr val="bg1">
                <a:lumMod val="6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'F3_1 Prop_Unemp_emp'!$B$18:$G$18</c:f>
              <c:numCache>
                <c:formatCode>General</c:formatCode>
                <c:ptCount val="6"/>
                <c:pt idx="0">
                  <c:v>2011</c:v>
                </c:pt>
                <c:pt idx="1">
                  <c:v>2012</c:v>
                </c:pt>
                <c:pt idx="2">
                  <c:v>2013</c:v>
                </c:pt>
                <c:pt idx="3">
                  <c:v>2014</c:v>
                </c:pt>
                <c:pt idx="4">
                  <c:v>2015</c:v>
                </c:pt>
                <c:pt idx="5">
                  <c:v>2016</c:v>
                </c:pt>
              </c:numCache>
            </c:numRef>
          </c:cat>
          <c:val>
            <c:numRef>
              <c:f>'F3_1 Prop_Unemp_emp'!$B$20:$G$20</c:f>
              <c:numCache>
                <c:formatCode>General</c:formatCode>
                <c:ptCount val="6"/>
                <c:pt idx="0">
                  <c:v>0.29427639007568357</c:v>
                </c:pt>
                <c:pt idx="1">
                  <c:v>0.43312171936035154</c:v>
                </c:pt>
                <c:pt idx="2">
                  <c:v>0.50117244720458987</c:v>
                </c:pt>
                <c:pt idx="3">
                  <c:v>0.31418798446655272</c:v>
                </c:pt>
                <c:pt idx="4">
                  <c:v>0.15407833099365234</c:v>
                </c:pt>
                <c:pt idx="5">
                  <c:v>0.22949644088745116</c:v>
                </c:pt>
              </c:numCache>
            </c:numRef>
          </c:val>
          <c:extLst>
            <c:ext xmlns:c16="http://schemas.microsoft.com/office/drawing/2014/chart" uri="{C3380CC4-5D6E-409C-BE32-E72D297353CC}">
              <c16:uniqueId val="{00000001-ADAF-472C-8C75-43A8A8DE5357}"/>
            </c:ext>
          </c:extLst>
        </c:ser>
        <c:ser>
          <c:idx val="2"/>
          <c:order val="2"/>
          <c:tx>
            <c:strRef>
              <c:f>'F3_1 Prop_Unemp_emp'!$A$21</c:f>
              <c:strCache>
                <c:ptCount val="1"/>
                <c:pt idx="0">
                  <c:v>Medium</c:v>
                </c:pt>
              </c:strCache>
            </c:strRef>
          </c:tx>
          <c:spPr>
            <a:pattFill prst="wdUpDiag">
              <a:fgClr>
                <a:schemeClr val="bg1">
                  <a:lumMod val="75000"/>
                </a:schemeClr>
              </a:fgClr>
              <a:bgClr>
                <a:schemeClr val="bg1">
                  <a:lumMod val="95000"/>
                </a:schemeClr>
              </a:bgClr>
            </a:patt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'F3_1 Prop_Unemp_emp'!$B$18:$G$18</c:f>
              <c:numCache>
                <c:formatCode>General</c:formatCode>
                <c:ptCount val="6"/>
                <c:pt idx="0">
                  <c:v>2011</c:v>
                </c:pt>
                <c:pt idx="1">
                  <c:v>2012</c:v>
                </c:pt>
                <c:pt idx="2">
                  <c:v>2013</c:v>
                </c:pt>
                <c:pt idx="3">
                  <c:v>2014</c:v>
                </c:pt>
                <c:pt idx="4">
                  <c:v>2015</c:v>
                </c:pt>
                <c:pt idx="5">
                  <c:v>2016</c:v>
                </c:pt>
              </c:numCache>
            </c:numRef>
          </c:cat>
          <c:val>
            <c:numRef>
              <c:f>'F3_1 Prop_Unemp_emp'!$B$21:$G$21</c:f>
              <c:numCache>
                <c:formatCode>General</c:formatCode>
                <c:ptCount val="6"/>
                <c:pt idx="0">
                  <c:v>0.67060867309570316</c:v>
                </c:pt>
                <c:pt idx="1">
                  <c:v>0.70820823669433597</c:v>
                </c:pt>
                <c:pt idx="2">
                  <c:v>0.98669700622558598</c:v>
                </c:pt>
                <c:pt idx="3">
                  <c:v>0.60895893096923825</c:v>
                </c:pt>
                <c:pt idx="4">
                  <c:v>0.53307769775390623</c:v>
                </c:pt>
                <c:pt idx="5">
                  <c:v>0.71476669311523433</c:v>
                </c:pt>
              </c:numCache>
            </c:numRef>
          </c:val>
          <c:extLst>
            <c:ext xmlns:c16="http://schemas.microsoft.com/office/drawing/2014/chart" uri="{C3380CC4-5D6E-409C-BE32-E72D297353CC}">
              <c16:uniqueId val="{00000002-ADAF-472C-8C75-43A8A8DE5357}"/>
            </c:ext>
          </c:extLst>
        </c:ser>
        <c:dLbls>
          <c:showLegendKey val="0"/>
          <c:showVal val="0"/>
          <c:showCatName val="0"/>
          <c:showSerName val="0"/>
          <c:showPercent val="0"/>
          <c:showBubbleSize val="0"/>
        </c:dLbls>
        <c:gapWidth val="99"/>
        <c:axId val="354554928"/>
        <c:axId val="354555320"/>
        <c:extLst>
          <c:ext xmlns:c15="http://schemas.microsoft.com/office/drawing/2012/chart" uri="{02D57815-91ED-43cb-92C2-25804820EDAC}">
            <c15:filteredBarSeries>
              <c15:ser>
                <c:idx val="3"/>
                <c:order val="3"/>
                <c:tx>
                  <c:strRef>
                    <c:extLst>
                      <c:ext uri="{02D57815-91ED-43cb-92C2-25804820EDAC}">
                        <c15:formulaRef>
                          <c15:sqref>'F3_1 Prop_Unemp_emp'!$A$22</c15:sqref>
                        </c15:formulaRef>
                      </c:ext>
                    </c:extLst>
                    <c:strCache>
                      <c:ptCount val="1"/>
                      <c:pt idx="0">
                        <c:v>High</c:v>
                      </c:pt>
                    </c:strCache>
                  </c:strRef>
                </c:tx>
                <c:spPr>
                  <a:solidFill>
                    <a:schemeClr val="bg1">
                      <a:lumMod val="95000"/>
                    </a:schemeClr>
                  </a:solidFill>
                  <a:ln>
                    <a:solidFill>
                      <a:schemeClr val="tx1"/>
                    </a:solidFill>
                  </a:ln>
                  <a:effectLst/>
                </c:spPr>
                <c:invertIfNegative val="0"/>
                <c:cat>
                  <c:numRef>
                    <c:extLst>
                      <c:ext uri="{02D57815-91ED-43cb-92C2-25804820EDAC}">
                        <c15:formulaRef>
                          <c15:sqref>'F3_1 Prop_Unemp_emp'!$B$18:$G$18</c15:sqref>
                        </c15:formulaRef>
                      </c:ext>
                    </c:extLst>
                    <c:numCache>
                      <c:formatCode>General</c:formatCode>
                      <c:ptCount val="6"/>
                      <c:pt idx="0">
                        <c:v>2011</c:v>
                      </c:pt>
                      <c:pt idx="1">
                        <c:v>2012</c:v>
                      </c:pt>
                      <c:pt idx="2">
                        <c:v>2013</c:v>
                      </c:pt>
                      <c:pt idx="3">
                        <c:v>2014</c:v>
                      </c:pt>
                      <c:pt idx="4">
                        <c:v>2015</c:v>
                      </c:pt>
                      <c:pt idx="5">
                        <c:v>2016</c:v>
                      </c:pt>
                    </c:numCache>
                  </c:numRef>
                </c:cat>
                <c:val>
                  <c:numRef>
                    <c:extLst>
                      <c:ext uri="{02D57815-91ED-43cb-92C2-25804820EDAC}">
                        <c15:formulaRef>
                          <c15:sqref>'F3_1 Prop_Unemp_emp'!$B$22:$G$22</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A-ADAF-472C-8C75-43A8A8DE5357}"/>
                  </c:ext>
                </c:extLst>
              </c15:ser>
            </c15:filteredBarSeries>
          </c:ext>
        </c:extLst>
      </c:barChart>
      <c:lineChart>
        <c:grouping val="standard"/>
        <c:varyColors val="0"/>
        <c:ser>
          <c:idx val="4"/>
          <c:order val="4"/>
          <c:tx>
            <c:strRef>
              <c:f>'F3_1 Prop_Unemp_emp'!$A$23</c:f>
              <c:strCache>
                <c:ptCount val="1"/>
                <c:pt idx="0">
                  <c:v>Average</c:v>
                </c:pt>
              </c:strCache>
            </c:strRef>
          </c:tx>
          <c:spPr>
            <a:ln w="28575" cap="rnd">
              <a:noFill/>
              <a:round/>
            </a:ln>
            <a:effectLst/>
          </c:spPr>
          <c:marker>
            <c:symbol val="circle"/>
            <c:size val="5"/>
            <c:spPr>
              <a:solidFill>
                <a:schemeClr val="tx1"/>
              </a:solidFill>
              <a:ln w="9525">
                <a:noFill/>
              </a:ln>
              <a:effectLst/>
            </c:spPr>
          </c:marker>
          <c:dLbls>
            <c:dLbl>
              <c:idx val="0"/>
              <c:layout>
                <c:manualLayout>
                  <c:x val="-5.9306982666770612E-2"/>
                  <c:y val="-7.9601886047429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AF-472C-8C75-43A8A8DE5357}"/>
                </c:ext>
              </c:extLst>
            </c:dLbl>
            <c:dLbl>
              <c:idx val="1"/>
              <c:layout>
                <c:manualLayout>
                  <c:x val="-6.1947246693173301E-2"/>
                  <c:y val="-7.9601886047429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AF-472C-8C75-43A8A8DE5357}"/>
                </c:ext>
              </c:extLst>
            </c:dLbl>
            <c:dLbl>
              <c:idx val="2"/>
              <c:layout>
                <c:manualLayout>
                  <c:x val="-5.9306982666770612E-2"/>
                  <c:y val="-8.255104173925162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7887892726280504E-2"/>
                      <c:h val="0.10020672194736718"/>
                    </c:manualLayout>
                  </c15:layout>
                </c:ext>
                <c:ext xmlns:c16="http://schemas.microsoft.com/office/drawing/2014/chart" uri="{C3380CC4-5D6E-409C-BE32-E72D297353CC}">
                  <c16:uniqueId val="{00000005-ADAF-472C-8C75-43A8A8DE5357}"/>
                </c:ext>
              </c:extLst>
            </c:dLbl>
            <c:dLbl>
              <c:idx val="3"/>
              <c:layout>
                <c:manualLayout>
                  <c:x val="-5.4026454613965429E-2"/>
                  <c:y val="-7.3702181032680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AF-472C-8C75-43A8A8DE5357}"/>
                </c:ext>
              </c:extLst>
            </c:dLbl>
            <c:dLbl>
              <c:idx val="4"/>
              <c:layout>
                <c:manualLayout>
                  <c:x val="-6.194724669317335E-2"/>
                  <c:y val="-9.1401296076928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AF-472C-8C75-43A8A8DE5357}"/>
                </c:ext>
              </c:extLst>
            </c:dLbl>
            <c:dLbl>
              <c:idx val="5"/>
              <c:layout>
                <c:manualLayout>
                  <c:x val="-6.1947246693173447E-2"/>
                  <c:y val="-8.5501591062179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AF-472C-8C75-43A8A8DE535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'F3_1 Prop_Unemp_emp'!$B$18:$G$18</c:f>
              <c:numCache>
                <c:formatCode>General</c:formatCode>
                <c:ptCount val="6"/>
                <c:pt idx="0">
                  <c:v>2011</c:v>
                </c:pt>
                <c:pt idx="1">
                  <c:v>2012</c:v>
                </c:pt>
                <c:pt idx="2">
                  <c:v>2013</c:v>
                </c:pt>
                <c:pt idx="3">
                  <c:v>2014</c:v>
                </c:pt>
                <c:pt idx="4">
                  <c:v>2015</c:v>
                </c:pt>
                <c:pt idx="5">
                  <c:v>2016</c:v>
                </c:pt>
              </c:numCache>
            </c:numRef>
          </c:cat>
          <c:val>
            <c:numRef>
              <c:f>'F3_1 Prop_Unemp_emp'!$B$23:$G$23</c:f>
              <c:numCache>
                <c:formatCode>General</c:formatCode>
                <c:ptCount val="6"/>
                <c:pt idx="0">
                  <c:v>0.50158121658954269</c:v>
                </c:pt>
                <c:pt idx="1">
                  <c:v>0.58493124967730237</c:v>
                </c:pt>
                <c:pt idx="2">
                  <c:v>0.75851921467475469</c:v>
                </c:pt>
                <c:pt idx="3">
                  <c:v>0.4672542388112324</c:v>
                </c:pt>
                <c:pt idx="4">
                  <c:v>0.35477478598600354</c:v>
                </c:pt>
                <c:pt idx="5">
                  <c:v>0.46105537357459259</c:v>
                </c:pt>
              </c:numCache>
            </c:numRef>
          </c:val>
          <c:smooth val="0"/>
          <c:extLst>
            <c:ext xmlns:c16="http://schemas.microsoft.com/office/drawing/2014/chart" uri="{C3380CC4-5D6E-409C-BE32-E72D297353CC}">
              <c16:uniqueId val="{00000009-ADAF-472C-8C75-43A8A8DE5357}"/>
            </c:ext>
          </c:extLst>
        </c:ser>
        <c:dLbls>
          <c:showLegendKey val="0"/>
          <c:showVal val="0"/>
          <c:showCatName val="0"/>
          <c:showSerName val="0"/>
          <c:showPercent val="0"/>
          <c:showBubbleSize val="0"/>
        </c:dLbls>
        <c:marker val="1"/>
        <c:smooth val="0"/>
        <c:axId val="354554928"/>
        <c:axId val="354555320"/>
      </c:lineChart>
      <c:catAx>
        <c:axId val="3545549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555320"/>
        <c:crosses val="autoZero"/>
        <c:auto val="1"/>
        <c:lblAlgn val="ctr"/>
        <c:lblOffset val="100"/>
        <c:noMultiLvlLbl val="0"/>
      </c:catAx>
      <c:valAx>
        <c:axId val="354555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a:t>საქართველო: უმუშევრობა-დასაქმების</a:t>
                </a:r>
                <a:r>
                  <a:rPr lang="ka-GE" baseline="0"/>
                  <a:t> შეფარდება</a:t>
                </a:r>
                <a:r>
                  <a:rPr lang="de-DE"/>
                  <a:t> (15-19, %)</a:t>
                </a:r>
                <a:endParaRPr lang="de-DE"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554928"/>
        <c:crosses val="autoZero"/>
        <c:crossBetween val="between"/>
      </c:valAx>
      <c:spPr>
        <a:noFill/>
        <a:ln>
          <a:solidFill>
            <a:schemeClr val="tx1"/>
          </a:solidFill>
        </a:ln>
        <a:effectLst/>
      </c:spPr>
    </c:plotArea>
    <c:legend>
      <c:legendPos val="b"/>
      <c:layout>
        <c:manualLayout>
          <c:xMode val="edge"/>
          <c:yMode val="edge"/>
          <c:x val="0.2275572880122658"/>
          <c:y val="0.85869834854713956"/>
          <c:w val="0.69095751149918139"/>
          <c:h val="9.955821893944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67095654709827945"/>
        </c:manualLayout>
      </c:layout>
      <c:barChart>
        <c:barDir val="col"/>
        <c:grouping val="clustered"/>
        <c:varyColors val="0"/>
        <c:ser>
          <c:idx val="0"/>
          <c:order val="0"/>
          <c:tx>
            <c:strRef>
              <c:f>'F3_2 Prop_Unemp_emp'!$A$19</c:f>
              <c:strCache>
                <c:ptCount val="1"/>
                <c:pt idx="0">
                  <c:v>None</c:v>
                </c:pt>
              </c:strCache>
              <c:extLst xmlns:c15="http://schemas.microsoft.com/office/drawing/2012/chart"/>
            </c:strRef>
          </c:tx>
          <c:spPr>
            <a:solidFill>
              <a:schemeClr val="tx1"/>
            </a:solidFill>
            <a:ln>
              <a:solidFill>
                <a:schemeClr val="tx1"/>
              </a:solidFill>
            </a:ln>
            <a:effectLst/>
          </c:spPr>
          <c:invertIfNegative val="0"/>
          <c:dLbls>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0-AE55-314F-9541-D1C04EE79ED0}"/>
                </c:ext>
              </c:extLst>
            </c:dLbl>
            <c:dLbl>
              <c:idx val="1"/>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1-AE55-314F-9541-D1C04EE79ED0}"/>
                </c:ext>
              </c:extLst>
            </c:dLbl>
            <c:dLbl>
              <c:idx val="3"/>
              <c:delete val="1"/>
              <c:extLst>
                <c:ext xmlns:c15="http://schemas.microsoft.com/office/drawing/2012/chart" uri="{CE6537A1-D6FC-4f65-9D91-7224C49458BB}"/>
                <c:ext xmlns:c16="http://schemas.microsoft.com/office/drawing/2014/chart" uri="{C3380CC4-5D6E-409C-BE32-E72D297353CC}">
                  <c16:uniqueId val="{00000002-8A50-4D90-8169-8AC6E28896DC}"/>
                </c:ext>
              </c:extLst>
            </c:dLbl>
            <c:dLbl>
              <c:idx val="4"/>
              <c:delete val="1"/>
              <c:extLst>
                <c:ext xmlns:c15="http://schemas.microsoft.com/office/drawing/2012/chart" uri="{CE6537A1-D6FC-4f65-9D91-7224C49458BB}"/>
                <c:ext xmlns:c16="http://schemas.microsoft.com/office/drawing/2014/chart" uri="{C3380CC4-5D6E-409C-BE32-E72D297353CC}">
                  <c16:uniqueId val="{00000003-8A50-4D90-8169-8AC6E28896DC}"/>
                </c:ext>
              </c:extLst>
            </c:dLbl>
            <c:dLbl>
              <c:idx val="5"/>
              <c:delete val="1"/>
              <c:extLst>
                <c:ext xmlns:c15="http://schemas.microsoft.com/office/drawing/2012/chart" uri="{CE6537A1-D6FC-4f65-9D91-7224C49458BB}"/>
                <c:ext xmlns:c16="http://schemas.microsoft.com/office/drawing/2014/chart" uri="{C3380CC4-5D6E-409C-BE32-E72D297353CC}">
                  <c16:uniqueId val="{00000004-8A50-4D90-8169-8AC6E28896DC}"/>
                </c:ext>
              </c:extLst>
            </c:dLbl>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extLst xmlns:c15="http://schemas.microsoft.com/office/drawing/2012/chart"/>
            </c:numRef>
          </c:cat>
          <c:val>
            <c:numRef>
              <c:f>'F3_2 Prop_Unemp_emp'!$B$19:$G$19</c:f>
              <c:numCache>
                <c:formatCode>General</c:formatCode>
                <c:ptCount val="6"/>
                <c:pt idx="0">
                  <c:v>5.5007381439208983E-2</c:v>
                </c:pt>
                <c:pt idx="1">
                  <c:v>9.7883052825927741E-2</c:v>
                </c:pt>
                <c:pt idx="2">
                  <c:v>2.8035531616210938</c:v>
                </c:pt>
                <c:pt idx="3">
                  <c:v>0</c:v>
                </c:pt>
                <c:pt idx="4">
                  <c:v>0</c:v>
                </c:pt>
                <c:pt idx="5">
                  <c:v>0</c:v>
                </c:pt>
              </c:numCache>
              <c:extLst xmlns:c15="http://schemas.microsoft.com/office/drawing/2012/chart"/>
            </c:numRef>
          </c:val>
          <c:extLst>
            <c:ext xmlns:c16="http://schemas.microsoft.com/office/drawing/2014/chart" uri="{C3380CC4-5D6E-409C-BE32-E72D297353CC}">
              <c16:uniqueId val="{00000005-8A50-4D90-8169-8AC6E28896DC}"/>
            </c:ext>
          </c:extLst>
        </c:ser>
        <c:ser>
          <c:idx val="1"/>
          <c:order val="1"/>
          <c:tx>
            <c:strRef>
              <c:f>'F3_2 Prop_Unemp_emp'!$A$20</c:f>
              <c:strCache>
                <c:ptCount val="1"/>
                <c:pt idx="0">
                  <c:v>Low</c:v>
                </c:pt>
              </c:strCache>
            </c:strRef>
          </c:tx>
          <c:spPr>
            <a:solidFill>
              <a:schemeClr val="bg1">
                <a:lumMod val="6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numRef>
          </c:cat>
          <c:val>
            <c:numRef>
              <c:f>'F3_2 Prop_Unemp_emp'!$B$20:$G$20</c:f>
              <c:numCache>
                <c:formatCode>General</c:formatCode>
                <c:ptCount val="6"/>
                <c:pt idx="0">
                  <c:v>0.33832176208496095</c:v>
                </c:pt>
                <c:pt idx="1">
                  <c:v>0.29572404861450197</c:v>
                </c:pt>
                <c:pt idx="2">
                  <c:v>0.40014347076416018</c:v>
                </c:pt>
                <c:pt idx="3">
                  <c:v>0.16944269180297852</c:v>
                </c:pt>
                <c:pt idx="4">
                  <c:v>0.34129653930664061</c:v>
                </c:pt>
                <c:pt idx="5">
                  <c:v>0.22909011840820312</c:v>
                </c:pt>
              </c:numCache>
            </c:numRef>
          </c:val>
          <c:extLst>
            <c:ext xmlns:c16="http://schemas.microsoft.com/office/drawing/2014/chart" uri="{C3380CC4-5D6E-409C-BE32-E72D297353CC}">
              <c16:uniqueId val="{00000006-8A50-4D90-8169-8AC6E28896DC}"/>
            </c:ext>
          </c:extLst>
        </c:ser>
        <c:ser>
          <c:idx val="2"/>
          <c:order val="2"/>
          <c:tx>
            <c:strRef>
              <c:f>'F3_2 Prop_Unemp_emp'!$A$21</c:f>
              <c:strCache>
                <c:ptCount val="1"/>
                <c:pt idx="0">
                  <c:v>Medium</c:v>
                </c:pt>
              </c:strCache>
            </c:strRef>
          </c:tx>
          <c:spPr>
            <a:pattFill prst="wdUpDiag">
              <a:fgClr>
                <a:schemeClr val="bg1">
                  <a:lumMod val="75000"/>
                </a:schemeClr>
              </a:fgClr>
              <a:bgClr>
                <a:schemeClr val="bg1">
                  <a:lumMod val="95000"/>
                </a:schemeClr>
              </a:bgClr>
            </a:patt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numRef>
          </c:cat>
          <c:val>
            <c:numRef>
              <c:f>'F3_2 Prop_Unemp_emp'!$B$21:$G$21</c:f>
              <c:numCache>
                <c:formatCode>General</c:formatCode>
                <c:ptCount val="6"/>
                <c:pt idx="0">
                  <c:v>0.48406074523925779</c:v>
                </c:pt>
                <c:pt idx="1">
                  <c:v>0.49008155822753907</c:v>
                </c:pt>
                <c:pt idx="2">
                  <c:v>0.52116619110107421</c:v>
                </c:pt>
                <c:pt idx="3">
                  <c:v>0.43618919372558596</c:v>
                </c:pt>
                <c:pt idx="4">
                  <c:v>0.49281108856201172</c:v>
                </c:pt>
                <c:pt idx="5">
                  <c:v>0.45454059600830077</c:v>
                </c:pt>
              </c:numCache>
            </c:numRef>
          </c:val>
          <c:extLst>
            <c:ext xmlns:c16="http://schemas.microsoft.com/office/drawing/2014/chart" uri="{C3380CC4-5D6E-409C-BE32-E72D297353CC}">
              <c16:uniqueId val="{00000007-8A50-4D90-8169-8AC6E28896DC}"/>
            </c:ext>
          </c:extLst>
        </c:ser>
        <c:ser>
          <c:idx val="3"/>
          <c:order val="3"/>
          <c:tx>
            <c:strRef>
              <c:f>'F3_2 Prop_Unemp_emp'!$A$22</c:f>
              <c:strCache>
                <c:ptCount val="1"/>
                <c:pt idx="0">
                  <c:v>High</c:v>
                </c:pt>
              </c:strCache>
            </c:strRef>
          </c:tx>
          <c:spPr>
            <a:solidFill>
              <a:schemeClr val="bg1">
                <a:lumMod val="9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numRef>
          </c:cat>
          <c:val>
            <c:numRef>
              <c:f>'F3_2 Prop_Unemp_emp'!$B$22:$G$22</c:f>
              <c:numCache>
                <c:formatCode>General</c:formatCode>
                <c:ptCount val="6"/>
                <c:pt idx="0">
                  <c:v>0.89616714477539061</c:v>
                </c:pt>
                <c:pt idx="1">
                  <c:v>0.49023921966552736</c:v>
                </c:pt>
                <c:pt idx="2">
                  <c:v>0.4936042785644531</c:v>
                </c:pt>
                <c:pt idx="3">
                  <c:v>0.53715915679931636</c:v>
                </c:pt>
                <c:pt idx="4">
                  <c:v>0.44509063720703124</c:v>
                </c:pt>
                <c:pt idx="5">
                  <c:v>0.40677104949951171</c:v>
                </c:pt>
              </c:numCache>
            </c:numRef>
          </c:val>
          <c:extLst>
            <c:ext xmlns:c16="http://schemas.microsoft.com/office/drawing/2014/chart" uri="{C3380CC4-5D6E-409C-BE32-E72D297353CC}">
              <c16:uniqueId val="{00000008-8A50-4D90-8169-8AC6E28896DC}"/>
            </c:ext>
          </c:extLst>
        </c:ser>
        <c:dLbls>
          <c:showLegendKey val="0"/>
          <c:showVal val="0"/>
          <c:showCatName val="0"/>
          <c:showSerName val="0"/>
          <c:showPercent val="0"/>
          <c:showBubbleSize val="0"/>
        </c:dLbls>
        <c:gapWidth val="99"/>
        <c:axId val="354556104"/>
        <c:axId val="354556496"/>
        <c:extLst/>
      </c:barChart>
      <c:lineChart>
        <c:grouping val="standard"/>
        <c:varyColors val="0"/>
        <c:ser>
          <c:idx val="4"/>
          <c:order val="4"/>
          <c:tx>
            <c:strRef>
              <c:f>'F3_2 Prop_Unemp_emp'!$A$23</c:f>
              <c:strCache>
                <c:ptCount val="1"/>
                <c:pt idx="0">
                  <c:v>Average</c:v>
                </c:pt>
              </c:strCache>
            </c:strRef>
          </c:tx>
          <c:spPr>
            <a:ln w="28575" cap="rnd">
              <a:noFill/>
              <a:round/>
            </a:ln>
            <a:effectLst/>
          </c:spPr>
          <c:marker>
            <c:symbol val="circle"/>
            <c:size val="5"/>
            <c:spPr>
              <a:solidFill>
                <a:schemeClr val="tx1"/>
              </a:solidFill>
              <a:ln w="9525">
                <a:solidFill>
                  <a:schemeClr val="tx1"/>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numRef>
          </c:cat>
          <c:val>
            <c:numRef>
              <c:f>'F3_2 Prop_Unemp_emp'!$B$23:$G$23</c:f>
              <c:numCache>
                <c:formatCode>General</c:formatCode>
                <c:ptCount val="6"/>
                <c:pt idx="0">
                  <c:v>0.57053055695144861</c:v>
                </c:pt>
                <c:pt idx="1">
                  <c:v>0.47512322396398798</c:v>
                </c:pt>
                <c:pt idx="2">
                  <c:v>0.50811818475750625</c:v>
                </c:pt>
                <c:pt idx="3">
                  <c:v>0.43811186563941379</c:v>
                </c:pt>
                <c:pt idx="4">
                  <c:v>0.46963340590576785</c:v>
                </c:pt>
                <c:pt idx="5">
                  <c:v>0.43000335266529305</c:v>
                </c:pt>
              </c:numCache>
            </c:numRef>
          </c:val>
          <c:smooth val="0"/>
          <c:extLst>
            <c:ext xmlns:c16="http://schemas.microsoft.com/office/drawing/2014/chart" uri="{C3380CC4-5D6E-409C-BE32-E72D297353CC}">
              <c16:uniqueId val="{00000009-8A50-4D90-8169-8AC6E28896DC}"/>
            </c:ext>
          </c:extLst>
        </c:ser>
        <c:dLbls>
          <c:showLegendKey val="0"/>
          <c:showVal val="0"/>
          <c:showCatName val="0"/>
          <c:showSerName val="0"/>
          <c:showPercent val="0"/>
          <c:showBubbleSize val="0"/>
        </c:dLbls>
        <c:marker val="1"/>
        <c:smooth val="0"/>
        <c:axId val="354556104"/>
        <c:axId val="354556496"/>
      </c:lineChart>
      <c:catAx>
        <c:axId val="354556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556496"/>
        <c:crosses val="autoZero"/>
        <c:auto val="1"/>
        <c:lblAlgn val="ctr"/>
        <c:lblOffset val="100"/>
        <c:noMultiLvlLbl val="0"/>
      </c:catAx>
      <c:valAx>
        <c:axId val="35455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sz="1000" b="0" i="0" u="none" strike="noStrike" baseline="0">
                    <a:effectLst/>
                  </a:rPr>
                  <a:t>საქართველო: უმუშევრობა-დასაქმების შეფარდება</a:t>
                </a:r>
                <a:r>
                  <a:rPr lang="ka-GE" sz="1000" b="0" i="0" u="none" strike="noStrike" baseline="0"/>
                  <a:t> </a:t>
                </a:r>
                <a:r>
                  <a:rPr lang="de-DE"/>
                  <a:t>(20-24, %)</a:t>
                </a:r>
                <a:endParaRPr lang="de-DE"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556104"/>
        <c:crosses val="autoZero"/>
        <c:crossBetween val="between"/>
      </c:valAx>
      <c:spPr>
        <a:noFill/>
        <a:ln>
          <a:solidFill>
            <a:schemeClr val="tx1"/>
          </a:solidFill>
        </a:ln>
        <a:effectLst/>
      </c:spPr>
    </c:plotArea>
    <c:legend>
      <c:legendPos val="b"/>
      <c:layout>
        <c:manualLayout>
          <c:xMode val="edge"/>
          <c:yMode val="edge"/>
          <c:x val="0.30412489063867015"/>
          <c:y val="0.89409667541557303"/>
          <c:w val="0.69095751149918139"/>
          <c:h val="9.955821893944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67095654709827945"/>
        </c:manualLayout>
      </c:layout>
      <c:barChart>
        <c:barDir val="col"/>
        <c:grouping val="clustered"/>
        <c:varyColors val="0"/>
        <c:ser>
          <c:idx val="0"/>
          <c:order val="0"/>
          <c:tx>
            <c:strRef>
              <c:f>'F3_3 Prop_Unemp_emp'!$A$19</c:f>
              <c:strCache>
                <c:ptCount val="1"/>
                <c:pt idx="0">
                  <c:v>None</c:v>
                </c:pt>
              </c:strCache>
              <c:extLst xmlns:c15="http://schemas.microsoft.com/office/drawing/2012/chart"/>
            </c:strRef>
          </c:tx>
          <c:spPr>
            <a:solidFill>
              <a:schemeClr val="tx1"/>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BD5-489B-9624-677AE91EA937}"/>
                </c:ext>
              </c:extLst>
            </c:dLbl>
            <c:dLbl>
              <c:idx val="1"/>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0-9D71-7B4F-9FB7-AE5F36382CD6}"/>
                </c:ext>
              </c:extLst>
            </c:dLbl>
            <c:dLbl>
              <c:idx val="3"/>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1-9D71-7B4F-9FB7-AE5F36382CD6}"/>
                </c:ext>
              </c:extLst>
            </c:dLbl>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extLst xmlns:c15="http://schemas.microsoft.com/office/drawing/2012/chart"/>
            </c:numRef>
          </c:cat>
          <c:val>
            <c:numRef>
              <c:f>'F3_3 Prop_Unemp_emp'!$B$19:$G$19</c:f>
              <c:numCache>
                <c:formatCode>General</c:formatCode>
                <c:ptCount val="6"/>
                <c:pt idx="0">
                  <c:v>0</c:v>
                </c:pt>
                <c:pt idx="1">
                  <c:v>0.12100647926330567</c:v>
                </c:pt>
                <c:pt idx="2">
                  <c:v>2.8759667968749998</c:v>
                </c:pt>
                <c:pt idx="3">
                  <c:v>0.12951422691345216</c:v>
                </c:pt>
                <c:pt idx="4">
                  <c:v>1.7188044738769532</c:v>
                </c:pt>
                <c:pt idx="5">
                  <c:v>1.0629521942138671</c:v>
                </c:pt>
              </c:numCache>
              <c:extLst xmlns:c15="http://schemas.microsoft.com/office/drawing/2012/chart"/>
            </c:numRef>
          </c:val>
          <c:extLst>
            <c:ext xmlns:c16="http://schemas.microsoft.com/office/drawing/2014/chart" uri="{C3380CC4-5D6E-409C-BE32-E72D297353CC}">
              <c16:uniqueId val="{00000003-FBD5-489B-9624-677AE91EA937}"/>
            </c:ext>
          </c:extLst>
        </c:ser>
        <c:ser>
          <c:idx val="1"/>
          <c:order val="1"/>
          <c:tx>
            <c:strRef>
              <c:f>'F3_3 Prop_Unemp_emp'!$A$20</c:f>
              <c:strCache>
                <c:ptCount val="1"/>
                <c:pt idx="0">
                  <c:v>Low</c:v>
                </c:pt>
              </c:strCache>
            </c:strRef>
          </c:tx>
          <c:spPr>
            <a:solidFill>
              <a:schemeClr val="bg1">
                <a:lumMod val="6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numRef>
          </c:cat>
          <c:val>
            <c:numRef>
              <c:f>'F3_3 Prop_Unemp_emp'!$B$20:$G$20</c:f>
              <c:numCache>
                <c:formatCode>General</c:formatCode>
                <c:ptCount val="6"/>
                <c:pt idx="0">
                  <c:v>0.1298578929901123</c:v>
                </c:pt>
                <c:pt idx="1">
                  <c:v>8.2661190032958978E-2</c:v>
                </c:pt>
                <c:pt idx="2">
                  <c:v>0.17265012741088867</c:v>
                </c:pt>
                <c:pt idx="3">
                  <c:v>0.1930141830444336</c:v>
                </c:pt>
                <c:pt idx="4">
                  <c:v>0.12844033241271974</c:v>
                </c:pt>
                <c:pt idx="5">
                  <c:v>0.39327861785888674</c:v>
                </c:pt>
              </c:numCache>
            </c:numRef>
          </c:val>
          <c:extLst>
            <c:ext xmlns:c16="http://schemas.microsoft.com/office/drawing/2014/chart" uri="{C3380CC4-5D6E-409C-BE32-E72D297353CC}">
              <c16:uniqueId val="{00000004-FBD5-489B-9624-677AE91EA937}"/>
            </c:ext>
          </c:extLst>
        </c:ser>
        <c:ser>
          <c:idx val="2"/>
          <c:order val="2"/>
          <c:tx>
            <c:strRef>
              <c:f>'F3_3 Prop_Unemp_emp'!$A$21</c:f>
              <c:strCache>
                <c:ptCount val="1"/>
                <c:pt idx="0">
                  <c:v>Medium</c:v>
                </c:pt>
              </c:strCache>
            </c:strRef>
          </c:tx>
          <c:spPr>
            <a:pattFill prst="wdUpDiag">
              <a:fgClr>
                <a:schemeClr val="bg1">
                  <a:lumMod val="75000"/>
                </a:schemeClr>
              </a:fgClr>
              <a:bgClr>
                <a:schemeClr val="bg1">
                  <a:lumMod val="95000"/>
                </a:schemeClr>
              </a:bgClr>
            </a:patt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numRef>
          </c:cat>
          <c:val>
            <c:numRef>
              <c:f>'F3_3 Prop_Unemp_emp'!$B$21:$G$21</c:f>
              <c:numCache>
                <c:formatCode>General</c:formatCode>
                <c:ptCount val="6"/>
                <c:pt idx="0">
                  <c:v>0.28830982208251954</c:v>
                </c:pt>
                <c:pt idx="1">
                  <c:v>0.34187068939208987</c:v>
                </c:pt>
                <c:pt idx="2">
                  <c:v>0.34616844177246092</c:v>
                </c:pt>
                <c:pt idx="3">
                  <c:v>0.30472133636474608</c:v>
                </c:pt>
                <c:pt idx="4">
                  <c:v>0.3170545768737793</c:v>
                </c:pt>
                <c:pt idx="5">
                  <c:v>0.27545938491821287</c:v>
                </c:pt>
              </c:numCache>
            </c:numRef>
          </c:val>
          <c:extLst>
            <c:ext xmlns:c16="http://schemas.microsoft.com/office/drawing/2014/chart" uri="{C3380CC4-5D6E-409C-BE32-E72D297353CC}">
              <c16:uniqueId val="{00000005-FBD5-489B-9624-677AE91EA937}"/>
            </c:ext>
          </c:extLst>
        </c:ser>
        <c:ser>
          <c:idx val="3"/>
          <c:order val="3"/>
          <c:tx>
            <c:strRef>
              <c:f>'F3_3 Prop_Unemp_emp'!$A$22</c:f>
              <c:strCache>
                <c:ptCount val="1"/>
                <c:pt idx="0">
                  <c:v>High</c:v>
                </c:pt>
              </c:strCache>
            </c:strRef>
          </c:tx>
          <c:spPr>
            <a:solidFill>
              <a:schemeClr val="bg1">
                <a:lumMod val="9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numRef>
          </c:cat>
          <c:val>
            <c:numRef>
              <c:f>'F3_3 Prop_Unemp_emp'!$B$22:$G$22</c:f>
              <c:numCache>
                <c:formatCode>General</c:formatCode>
                <c:ptCount val="6"/>
                <c:pt idx="0">
                  <c:v>0.41199989318847657</c:v>
                </c:pt>
                <c:pt idx="1">
                  <c:v>0.36539161682128907</c:v>
                </c:pt>
                <c:pt idx="2">
                  <c:v>0.36351066589355469</c:v>
                </c:pt>
                <c:pt idx="3">
                  <c:v>0.31540590286254883</c:v>
                </c:pt>
                <c:pt idx="4">
                  <c:v>0.19761114120483397</c:v>
                </c:pt>
                <c:pt idx="5">
                  <c:v>0.2630305290222168</c:v>
                </c:pt>
              </c:numCache>
            </c:numRef>
          </c:val>
          <c:extLst>
            <c:ext xmlns:c16="http://schemas.microsoft.com/office/drawing/2014/chart" uri="{C3380CC4-5D6E-409C-BE32-E72D297353CC}">
              <c16:uniqueId val="{00000006-FBD5-489B-9624-677AE91EA937}"/>
            </c:ext>
          </c:extLst>
        </c:ser>
        <c:dLbls>
          <c:showLegendKey val="0"/>
          <c:showVal val="0"/>
          <c:showCatName val="0"/>
          <c:showSerName val="0"/>
          <c:showPercent val="0"/>
          <c:showBubbleSize val="0"/>
        </c:dLbls>
        <c:gapWidth val="99"/>
        <c:axId val="354557280"/>
        <c:axId val="355157896"/>
        <c:extLst/>
      </c:barChart>
      <c:lineChart>
        <c:grouping val="standard"/>
        <c:varyColors val="0"/>
        <c:ser>
          <c:idx val="4"/>
          <c:order val="4"/>
          <c:tx>
            <c:strRef>
              <c:f>'F3_3 Prop_Unemp_emp'!$A$23</c:f>
              <c:strCache>
                <c:ptCount val="1"/>
                <c:pt idx="0">
                  <c:v>Average</c:v>
                </c:pt>
              </c:strCache>
            </c:strRef>
          </c:tx>
          <c:spPr>
            <a:ln w="28575" cap="rnd">
              <a:noFill/>
              <a:round/>
            </a:ln>
            <a:effectLst/>
          </c:spPr>
          <c:marker>
            <c:symbol val="circle"/>
            <c:size val="5"/>
            <c:spPr>
              <a:solidFill>
                <a:schemeClr val="tx1"/>
              </a:solidFill>
              <a:ln w="9525">
                <a:noFill/>
              </a:ln>
              <a:effectLst/>
            </c:spPr>
          </c:marker>
          <c:dLbls>
            <c:dLbl>
              <c:idx val="0"/>
              <c:layout>
                <c:manualLayout>
                  <c:x val="-4.346539850835477E-2"/>
                  <c:y val="-0.197595986342415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D5-489B-9624-677AE91EA937}"/>
                </c:ext>
              </c:extLst>
            </c:dLbl>
            <c:dLbl>
              <c:idx val="1"/>
              <c:layout>
                <c:manualLayout>
                  <c:x val="-4.8745926561160099E-2"/>
                  <c:y val="-0.16809746126866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D5-489B-9624-677AE91EA937}"/>
                </c:ext>
              </c:extLst>
            </c:dLbl>
            <c:dLbl>
              <c:idx val="2"/>
              <c:layout>
                <c:manualLayout>
                  <c:x val="-3.5544606429146849E-2"/>
                  <c:y val="-0.1739971662834181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D5-489B-9624-677AE91EA937}"/>
                </c:ext>
              </c:extLst>
            </c:dLbl>
            <c:dLbl>
              <c:idx val="3"/>
              <c:layout>
                <c:manualLayout>
                  <c:x val="-4.346539850835477E-2"/>
                  <c:y val="-0.1857965763129166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D5-489B-9624-677AE91EA937}"/>
                </c:ext>
              </c:extLst>
            </c:dLbl>
            <c:dLbl>
              <c:idx val="4"/>
              <c:layout>
                <c:manualLayout>
                  <c:x val="-2.7623814349939029E-2"/>
                  <c:y val="-0.168097461268668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BD5-489B-9624-677AE91EA937}"/>
                </c:ext>
              </c:extLst>
            </c:dLbl>
            <c:dLbl>
              <c:idx val="5"/>
              <c:layout>
                <c:manualLayout>
                  <c:x val="-3.5544606429146849E-2"/>
                  <c:y val="-0.1798968712981673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BD5-489B-9624-677AE91EA937}"/>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numRef>
          </c:cat>
          <c:val>
            <c:numRef>
              <c:f>'F3_3 Prop_Unemp_emp'!$B$23:$G$23</c:f>
              <c:numCache>
                <c:formatCode>General</c:formatCode>
                <c:ptCount val="6"/>
                <c:pt idx="0">
                  <c:v>0.33251277333343759</c:v>
                </c:pt>
                <c:pt idx="1">
                  <c:v>0.33434260470382782</c:v>
                </c:pt>
                <c:pt idx="2">
                  <c:v>0.34482157755487314</c:v>
                </c:pt>
                <c:pt idx="3">
                  <c:v>0.30277401787286046</c:v>
                </c:pt>
                <c:pt idx="4">
                  <c:v>0.25601357975297939</c:v>
                </c:pt>
                <c:pt idx="5">
                  <c:v>0.27559418758302306</c:v>
                </c:pt>
              </c:numCache>
            </c:numRef>
          </c:val>
          <c:smooth val="0"/>
          <c:extLst>
            <c:ext xmlns:c16="http://schemas.microsoft.com/office/drawing/2014/chart" uri="{C3380CC4-5D6E-409C-BE32-E72D297353CC}">
              <c16:uniqueId val="{0000000D-FBD5-489B-9624-677AE91EA937}"/>
            </c:ext>
          </c:extLst>
        </c:ser>
        <c:dLbls>
          <c:showLegendKey val="0"/>
          <c:showVal val="0"/>
          <c:showCatName val="0"/>
          <c:showSerName val="0"/>
          <c:showPercent val="0"/>
          <c:showBubbleSize val="0"/>
        </c:dLbls>
        <c:marker val="1"/>
        <c:smooth val="0"/>
        <c:axId val="354557280"/>
        <c:axId val="355157896"/>
      </c:lineChart>
      <c:catAx>
        <c:axId val="3545572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157896"/>
        <c:crosses val="autoZero"/>
        <c:auto val="1"/>
        <c:lblAlgn val="ctr"/>
        <c:lblOffset val="100"/>
        <c:noMultiLvlLbl val="0"/>
      </c:catAx>
      <c:valAx>
        <c:axId val="355157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sz="1000" b="0" i="0" u="none" strike="noStrike" baseline="0">
                    <a:effectLst/>
                  </a:rPr>
                  <a:t>საქართველო: უმუშევრობა-დასაქმების შეფარდება</a:t>
                </a:r>
                <a:r>
                  <a:rPr lang="ka-GE" sz="1000" b="0" i="0" u="none" strike="noStrike" baseline="0"/>
                  <a:t> </a:t>
                </a:r>
                <a:r>
                  <a:rPr lang="de-DE"/>
                  <a:t>(25-29, %)</a:t>
                </a:r>
                <a:endParaRPr lang="de-DE"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4557280"/>
        <c:crosses val="autoZero"/>
        <c:crossBetween val="between"/>
      </c:valAx>
      <c:spPr>
        <a:noFill/>
        <a:ln>
          <a:solidFill>
            <a:schemeClr val="tx1"/>
          </a:solidFill>
        </a:ln>
        <a:effectLst/>
      </c:spPr>
    </c:plotArea>
    <c:legend>
      <c:legendPos val="b"/>
      <c:layout>
        <c:manualLayout>
          <c:xMode val="edge"/>
          <c:yMode val="edge"/>
          <c:x val="0.30412489063867015"/>
          <c:y val="0.89409667541557303"/>
          <c:w val="0.69095751149918139"/>
          <c:h val="9.955821893944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67095654709827945"/>
        </c:manualLayout>
      </c:layout>
      <c:barChart>
        <c:barDir val="col"/>
        <c:grouping val="clustered"/>
        <c:varyColors val="0"/>
        <c:ser>
          <c:idx val="0"/>
          <c:order val="0"/>
          <c:tx>
            <c:strRef>
              <c:f>'F3_6 Prop_Unemp_emp'!$A$19</c:f>
              <c:strCache>
                <c:ptCount val="1"/>
                <c:pt idx="0">
                  <c:v>None</c:v>
                </c:pt>
              </c:strCache>
              <c:extLst xmlns:c15="http://schemas.microsoft.com/office/drawing/2012/chart"/>
            </c:strRef>
          </c:tx>
          <c:spPr>
            <a:solidFill>
              <a:schemeClr val="tx1"/>
            </a:solidFill>
            <a:ln>
              <a:solidFill>
                <a:schemeClr val="tx1"/>
              </a:solidFill>
            </a:ln>
            <a:effectLst/>
          </c:spPr>
          <c:invertIfNegative val="0"/>
          <c:dLbls>
            <c:dLbl>
              <c:idx val="0"/>
              <c:layout>
                <c:manualLayout>
                  <c:x val="-2.0785852094726518E-17"/>
                  <c:y val="-9.1160303075323128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D7-48F8-B167-3A8E6E2ACD68}"/>
                </c:ext>
              </c:extLst>
            </c:dLbl>
            <c:dLbl>
              <c:idx val="3"/>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0-98BD-9545-8F46-23C60EFF30CF}"/>
                </c:ext>
              </c:extLst>
            </c:dLbl>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extLst xmlns:c15="http://schemas.microsoft.com/office/drawing/2012/chart"/>
            </c:numRef>
          </c:cat>
          <c:val>
            <c:numRef>
              <c:f>'F3_6 Prop_Unemp_emp'!$B$19:$G$19</c:f>
              <c:numCache>
                <c:formatCode>General</c:formatCode>
                <c:ptCount val="6"/>
                <c:pt idx="0">
                  <c:v>1.3599995374679565E-2</c:v>
                </c:pt>
                <c:pt idx="1">
                  <c:v>3.320204973220825E-2</c:v>
                </c:pt>
                <c:pt idx="2">
                  <c:v>0.16732210159301758</c:v>
                </c:pt>
                <c:pt idx="3">
                  <c:v>7.2564429044723513E-3</c:v>
                </c:pt>
                <c:pt idx="4">
                  <c:v>0.13540282249450683</c:v>
                </c:pt>
                <c:pt idx="5">
                  <c:v>7.6023678779602047E-2</c:v>
                </c:pt>
              </c:numCache>
              <c:extLst xmlns:c15="http://schemas.microsoft.com/office/drawing/2012/chart"/>
            </c:numRef>
          </c:val>
          <c:extLst>
            <c:ext xmlns:c16="http://schemas.microsoft.com/office/drawing/2014/chart" uri="{C3380CC4-5D6E-409C-BE32-E72D297353CC}">
              <c16:uniqueId val="{00000002-94D7-48F8-B167-3A8E6E2ACD68}"/>
            </c:ext>
          </c:extLst>
        </c:ser>
        <c:ser>
          <c:idx val="1"/>
          <c:order val="1"/>
          <c:tx>
            <c:strRef>
              <c:f>'F3_6 Prop_Unemp_emp'!$A$20</c:f>
              <c:strCache>
                <c:ptCount val="1"/>
                <c:pt idx="0">
                  <c:v>Low</c:v>
                </c:pt>
              </c:strCache>
            </c:strRef>
          </c:tx>
          <c:spPr>
            <a:solidFill>
              <a:schemeClr val="bg1">
                <a:lumMod val="6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numRef>
          </c:cat>
          <c:val>
            <c:numRef>
              <c:f>'F3_6 Prop_Unemp_emp'!$B$20:$G$20</c:f>
              <c:numCache>
                <c:formatCode>General</c:formatCode>
                <c:ptCount val="6"/>
                <c:pt idx="0">
                  <c:v>0.15360933303833008</c:v>
                </c:pt>
                <c:pt idx="1">
                  <c:v>0.13540082931518554</c:v>
                </c:pt>
                <c:pt idx="2">
                  <c:v>0.19182357788085938</c:v>
                </c:pt>
                <c:pt idx="3">
                  <c:v>0.14208690643310548</c:v>
                </c:pt>
                <c:pt idx="4">
                  <c:v>0.11590495109558105</c:v>
                </c:pt>
                <c:pt idx="5">
                  <c:v>0.15205920219421387</c:v>
                </c:pt>
              </c:numCache>
            </c:numRef>
          </c:val>
          <c:extLst>
            <c:ext xmlns:c16="http://schemas.microsoft.com/office/drawing/2014/chart" uri="{C3380CC4-5D6E-409C-BE32-E72D297353CC}">
              <c16:uniqueId val="{00000003-94D7-48F8-B167-3A8E6E2ACD68}"/>
            </c:ext>
          </c:extLst>
        </c:ser>
        <c:ser>
          <c:idx val="2"/>
          <c:order val="2"/>
          <c:tx>
            <c:strRef>
              <c:f>'F3_6 Prop_Unemp_emp'!$A$21</c:f>
              <c:strCache>
                <c:ptCount val="1"/>
                <c:pt idx="0">
                  <c:v>Medium</c:v>
                </c:pt>
              </c:strCache>
            </c:strRef>
          </c:tx>
          <c:spPr>
            <a:pattFill prst="wdUpDiag">
              <a:fgClr>
                <a:schemeClr val="bg1">
                  <a:lumMod val="75000"/>
                </a:schemeClr>
              </a:fgClr>
              <a:bgClr>
                <a:schemeClr val="bg1">
                  <a:lumMod val="95000"/>
                </a:schemeClr>
              </a:bgClr>
            </a:patt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numRef>
          </c:cat>
          <c:val>
            <c:numRef>
              <c:f>'F3_6 Prop_Unemp_emp'!$B$21:$G$21</c:f>
              <c:numCache>
                <c:formatCode>General</c:formatCode>
                <c:ptCount val="6"/>
                <c:pt idx="0">
                  <c:v>0.17531631469726563</c:v>
                </c:pt>
                <c:pt idx="1">
                  <c:v>0.18386362075805665</c:v>
                </c:pt>
                <c:pt idx="2">
                  <c:v>0.17083797454833985</c:v>
                </c:pt>
                <c:pt idx="3">
                  <c:v>0.14599937438964844</c:v>
                </c:pt>
                <c:pt idx="4">
                  <c:v>0.14553046226501465</c:v>
                </c:pt>
                <c:pt idx="5">
                  <c:v>0.13917050361633301</c:v>
                </c:pt>
              </c:numCache>
            </c:numRef>
          </c:val>
          <c:extLst>
            <c:ext xmlns:c16="http://schemas.microsoft.com/office/drawing/2014/chart" uri="{C3380CC4-5D6E-409C-BE32-E72D297353CC}">
              <c16:uniqueId val="{00000004-94D7-48F8-B167-3A8E6E2ACD68}"/>
            </c:ext>
          </c:extLst>
        </c:ser>
        <c:ser>
          <c:idx val="3"/>
          <c:order val="3"/>
          <c:tx>
            <c:strRef>
              <c:f>'F3_6 Prop_Unemp_emp'!$A$22</c:f>
              <c:strCache>
                <c:ptCount val="1"/>
                <c:pt idx="0">
                  <c:v>High</c:v>
                </c:pt>
              </c:strCache>
            </c:strRef>
          </c:tx>
          <c:spPr>
            <a:solidFill>
              <a:schemeClr val="bg1">
                <a:lumMod val="9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numRef>
          </c:cat>
          <c:val>
            <c:numRef>
              <c:f>'F3_6 Prop_Unemp_emp'!$B$22:$G$22</c:f>
              <c:numCache>
                <c:formatCode>General</c:formatCode>
                <c:ptCount val="6"/>
                <c:pt idx="0">
                  <c:v>0.27701593399047852</c:v>
                </c:pt>
                <c:pt idx="1">
                  <c:v>0.26250213623046875</c:v>
                </c:pt>
                <c:pt idx="2">
                  <c:v>0.24563982009887694</c:v>
                </c:pt>
                <c:pt idx="3">
                  <c:v>0.20292293548583984</c:v>
                </c:pt>
                <c:pt idx="4">
                  <c:v>0.18150737762451172</c:v>
                </c:pt>
                <c:pt idx="5">
                  <c:v>0.18196578979492187</c:v>
                </c:pt>
              </c:numCache>
            </c:numRef>
          </c:val>
          <c:extLst>
            <c:ext xmlns:c16="http://schemas.microsoft.com/office/drawing/2014/chart" uri="{C3380CC4-5D6E-409C-BE32-E72D297353CC}">
              <c16:uniqueId val="{00000005-94D7-48F8-B167-3A8E6E2ACD68}"/>
            </c:ext>
          </c:extLst>
        </c:ser>
        <c:dLbls>
          <c:showLegendKey val="0"/>
          <c:showVal val="0"/>
          <c:showCatName val="0"/>
          <c:showSerName val="0"/>
          <c:showPercent val="0"/>
          <c:showBubbleSize val="0"/>
        </c:dLbls>
        <c:gapWidth val="99"/>
        <c:axId val="355159072"/>
        <c:axId val="355159464"/>
        <c:extLst/>
      </c:barChart>
      <c:lineChart>
        <c:grouping val="standard"/>
        <c:varyColors val="0"/>
        <c:ser>
          <c:idx val="4"/>
          <c:order val="4"/>
          <c:tx>
            <c:strRef>
              <c:f>'F3_6 Prop_Unemp_emp'!$A$23</c:f>
              <c:strCache>
                <c:ptCount val="1"/>
                <c:pt idx="0">
                  <c:v>Average</c:v>
                </c:pt>
              </c:strCache>
            </c:strRef>
          </c:tx>
          <c:spPr>
            <a:ln w="28575" cap="rnd">
              <a:noFill/>
              <a:round/>
            </a:ln>
            <a:effectLst/>
          </c:spPr>
          <c:marker>
            <c:symbol val="circle"/>
            <c:size val="5"/>
            <c:spPr>
              <a:solidFill>
                <a:schemeClr val="tx1"/>
              </a:solidFill>
              <a:ln w="9525">
                <a:no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numRef>
          </c:cat>
          <c:val>
            <c:numRef>
              <c:f>'F3_6 Prop_Unemp_emp'!$B$23:$G$23</c:f>
              <c:numCache>
                <c:formatCode>General</c:formatCode>
                <c:ptCount val="6"/>
                <c:pt idx="0">
                  <c:v>0.20395930274186289</c:v>
                </c:pt>
                <c:pt idx="1">
                  <c:v>0.20417031608654307</c:v>
                </c:pt>
                <c:pt idx="2">
                  <c:v>0.19559887065961673</c:v>
                </c:pt>
                <c:pt idx="3">
                  <c:v>0.16321273445839762</c:v>
                </c:pt>
                <c:pt idx="4">
                  <c:v>0.15586707869750527</c:v>
                </c:pt>
                <c:pt idx="5">
                  <c:v>0.15404448939290441</c:v>
                </c:pt>
              </c:numCache>
            </c:numRef>
          </c:val>
          <c:smooth val="0"/>
          <c:extLst>
            <c:ext xmlns:c16="http://schemas.microsoft.com/office/drawing/2014/chart" uri="{C3380CC4-5D6E-409C-BE32-E72D297353CC}">
              <c16:uniqueId val="{00000006-94D7-48F8-B167-3A8E6E2ACD68}"/>
            </c:ext>
          </c:extLst>
        </c:ser>
        <c:dLbls>
          <c:showLegendKey val="0"/>
          <c:showVal val="0"/>
          <c:showCatName val="0"/>
          <c:showSerName val="0"/>
          <c:showPercent val="0"/>
          <c:showBubbleSize val="0"/>
        </c:dLbls>
        <c:marker val="1"/>
        <c:smooth val="0"/>
        <c:axId val="355159072"/>
        <c:axId val="355159464"/>
      </c:lineChart>
      <c:catAx>
        <c:axId val="3551590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159464"/>
        <c:crosses val="autoZero"/>
        <c:auto val="1"/>
        <c:lblAlgn val="ctr"/>
        <c:lblOffset val="100"/>
        <c:noMultiLvlLbl val="0"/>
      </c:catAx>
      <c:valAx>
        <c:axId val="355159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sz="1000" b="0" i="0" u="none" strike="noStrike" baseline="0">
                    <a:effectLst/>
                  </a:rPr>
                  <a:t>საქართველო: უმუშევრობა-დასაქმების შეფარდება</a:t>
                </a:r>
                <a:r>
                  <a:rPr lang="ka-GE" sz="1000" b="0" i="0" u="none" strike="noStrike" baseline="0"/>
                  <a:t> </a:t>
                </a:r>
                <a:r>
                  <a:rPr lang="de-DE"/>
                  <a:t>(15-64, %)</a:t>
                </a:r>
                <a:endParaRPr lang="de-DE" baseline="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159072"/>
        <c:crosses val="autoZero"/>
        <c:crossBetween val="between"/>
      </c:valAx>
      <c:spPr>
        <a:noFill/>
        <a:ln>
          <a:solidFill>
            <a:schemeClr val="tx1"/>
          </a:solidFill>
        </a:ln>
        <a:effectLst/>
      </c:spPr>
    </c:plotArea>
    <c:legend>
      <c:legendPos val="b"/>
      <c:layout>
        <c:manualLayout>
          <c:xMode val="edge"/>
          <c:yMode val="edge"/>
          <c:x val="0.30412489063867015"/>
          <c:y val="0.89409667541557303"/>
          <c:w val="0.69095751149918139"/>
          <c:h val="9.955821893944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'F10 Rates_age'!$J$34</c:f>
              <c:strCache>
                <c:ptCount val="1"/>
                <c:pt idx="0">
                  <c:v>15-19</c:v>
                </c:pt>
              </c:strCache>
            </c:strRef>
          </c:tx>
          <c:spPr>
            <a:ln w="28575" cap="rnd">
              <a:solidFill>
                <a:schemeClr val="tx1"/>
              </a:solidFill>
              <a:round/>
            </a:ln>
            <a:effectLst/>
          </c:spPr>
          <c:marker>
            <c:symbol val="none"/>
          </c:marker>
          <c:dLbls>
            <c:dLbl>
              <c:idx val="0"/>
              <c:layout>
                <c:manualLayout>
                  <c:x val="-4.081185462404379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C4-4BB5-8FF9-C76E7C2DBF0C}"/>
                </c:ext>
              </c:extLst>
            </c:dLbl>
            <c:dLbl>
              <c:idx val="3"/>
              <c:layout>
                <c:manualLayout>
                  <c:x val="-4.3791370103213233E-2"/>
                  <c:y val="-5.27009222661396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C4-4BB5-8FF9-C76E7C2DBF0C}"/>
                </c:ext>
              </c:extLst>
            </c:dLbl>
            <c:dLbl>
              <c:idx val="5"/>
              <c:layout>
                <c:manualLayout>
                  <c:x val="-4.6770885582382668E-2"/>
                  <c:y val="-1.0540184453227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C4-4BB5-8FF9-C76E7C2DBF0C}"/>
                </c:ext>
              </c:extLst>
            </c:dLbl>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Rates_age'!$K$34:$P$34</c:f>
              <c:numCache>
                <c:formatCode>General</c:formatCode>
                <c:ptCount val="6"/>
                <c:pt idx="0">
                  <c:v>12.554638862609863</c:v>
                </c:pt>
                <c:pt idx="1">
                  <c:v>12.238363265991211</c:v>
                </c:pt>
                <c:pt idx="2">
                  <c:v>9.7488269805908203</c:v>
                </c:pt>
                <c:pt idx="3">
                  <c:v>12.139265060424805</c:v>
                </c:pt>
                <c:pt idx="4">
                  <c:v>13.085497856140137</c:v>
                </c:pt>
                <c:pt idx="5">
                  <c:v>12.602038383483887</c:v>
                </c:pt>
              </c:numCache>
            </c:numRef>
          </c:val>
          <c:smooth val="0"/>
          <c:extLst>
            <c:ext xmlns:c16="http://schemas.microsoft.com/office/drawing/2014/chart" uri="{C3380CC4-5D6E-409C-BE32-E72D297353CC}">
              <c16:uniqueId val="{00000003-5AC4-4BB5-8FF9-C76E7C2DBF0C}"/>
            </c:ext>
          </c:extLst>
        </c:ser>
        <c:ser>
          <c:idx val="1"/>
          <c:order val="1"/>
          <c:tx>
            <c:strRef>
              <c:f>'F10 Rates_age'!$J$35</c:f>
              <c:strCache>
                <c:ptCount val="1"/>
                <c:pt idx="0">
                  <c:v>20-24</c:v>
                </c:pt>
              </c:strCache>
            </c:strRef>
          </c:tx>
          <c:spPr>
            <a:ln w="28575" cap="rnd">
              <a:solidFill>
                <a:schemeClr val="accent2"/>
              </a:solidFill>
              <a:round/>
            </a:ln>
            <a:effectLst/>
          </c:spPr>
          <c:marker>
            <c:symbol val="none"/>
          </c:marker>
          <c:dLbls>
            <c:numFmt formatCode="#,##0.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Rates_age'!$K$35:$P$35</c:f>
              <c:numCache>
                <c:formatCode>General</c:formatCode>
                <c:ptCount val="6"/>
                <c:pt idx="0">
                  <c:v>39.432704925537109</c:v>
                </c:pt>
                <c:pt idx="1">
                  <c:v>41.024795532226562</c:v>
                </c:pt>
                <c:pt idx="2">
                  <c:v>38.677974700927734</c:v>
                </c:pt>
                <c:pt idx="3">
                  <c:v>40.886817932128906</c:v>
                </c:pt>
                <c:pt idx="4">
                  <c:v>41.665218353271484</c:v>
                </c:pt>
                <c:pt idx="5">
                  <c:v>40.285804748535156</c:v>
                </c:pt>
              </c:numCache>
            </c:numRef>
          </c:val>
          <c:smooth val="0"/>
          <c:extLst>
            <c:ext xmlns:c16="http://schemas.microsoft.com/office/drawing/2014/chart" uri="{C3380CC4-5D6E-409C-BE32-E72D297353CC}">
              <c16:uniqueId val="{00000004-5AC4-4BB5-8FF9-C76E7C2DBF0C}"/>
            </c:ext>
          </c:extLst>
        </c:ser>
        <c:ser>
          <c:idx val="2"/>
          <c:order val="2"/>
          <c:tx>
            <c:strRef>
              <c:f>'F10 Rates_age'!$J$36</c:f>
              <c:strCache>
                <c:ptCount val="1"/>
                <c:pt idx="0">
                  <c:v>25-29</c:v>
                </c:pt>
              </c:strCache>
            </c:strRef>
          </c:tx>
          <c:spPr>
            <a:ln w="28575" cap="rnd">
              <a:solidFill>
                <a:schemeClr val="accent3"/>
              </a:solidFill>
              <a:round/>
            </a:ln>
            <a:effectLst/>
          </c:spPr>
          <c:marker>
            <c:symbol val="none"/>
          </c:marker>
          <c:dLbls>
            <c:dLbl>
              <c:idx val="0"/>
              <c:layout>
                <c:manualLayout>
                  <c:x val="-3.0812012855608209E-2"/>
                  <c:y val="-3.9603960396039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C4-4BB5-8FF9-C76E7C2DBF0C}"/>
                </c:ext>
              </c:extLst>
            </c:dLbl>
            <c:dLbl>
              <c:idx val="1"/>
              <c:layout>
                <c:manualLayout>
                  <c:x val="-3.3061478607492138E-2"/>
                  <c:y val="3.9603960396039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C4-4BB5-8FF9-C76E7C2DBF0C}"/>
                </c:ext>
              </c:extLst>
            </c:dLbl>
            <c:dLbl>
              <c:idx val="2"/>
              <c:layout>
                <c:manualLayout>
                  <c:x val="-3.9809875863143919E-2"/>
                  <c:y val="2.9702970297029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C4-4BB5-8FF9-C76E7C2DBF0C}"/>
                </c:ext>
              </c:extLst>
            </c:dLbl>
            <c:dLbl>
              <c:idx val="3"/>
              <c:layout>
                <c:manualLayout>
                  <c:x val="-3.9809875863144002E-2"/>
                  <c:y val="2.9702970297029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C4-4BB5-8FF9-C76E7C2DBF0C}"/>
                </c:ext>
              </c:extLst>
            </c:dLbl>
            <c:dLbl>
              <c:idx val="4"/>
              <c:layout>
                <c:manualLayout>
                  <c:x val="-3.756041011125999E-2"/>
                  <c:y val="4.950495049504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C4-4BB5-8FF9-C76E7C2DBF0C}"/>
                </c:ext>
              </c:extLst>
            </c:dLbl>
            <c:numFmt formatCode="#,##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Rates_age'!$K$36:$P$36</c:f>
              <c:numCache>
                <c:formatCode>General</c:formatCode>
                <c:ptCount val="6"/>
                <c:pt idx="0">
                  <c:v>56.602016448974609</c:v>
                </c:pt>
                <c:pt idx="1">
                  <c:v>56.183219909667969</c:v>
                </c:pt>
                <c:pt idx="2">
                  <c:v>55.746322631835938</c:v>
                </c:pt>
                <c:pt idx="3">
                  <c:v>57.337551116943359</c:v>
                </c:pt>
                <c:pt idx="4">
                  <c:v>59.505775451660156</c:v>
                </c:pt>
                <c:pt idx="5">
                  <c:v>56.8443603515625</c:v>
                </c:pt>
              </c:numCache>
            </c:numRef>
          </c:val>
          <c:smooth val="0"/>
          <c:extLst>
            <c:ext xmlns:c16="http://schemas.microsoft.com/office/drawing/2014/chart" uri="{C3380CC4-5D6E-409C-BE32-E72D297353CC}">
              <c16:uniqueId val="{0000000A-5AC4-4BB5-8FF9-C76E7C2DBF0C}"/>
            </c:ext>
          </c:extLst>
        </c:ser>
        <c:ser>
          <c:idx val="3"/>
          <c:order val="3"/>
          <c:tx>
            <c:strRef>
              <c:f>'F10 Rates_age'!$J$37</c:f>
              <c:strCache>
                <c:ptCount val="1"/>
                <c:pt idx="0">
                  <c:v>30-49</c:v>
                </c:pt>
              </c:strCache>
            </c:strRef>
          </c:tx>
          <c:spPr>
            <a:ln w="28575" cap="rnd">
              <a:solidFill>
                <a:schemeClr val="accent4"/>
              </a:solidFill>
              <a:round/>
            </a:ln>
            <a:effectLst/>
          </c:spPr>
          <c:marker>
            <c:symbol val="none"/>
          </c:marker>
          <c:dLbls>
            <c:dLbl>
              <c:idx val="0"/>
              <c:layout>
                <c:manualLayout>
                  <c:x val="5.1794391745346308E-3"/>
                  <c:y val="3.2103895428912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C4-4BB5-8FF9-C76E7C2DBF0C}"/>
                </c:ext>
              </c:extLst>
            </c:dLbl>
            <c:dLbl>
              <c:idx val="1"/>
              <c:layout>
                <c:manualLayout>
                  <c:x val="-2.6313081351840396E-2"/>
                  <c:y val="3.5404225461916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C4-4BB5-8FF9-C76E7C2DBF0C}"/>
                </c:ext>
              </c:extLst>
            </c:dLbl>
            <c:dLbl>
              <c:idx val="2"/>
              <c:layout>
                <c:manualLayout>
                  <c:x val="-3.3061478607492138E-2"/>
                  <c:y val="3.210389542891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AC4-4BB5-8FF9-C76E7C2DBF0C}"/>
                </c:ext>
              </c:extLst>
            </c:dLbl>
            <c:dLbl>
              <c:idx val="3"/>
              <c:layout>
                <c:manualLayout>
                  <c:x val="-3.5310944359376067E-2"/>
                  <c:y val="3.540422546191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C4-4BB5-8FF9-C76E7C2DBF0C}"/>
                </c:ext>
              </c:extLst>
            </c:dLbl>
            <c:dLbl>
              <c:idx val="4"/>
              <c:layout>
                <c:manualLayout>
                  <c:x val="-3.9809875863144002E-2"/>
                  <c:y val="3.2103895428912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AC4-4BB5-8FF9-C76E7C2DBF0C}"/>
                </c:ext>
              </c:extLst>
            </c:dLbl>
            <c:dLbl>
              <c:idx val="5"/>
              <c:layout>
                <c:manualLayout>
                  <c:x val="-4.6558273118795707E-2"/>
                  <c:y val="1.5602245263896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AC4-4BB5-8FF9-C76E7C2DBF0C}"/>
                </c:ext>
              </c:extLst>
            </c:dLbl>
            <c:numFmt formatCode="#,##0.0" sourceLinked="0"/>
            <c:spPr>
              <a:solidFill>
                <a:schemeClr val="accent4"/>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Rates_age'!$K$37:$P$37</c:f>
              <c:numCache>
                <c:formatCode>General</c:formatCode>
                <c:ptCount val="6"/>
                <c:pt idx="0">
                  <c:v>70.528244018554688</c:v>
                </c:pt>
                <c:pt idx="1">
                  <c:v>70.805999755859375</c:v>
                </c:pt>
                <c:pt idx="2">
                  <c:v>70.663764953613281</c:v>
                </c:pt>
                <c:pt idx="3">
                  <c:v>72.046661376953125</c:v>
                </c:pt>
                <c:pt idx="4">
                  <c:v>72.894401550292969</c:v>
                </c:pt>
                <c:pt idx="5">
                  <c:v>72.312850952148438</c:v>
                </c:pt>
              </c:numCache>
            </c:numRef>
          </c:val>
          <c:smooth val="0"/>
          <c:extLst>
            <c:ext xmlns:c16="http://schemas.microsoft.com/office/drawing/2014/chart" uri="{C3380CC4-5D6E-409C-BE32-E72D297353CC}">
              <c16:uniqueId val="{00000011-5AC4-4BB5-8FF9-C76E7C2DBF0C}"/>
            </c:ext>
          </c:extLst>
        </c:ser>
        <c:ser>
          <c:idx val="4"/>
          <c:order val="4"/>
          <c:tx>
            <c:strRef>
              <c:f>'F10 Rates_age'!$J$38</c:f>
              <c:strCache>
                <c:ptCount val="1"/>
                <c:pt idx="0">
                  <c:v>50-59</c:v>
                </c:pt>
              </c:strCache>
            </c:strRef>
          </c:tx>
          <c:spPr>
            <a:ln w="28575" cap="rnd">
              <a:solidFill>
                <a:schemeClr val="accent5"/>
              </a:solidFill>
              <a:round/>
            </a:ln>
            <a:effectLst/>
          </c:spPr>
          <c:marker>
            <c:symbol val="none"/>
          </c:marker>
          <c:dLbls>
            <c:dLbl>
              <c:idx val="4"/>
              <c:layout>
                <c:manualLayout>
                  <c:x val="-3.3061478607492138E-2"/>
                  <c:y val="-3.300330033003315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AC4-4BB5-8FF9-C76E7C2DBF0C}"/>
                </c:ext>
              </c:extLst>
            </c:dLbl>
            <c:dLbl>
              <c:idx val="5"/>
              <c:layout>
                <c:manualLayout>
                  <c:x val="-3.3061478607492305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AC4-4BB5-8FF9-C76E7C2DBF0C}"/>
                </c:ext>
              </c:extLst>
            </c:dLbl>
            <c:numFmt formatCode="#,##0.0" sourceLinked="0"/>
            <c:spPr>
              <a:solidFill>
                <a:schemeClr val="accent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Rates_age'!$K$38:$P$38</c:f>
              <c:numCache>
                <c:formatCode>General</c:formatCode>
                <c:ptCount val="6"/>
                <c:pt idx="0">
                  <c:v>72.874435424804688</c:v>
                </c:pt>
                <c:pt idx="1">
                  <c:v>74.077041625976562</c:v>
                </c:pt>
                <c:pt idx="2">
                  <c:v>74.0753173828125</c:v>
                </c:pt>
                <c:pt idx="3">
                  <c:v>75.189247131347656</c:v>
                </c:pt>
                <c:pt idx="4">
                  <c:v>77.221359252929688</c:v>
                </c:pt>
                <c:pt idx="5">
                  <c:v>75.602432250976562</c:v>
                </c:pt>
              </c:numCache>
            </c:numRef>
          </c:val>
          <c:smooth val="0"/>
          <c:extLst>
            <c:ext xmlns:c16="http://schemas.microsoft.com/office/drawing/2014/chart" uri="{C3380CC4-5D6E-409C-BE32-E72D297353CC}">
              <c16:uniqueId val="{00000014-5AC4-4BB5-8FF9-C76E7C2DBF0C}"/>
            </c:ext>
          </c:extLst>
        </c:ser>
        <c:ser>
          <c:idx val="5"/>
          <c:order val="5"/>
          <c:tx>
            <c:strRef>
              <c:f>'F10 Rates_age'!$J$39</c:f>
              <c:strCache>
                <c:ptCount val="1"/>
                <c:pt idx="0">
                  <c:v>60-74</c:v>
                </c:pt>
              </c:strCache>
            </c:strRef>
          </c:tx>
          <c:spPr>
            <a:ln w="28575" cap="rnd">
              <a:solidFill>
                <a:schemeClr val="accent6"/>
              </a:solidFill>
              <a:round/>
            </a:ln>
            <a:effectLst/>
          </c:spPr>
          <c:marker>
            <c:symbol val="none"/>
          </c:marker>
          <c:dLbls>
            <c:numFmt formatCode="#,##0.0" sourceLinked="0"/>
            <c:spPr>
              <a:solidFill>
                <a:schemeClr val="accent6"/>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Rates_age'!$K$39:$P$39</c:f>
              <c:numCache>
                <c:formatCode>General</c:formatCode>
                <c:ptCount val="6"/>
                <c:pt idx="0">
                  <c:v>54.999309539794922</c:v>
                </c:pt>
                <c:pt idx="1">
                  <c:v>58.055580139160156</c:v>
                </c:pt>
                <c:pt idx="2">
                  <c:v>58.796642303466797</c:v>
                </c:pt>
                <c:pt idx="3">
                  <c:v>60.253101348876953</c:v>
                </c:pt>
                <c:pt idx="4">
                  <c:v>61.536380767822266</c:v>
                </c:pt>
                <c:pt idx="5">
                  <c:v>62.403713226318359</c:v>
                </c:pt>
              </c:numCache>
            </c:numRef>
          </c:val>
          <c:smooth val="0"/>
          <c:extLst>
            <c:ext xmlns:c16="http://schemas.microsoft.com/office/drawing/2014/chart" uri="{C3380CC4-5D6E-409C-BE32-E72D297353CC}">
              <c16:uniqueId val="{00000015-5AC4-4BB5-8FF9-C76E7C2DBF0C}"/>
            </c:ext>
          </c:extLst>
        </c:ser>
        <c:dLbls>
          <c:showLegendKey val="0"/>
          <c:showVal val="0"/>
          <c:showCatName val="0"/>
          <c:showSerName val="0"/>
          <c:showPercent val="0"/>
          <c:showBubbleSize val="0"/>
        </c:dLbls>
        <c:smooth val="0"/>
        <c:axId val="355160248"/>
        <c:axId val="355160640"/>
      </c:lineChart>
      <c:catAx>
        <c:axId val="3551602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160640"/>
        <c:crosses val="autoZero"/>
        <c:auto val="1"/>
        <c:lblAlgn val="ctr"/>
        <c:lblOffset val="100"/>
        <c:noMultiLvlLbl val="0"/>
      </c:catAx>
      <c:valAx>
        <c:axId val="35516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a:t>საქართველო</a:t>
                </a:r>
                <a:r>
                  <a:rPr lang="de-DE"/>
                  <a:t>: % </a:t>
                </a:r>
                <a:r>
                  <a:rPr lang="ka-GE"/>
                  <a:t>დასაქმებულთა წილი მოსახლეობაზე ასაკობრივი კატეგორიის მიხედვით</a:t>
                </a:r>
                <a:endParaRPr lang="de-DE"/>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160248"/>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F15_VET!$B$18</c:f>
              <c:strCache>
                <c:ptCount val="1"/>
                <c:pt idx="0">
                  <c:v>VET</c:v>
                </c:pt>
              </c:strCache>
            </c:strRef>
          </c:tx>
          <c:spPr>
            <a:ln w="28575" cap="rnd">
              <a:solidFill>
                <a:schemeClr val="tx1"/>
              </a:solidFill>
              <a:round/>
            </a:ln>
            <a:effectLst/>
          </c:spPr>
          <c:marker>
            <c:symbol val="none"/>
          </c:marker>
          <c:dLbls>
            <c:dLbl>
              <c:idx val="0"/>
              <c:layout>
                <c:manualLayout>
                  <c:x val="-4.0811854624043797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3B-49A6-9EE9-D8E9D109B65B}"/>
                </c:ext>
              </c:extLst>
            </c:dLbl>
            <c:dLbl>
              <c:idx val="3"/>
              <c:layout>
                <c:manualLayout>
                  <c:x val="-4.3791370103213233E-2"/>
                  <c:y val="-5.27009222661396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3B-49A6-9EE9-D8E9D109B65B}"/>
                </c:ext>
              </c:extLst>
            </c:dLbl>
            <c:dLbl>
              <c:idx val="5"/>
              <c:layout>
                <c:manualLayout>
                  <c:x val="-4.6770885582382668E-2"/>
                  <c:y val="-1.0540184453227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3B-49A6-9EE9-D8E9D109B65B}"/>
                </c:ext>
              </c:extLst>
            </c:dLbl>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F15_VET!$A$19:$A$24</c:f>
              <c:numCache>
                <c:formatCode>General</c:formatCode>
                <c:ptCount val="6"/>
                <c:pt idx="0">
                  <c:v>2011</c:v>
                </c:pt>
                <c:pt idx="1">
                  <c:v>2012</c:v>
                </c:pt>
                <c:pt idx="2">
                  <c:v>2013</c:v>
                </c:pt>
                <c:pt idx="3">
                  <c:v>2014</c:v>
                </c:pt>
                <c:pt idx="4">
                  <c:v>2015</c:v>
                </c:pt>
                <c:pt idx="5">
                  <c:v>2016</c:v>
                </c:pt>
              </c:numCache>
            </c:numRef>
          </c:cat>
          <c:val>
            <c:numRef>
              <c:f>F15_VET!$B$19:$B$24</c:f>
              <c:numCache>
                <c:formatCode>General</c:formatCode>
                <c:ptCount val="6"/>
                <c:pt idx="0">
                  <c:v>63.077320098876953</c:v>
                </c:pt>
                <c:pt idx="1">
                  <c:v>63.742183685302734</c:v>
                </c:pt>
                <c:pt idx="2">
                  <c:v>63.452655792236328</c:v>
                </c:pt>
                <c:pt idx="3">
                  <c:v>65.270767211914062</c:v>
                </c:pt>
                <c:pt idx="4">
                  <c:v>67.341064453125</c:v>
                </c:pt>
                <c:pt idx="5">
                  <c:v>65.791366577148438</c:v>
                </c:pt>
              </c:numCache>
            </c:numRef>
          </c:val>
          <c:smooth val="0"/>
          <c:extLst>
            <c:ext xmlns:c16="http://schemas.microsoft.com/office/drawing/2014/chart" uri="{C3380CC4-5D6E-409C-BE32-E72D297353CC}">
              <c16:uniqueId val="{00000003-F43B-49A6-9EE9-D8E9D109B65B}"/>
            </c:ext>
          </c:extLst>
        </c:ser>
        <c:ser>
          <c:idx val="1"/>
          <c:order val="1"/>
          <c:tx>
            <c:strRef>
              <c:f>F15_VET!$C$18</c:f>
              <c:strCache>
                <c:ptCount val="1"/>
                <c:pt idx="0">
                  <c:v>non-VET</c:v>
                </c:pt>
              </c:strCache>
            </c:strRef>
          </c:tx>
          <c:spPr>
            <a:ln w="28575" cap="rnd">
              <a:solidFill>
                <a:schemeClr val="accent2"/>
              </a:solidFill>
              <a:round/>
            </a:ln>
            <a:effectLst/>
          </c:spPr>
          <c:marker>
            <c:symbol val="none"/>
          </c:marker>
          <c:dLbls>
            <c:numFmt formatCode="#,##0.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F15_VET!$A$19:$A$24</c:f>
              <c:numCache>
                <c:formatCode>General</c:formatCode>
                <c:ptCount val="6"/>
                <c:pt idx="0">
                  <c:v>2011</c:v>
                </c:pt>
                <c:pt idx="1">
                  <c:v>2012</c:v>
                </c:pt>
                <c:pt idx="2">
                  <c:v>2013</c:v>
                </c:pt>
                <c:pt idx="3">
                  <c:v>2014</c:v>
                </c:pt>
                <c:pt idx="4">
                  <c:v>2015</c:v>
                </c:pt>
                <c:pt idx="5">
                  <c:v>2016</c:v>
                </c:pt>
              </c:numCache>
            </c:numRef>
          </c:cat>
          <c:val>
            <c:numRef>
              <c:f>F15_VET!$C$19:$C$24</c:f>
              <c:numCache>
                <c:formatCode>General</c:formatCode>
                <c:ptCount val="6"/>
                <c:pt idx="0">
                  <c:v>53.921035766601562</c:v>
                </c:pt>
                <c:pt idx="1">
                  <c:v>55.400783538818359</c:v>
                </c:pt>
                <c:pt idx="2">
                  <c:v>55.190841674804688</c:v>
                </c:pt>
                <c:pt idx="3">
                  <c:v>57.528404235839844</c:v>
                </c:pt>
                <c:pt idx="4">
                  <c:v>58.909893035888672</c:v>
                </c:pt>
                <c:pt idx="5">
                  <c:v>59.808670043945312</c:v>
                </c:pt>
              </c:numCache>
            </c:numRef>
          </c:val>
          <c:smooth val="0"/>
          <c:extLst>
            <c:ext xmlns:c16="http://schemas.microsoft.com/office/drawing/2014/chart" uri="{C3380CC4-5D6E-409C-BE32-E72D297353CC}">
              <c16:uniqueId val="{00000004-F43B-49A6-9EE9-D8E9D109B65B}"/>
            </c:ext>
          </c:extLst>
        </c:ser>
        <c:dLbls>
          <c:showLegendKey val="0"/>
          <c:showVal val="0"/>
          <c:showCatName val="0"/>
          <c:showSerName val="0"/>
          <c:showPercent val="0"/>
          <c:showBubbleSize val="0"/>
        </c:dLbls>
        <c:smooth val="0"/>
        <c:axId val="355161424"/>
        <c:axId val="353134840"/>
      </c:lineChart>
      <c:catAx>
        <c:axId val="3551614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3134840"/>
        <c:crosses val="autoZero"/>
        <c:auto val="1"/>
        <c:lblAlgn val="ctr"/>
        <c:lblOffset val="100"/>
        <c:noMultiLvlLbl val="0"/>
      </c:catAx>
      <c:valAx>
        <c:axId val="353134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a:t>საქართველო</a:t>
                </a:r>
                <a:r>
                  <a:rPr lang="de-DE"/>
                  <a:t>: %</a:t>
                </a:r>
                <a:r>
                  <a:rPr lang="ka-GE" baseline="0"/>
                  <a:t> დასაქმების მაჩვენებელი განთლების ყველა სფეროს ფონზე</a:t>
                </a:r>
                <a:endParaRPr lang="de-DE"/>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161424"/>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1311001379067"/>
          <c:y val="5.0925925925925923E-2"/>
          <c:w val="0.85352284354286223"/>
          <c:h val="0.73519320501603957"/>
        </c:manualLayout>
      </c:layout>
      <c:lineChart>
        <c:grouping val="standard"/>
        <c:varyColors val="0"/>
        <c:ser>
          <c:idx val="0"/>
          <c:order val="0"/>
          <c:tx>
            <c:strRef>
              <c:f>'F10 Rates_age'!$J$100</c:f>
              <c:strCache>
                <c:ptCount val="1"/>
                <c:pt idx="0">
                  <c:v>15-19</c:v>
                </c:pt>
              </c:strCache>
            </c:strRef>
          </c:tx>
          <c:spPr>
            <a:ln w="28575" cap="rnd">
              <a:solidFill>
                <a:schemeClr val="accent1"/>
              </a:solidFill>
              <a:round/>
            </a:ln>
            <a:effectLst/>
          </c:spPr>
          <c:marker>
            <c:symbol val="none"/>
          </c:marker>
          <c:dLbls>
            <c:numFmt formatCode="#,##0.0" sourceLinked="0"/>
            <c:spPr>
              <a:solidFill>
                <a:schemeClr val="accent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Rates_age'!$K$99:$P$99</c:f>
              <c:numCache>
                <c:formatCode>General</c:formatCode>
                <c:ptCount val="5"/>
                <c:pt idx="0">
                  <c:v>2012</c:v>
                </c:pt>
                <c:pt idx="1">
                  <c:v>2013</c:v>
                </c:pt>
                <c:pt idx="2">
                  <c:v>2014</c:v>
                </c:pt>
                <c:pt idx="3">
                  <c:v>2015</c:v>
                </c:pt>
                <c:pt idx="4">
                  <c:v>2016</c:v>
                </c:pt>
              </c:numCache>
              <c:extLst/>
            </c:numRef>
          </c:cat>
          <c:val>
            <c:numRef>
              <c:f>'F10 Rates_age'!$K$100:$P$100</c:f>
              <c:numCache>
                <c:formatCode>General</c:formatCode>
                <c:ptCount val="5"/>
                <c:pt idx="0">
                  <c:v>19.682136535644531</c:v>
                </c:pt>
                <c:pt idx="1">
                  <c:v>19.052740097045898</c:v>
                </c:pt>
                <c:pt idx="2">
                  <c:v>16.247529983520508</c:v>
                </c:pt>
                <c:pt idx="3">
                  <c:v>15.804030418395996</c:v>
                </c:pt>
                <c:pt idx="4">
                  <c:v>16.43988037109375</c:v>
                </c:pt>
              </c:numCache>
              <c:extLst/>
            </c:numRef>
          </c:val>
          <c:smooth val="0"/>
          <c:extLst>
            <c:ext xmlns:c16="http://schemas.microsoft.com/office/drawing/2014/chart" uri="{C3380CC4-5D6E-409C-BE32-E72D297353CC}">
              <c16:uniqueId val="{00000000-A543-4BB7-B3BE-BB27EB2185A4}"/>
            </c:ext>
          </c:extLst>
        </c:ser>
        <c:ser>
          <c:idx val="1"/>
          <c:order val="1"/>
          <c:tx>
            <c:strRef>
              <c:f>'F10 Rates_age'!$J$101</c:f>
              <c:strCache>
                <c:ptCount val="1"/>
                <c:pt idx="0">
                  <c:v>20-24</c:v>
                </c:pt>
              </c:strCache>
            </c:strRef>
          </c:tx>
          <c:spPr>
            <a:ln w="28575" cap="rnd">
              <a:solidFill>
                <a:schemeClr val="accent2"/>
              </a:solidFill>
              <a:round/>
            </a:ln>
            <a:effectLst/>
          </c:spPr>
          <c:marker>
            <c:symbol val="none"/>
          </c:marker>
          <c:dLbls>
            <c:dLbl>
              <c:idx val="1"/>
              <c:layout>
                <c:manualLayout>
                  <c:x val="-4.082655293088369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43-4BB7-B3BE-BB27EB2185A4}"/>
                </c:ext>
              </c:extLst>
            </c:dLbl>
            <c:dLbl>
              <c:idx val="2"/>
              <c:layout>
                <c:manualLayout>
                  <c:x val="-4.9159886264216975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43-4BB7-B3BE-BB27EB2185A4}"/>
                </c:ext>
              </c:extLst>
            </c:dLbl>
            <c:numFmt formatCode="#,##0.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Rates_age'!$K$99:$P$99</c:f>
              <c:numCache>
                <c:formatCode>General</c:formatCode>
                <c:ptCount val="5"/>
                <c:pt idx="0">
                  <c:v>2012</c:v>
                </c:pt>
                <c:pt idx="1">
                  <c:v>2013</c:v>
                </c:pt>
                <c:pt idx="2">
                  <c:v>2014</c:v>
                </c:pt>
                <c:pt idx="3">
                  <c:v>2015</c:v>
                </c:pt>
                <c:pt idx="4">
                  <c:v>2016</c:v>
                </c:pt>
              </c:numCache>
              <c:extLst/>
            </c:numRef>
          </c:cat>
          <c:val>
            <c:numRef>
              <c:f>'F10 Rates_age'!$K$101:$P$101</c:f>
              <c:numCache>
                <c:formatCode>General</c:formatCode>
                <c:ptCount val="5"/>
                <c:pt idx="0">
                  <c:v>43.907077789306641</c:v>
                </c:pt>
                <c:pt idx="1">
                  <c:v>40.140697479248047</c:v>
                </c:pt>
                <c:pt idx="2">
                  <c:v>38.380485534667969</c:v>
                </c:pt>
                <c:pt idx="3">
                  <c:v>38.229640960693359</c:v>
                </c:pt>
                <c:pt idx="4">
                  <c:v>37.059391021728516</c:v>
                </c:pt>
              </c:numCache>
              <c:extLst/>
            </c:numRef>
          </c:val>
          <c:smooth val="0"/>
          <c:extLst>
            <c:ext xmlns:c16="http://schemas.microsoft.com/office/drawing/2014/chart" uri="{C3380CC4-5D6E-409C-BE32-E72D297353CC}">
              <c16:uniqueId val="{00000003-A543-4BB7-B3BE-BB27EB2185A4}"/>
            </c:ext>
          </c:extLst>
        </c:ser>
        <c:ser>
          <c:idx val="2"/>
          <c:order val="2"/>
          <c:tx>
            <c:strRef>
              <c:f>'F10 Rates_age'!$J$102</c:f>
              <c:strCache>
                <c:ptCount val="1"/>
                <c:pt idx="0">
                  <c:v>25-29</c:v>
                </c:pt>
              </c:strCache>
            </c:strRef>
          </c:tx>
          <c:spPr>
            <a:ln w="28575" cap="rnd">
              <a:solidFill>
                <a:schemeClr val="accent3"/>
              </a:solidFill>
              <a:round/>
            </a:ln>
            <a:effectLst/>
          </c:spPr>
          <c:marker>
            <c:symbol val="none"/>
          </c:marker>
          <c:dLbls>
            <c:dLbl>
              <c:idx val="0"/>
              <c:layout>
                <c:manualLayout>
                  <c:x val="-4.0826552930883636E-2"/>
                  <c:y val="6.4814814814814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43-4BB7-B3BE-BB27EB2185A4}"/>
                </c:ext>
              </c:extLst>
            </c:dLbl>
            <c:dLbl>
              <c:idx val="3"/>
              <c:layout>
                <c:manualLayout>
                  <c:x val="-4.6382108486439193E-2"/>
                  <c:y val="-5.0925925925925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43-4BB7-B3BE-BB27EB2185A4}"/>
                </c:ext>
              </c:extLst>
            </c:dLbl>
            <c:numFmt formatCode="#,##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Rates_age'!$K$99:$P$99</c:f>
              <c:numCache>
                <c:formatCode>General</c:formatCode>
                <c:ptCount val="5"/>
                <c:pt idx="0">
                  <c:v>2012</c:v>
                </c:pt>
                <c:pt idx="1">
                  <c:v>2013</c:v>
                </c:pt>
                <c:pt idx="2">
                  <c:v>2014</c:v>
                </c:pt>
                <c:pt idx="3">
                  <c:v>2015</c:v>
                </c:pt>
                <c:pt idx="4">
                  <c:v>2016</c:v>
                </c:pt>
              </c:numCache>
              <c:extLst/>
            </c:numRef>
          </c:cat>
          <c:val>
            <c:numRef>
              <c:f>'F10 Rates_age'!$K$102:$P$102</c:f>
              <c:numCache>
                <c:formatCode>General</c:formatCode>
                <c:ptCount val="5"/>
                <c:pt idx="0">
                  <c:v>43.166057586669922</c:v>
                </c:pt>
                <c:pt idx="1">
                  <c:v>43.479949951171875</c:v>
                </c:pt>
                <c:pt idx="2">
                  <c:v>42.050853729248047</c:v>
                </c:pt>
                <c:pt idx="3">
                  <c:v>39.661708831787109</c:v>
                </c:pt>
                <c:pt idx="4">
                  <c:v>41.745281219482422</c:v>
                </c:pt>
              </c:numCache>
              <c:extLst/>
            </c:numRef>
          </c:val>
          <c:smooth val="0"/>
          <c:extLst>
            <c:ext xmlns:c16="http://schemas.microsoft.com/office/drawing/2014/chart" uri="{C3380CC4-5D6E-409C-BE32-E72D297353CC}">
              <c16:uniqueId val="{00000006-A543-4BB7-B3BE-BB27EB2185A4}"/>
            </c:ext>
          </c:extLst>
        </c:ser>
        <c:dLbls>
          <c:showLegendKey val="0"/>
          <c:showVal val="0"/>
          <c:showCatName val="0"/>
          <c:showSerName val="0"/>
          <c:showPercent val="0"/>
          <c:showBubbleSize val="0"/>
        </c:dLbls>
        <c:smooth val="0"/>
        <c:axId val="355158680"/>
        <c:axId val="353135624"/>
        <c:extLst/>
      </c:lineChart>
      <c:catAx>
        <c:axId val="3551586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3135624"/>
        <c:crosses val="autoZero"/>
        <c:auto val="1"/>
        <c:lblAlgn val="ctr"/>
        <c:lblOffset val="100"/>
        <c:noMultiLvlLbl val="0"/>
      </c:catAx>
      <c:valAx>
        <c:axId val="353135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ka-GE"/>
                  <a:t>საქართველო</a:t>
                </a:r>
                <a:r>
                  <a:rPr lang="de-DE"/>
                  <a:t>: </a:t>
                </a:r>
                <a:r>
                  <a:rPr lang="ka-GE"/>
                  <a:t>დასაქმებაში,</a:t>
                </a:r>
                <a:r>
                  <a:rPr lang="ka-GE" baseline="0"/>
                  <a:t> განათლებაში თუ გადამზადებაში არმყოფი პირების </a:t>
                </a:r>
                <a:r>
                  <a:rPr lang="ka-GE"/>
                  <a:t> </a:t>
                </a:r>
                <a:r>
                  <a:rPr lang="de-DE"/>
                  <a:t>% </a:t>
                </a:r>
                <a:r>
                  <a:rPr lang="ka-GE"/>
                  <a:t>შეფარდება მთლიან პოპულაციასთან</a:t>
                </a:r>
                <a:endParaRPr lang="de-DE"/>
              </a:p>
            </c:rich>
          </c:tx>
          <c:layout>
            <c:manualLayout>
              <c:xMode val="edge"/>
              <c:yMode val="edge"/>
              <c:x val="0"/>
              <c:y val="4.706120430598349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158680"/>
        <c:crosses val="autoZero"/>
        <c:crossBetween val="between"/>
      </c:valAx>
      <c:spPr>
        <a:noFill/>
        <a:ln>
          <a:solidFill>
            <a:schemeClr val="tx1"/>
          </a:solidFill>
        </a:ln>
        <a:effectLst/>
      </c:spPr>
    </c:plotArea>
    <c:legend>
      <c:legendPos val="r"/>
      <c:layout>
        <c:manualLayout>
          <c:xMode val="edge"/>
          <c:yMode val="edge"/>
          <c:x val="0.10834711286089238"/>
          <c:y val="0.91058945756780407"/>
          <c:w val="0.8138751093613299"/>
          <c:h val="8.62284922717993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83652800975638"/>
          <c:y val="3.4030711678281596E-2"/>
          <c:w val="0.66170152973302576"/>
          <c:h val="0.72298781349215202"/>
        </c:manualLayout>
      </c:layout>
      <c:barChart>
        <c:barDir val="col"/>
        <c:grouping val="clustered"/>
        <c:varyColors val="0"/>
        <c:ser>
          <c:idx val="0"/>
          <c:order val="0"/>
          <c:tx>
            <c:strRef>
              <c:f>F8_Variance_rel_rates!$H$75</c:f>
              <c:strCache>
                <c:ptCount val="1"/>
                <c:pt idx="0">
                  <c:v>Georgia - variance of relative unemployment rates (education level none excluded)</c:v>
                </c:pt>
              </c:strCache>
            </c:strRef>
          </c:tx>
          <c:spPr>
            <a:solidFill>
              <a:schemeClr val="accent2">
                <a:lumMod val="75000"/>
                <a:alpha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F8_Variance_rel_rates!$I$74:$N$74</c:f>
              <c:numCache>
                <c:formatCode>General</c:formatCode>
                <c:ptCount val="6"/>
                <c:pt idx="0">
                  <c:v>2011</c:v>
                </c:pt>
                <c:pt idx="1">
                  <c:v>2012</c:v>
                </c:pt>
                <c:pt idx="2">
                  <c:v>2013</c:v>
                </c:pt>
                <c:pt idx="3">
                  <c:v>2014</c:v>
                </c:pt>
                <c:pt idx="4">
                  <c:v>2015</c:v>
                </c:pt>
                <c:pt idx="5">
                  <c:v>2016</c:v>
                </c:pt>
              </c:numCache>
            </c:numRef>
          </c:cat>
          <c:val>
            <c:numRef>
              <c:f>F8_Variance_rel_rates!$I$75:$N$75</c:f>
              <c:numCache>
                <c:formatCode>0.00</c:formatCode>
                <c:ptCount val="6"/>
                <c:pt idx="0">
                  <c:v>0.13272717475891113</c:v>
                </c:pt>
                <c:pt idx="1">
                  <c:v>0.1398898983001709</c:v>
                </c:pt>
                <c:pt idx="2">
                  <c:v>4.8449139595031741E-2</c:v>
                </c:pt>
                <c:pt idx="3">
                  <c:v>4.1042580604553222E-2</c:v>
                </c:pt>
                <c:pt idx="4">
                  <c:v>4.5660557746887209E-2</c:v>
                </c:pt>
                <c:pt idx="5">
                  <c:v>1.7014341354370119E-2</c:v>
                </c:pt>
              </c:numCache>
            </c:numRef>
          </c:val>
          <c:extLst>
            <c:ext xmlns:c16="http://schemas.microsoft.com/office/drawing/2014/chart" uri="{C3380CC4-5D6E-409C-BE32-E72D297353CC}">
              <c16:uniqueId val="{00000000-426A-4B88-BFEC-5E456919CFF3}"/>
            </c:ext>
          </c:extLst>
        </c:ser>
        <c:dLbls>
          <c:showLegendKey val="0"/>
          <c:showVal val="0"/>
          <c:showCatName val="0"/>
          <c:showSerName val="0"/>
          <c:showPercent val="0"/>
          <c:showBubbleSize val="0"/>
        </c:dLbls>
        <c:gapWidth val="150"/>
        <c:axId val="353136016"/>
        <c:axId val="353136408"/>
        <c:extLst/>
      </c:barChart>
      <c:lineChart>
        <c:grouping val="standard"/>
        <c:varyColors val="0"/>
        <c:ser>
          <c:idx val="1"/>
          <c:order val="1"/>
          <c:tx>
            <c:strRef>
              <c:f>F8_Variance_rel_rates!$H$76</c:f>
              <c:strCache>
                <c:ptCount val="1"/>
                <c:pt idx="0">
                  <c:v>Georgia - unemployment rates (right-hand side scale)</c:v>
                </c:pt>
              </c:strCache>
            </c:strRef>
          </c:tx>
          <c:spPr>
            <a:ln w="28575" cap="rnd">
              <a:solidFill>
                <a:schemeClr val="accent2">
                  <a:lumMod val="75000"/>
                </a:schemeClr>
              </a:solidFill>
              <a:prstDash val="sysDash"/>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F8_Variance_rel_rates!$I$74:$N$74</c:f>
              <c:numCache>
                <c:formatCode>General</c:formatCode>
                <c:ptCount val="6"/>
                <c:pt idx="0">
                  <c:v>2011</c:v>
                </c:pt>
                <c:pt idx="1">
                  <c:v>2012</c:v>
                </c:pt>
                <c:pt idx="2">
                  <c:v>2013</c:v>
                </c:pt>
                <c:pt idx="3">
                  <c:v>2014</c:v>
                </c:pt>
                <c:pt idx="4">
                  <c:v>2015</c:v>
                </c:pt>
                <c:pt idx="5">
                  <c:v>2016</c:v>
                </c:pt>
              </c:numCache>
            </c:numRef>
          </c:cat>
          <c:val>
            <c:numRef>
              <c:f>F8_Variance_rel_rates!$I$76:$N$76</c:f>
              <c:numCache>
                <c:formatCode>0.00</c:formatCode>
                <c:ptCount val="6"/>
                <c:pt idx="0">
                  <c:v>0.16940715789794922</c:v>
                </c:pt>
                <c:pt idx="1">
                  <c:v>0.16955268859863282</c:v>
                </c:pt>
                <c:pt idx="2">
                  <c:v>0.16359907150268554</c:v>
                </c:pt>
                <c:pt idx="3">
                  <c:v>0.14031201362609863</c:v>
                </c:pt>
                <c:pt idx="4">
                  <c:v>0.13484861373901366</c:v>
                </c:pt>
                <c:pt idx="5">
                  <c:v>0.13348227500915527</c:v>
                </c:pt>
              </c:numCache>
            </c:numRef>
          </c:val>
          <c:smooth val="0"/>
          <c:extLst>
            <c:ext xmlns:c16="http://schemas.microsoft.com/office/drawing/2014/chart" uri="{C3380CC4-5D6E-409C-BE32-E72D297353CC}">
              <c16:uniqueId val="{00000001-426A-4B88-BFEC-5E456919CFF3}"/>
            </c:ext>
          </c:extLst>
        </c:ser>
        <c:dLbls>
          <c:showLegendKey val="0"/>
          <c:showVal val="0"/>
          <c:showCatName val="0"/>
          <c:showSerName val="0"/>
          <c:showPercent val="0"/>
          <c:showBubbleSize val="0"/>
        </c:dLbls>
        <c:marker val="1"/>
        <c:smooth val="0"/>
        <c:axId val="355598760"/>
        <c:axId val="355598368"/>
      </c:lineChart>
      <c:catAx>
        <c:axId val="353136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3136408"/>
        <c:crosses val="autoZero"/>
        <c:auto val="1"/>
        <c:lblAlgn val="ctr"/>
        <c:lblOffset val="100"/>
        <c:noMultiLvlLbl val="0"/>
      </c:catAx>
      <c:valAx>
        <c:axId val="353136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ka-GE" sz="900"/>
                  <a:t>უმუშევრობის შეფარდებითი დონის ვარიაცია (</a:t>
                </a:r>
                <a:r>
                  <a:rPr lang="ka-GE" sz="900" b="0" i="0" u="none" strike="noStrike" kern="1200" baseline="0">
                    <a:solidFill>
                      <a:sysClr val="windowText" lastClr="000000"/>
                    </a:solidFill>
                    <a:latin typeface="+mn-lt"/>
                    <a:ea typeface="+mn-ea"/>
                    <a:cs typeface="+mn-cs"/>
                  </a:rPr>
                  <a:t>ჭარბი</a:t>
                </a:r>
                <a:r>
                  <a:rPr lang="ka-GE" sz="900" baseline="0"/>
                  <a:t> განათლების მიღების დონე</a:t>
                </a:r>
                <a:r>
                  <a:rPr lang="de-DE" sz="900"/>
                  <a:t>, </a:t>
                </a:r>
                <a:r>
                  <a:rPr lang="ka-GE" sz="900"/>
                  <a:t>გამოკლების</a:t>
                </a:r>
                <a:r>
                  <a:rPr lang="ka-GE" sz="900" baseline="0"/>
                  <a:t> გარეშე</a:t>
                </a:r>
                <a:r>
                  <a:rPr lang="de-DE" sz="900"/>
                  <a:t>), 15-64</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3136016"/>
        <c:crosses val="autoZero"/>
        <c:crossBetween val="between"/>
      </c:valAx>
      <c:valAx>
        <c:axId val="355598368"/>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ka-GE" sz="900" b="0" i="0" baseline="0">
                    <a:effectLst/>
                  </a:rPr>
                  <a:t>უმუშევრობის დონე</a:t>
                </a:r>
                <a:r>
                  <a:rPr lang="de-DE" sz="900" b="0" i="0" baseline="0">
                    <a:effectLst/>
                  </a:rPr>
                  <a:t> (15-64, </a:t>
                </a:r>
                <a:r>
                  <a:rPr lang="ka-GE" sz="900" b="0" i="0" baseline="0">
                    <a:effectLst/>
                  </a:rPr>
                  <a:t>უმუშევრობა შრომით ძალაში</a:t>
                </a:r>
                <a:r>
                  <a:rPr lang="de-DE" sz="900" b="0" i="0" baseline="0">
                    <a:effectLst/>
                  </a:rPr>
                  <a:t>)</a:t>
                </a:r>
                <a:endParaRPr lang="de-DE" sz="900">
                  <a:effectLst/>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55598760"/>
        <c:crosses val="max"/>
        <c:crossBetween val="between"/>
      </c:valAx>
      <c:catAx>
        <c:axId val="355598760"/>
        <c:scaling>
          <c:orientation val="minMax"/>
        </c:scaling>
        <c:delete val="1"/>
        <c:axPos val="b"/>
        <c:numFmt formatCode="General" sourceLinked="1"/>
        <c:majorTickMark val="out"/>
        <c:minorTickMark val="none"/>
        <c:tickLblPos val="nextTo"/>
        <c:crossAx val="355598368"/>
        <c:crosses val="autoZero"/>
        <c:auto val="1"/>
        <c:lblAlgn val="ctr"/>
        <c:lblOffset val="100"/>
        <c:noMultiLvlLbl val="0"/>
      </c:cat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0B4B5CF8294CECA6924368DEFCD96C"/>
        <w:category>
          <w:name w:val="General"/>
          <w:gallery w:val="placeholder"/>
        </w:category>
        <w:types>
          <w:type w:val="bbPlcHdr"/>
        </w:types>
        <w:behaviors>
          <w:behavior w:val="content"/>
        </w:behaviors>
        <w:guid w:val="{64E784AB-077F-4F9B-B8DB-08DFF1543050}"/>
      </w:docPartPr>
      <w:docPartBody>
        <w:p w:rsidR="00042BBF" w:rsidRDefault="000C562B">
          <w:pPr>
            <w:pStyle w:val="540B4B5CF8294CECA6924368DEFCD96C"/>
          </w:pPr>
          <w:r>
            <w:rPr>
              <w:rStyle w:val="PlaceholderText"/>
            </w:rPr>
            <w:t>ENTER TITLE</w:t>
          </w:r>
        </w:p>
      </w:docPartBody>
    </w:docPart>
    <w:docPart>
      <w:docPartPr>
        <w:name w:val="144B9FBF85514307882812AF49F3427C"/>
        <w:category>
          <w:name w:val="Allgemein"/>
          <w:gallery w:val="placeholder"/>
        </w:category>
        <w:types>
          <w:type w:val="bbPlcHdr"/>
        </w:types>
        <w:behaviors>
          <w:behavior w:val="content"/>
        </w:behaviors>
        <w:guid w:val="{BACB3819-25BC-4089-8FC8-66A0B677E872}"/>
      </w:docPartPr>
      <w:docPartBody>
        <w:p w:rsidR="00F67CEE" w:rsidRDefault="00042BBF" w:rsidP="00042BBF">
          <w:pPr>
            <w:pStyle w:val="144B9FBF85514307882812AF49F3427C"/>
          </w:pPr>
          <w:r>
            <w:rPr>
              <w:rStyle w:val="PlaceholderText"/>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Calibri"/>
    <w:panose1 w:val="020B0604020202020204"/>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imesNewRomanPSMT">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042BBF"/>
    <w:rsid w:val="00042BBF"/>
    <w:rsid w:val="00064F29"/>
    <w:rsid w:val="000716DA"/>
    <w:rsid w:val="00071D24"/>
    <w:rsid w:val="00077D20"/>
    <w:rsid w:val="00081C7F"/>
    <w:rsid w:val="000C562B"/>
    <w:rsid w:val="001007FF"/>
    <w:rsid w:val="001361AA"/>
    <w:rsid w:val="00150B4C"/>
    <w:rsid w:val="001D29E2"/>
    <w:rsid w:val="001E00BC"/>
    <w:rsid w:val="00276798"/>
    <w:rsid w:val="002935F5"/>
    <w:rsid w:val="002E7CC7"/>
    <w:rsid w:val="002F1318"/>
    <w:rsid w:val="002F7709"/>
    <w:rsid w:val="003A255F"/>
    <w:rsid w:val="003E73B7"/>
    <w:rsid w:val="0046647C"/>
    <w:rsid w:val="004B0E4A"/>
    <w:rsid w:val="004E48A5"/>
    <w:rsid w:val="004E5985"/>
    <w:rsid w:val="00506EA8"/>
    <w:rsid w:val="0051515E"/>
    <w:rsid w:val="00530638"/>
    <w:rsid w:val="00536FCD"/>
    <w:rsid w:val="005E0E75"/>
    <w:rsid w:val="00610CF2"/>
    <w:rsid w:val="00641215"/>
    <w:rsid w:val="006674C0"/>
    <w:rsid w:val="00671204"/>
    <w:rsid w:val="00684275"/>
    <w:rsid w:val="006D029B"/>
    <w:rsid w:val="00704468"/>
    <w:rsid w:val="0071334F"/>
    <w:rsid w:val="007135B3"/>
    <w:rsid w:val="007572A1"/>
    <w:rsid w:val="00766031"/>
    <w:rsid w:val="007C3876"/>
    <w:rsid w:val="008119A8"/>
    <w:rsid w:val="00863FD8"/>
    <w:rsid w:val="00893DB4"/>
    <w:rsid w:val="008F1141"/>
    <w:rsid w:val="00940795"/>
    <w:rsid w:val="00992D95"/>
    <w:rsid w:val="00A35C43"/>
    <w:rsid w:val="00A810C5"/>
    <w:rsid w:val="00AA2CE2"/>
    <w:rsid w:val="00AF56D6"/>
    <w:rsid w:val="00B27EEE"/>
    <w:rsid w:val="00B55550"/>
    <w:rsid w:val="00BA75C3"/>
    <w:rsid w:val="00BC6FB9"/>
    <w:rsid w:val="00CB7829"/>
    <w:rsid w:val="00D67A22"/>
    <w:rsid w:val="00D720C3"/>
    <w:rsid w:val="00E3052E"/>
    <w:rsid w:val="00E4536E"/>
    <w:rsid w:val="00F42047"/>
    <w:rsid w:val="00F67CEE"/>
    <w:rsid w:val="00F92F8D"/>
    <w:rsid w:val="00FF4A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2BBF"/>
    <w:rPr>
      <w:color w:val="808080"/>
    </w:rPr>
  </w:style>
  <w:style w:type="paragraph" w:customStyle="1" w:styleId="540B4B5CF8294CECA6924368DEFCD96C">
    <w:name w:val="540B4B5CF8294CECA6924368DEFCD96C"/>
    <w:rsid w:val="008119A8"/>
  </w:style>
  <w:style w:type="paragraph" w:customStyle="1" w:styleId="144B9FBF85514307882812AF49F3427C">
    <w:name w:val="144B9FBF85514307882812AF49F3427C"/>
    <w:rsid w:val="00042BB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616264"/>
      </a:dk2>
      <a:lt2>
        <a:srgbClr val="EEECE1"/>
      </a:lt2>
      <a:accent1>
        <a:srgbClr val="0092BB"/>
      </a:accent1>
      <a:accent2>
        <a:srgbClr val="66BED6"/>
      </a:accent2>
      <a:accent3>
        <a:srgbClr val="DC006B"/>
      </a:accent3>
      <a:accent4>
        <a:srgbClr val="0092BB"/>
      </a:accent4>
      <a:accent5>
        <a:srgbClr val="94C2D4"/>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PS_x0020_Tags xmlns="df6b2545-d15d-4d63-86ca-644416e434f8">
      <Value>Employment and labour market</Value>
    </OPS_x0020_Tags>
    <Employment_x0020_Keywords xmlns="ac1beadb-bbc3-47cf-8011-6c1f57cec43a">
      <Value>Skills Anticipation</Value>
    </Employment_x0020_Keywords>
    <PA_EMPL xmlns="df6b2545-d15d-4d63-86ca-644416e434f8">4</PA_EMPL>
    <Operations_x0020_Document_x0020_Type xmlns="df6b2545-d15d-4d63-86ca-644416e434f8">Report</Operations_x0020_Document_x0020_Type>
    <Countries xmlns="df6b2545-d15d-4d63-86ca-644416e434f8">
      <Value>9</Value>
      <Value>22</Value>
      <Value>7</Value>
    </Countries>
    <Authors xmlns="ac1beadb-bbc3-47cf-8011-6c1f57cec43a" xsi:nil="true"/>
    <Regions xmlns="df6b2545-d15d-4d63-86ca-644416e434f8">
      <Value>Not Applicable</Value>
    </Regions>
    <Functions xmlns="df6b2545-d15d-4d63-86ca-644416e434f8">
      <Value>F4 Dissemination and networking</Value>
    </Functions>
    <Status xmlns="ac1beadb-bbc3-47cf-8011-6c1f57cec43a" xsi:nil="true"/>
    <OperationsSubArea xmlns="ac1beadb-bbc3-47cf-8011-6c1f57cec43a">Employment, employability and mobility</OperationsSubArea>
    <ReferenceYear xmlns="ac1beadb-bbc3-47cf-8011-6c1f57cec43a">2018</ReferenceYear>
    <ETFLanguage xmlns="ac1beadb-bbc3-47cf-8011-6c1f57cec43a">English</ETFLanguage>
    <ReferenceNumber xmlns="ac1beadb-bbc3-47cf-8011-6c1f57cec43a" xsi:nil="true"/>
    <Origin xmlns="ac1beadb-bbc3-47cf-8011-6c1f57cec43a" xsi:nil="true"/>
    <General_x0020_Keywords xmlns="df6b2545-d15d-4d63-86ca-644416e434f8"/>
    <_dlc_DocId xmlns="df6b2545-d15d-4d63-86ca-644416e434f8">ETFDMS-1827589975-1529</_dlc_DocId>
    <_dlc_DocIdUrl xmlns="df6b2545-d15d-4d63-86ca-644416e434f8">
      <Url>https://sharing.etf.europa.eu/sites/dms/ops/empl/_layouts/15/DocIdRedir.aspx?ID=ETFDMS-1827589975-1529</Url>
      <Description>ETFDMS-1827589975-1529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Operations Document" ma:contentTypeID="0x01010018C77CAB493C4CC28C851D171ACDEB5D0200F54737C3AF49E24CBDD2E364A88613E2" ma:contentTypeVersion="34" ma:contentTypeDescription="Create a new Operations document" ma:contentTypeScope="" ma:versionID="db440f6581750c0e5ee5774c2fa1731e">
  <xsd:schema xmlns:xsd="http://www.w3.org/2001/XMLSchema" xmlns:xs="http://www.w3.org/2001/XMLSchema" xmlns:p="http://schemas.microsoft.com/office/2006/metadata/properties" xmlns:ns1="df6b2545-d15d-4d63-86ca-644416e434f8" xmlns:ns2="ac1beadb-bbc3-47cf-8011-6c1f57cec43a" targetNamespace="http://schemas.microsoft.com/office/2006/metadata/properties" ma:root="true" ma:fieldsID="29e5a77750b6a8b79c843b58b1f64f53" ns1:_="" ns2:_="">
    <xsd:import namespace="df6b2545-d15d-4d63-86ca-644416e434f8"/>
    <xsd:import namespace="ac1beadb-bbc3-47cf-8011-6c1f57cec43a"/>
    <xsd:element name="properties">
      <xsd:complexType>
        <xsd:sequence>
          <xsd:element name="documentManagement">
            <xsd:complexType>
              <xsd:all>
                <xsd:element ref="ns1:Operations_x0020_Document_x0020_Type"/>
                <xsd:element ref="ns2:OperationsSubArea"/>
                <xsd:element ref="ns2:ReferenceYear"/>
                <xsd:element ref="ns2:Authors" minOccurs="0"/>
                <xsd:element ref="ns2:ETFLanguage" minOccurs="0"/>
                <xsd:element ref="ns2:ReferenceNumber" minOccurs="0"/>
                <xsd:element ref="ns1:OPS_x0020_Tags" minOccurs="0"/>
                <xsd:element ref="ns2:Employment_x0020_Keywords" minOccurs="0"/>
                <xsd:element ref="ns1:Countries" minOccurs="0"/>
                <xsd:element ref="ns1:Regions" minOccurs="0"/>
                <xsd:element ref="ns1:PA_EMPL" minOccurs="0"/>
                <xsd:element ref="ns1:Functions" minOccurs="0"/>
                <xsd:element ref="ns2:Status" minOccurs="0"/>
                <xsd:element ref="ns2:Origin" minOccurs="0"/>
                <xsd:element ref="ns1:General_x0020_Keywords" minOccurs="0"/>
                <xsd:element ref="ns1:_dlc_DocId"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b2545-d15d-4d63-86ca-644416e434f8" elementFormDefault="qualified">
    <xsd:import namespace="http://schemas.microsoft.com/office/2006/documentManagement/types"/>
    <xsd:import namespace="http://schemas.microsoft.com/office/infopath/2007/PartnerControls"/>
    <xsd:element name="Operations_x0020_Document_x0020_Type" ma:index="0" ma:displayName="Operations Document Type" ma:format="Dropdown" ma:internalName="Operations_x0020_Document_x0020_Type">
      <xsd:simpleType>
        <xsd:restriction base="dms:Choice">
          <xsd:enumeration value="Article"/>
          <xsd:enumeration value="Briefing"/>
          <xsd:enumeration value="Compendium"/>
          <xsd:enumeration value="Context mechanism outcome"/>
          <xsd:enumeration value="Country report"/>
          <xsd:enumeration value="Country fiche"/>
          <xsd:enumeration value="Country strategic perspective"/>
          <xsd:enumeration value="Employability fiche"/>
          <xsd:enumeration value="ETF assessment"/>
          <xsd:enumeration value="ETF review"/>
          <xsd:enumeration value="Formulation fiche"/>
          <xsd:enumeration value="Guide"/>
          <xsd:enumeration value="Identification fiche"/>
          <xsd:enumeration value="Information note"/>
          <xsd:enumeration value="Key indicators"/>
          <xsd:enumeration value="KIESE"/>
          <xsd:enumeration value="Methodology"/>
          <xsd:enumeration value="Note"/>
          <xsd:enumeration value="Policy"/>
          <xsd:enumeration value="Policy brief"/>
          <xsd:enumeration value="Position paper"/>
          <xsd:enumeration value="Project assessment"/>
          <xsd:enumeration value="Project implementation plan"/>
          <xsd:enumeration value="Project leaflet"/>
          <xsd:enumeration value="Publication"/>
          <xsd:enumeration value="Reference document"/>
          <xsd:enumeration value="Region report"/>
          <xsd:enumeration value="Region fiche"/>
          <xsd:enumeration value="Report"/>
          <xsd:enumeration value="Statistical annex"/>
          <xsd:enumeration value="Statistics report"/>
          <xsd:enumeration value="Study"/>
          <xsd:enumeration value="Terms of reference"/>
          <xsd:enumeration value="Thematic paper"/>
          <xsd:enumeration value="Toolkit"/>
          <xsd:enumeration value="TRP annex"/>
          <xsd:enumeration value="Working paper"/>
        </xsd:restriction>
      </xsd:simpleType>
    </xsd:element>
    <xsd:element name="OPS_x0020_Tags" ma:index="8" nillable="true" ma:displayName="OPS Tags" ma:internalName="OPS_x0020_Tags" ma:requiredMultiChoice="true">
      <xsd:complexType>
        <xsd:complexContent>
          <xsd:extension base="dms:MultiChoice">
            <xsd:sequence>
              <xsd:element name="Value" maxOccurs="unbounded" minOccurs="0" nillable="true">
                <xsd:simpleType>
                  <xsd:restriction base="dms:Choice">
                    <xsd:enumeration value="Career Guidance"/>
                    <xsd:enumeration value="Competences"/>
                    <xsd:enumeration value="CVET and adult learning"/>
                    <xsd:enumeration value="Digital learning"/>
                    <xsd:enumeration value="Education and business"/>
                    <xsd:enumeration value="Employment and labour market"/>
                    <xsd:enumeration value="Enterprise skills"/>
                    <xsd:enumeration value="Entrepreneurial learning"/>
                    <xsd:enumeration value="Indicators"/>
                    <xsd:enumeration value="Matching and anticipation of skills"/>
                    <xsd:enumeration value="Migration and skills"/>
                    <xsd:enumeration value="Qualifications"/>
                    <xsd:enumeration value="Quality Assurance"/>
                    <xsd:enumeration value="Social partnership"/>
                    <xsd:enumeration value="Teaching and learning"/>
                    <xsd:enumeration value="Validation of prior learning"/>
                    <xsd:enumeration value="VET and social inclusion"/>
                    <xsd:enumeration value="VET and sustainable development"/>
                    <xsd:enumeration value="VET Governance"/>
                    <xsd:enumeration value="VET system assessment"/>
                    <xsd:enumeration value="Work-based learning"/>
                    <xsd:enumeration value="Not Applicable"/>
                  </xsd:restriction>
                </xsd:simpleType>
              </xsd:element>
            </xsd:sequence>
          </xsd:extension>
        </xsd:complexContent>
      </xsd:complexType>
    </xsd:element>
    <xsd:element name="Countries" ma:index="10" nillable="true" ma:displayName="Countries" ma:list="{9194351c-4b7d-432a-9a74-6cfaf37d5a5a}" ma:internalName="Countries" ma:readOnly="false" ma:showField="Title" ma:web="df6b2545-d15d-4d63-86ca-644416e434f8" ma:requiredMultiChoice="true">
      <xsd:complexType>
        <xsd:complexContent>
          <xsd:extension base="dms:MultiChoiceLookup">
            <xsd:sequence>
              <xsd:element name="Value" type="dms:Lookup" maxOccurs="unbounded" minOccurs="0" nillable="true"/>
            </xsd:sequence>
          </xsd:extension>
        </xsd:complexContent>
      </xsd:complexType>
    </xsd:element>
    <xsd:element name="Regions" ma:index="11" nillable="true" ma:displayName="Regions" ma:default="Not Applicable" ma:internalName="Regions" ma:requiredMultiChoice="true">
      <xsd:complexType>
        <xsd:complexContent>
          <xsd:extension base="dms:MultiChoice">
            <xsd:sequence>
              <xsd:element name="Value" maxOccurs="unbounded" minOccurs="0" nillable="true">
                <xsd:simpleType>
                  <xsd:restriction base="dms:Choice">
                    <xsd:enumeration value="Not Applicable"/>
                    <xsd:enumeration value="Central Asia"/>
                    <xsd:enumeration value="Eastern Europe"/>
                    <xsd:enumeration value="South Eastern Europe and Turkey (SEET)"/>
                    <xsd:enumeration value="Southern and Eastern Mediterranean (SEMED)"/>
                  </xsd:restriction>
                </xsd:simpleType>
              </xsd:element>
            </xsd:sequence>
          </xsd:extension>
        </xsd:complexContent>
      </xsd:complexType>
    </xsd:element>
    <xsd:element name="PA_EMPL" ma:index="12" nillable="true" ma:displayName="Project Activity" ma:list="{b7e2df2b-78a5-4814-9b37-2ac8d3918e00}" ma:internalName="PA_EMPL" ma:showField="Title" ma:web="df6b2545-d15d-4d63-86ca-644416e434f8">
      <xsd:simpleType>
        <xsd:restriction base="dms:Lookup"/>
      </xsd:simpleType>
    </xsd:element>
    <xsd:element name="Functions" ma:index="13" nillable="true" ma:displayName="Functions" ma:internalName="Functions">
      <xsd:complexType>
        <xsd:complexContent>
          <xsd:extension base="dms:MultiChoice">
            <xsd:sequence>
              <xsd:element name="Value" maxOccurs="unbounded" minOccurs="0" nillable="true">
                <xsd:simpleType>
                  <xsd:restriction base="dms:Choice">
                    <xsd:enumeration value="F1 Input to the Commission"/>
                    <xsd:enumeration value="F2 Capacity building"/>
                    <xsd:enumeration value="F3 Policy analysis"/>
                    <xsd:enumeration value="F4 Dissemination and networking"/>
                  </xsd:restriction>
                </xsd:simpleType>
              </xsd:element>
            </xsd:sequence>
          </xsd:extension>
        </xsd:complexContent>
      </xsd:complexType>
    </xsd:element>
    <xsd:element name="General_x0020_Keywords" ma:index="22" nillable="true" ma:displayName="General Keywords" ma:hidden="true" ma:internalName="General_x0020_Keywords" ma:readOnly="false">
      <xsd:complexType>
        <xsd:complexContent>
          <xsd:extension base="dms:MultiChoice">
            <xsd:sequence>
              <xsd:element name="Value" maxOccurs="unbounded" minOccurs="0" nillable="true">
                <xsd:simpleType>
                  <xsd:restriction base="dms:Choice">
                    <xsd:enumeration value="Administration"/>
                    <xsd:enumeration value="Audit"/>
                    <xsd:enumeration value="Budget"/>
                    <xsd:enumeration value="Communication"/>
                    <xsd:enumeration value="Corporate"/>
                    <xsd:enumeration value="Correspondence"/>
                    <xsd:enumeration value="Evaluation"/>
                    <xsd:enumeration value="Facilities"/>
                    <xsd:enumeration value="Finance"/>
                    <xsd:enumeration value="Governance"/>
                    <xsd:enumeration value="Human resources"/>
                    <xsd:enumeration value="ICT"/>
                    <xsd:enumeration value="Management"/>
                    <xsd:enumeration value="Monitoring"/>
                    <xsd:enumeration value="Operations"/>
                    <xsd:enumeration value="Organisational development"/>
                    <xsd:enumeration value="Planning"/>
                    <xsd:enumeration value="Procurement"/>
                    <xsd:enumeration value="Reporting"/>
                    <xsd:enumeration value="Staff committee"/>
                    <xsd:enumeration value="Strategy"/>
                  </xsd:restriction>
                </xsd:simpleType>
              </xsd:element>
            </xsd:sequence>
          </xsd:extension>
        </xsd:complexContent>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1beadb-bbc3-47cf-8011-6c1f57cec43a" elementFormDefault="qualified">
    <xsd:import namespace="http://schemas.microsoft.com/office/2006/documentManagement/types"/>
    <xsd:import namespace="http://schemas.microsoft.com/office/infopath/2007/PartnerControls"/>
    <xsd:element name="OperationsSubArea" ma:index="1" ma:displayName="Operations Sub Area" ma:format="Dropdown" ma:internalName="OperationsSubArea">
      <xsd:simpleType>
        <xsd:restriction base="dms:Choice">
          <xsd:enumeration value="Support to the EU policy and external assistance"/>
          <xsd:enumeration value="Policy analysis and system wide progress monitoring"/>
          <xsd:enumeration value="VET governance"/>
          <xsd:enumeration value="Qualifications and qualification system"/>
          <xsd:enumeration value="VET provision and quality"/>
          <xsd:enumeration value="Employment, employability and mobility"/>
          <xsd:enumeration value="Entrepreneurial learning and enterprise skills"/>
          <xsd:enumeration value="Country desks"/>
          <xsd:enumeration value="GEMM"/>
          <xsd:enumeration value="Statistics"/>
          <xsd:enumeration value="Knowledge management"/>
          <xsd:enumeration value="Capacity building"/>
          <xsd:enumeration value="Expertise development"/>
          <xsd:enumeration value="Regional activities"/>
          <xsd:enumeration value="Management and coordination"/>
          <xsd:enumeration value="Planning monitoring and reporting"/>
          <xsd:enumeration value="Finance and procurement"/>
        </xsd:restriction>
      </xsd:simpleType>
    </xsd:element>
    <xsd:element name="ReferenceYear" ma:index="4" ma:displayName="Reference Year" ma:default="2018" ma:format="Dropdown" ma:internalName="ReferenceYear">
      <xsd:simpleType>
        <xsd:restriction base="dms:Choice">
          <xsd:enumeration value="2030"/>
          <xsd:enumeration value="2029"/>
          <xsd:enumeration value="2028"/>
          <xsd:enumeration value="2027"/>
          <xsd:enumeration value="2026"/>
          <xsd:enumeration value="2025"/>
          <xsd:enumeration value="2024"/>
          <xsd:enumeration value="2023"/>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enumeration value="1989"/>
          <xsd:enumeration value="1988"/>
          <xsd:enumeration value="1987"/>
          <xsd:enumeration value="1986"/>
          <xsd:enumeration value="1985"/>
          <xsd:enumeration value="0000"/>
        </xsd:restriction>
      </xsd:simpleType>
    </xsd:element>
    <xsd:element name="Authors" ma:index="5" nillable="true" ma:displayName="Authors" ma:internalName="Authors">
      <xsd:simpleType>
        <xsd:restriction base="dms:Text"/>
      </xsd:simpleType>
    </xsd:element>
    <xsd:element name="ETFLanguage" ma:index="6" nillable="true" ma:displayName="Language" ma:default="English" ma:format="Dropdown" ma:internalName="ETFLanguage">
      <xsd:simpleType>
        <xsd:restriction base="dms:Choice">
          <xsd:enumeration value="English"/>
          <xsd:enumeration value="Italian"/>
          <xsd:enumeration value="French"/>
          <xsd:enumeration value="German"/>
          <xsd:enumeration value="Spanish"/>
          <xsd:enumeration value="Arabic"/>
          <xsd:enumeration value="Russian"/>
          <xsd:enumeration value="Local language"/>
        </xsd:restriction>
      </xsd:simpleType>
    </xsd:element>
    <xsd:element name="ReferenceNumber" ma:index="7" nillable="true" ma:displayName="Reference Number" ma:internalName="ReferenceNumber">
      <xsd:simpleType>
        <xsd:restriction base="dms:Text"/>
      </xsd:simpleType>
    </xsd:element>
    <xsd:element name="Employment_x0020_Keywords" ma:index="9" nillable="true" ma:displayName="Employment Keywords" ma:internalName="Employment_x0020_Keywords">
      <xsd:complexType>
        <xsd:complexContent>
          <xsd:extension base="dms:MultiChoice">
            <xsd:sequence>
              <xsd:element name="Value" maxOccurs="unbounded" minOccurs="0" nillable="true">
                <xsd:simpleType>
                  <xsd:restriction base="dms:Choice">
                    <xsd:enumeration value="ALMPs"/>
                    <xsd:enumeration value="PES"/>
                    <xsd:enumeration value="Youth"/>
                    <xsd:enumeration value="Skills Anticipation"/>
                  </xsd:restriction>
                </xsd:simpleType>
              </xsd:element>
            </xsd:sequence>
          </xsd:extension>
        </xsd:complexContent>
      </xsd:complexType>
    </xsd:element>
    <xsd:element name="Status" ma:index="14" nillable="true" ma:displayName="Status" ma:hidden="true" ma:internalName="Status" ma:readOnly="false">
      <xsd:simpleType>
        <xsd:restriction base="dms:Choice">
          <xsd:enumeration value="Draft"/>
          <xsd:enumeration value="Final"/>
          <xsd:enumeration value="Expired"/>
        </xsd:restriction>
      </xsd:simpleType>
    </xsd:element>
    <xsd:element name="Origin" ma:index="15" nillable="true" ma:displayName="Origin" ma:hidden="true" ma:internalName="Origin" ma:readOnly="false">
      <xsd:simpleType>
        <xsd:restriction base="dms:Choice">
          <xsd:enumeration value="ETF"/>
          <xsd:enumeration value="External"/>
          <xsd:enumeration value="Commiss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1CA61-C58F-4942-A4C9-983F32F6AD0A}">
  <ds:schemaRefs>
    <ds:schemaRef ds:uri="http://schemas.microsoft.com/office/2006/metadata/properties"/>
    <ds:schemaRef ds:uri="http://schemas.microsoft.com/office/infopath/2007/PartnerControls"/>
    <ds:schemaRef ds:uri="df6b2545-d15d-4d63-86ca-644416e434f8"/>
    <ds:schemaRef ds:uri="ac1beadb-bbc3-47cf-8011-6c1f57cec43a"/>
  </ds:schemaRefs>
</ds:datastoreItem>
</file>

<file path=customXml/itemProps2.xml><?xml version="1.0" encoding="utf-8"?>
<ds:datastoreItem xmlns:ds="http://schemas.openxmlformats.org/officeDocument/2006/customXml" ds:itemID="{9A1BE59D-D7E6-4F92-881E-722AEA40A706}">
  <ds:schemaRefs>
    <ds:schemaRef ds:uri="http://schemas.microsoft.com/sharepoint/v3/contenttype/forms"/>
  </ds:schemaRefs>
</ds:datastoreItem>
</file>

<file path=customXml/itemProps3.xml><?xml version="1.0" encoding="utf-8"?>
<ds:datastoreItem xmlns:ds="http://schemas.openxmlformats.org/officeDocument/2006/customXml" ds:itemID="{5A412732-BEAC-417D-98AD-525F0CD5E0F8}">
  <ds:schemaRefs>
    <ds:schemaRef ds:uri="http://schemas.microsoft.com/sharepoint/events"/>
  </ds:schemaRefs>
</ds:datastoreItem>
</file>

<file path=customXml/itemProps4.xml><?xml version="1.0" encoding="utf-8"?>
<ds:datastoreItem xmlns:ds="http://schemas.openxmlformats.org/officeDocument/2006/customXml" ds:itemID="{35B848FE-2E8D-49BA-8C2E-D1880C017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b2545-d15d-4d63-86ca-644416e434f8"/>
    <ds:schemaRef ds:uri="ac1beadb-bbc3-47cf-8011-6c1f57cec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40D9EE2-C51E-DB47-AFF2-C77EE337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54</Pages>
  <Words>16190</Words>
  <Characters>92289</Characters>
  <Application>Microsoft Office Word</Application>
  <DocSecurity>0</DocSecurity>
  <Lines>769</Lines>
  <Paragraphs>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 finalisation of deliverables Skills Mismatch 2017</vt:lpstr>
      <vt:lpstr>Skills mismatch measurement in the ETF Partner Countries</vt:lpstr>
    </vt:vector>
  </TitlesOfParts>
  <Company>HP</Company>
  <LinksUpToDate>false</LinksUpToDate>
  <CharactersWithSpaces>108263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finalisation of deliverables Skills Mismatch 2017</dc:title>
  <dc:subject>Inception Report</dc:subject>
  <dc:creator>Ben Kriechel</dc:creator>
  <cp:lastModifiedBy>Tamuna Kvaratskhelia</cp:lastModifiedBy>
  <cp:revision>804</cp:revision>
  <cp:lastPrinted>2018-05-08T15:47:00Z</cp:lastPrinted>
  <dcterms:created xsi:type="dcterms:W3CDTF">2018-04-26T04:23:00Z</dcterms:created>
  <dcterms:modified xsi:type="dcterms:W3CDTF">2018-05-08T22:41:00Z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
  </property>
  <property fmtid="{D5CDD505-2E9C-101B-9397-08002B2CF9AE}" pid="3" name="RibbonPtr">
    <vt:lpwstr>272825324</vt:lpwstr>
  </property>
  <property fmtid="{D5CDD505-2E9C-101B-9397-08002B2CF9AE}" pid="4" name="RibbonPtrTurnTownGlobaldotm">
    <vt:lpwstr>271218524</vt:lpwstr>
  </property>
  <property fmtid="{D5CDD505-2E9C-101B-9397-08002B2CF9AE}" pid="5" name="DocPath">
    <vt:lpwstr>\\archimedes\Apps\COMAPPS\Client Applications\ETF Templates\ETF Report.dotx</vt:lpwstr>
  </property>
  <property fmtid="{D5CDD505-2E9C-101B-9397-08002B2CF9AE}" pid="6" name="DocType">
    <vt:lpwstr>ETF</vt:lpwstr>
  </property>
  <property fmtid="{D5CDD505-2E9C-101B-9397-08002B2CF9AE}" pid="7" name="InitialTemplateVersion">
    <vt:lpwstr>2.4</vt:lpwstr>
  </property>
  <property fmtid="{D5CDD505-2E9C-101B-9397-08002B2CF9AE}" pid="8" name="CurrentTemplateVersion">
    <vt:lpwstr>2.4</vt:lpwstr>
  </property>
  <property fmtid="{D5CDD505-2E9C-101B-9397-08002B2CF9AE}" pid="9" name="DocTemplateName">
    <vt:lpwstr>ETF Report.dotx</vt:lpwstr>
  </property>
  <property fmtid="{D5CDD505-2E9C-101B-9397-08002B2CF9AE}" pid="10" name="ContentTypeId">
    <vt:lpwstr>0x01010018C77CAB493C4CC28C851D171ACDEB5D0200F54737C3AF49E24CBDD2E364A88613E2</vt:lpwstr>
  </property>
  <property fmtid="{D5CDD505-2E9C-101B-9397-08002B2CF9AE}" pid="11" name="Area">
    <vt:lpwstr>Operations</vt:lpwstr>
  </property>
  <property fmtid="{D5CDD505-2E9C-101B-9397-08002B2CF9AE}" pid="12" name="_dlc_DocIdItemGuid">
    <vt:lpwstr>8f86818f-3c17-422f-aa27-cbc0310f53ff</vt:lpwstr>
  </property>
</Properties>
</file>