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011B4" w14:textId="77777777" w:rsidR="001239FE" w:rsidRPr="0093156D" w:rsidRDefault="00F57FA9" w:rsidP="0036028B">
      <w:pPr>
        <w:pStyle w:val="Title"/>
      </w:pPr>
      <w:sdt>
        <w:sdtPr>
          <w:rPr>
            <w:iCs/>
            <w:color w:val="002060"/>
            <w:sz w:val="56"/>
            <w:lang w:eastAsia="en-GB"/>
          </w:rPr>
          <w:tag w:val="Title"/>
          <w:id w:val="-1825495669"/>
          <w:lock w:val="sdtLocked"/>
          <w:placeholder>
            <w:docPart w:val="540B4B5CF8294CECA6924368DEFCD96C"/>
          </w:placeholder>
          <w:text/>
        </w:sdtPr>
        <w:sdtContent>
          <w:r w:rsidR="00F505C0" w:rsidRPr="0093156D">
            <w:rPr>
              <w:iCs/>
              <w:color w:val="002060"/>
              <w:sz w:val="56"/>
              <w:lang w:eastAsia="en-GB"/>
            </w:rPr>
            <w:t>Skills mismatch measurement in the ETF Partner Countries</w:t>
          </w:r>
        </w:sdtContent>
      </w:sdt>
    </w:p>
    <w:p w14:paraId="06C3FF56" w14:textId="77777777" w:rsidR="00416AC1" w:rsidRPr="0093156D" w:rsidRDefault="00416AC1">
      <w:pPr>
        <w:spacing w:line="276" w:lineRule="auto"/>
      </w:pPr>
    </w:p>
    <w:p w14:paraId="28272AA9" w14:textId="77777777" w:rsidR="00F505C0" w:rsidRPr="0093156D" w:rsidRDefault="00F57FA9" w:rsidP="00F505C0">
      <w:pPr>
        <w:pStyle w:val="Title"/>
        <w:rPr>
          <w:iCs/>
          <w:caps w:val="0"/>
          <w:color w:val="002060"/>
          <w:spacing w:val="0"/>
          <w:sz w:val="40"/>
          <w:lang w:eastAsia="en-GB"/>
        </w:rPr>
      </w:pPr>
      <w:sdt>
        <w:sdtPr>
          <w:rPr>
            <w:iCs/>
            <w:caps w:val="0"/>
            <w:color w:val="002060"/>
            <w:spacing w:val="0"/>
            <w:sz w:val="40"/>
            <w:lang w:eastAsia="en-GB"/>
          </w:rPr>
          <w:tag w:val="Title"/>
          <w:id w:val="935869529"/>
          <w:placeholder>
            <w:docPart w:val="144B9FBF85514307882812AF49F3427C"/>
          </w:placeholder>
          <w:text/>
        </w:sdtPr>
        <w:sdtContent>
          <w:r w:rsidR="004F68C5" w:rsidRPr="0093156D">
            <w:rPr>
              <w:iCs/>
              <w:caps w:val="0"/>
              <w:color w:val="002060"/>
              <w:spacing w:val="0"/>
              <w:sz w:val="40"/>
              <w:lang w:eastAsia="en-GB"/>
            </w:rPr>
            <w:t>National Report on</w:t>
          </w:r>
          <w:r w:rsidR="00FD6034" w:rsidRPr="0093156D">
            <w:rPr>
              <w:iCs/>
              <w:caps w:val="0"/>
              <w:color w:val="002060"/>
              <w:spacing w:val="0"/>
              <w:sz w:val="40"/>
              <w:lang w:eastAsia="en-GB"/>
            </w:rPr>
            <w:t xml:space="preserve"> </w:t>
          </w:r>
          <w:r w:rsidR="004F68C5" w:rsidRPr="0093156D">
            <w:rPr>
              <w:iCs/>
              <w:caps w:val="0"/>
              <w:color w:val="002060"/>
              <w:spacing w:val="0"/>
              <w:sz w:val="40"/>
              <w:lang w:eastAsia="en-GB"/>
            </w:rPr>
            <w:t>Georgia</w:t>
          </w:r>
          <w:r w:rsidR="00FD6034" w:rsidRPr="0093156D">
            <w:rPr>
              <w:iCs/>
              <w:caps w:val="0"/>
              <w:color w:val="002060"/>
              <w:spacing w:val="0"/>
              <w:sz w:val="40"/>
              <w:lang w:eastAsia="en-GB"/>
            </w:rPr>
            <w:t xml:space="preserve"> </w:t>
          </w:r>
        </w:sdtContent>
      </w:sdt>
    </w:p>
    <w:p w14:paraId="019C5384" w14:textId="77777777" w:rsidR="00F505C0" w:rsidRPr="0093156D" w:rsidRDefault="00F505C0" w:rsidP="00F505C0">
      <w:pPr>
        <w:pStyle w:val="Title"/>
        <w:rPr>
          <w:iCs/>
          <w:caps w:val="0"/>
          <w:color w:val="002060"/>
          <w:spacing w:val="0"/>
          <w:sz w:val="28"/>
          <w:lang w:eastAsia="en-GB"/>
        </w:rPr>
      </w:pPr>
    </w:p>
    <w:p w14:paraId="653C9251" w14:textId="77777777" w:rsidR="00F505C0" w:rsidRPr="0093156D" w:rsidRDefault="00F505C0" w:rsidP="00F505C0">
      <w:pPr>
        <w:pStyle w:val="Title"/>
        <w:rPr>
          <w:iCs/>
          <w:caps w:val="0"/>
          <w:color w:val="002060"/>
          <w:spacing w:val="0"/>
          <w:sz w:val="28"/>
          <w:lang w:eastAsia="en-GB"/>
        </w:rPr>
      </w:pPr>
    </w:p>
    <w:p w14:paraId="5FC62370" w14:textId="77777777" w:rsidR="00F505C0" w:rsidRPr="0093156D" w:rsidRDefault="00F505C0" w:rsidP="00F505C0">
      <w:pPr>
        <w:pStyle w:val="Title"/>
        <w:rPr>
          <w:iCs/>
          <w:caps w:val="0"/>
          <w:color w:val="002060"/>
          <w:spacing w:val="0"/>
          <w:sz w:val="28"/>
          <w:lang w:eastAsia="en-GB"/>
        </w:rPr>
      </w:pPr>
    </w:p>
    <w:p w14:paraId="4F4A6836" w14:textId="77777777" w:rsidR="00F505C0" w:rsidRPr="0093156D" w:rsidRDefault="004F68C5" w:rsidP="00F505C0">
      <w:pPr>
        <w:pStyle w:val="Title"/>
        <w:rPr>
          <w:iCs/>
          <w:caps w:val="0"/>
          <w:color w:val="002060"/>
          <w:spacing w:val="0"/>
          <w:sz w:val="28"/>
          <w:lang w:eastAsia="en-GB"/>
        </w:rPr>
      </w:pPr>
      <w:r w:rsidRPr="0093156D">
        <w:rPr>
          <w:iCs/>
          <w:caps w:val="0"/>
          <w:color w:val="002060"/>
          <w:spacing w:val="0"/>
          <w:sz w:val="28"/>
          <w:lang w:eastAsia="en-GB"/>
        </w:rPr>
        <w:t>Irina Badurashvili</w:t>
      </w:r>
    </w:p>
    <w:p w14:paraId="748CC85D" w14:textId="77777777" w:rsidR="00F505C0" w:rsidRPr="0093156D" w:rsidRDefault="004F68C5" w:rsidP="00F505C0">
      <w:pPr>
        <w:pStyle w:val="Title"/>
        <w:rPr>
          <w:iCs/>
          <w:caps w:val="0"/>
          <w:color w:val="002060"/>
          <w:spacing w:val="0"/>
          <w:sz w:val="24"/>
          <w:lang w:eastAsia="en-GB"/>
        </w:rPr>
      </w:pPr>
      <w:r w:rsidRPr="0093156D">
        <w:rPr>
          <w:iCs/>
          <w:caps w:val="0"/>
          <w:color w:val="002060"/>
          <w:spacing w:val="0"/>
          <w:sz w:val="24"/>
          <w:lang w:eastAsia="en-GB"/>
        </w:rPr>
        <w:t>Georgian Centre of Population Research</w:t>
      </w:r>
    </w:p>
    <w:p w14:paraId="57EF9570" w14:textId="77777777" w:rsidR="00E84D9A" w:rsidRPr="0093156D" w:rsidRDefault="00E84D9A" w:rsidP="00F505C0">
      <w:pPr>
        <w:pStyle w:val="Title"/>
        <w:rPr>
          <w:iCs/>
          <w:caps w:val="0"/>
          <w:color w:val="002060"/>
          <w:spacing w:val="0"/>
          <w:sz w:val="28"/>
          <w:lang w:eastAsia="en-GB"/>
        </w:rPr>
      </w:pPr>
    </w:p>
    <w:p w14:paraId="75947B1B" w14:textId="77777777" w:rsidR="00E84D9A" w:rsidRPr="0093156D" w:rsidRDefault="00E84D9A" w:rsidP="00F505C0">
      <w:pPr>
        <w:pStyle w:val="Title"/>
        <w:rPr>
          <w:iCs/>
          <w:caps w:val="0"/>
          <w:color w:val="002060"/>
          <w:spacing w:val="0"/>
          <w:sz w:val="28"/>
          <w:lang w:eastAsia="en-GB"/>
        </w:rPr>
      </w:pPr>
      <w:r w:rsidRPr="0093156D">
        <w:rPr>
          <w:iCs/>
          <w:caps w:val="0"/>
          <w:color w:val="002060"/>
          <w:spacing w:val="0"/>
          <w:sz w:val="28"/>
          <w:lang w:eastAsia="en-GB"/>
        </w:rPr>
        <w:t>Ben Kriechel &amp; Tim Vetter</w:t>
      </w:r>
    </w:p>
    <w:p w14:paraId="5C439E89" w14:textId="77777777" w:rsidR="00E84D9A" w:rsidRPr="0093156D" w:rsidRDefault="00E84D9A" w:rsidP="00E84D9A">
      <w:pPr>
        <w:pStyle w:val="Title"/>
        <w:rPr>
          <w:iCs/>
          <w:caps w:val="0"/>
          <w:color w:val="002060"/>
          <w:spacing w:val="0"/>
          <w:sz w:val="24"/>
          <w:lang w:eastAsia="en-GB"/>
        </w:rPr>
      </w:pPr>
      <w:r w:rsidRPr="0093156D">
        <w:rPr>
          <w:iCs/>
          <w:caps w:val="0"/>
          <w:color w:val="002060"/>
          <w:spacing w:val="0"/>
          <w:sz w:val="24"/>
          <w:lang w:eastAsia="en-GB"/>
        </w:rPr>
        <w:t>Economix Research &amp; Consulting</w:t>
      </w:r>
    </w:p>
    <w:p w14:paraId="2925E4FB" w14:textId="77777777" w:rsidR="00E84D9A" w:rsidRPr="0093156D" w:rsidRDefault="00E84D9A" w:rsidP="00F505C0">
      <w:pPr>
        <w:pStyle w:val="Title"/>
        <w:rPr>
          <w:iCs/>
          <w:caps w:val="0"/>
          <w:color w:val="002060"/>
          <w:spacing w:val="0"/>
          <w:sz w:val="28"/>
          <w:lang w:eastAsia="en-GB"/>
        </w:rPr>
      </w:pPr>
    </w:p>
    <w:p w14:paraId="2DCE4AA6" w14:textId="77777777" w:rsidR="00E84D9A" w:rsidRPr="0093156D" w:rsidRDefault="00E84D9A" w:rsidP="00F505C0">
      <w:pPr>
        <w:pStyle w:val="Title"/>
        <w:rPr>
          <w:iCs/>
          <w:caps w:val="0"/>
          <w:color w:val="002060"/>
          <w:spacing w:val="0"/>
          <w:sz w:val="28"/>
          <w:lang w:eastAsia="en-GB"/>
        </w:rPr>
      </w:pPr>
    </w:p>
    <w:p w14:paraId="5E12977F" w14:textId="4B50454F" w:rsidR="00F505C0" w:rsidRPr="0093156D" w:rsidRDefault="00391151" w:rsidP="00F505C0">
      <w:pPr>
        <w:pStyle w:val="Title"/>
        <w:rPr>
          <w:iCs/>
          <w:caps w:val="0"/>
          <w:color w:val="002060"/>
          <w:spacing w:val="0"/>
          <w:sz w:val="28"/>
          <w:lang w:eastAsia="en-GB"/>
        </w:rPr>
      </w:pPr>
      <w:r>
        <w:rPr>
          <w:iCs/>
          <w:caps w:val="0"/>
          <w:color w:val="002060"/>
          <w:spacing w:val="0"/>
          <w:sz w:val="28"/>
          <w:lang w:eastAsia="en-GB"/>
        </w:rPr>
        <w:t>March</w:t>
      </w:r>
      <w:r w:rsidR="00E733D7" w:rsidRPr="0093156D">
        <w:rPr>
          <w:iCs/>
          <w:caps w:val="0"/>
          <w:color w:val="002060"/>
          <w:spacing w:val="0"/>
          <w:sz w:val="28"/>
          <w:lang w:eastAsia="en-GB"/>
        </w:rPr>
        <w:t xml:space="preserve"> 201</w:t>
      </w:r>
      <w:r w:rsidR="00FD5E42">
        <w:rPr>
          <w:iCs/>
          <w:caps w:val="0"/>
          <w:color w:val="002060"/>
          <w:spacing w:val="0"/>
          <w:sz w:val="28"/>
          <w:lang w:eastAsia="en-GB"/>
        </w:rPr>
        <w:t>8</w:t>
      </w:r>
      <w:r w:rsidR="004F4AF1">
        <w:rPr>
          <w:iCs/>
          <w:caps w:val="0"/>
          <w:color w:val="002060"/>
          <w:spacing w:val="0"/>
          <w:sz w:val="28"/>
          <w:lang w:eastAsia="en-GB"/>
        </w:rPr>
        <w:t xml:space="preserve"> (revised 23 April 2018)</w:t>
      </w:r>
    </w:p>
    <w:p w14:paraId="0A4AD123" w14:textId="77777777" w:rsidR="00F505C0" w:rsidRDefault="00F505C0">
      <w:pPr>
        <w:spacing w:line="276" w:lineRule="auto"/>
      </w:pPr>
    </w:p>
    <w:p w14:paraId="7345D1B3" w14:textId="77777777" w:rsidR="002715C4" w:rsidRPr="0093156D" w:rsidRDefault="002715C4">
      <w:pPr>
        <w:spacing w:line="276" w:lineRule="auto"/>
      </w:pPr>
    </w:p>
    <w:p w14:paraId="588AC3C0" w14:textId="77777777" w:rsidR="002C7928" w:rsidRPr="0093156D" w:rsidRDefault="002C7928">
      <w:pPr>
        <w:spacing w:line="276" w:lineRule="auto"/>
      </w:pPr>
    </w:p>
    <w:p w14:paraId="5E84832D" w14:textId="77777777" w:rsidR="00E733D7" w:rsidRPr="0093156D" w:rsidRDefault="00E733D7">
      <w:pPr>
        <w:spacing w:line="276" w:lineRule="auto"/>
        <w:sectPr w:rsidR="00E733D7" w:rsidRPr="0093156D" w:rsidSect="00416AC1">
          <w:headerReference w:type="default" r:id="rId12"/>
          <w:footerReference w:type="default" r:id="rId13"/>
          <w:headerReference w:type="first" r:id="rId14"/>
          <w:footerReference w:type="first" r:id="rId15"/>
          <w:pgSz w:w="11906" w:h="16838" w:code="9"/>
          <w:pgMar w:top="1440" w:right="992" w:bottom="1440" w:left="1814" w:header="851" w:footer="284" w:gutter="0"/>
          <w:cols w:space="708"/>
          <w:docGrid w:linePitch="360"/>
        </w:sectPr>
      </w:pPr>
    </w:p>
    <w:sdt>
      <w:sdtPr>
        <w:rPr>
          <w:rFonts w:eastAsiaTheme="minorHAnsi"/>
          <w:b w:val="0"/>
          <w:bCs w:val="0"/>
          <w:color w:val="auto"/>
          <w:sz w:val="20"/>
          <w:szCs w:val="20"/>
          <w:lang w:val="en-GB"/>
        </w:rPr>
        <w:id w:val="1511182107"/>
        <w:docPartObj>
          <w:docPartGallery w:val="Table of Contents"/>
          <w:docPartUnique/>
        </w:docPartObj>
      </w:sdtPr>
      <w:sdtContent>
        <w:p w14:paraId="1CA93ACE" w14:textId="77777777" w:rsidR="0067124C" w:rsidRPr="0093156D" w:rsidRDefault="0067124C" w:rsidP="00511CD0">
          <w:pPr>
            <w:pStyle w:val="TOCHeading"/>
            <w:rPr>
              <w:lang w:val="en-GB"/>
            </w:rPr>
          </w:pPr>
          <w:r w:rsidRPr="0093156D">
            <w:rPr>
              <w:lang w:val="en-GB"/>
            </w:rPr>
            <w:t>Contents</w:t>
          </w:r>
        </w:p>
        <w:p w14:paraId="78E9D004" w14:textId="77777777" w:rsidR="00B25B9D" w:rsidRDefault="00E566D1">
          <w:pPr>
            <w:pStyle w:val="TOC1"/>
            <w:rPr>
              <w:rFonts w:asciiTheme="minorHAnsi" w:eastAsiaTheme="minorEastAsia" w:hAnsiTheme="minorHAnsi" w:cstheme="minorBidi"/>
              <w:color w:val="auto"/>
              <w:sz w:val="22"/>
              <w:szCs w:val="22"/>
              <w:lang w:eastAsia="en-GB"/>
            </w:rPr>
          </w:pPr>
          <w:r w:rsidRPr="0093156D">
            <w:rPr>
              <w:noProof w:val="0"/>
            </w:rPr>
            <w:fldChar w:fldCharType="begin"/>
          </w:r>
          <w:r w:rsidR="0067124C" w:rsidRPr="0093156D">
            <w:rPr>
              <w:noProof w:val="0"/>
            </w:rPr>
            <w:instrText xml:space="preserve"> TOC \o "1-3" \h \z \u </w:instrText>
          </w:r>
          <w:r w:rsidRPr="0093156D">
            <w:rPr>
              <w:noProof w:val="0"/>
            </w:rPr>
            <w:fldChar w:fldCharType="separate"/>
          </w:r>
          <w:hyperlink w:anchor="_Toc512826742" w:history="1">
            <w:r w:rsidR="00B25B9D" w:rsidRPr="003B712B">
              <w:rPr>
                <w:rStyle w:val="Hyperlink"/>
              </w:rPr>
              <w:t>Introduction</w:t>
            </w:r>
            <w:r w:rsidR="00B25B9D">
              <w:rPr>
                <w:webHidden/>
              </w:rPr>
              <w:tab/>
            </w:r>
            <w:r w:rsidR="00B25B9D">
              <w:rPr>
                <w:webHidden/>
              </w:rPr>
              <w:fldChar w:fldCharType="begin"/>
            </w:r>
            <w:r w:rsidR="00B25B9D">
              <w:rPr>
                <w:webHidden/>
              </w:rPr>
              <w:instrText xml:space="preserve"> PAGEREF _Toc512826742 \h </w:instrText>
            </w:r>
            <w:r w:rsidR="00B25B9D">
              <w:rPr>
                <w:webHidden/>
              </w:rPr>
            </w:r>
            <w:r w:rsidR="00B25B9D">
              <w:rPr>
                <w:webHidden/>
              </w:rPr>
              <w:fldChar w:fldCharType="separate"/>
            </w:r>
            <w:r w:rsidR="00B25B9D">
              <w:rPr>
                <w:webHidden/>
              </w:rPr>
              <w:t>3</w:t>
            </w:r>
            <w:r w:rsidR="00B25B9D">
              <w:rPr>
                <w:webHidden/>
              </w:rPr>
              <w:fldChar w:fldCharType="end"/>
            </w:r>
          </w:hyperlink>
        </w:p>
        <w:p w14:paraId="3CDE2755" w14:textId="77777777" w:rsidR="00B25B9D" w:rsidRDefault="00F57FA9">
          <w:pPr>
            <w:pStyle w:val="TOC1"/>
            <w:rPr>
              <w:rFonts w:asciiTheme="minorHAnsi" w:eastAsiaTheme="minorEastAsia" w:hAnsiTheme="minorHAnsi" w:cstheme="minorBidi"/>
              <w:color w:val="auto"/>
              <w:sz w:val="22"/>
              <w:szCs w:val="22"/>
              <w:lang w:eastAsia="en-GB"/>
            </w:rPr>
          </w:pPr>
          <w:hyperlink w:anchor="_Toc512826743" w:history="1">
            <w:r w:rsidR="00B25B9D" w:rsidRPr="003B712B">
              <w:rPr>
                <w:rStyle w:val="Hyperlink"/>
              </w:rPr>
              <w:t>Contextual information</w:t>
            </w:r>
            <w:r w:rsidR="00B25B9D">
              <w:rPr>
                <w:webHidden/>
              </w:rPr>
              <w:tab/>
            </w:r>
            <w:r w:rsidR="00B25B9D">
              <w:rPr>
                <w:webHidden/>
              </w:rPr>
              <w:fldChar w:fldCharType="begin"/>
            </w:r>
            <w:r w:rsidR="00B25B9D">
              <w:rPr>
                <w:webHidden/>
              </w:rPr>
              <w:instrText xml:space="preserve"> PAGEREF _Toc512826743 \h </w:instrText>
            </w:r>
            <w:r w:rsidR="00B25B9D">
              <w:rPr>
                <w:webHidden/>
              </w:rPr>
            </w:r>
            <w:r w:rsidR="00B25B9D">
              <w:rPr>
                <w:webHidden/>
              </w:rPr>
              <w:fldChar w:fldCharType="separate"/>
            </w:r>
            <w:r w:rsidR="00B25B9D">
              <w:rPr>
                <w:webHidden/>
              </w:rPr>
              <w:t>4</w:t>
            </w:r>
            <w:r w:rsidR="00B25B9D">
              <w:rPr>
                <w:webHidden/>
              </w:rPr>
              <w:fldChar w:fldCharType="end"/>
            </w:r>
          </w:hyperlink>
        </w:p>
        <w:p w14:paraId="3197C7B7" w14:textId="77777777" w:rsidR="00B25B9D" w:rsidRDefault="00F57FA9">
          <w:pPr>
            <w:pStyle w:val="TOC2"/>
            <w:tabs>
              <w:tab w:val="right" w:leader="dot" w:pos="9061"/>
            </w:tabs>
            <w:rPr>
              <w:rFonts w:asciiTheme="minorHAnsi" w:eastAsiaTheme="minorEastAsia" w:hAnsiTheme="minorHAnsi" w:cstheme="minorBidi"/>
              <w:noProof/>
              <w:sz w:val="22"/>
              <w:szCs w:val="22"/>
              <w:lang w:eastAsia="en-GB"/>
            </w:rPr>
          </w:pPr>
          <w:hyperlink w:anchor="_Toc512826744" w:history="1">
            <w:r w:rsidR="00B25B9D" w:rsidRPr="003B712B">
              <w:rPr>
                <w:rStyle w:val="Hyperlink"/>
                <w:noProof/>
              </w:rPr>
              <w:t>Country Context and Institutional Background</w:t>
            </w:r>
            <w:r w:rsidR="00B25B9D">
              <w:rPr>
                <w:noProof/>
                <w:webHidden/>
              </w:rPr>
              <w:tab/>
            </w:r>
            <w:r w:rsidR="00B25B9D">
              <w:rPr>
                <w:noProof/>
                <w:webHidden/>
              </w:rPr>
              <w:fldChar w:fldCharType="begin"/>
            </w:r>
            <w:r w:rsidR="00B25B9D">
              <w:rPr>
                <w:noProof/>
                <w:webHidden/>
              </w:rPr>
              <w:instrText xml:space="preserve"> PAGEREF _Toc512826744 \h </w:instrText>
            </w:r>
            <w:r w:rsidR="00B25B9D">
              <w:rPr>
                <w:noProof/>
                <w:webHidden/>
              </w:rPr>
            </w:r>
            <w:r w:rsidR="00B25B9D">
              <w:rPr>
                <w:noProof/>
                <w:webHidden/>
              </w:rPr>
              <w:fldChar w:fldCharType="separate"/>
            </w:r>
            <w:r w:rsidR="00B25B9D">
              <w:rPr>
                <w:noProof/>
                <w:webHidden/>
              </w:rPr>
              <w:t>4</w:t>
            </w:r>
            <w:r w:rsidR="00B25B9D">
              <w:rPr>
                <w:noProof/>
                <w:webHidden/>
              </w:rPr>
              <w:fldChar w:fldCharType="end"/>
            </w:r>
          </w:hyperlink>
        </w:p>
        <w:p w14:paraId="26D5772C" w14:textId="77777777" w:rsidR="00B25B9D" w:rsidRDefault="00F57FA9">
          <w:pPr>
            <w:pStyle w:val="TOC3"/>
            <w:tabs>
              <w:tab w:val="right" w:leader="dot" w:pos="9061"/>
            </w:tabs>
            <w:rPr>
              <w:rFonts w:asciiTheme="minorHAnsi" w:eastAsiaTheme="minorEastAsia" w:hAnsiTheme="minorHAnsi" w:cstheme="minorBidi"/>
              <w:noProof/>
              <w:sz w:val="22"/>
              <w:szCs w:val="22"/>
              <w:lang w:eastAsia="en-GB"/>
            </w:rPr>
          </w:pPr>
          <w:hyperlink w:anchor="_Toc512826745" w:history="1">
            <w:r w:rsidR="00B25B9D" w:rsidRPr="003B712B">
              <w:rPr>
                <w:rStyle w:val="Hyperlink"/>
                <w:noProof/>
              </w:rPr>
              <w:t>Demographic development</w:t>
            </w:r>
            <w:r w:rsidR="00B25B9D">
              <w:rPr>
                <w:noProof/>
                <w:webHidden/>
              </w:rPr>
              <w:tab/>
            </w:r>
            <w:r w:rsidR="00B25B9D">
              <w:rPr>
                <w:noProof/>
                <w:webHidden/>
              </w:rPr>
              <w:fldChar w:fldCharType="begin"/>
            </w:r>
            <w:r w:rsidR="00B25B9D">
              <w:rPr>
                <w:noProof/>
                <w:webHidden/>
              </w:rPr>
              <w:instrText xml:space="preserve"> PAGEREF _Toc512826745 \h </w:instrText>
            </w:r>
            <w:r w:rsidR="00B25B9D">
              <w:rPr>
                <w:noProof/>
                <w:webHidden/>
              </w:rPr>
            </w:r>
            <w:r w:rsidR="00B25B9D">
              <w:rPr>
                <w:noProof/>
                <w:webHidden/>
              </w:rPr>
              <w:fldChar w:fldCharType="separate"/>
            </w:r>
            <w:r w:rsidR="00B25B9D">
              <w:rPr>
                <w:noProof/>
                <w:webHidden/>
              </w:rPr>
              <w:t>4</w:t>
            </w:r>
            <w:r w:rsidR="00B25B9D">
              <w:rPr>
                <w:noProof/>
                <w:webHidden/>
              </w:rPr>
              <w:fldChar w:fldCharType="end"/>
            </w:r>
          </w:hyperlink>
        </w:p>
        <w:p w14:paraId="66499598" w14:textId="77777777" w:rsidR="00B25B9D" w:rsidRDefault="00F57FA9">
          <w:pPr>
            <w:pStyle w:val="TOC3"/>
            <w:tabs>
              <w:tab w:val="right" w:leader="dot" w:pos="9061"/>
            </w:tabs>
            <w:rPr>
              <w:rFonts w:asciiTheme="minorHAnsi" w:eastAsiaTheme="minorEastAsia" w:hAnsiTheme="minorHAnsi" w:cstheme="minorBidi"/>
              <w:noProof/>
              <w:sz w:val="22"/>
              <w:szCs w:val="22"/>
              <w:lang w:eastAsia="en-GB"/>
            </w:rPr>
          </w:pPr>
          <w:hyperlink w:anchor="_Toc512826746" w:history="1">
            <w:r w:rsidR="00B25B9D" w:rsidRPr="003B712B">
              <w:rPr>
                <w:rStyle w:val="Hyperlink"/>
                <w:noProof/>
              </w:rPr>
              <w:t>Education system</w:t>
            </w:r>
            <w:r w:rsidR="00B25B9D">
              <w:rPr>
                <w:noProof/>
                <w:webHidden/>
              </w:rPr>
              <w:tab/>
            </w:r>
            <w:r w:rsidR="00B25B9D">
              <w:rPr>
                <w:noProof/>
                <w:webHidden/>
              </w:rPr>
              <w:fldChar w:fldCharType="begin"/>
            </w:r>
            <w:r w:rsidR="00B25B9D">
              <w:rPr>
                <w:noProof/>
                <w:webHidden/>
              </w:rPr>
              <w:instrText xml:space="preserve"> PAGEREF _Toc512826746 \h </w:instrText>
            </w:r>
            <w:r w:rsidR="00B25B9D">
              <w:rPr>
                <w:noProof/>
                <w:webHidden/>
              </w:rPr>
            </w:r>
            <w:r w:rsidR="00B25B9D">
              <w:rPr>
                <w:noProof/>
                <w:webHidden/>
              </w:rPr>
              <w:fldChar w:fldCharType="separate"/>
            </w:r>
            <w:r w:rsidR="00B25B9D">
              <w:rPr>
                <w:noProof/>
                <w:webHidden/>
              </w:rPr>
              <w:t>5</w:t>
            </w:r>
            <w:r w:rsidR="00B25B9D">
              <w:rPr>
                <w:noProof/>
                <w:webHidden/>
              </w:rPr>
              <w:fldChar w:fldCharType="end"/>
            </w:r>
          </w:hyperlink>
        </w:p>
        <w:p w14:paraId="2FFCD46B" w14:textId="77777777" w:rsidR="00B25B9D" w:rsidRDefault="00F57FA9">
          <w:pPr>
            <w:pStyle w:val="TOC2"/>
            <w:tabs>
              <w:tab w:val="right" w:leader="dot" w:pos="9061"/>
            </w:tabs>
            <w:rPr>
              <w:rFonts w:asciiTheme="minorHAnsi" w:eastAsiaTheme="minorEastAsia" w:hAnsiTheme="minorHAnsi" w:cstheme="minorBidi"/>
              <w:noProof/>
              <w:sz w:val="22"/>
              <w:szCs w:val="22"/>
              <w:lang w:eastAsia="en-GB"/>
            </w:rPr>
          </w:pPr>
          <w:hyperlink w:anchor="_Toc512826747" w:history="1">
            <w:r w:rsidR="00B25B9D" w:rsidRPr="003B712B">
              <w:rPr>
                <w:rStyle w:val="Hyperlink"/>
                <w:noProof/>
              </w:rPr>
              <w:t>Labour market in Georgia</w:t>
            </w:r>
            <w:r w:rsidR="00B25B9D">
              <w:rPr>
                <w:noProof/>
                <w:webHidden/>
              </w:rPr>
              <w:tab/>
            </w:r>
            <w:r w:rsidR="00B25B9D">
              <w:rPr>
                <w:noProof/>
                <w:webHidden/>
              </w:rPr>
              <w:fldChar w:fldCharType="begin"/>
            </w:r>
            <w:r w:rsidR="00B25B9D">
              <w:rPr>
                <w:noProof/>
                <w:webHidden/>
              </w:rPr>
              <w:instrText xml:space="preserve"> PAGEREF _Toc512826747 \h </w:instrText>
            </w:r>
            <w:r w:rsidR="00B25B9D">
              <w:rPr>
                <w:noProof/>
                <w:webHidden/>
              </w:rPr>
            </w:r>
            <w:r w:rsidR="00B25B9D">
              <w:rPr>
                <w:noProof/>
                <w:webHidden/>
              </w:rPr>
              <w:fldChar w:fldCharType="separate"/>
            </w:r>
            <w:r w:rsidR="00B25B9D">
              <w:rPr>
                <w:noProof/>
                <w:webHidden/>
              </w:rPr>
              <w:t>5</w:t>
            </w:r>
            <w:r w:rsidR="00B25B9D">
              <w:rPr>
                <w:noProof/>
                <w:webHidden/>
              </w:rPr>
              <w:fldChar w:fldCharType="end"/>
            </w:r>
          </w:hyperlink>
        </w:p>
        <w:p w14:paraId="116DCB70" w14:textId="77777777" w:rsidR="00B25B9D" w:rsidRDefault="00F57FA9">
          <w:pPr>
            <w:pStyle w:val="TOC2"/>
            <w:tabs>
              <w:tab w:val="right" w:leader="dot" w:pos="9061"/>
            </w:tabs>
            <w:rPr>
              <w:rFonts w:asciiTheme="minorHAnsi" w:eastAsiaTheme="minorEastAsia" w:hAnsiTheme="minorHAnsi" w:cstheme="minorBidi"/>
              <w:noProof/>
              <w:sz w:val="22"/>
              <w:szCs w:val="22"/>
              <w:lang w:eastAsia="en-GB"/>
            </w:rPr>
          </w:pPr>
          <w:hyperlink w:anchor="_Toc512826748" w:history="1">
            <w:r w:rsidR="00B25B9D" w:rsidRPr="003B712B">
              <w:rPr>
                <w:rStyle w:val="Hyperlink"/>
                <w:noProof/>
              </w:rPr>
              <w:t>Labour legislation in Georgia</w:t>
            </w:r>
            <w:r w:rsidR="00B25B9D">
              <w:rPr>
                <w:noProof/>
                <w:webHidden/>
              </w:rPr>
              <w:tab/>
            </w:r>
            <w:r w:rsidR="00B25B9D">
              <w:rPr>
                <w:noProof/>
                <w:webHidden/>
              </w:rPr>
              <w:fldChar w:fldCharType="begin"/>
            </w:r>
            <w:r w:rsidR="00B25B9D">
              <w:rPr>
                <w:noProof/>
                <w:webHidden/>
              </w:rPr>
              <w:instrText xml:space="preserve"> PAGEREF _Toc512826748 \h </w:instrText>
            </w:r>
            <w:r w:rsidR="00B25B9D">
              <w:rPr>
                <w:noProof/>
                <w:webHidden/>
              </w:rPr>
            </w:r>
            <w:r w:rsidR="00B25B9D">
              <w:rPr>
                <w:noProof/>
                <w:webHidden/>
              </w:rPr>
              <w:fldChar w:fldCharType="separate"/>
            </w:r>
            <w:r w:rsidR="00B25B9D">
              <w:rPr>
                <w:noProof/>
                <w:webHidden/>
              </w:rPr>
              <w:t>7</w:t>
            </w:r>
            <w:r w:rsidR="00B25B9D">
              <w:rPr>
                <w:noProof/>
                <w:webHidden/>
              </w:rPr>
              <w:fldChar w:fldCharType="end"/>
            </w:r>
          </w:hyperlink>
        </w:p>
        <w:p w14:paraId="3C2254DD" w14:textId="77777777" w:rsidR="00B25B9D" w:rsidRDefault="00F57FA9">
          <w:pPr>
            <w:pStyle w:val="TOC2"/>
            <w:tabs>
              <w:tab w:val="right" w:leader="dot" w:pos="9061"/>
            </w:tabs>
            <w:rPr>
              <w:rFonts w:asciiTheme="minorHAnsi" w:eastAsiaTheme="minorEastAsia" w:hAnsiTheme="minorHAnsi" w:cstheme="minorBidi"/>
              <w:noProof/>
              <w:sz w:val="22"/>
              <w:szCs w:val="22"/>
              <w:lang w:eastAsia="en-GB"/>
            </w:rPr>
          </w:pPr>
          <w:hyperlink w:anchor="_Toc512826749" w:history="1">
            <w:r w:rsidR="00B25B9D" w:rsidRPr="003B712B">
              <w:rPr>
                <w:rStyle w:val="Hyperlink"/>
                <w:noProof/>
              </w:rPr>
              <w:t>Labour market policy in Georgia</w:t>
            </w:r>
            <w:r w:rsidR="00B25B9D">
              <w:rPr>
                <w:noProof/>
                <w:webHidden/>
              </w:rPr>
              <w:tab/>
            </w:r>
            <w:r w:rsidR="00B25B9D">
              <w:rPr>
                <w:noProof/>
                <w:webHidden/>
              </w:rPr>
              <w:fldChar w:fldCharType="begin"/>
            </w:r>
            <w:r w:rsidR="00B25B9D">
              <w:rPr>
                <w:noProof/>
                <w:webHidden/>
              </w:rPr>
              <w:instrText xml:space="preserve"> PAGEREF _Toc512826749 \h </w:instrText>
            </w:r>
            <w:r w:rsidR="00B25B9D">
              <w:rPr>
                <w:noProof/>
                <w:webHidden/>
              </w:rPr>
            </w:r>
            <w:r w:rsidR="00B25B9D">
              <w:rPr>
                <w:noProof/>
                <w:webHidden/>
              </w:rPr>
              <w:fldChar w:fldCharType="separate"/>
            </w:r>
            <w:r w:rsidR="00B25B9D">
              <w:rPr>
                <w:noProof/>
                <w:webHidden/>
              </w:rPr>
              <w:t>7</w:t>
            </w:r>
            <w:r w:rsidR="00B25B9D">
              <w:rPr>
                <w:noProof/>
                <w:webHidden/>
              </w:rPr>
              <w:fldChar w:fldCharType="end"/>
            </w:r>
          </w:hyperlink>
        </w:p>
        <w:p w14:paraId="0C1E7F93" w14:textId="77777777" w:rsidR="00B25B9D" w:rsidRDefault="00F57FA9">
          <w:pPr>
            <w:pStyle w:val="TOC2"/>
            <w:tabs>
              <w:tab w:val="right" w:leader="dot" w:pos="9061"/>
            </w:tabs>
            <w:rPr>
              <w:rFonts w:asciiTheme="minorHAnsi" w:eastAsiaTheme="minorEastAsia" w:hAnsiTheme="minorHAnsi" w:cstheme="minorBidi"/>
              <w:noProof/>
              <w:sz w:val="22"/>
              <w:szCs w:val="22"/>
              <w:lang w:eastAsia="en-GB"/>
            </w:rPr>
          </w:pPr>
          <w:hyperlink w:anchor="_Toc512826750" w:history="1">
            <w:r w:rsidR="00B25B9D" w:rsidRPr="003B712B">
              <w:rPr>
                <w:rStyle w:val="Hyperlink"/>
                <w:noProof/>
              </w:rPr>
              <w:t>Developments in skill mismatch</w:t>
            </w:r>
            <w:r w:rsidR="00B25B9D">
              <w:rPr>
                <w:noProof/>
                <w:webHidden/>
              </w:rPr>
              <w:tab/>
            </w:r>
            <w:r w:rsidR="00B25B9D">
              <w:rPr>
                <w:noProof/>
                <w:webHidden/>
              </w:rPr>
              <w:fldChar w:fldCharType="begin"/>
            </w:r>
            <w:r w:rsidR="00B25B9D">
              <w:rPr>
                <w:noProof/>
                <w:webHidden/>
              </w:rPr>
              <w:instrText xml:space="preserve"> PAGEREF _Toc512826750 \h </w:instrText>
            </w:r>
            <w:r w:rsidR="00B25B9D">
              <w:rPr>
                <w:noProof/>
                <w:webHidden/>
              </w:rPr>
            </w:r>
            <w:r w:rsidR="00B25B9D">
              <w:rPr>
                <w:noProof/>
                <w:webHidden/>
              </w:rPr>
              <w:fldChar w:fldCharType="separate"/>
            </w:r>
            <w:r w:rsidR="00B25B9D">
              <w:rPr>
                <w:noProof/>
                <w:webHidden/>
              </w:rPr>
              <w:t>9</w:t>
            </w:r>
            <w:r w:rsidR="00B25B9D">
              <w:rPr>
                <w:noProof/>
                <w:webHidden/>
              </w:rPr>
              <w:fldChar w:fldCharType="end"/>
            </w:r>
          </w:hyperlink>
        </w:p>
        <w:p w14:paraId="0910E35A" w14:textId="77777777" w:rsidR="00B25B9D" w:rsidRDefault="00F57FA9">
          <w:pPr>
            <w:pStyle w:val="TOC1"/>
            <w:rPr>
              <w:rFonts w:asciiTheme="minorHAnsi" w:eastAsiaTheme="minorEastAsia" w:hAnsiTheme="minorHAnsi" w:cstheme="minorBidi"/>
              <w:color w:val="auto"/>
              <w:sz w:val="22"/>
              <w:szCs w:val="22"/>
              <w:lang w:eastAsia="en-GB"/>
            </w:rPr>
          </w:pPr>
          <w:hyperlink w:anchor="_Toc512826751" w:history="1">
            <w:r w:rsidR="00B25B9D" w:rsidRPr="003B712B">
              <w:rPr>
                <w:rStyle w:val="Hyperlink"/>
              </w:rPr>
              <w:t>Data situation</w:t>
            </w:r>
            <w:r w:rsidR="00B25B9D">
              <w:rPr>
                <w:webHidden/>
              </w:rPr>
              <w:tab/>
            </w:r>
            <w:r w:rsidR="00B25B9D">
              <w:rPr>
                <w:webHidden/>
              </w:rPr>
              <w:fldChar w:fldCharType="begin"/>
            </w:r>
            <w:r w:rsidR="00B25B9D">
              <w:rPr>
                <w:webHidden/>
              </w:rPr>
              <w:instrText xml:space="preserve"> PAGEREF _Toc512826751 \h </w:instrText>
            </w:r>
            <w:r w:rsidR="00B25B9D">
              <w:rPr>
                <w:webHidden/>
              </w:rPr>
            </w:r>
            <w:r w:rsidR="00B25B9D">
              <w:rPr>
                <w:webHidden/>
              </w:rPr>
              <w:fldChar w:fldCharType="separate"/>
            </w:r>
            <w:r w:rsidR="00B25B9D">
              <w:rPr>
                <w:webHidden/>
              </w:rPr>
              <w:t>12</w:t>
            </w:r>
            <w:r w:rsidR="00B25B9D">
              <w:rPr>
                <w:webHidden/>
              </w:rPr>
              <w:fldChar w:fldCharType="end"/>
            </w:r>
          </w:hyperlink>
        </w:p>
        <w:p w14:paraId="67EEA8F8" w14:textId="77777777" w:rsidR="00B25B9D" w:rsidRDefault="00F57FA9">
          <w:pPr>
            <w:pStyle w:val="TOC3"/>
            <w:tabs>
              <w:tab w:val="right" w:leader="dot" w:pos="9061"/>
            </w:tabs>
            <w:rPr>
              <w:rFonts w:asciiTheme="minorHAnsi" w:eastAsiaTheme="minorEastAsia" w:hAnsiTheme="minorHAnsi" w:cstheme="minorBidi"/>
              <w:noProof/>
              <w:sz w:val="22"/>
              <w:szCs w:val="22"/>
              <w:lang w:eastAsia="en-GB"/>
            </w:rPr>
          </w:pPr>
          <w:hyperlink w:anchor="_Toc512826752" w:history="1">
            <w:r w:rsidR="00B25B9D" w:rsidRPr="003B712B">
              <w:rPr>
                <w:rStyle w:val="Hyperlink"/>
                <w:noProof/>
              </w:rPr>
              <w:t>Labour Force Survey</w:t>
            </w:r>
            <w:r w:rsidR="00B25B9D">
              <w:rPr>
                <w:noProof/>
                <w:webHidden/>
              </w:rPr>
              <w:tab/>
            </w:r>
            <w:r w:rsidR="00B25B9D">
              <w:rPr>
                <w:noProof/>
                <w:webHidden/>
              </w:rPr>
              <w:fldChar w:fldCharType="begin"/>
            </w:r>
            <w:r w:rsidR="00B25B9D">
              <w:rPr>
                <w:noProof/>
                <w:webHidden/>
              </w:rPr>
              <w:instrText xml:space="preserve"> PAGEREF _Toc512826752 \h </w:instrText>
            </w:r>
            <w:r w:rsidR="00B25B9D">
              <w:rPr>
                <w:noProof/>
                <w:webHidden/>
              </w:rPr>
            </w:r>
            <w:r w:rsidR="00B25B9D">
              <w:rPr>
                <w:noProof/>
                <w:webHidden/>
              </w:rPr>
              <w:fldChar w:fldCharType="separate"/>
            </w:r>
            <w:r w:rsidR="00B25B9D">
              <w:rPr>
                <w:noProof/>
                <w:webHidden/>
              </w:rPr>
              <w:t>13</w:t>
            </w:r>
            <w:r w:rsidR="00B25B9D">
              <w:rPr>
                <w:noProof/>
                <w:webHidden/>
              </w:rPr>
              <w:fldChar w:fldCharType="end"/>
            </w:r>
          </w:hyperlink>
        </w:p>
        <w:p w14:paraId="49D5118D" w14:textId="77777777" w:rsidR="00B25B9D" w:rsidRDefault="00F57FA9">
          <w:pPr>
            <w:pStyle w:val="TOC3"/>
            <w:tabs>
              <w:tab w:val="right" w:leader="dot" w:pos="9061"/>
            </w:tabs>
            <w:rPr>
              <w:rFonts w:asciiTheme="minorHAnsi" w:eastAsiaTheme="minorEastAsia" w:hAnsiTheme="minorHAnsi" w:cstheme="minorBidi"/>
              <w:noProof/>
              <w:sz w:val="22"/>
              <w:szCs w:val="22"/>
              <w:lang w:eastAsia="en-GB"/>
            </w:rPr>
          </w:pPr>
          <w:hyperlink w:anchor="_Toc512826753" w:history="1">
            <w:r w:rsidR="00B25B9D" w:rsidRPr="003B712B">
              <w:rPr>
                <w:rStyle w:val="Hyperlink"/>
                <w:noProof/>
              </w:rPr>
              <w:t>Other regular data collections</w:t>
            </w:r>
            <w:r w:rsidR="00B25B9D">
              <w:rPr>
                <w:noProof/>
                <w:webHidden/>
              </w:rPr>
              <w:tab/>
            </w:r>
            <w:r w:rsidR="00B25B9D">
              <w:rPr>
                <w:noProof/>
                <w:webHidden/>
              </w:rPr>
              <w:fldChar w:fldCharType="begin"/>
            </w:r>
            <w:r w:rsidR="00B25B9D">
              <w:rPr>
                <w:noProof/>
                <w:webHidden/>
              </w:rPr>
              <w:instrText xml:space="preserve"> PAGEREF _Toc512826753 \h </w:instrText>
            </w:r>
            <w:r w:rsidR="00B25B9D">
              <w:rPr>
                <w:noProof/>
                <w:webHidden/>
              </w:rPr>
            </w:r>
            <w:r w:rsidR="00B25B9D">
              <w:rPr>
                <w:noProof/>
                <w:webHidden/>
              </w:rPr>
              <w:fldChar w:fldCharType="separate"/>
            </w:r>
            <w:r w:rsidR="00B25B9D">
              <w:rPr>
                <w:noProof/>
                <w:webHidden/>
              </w:rPr>
              <w:t>15</w:t>
            </w:r>
            <w:r w:rsidR="00B25B9D">
              <w:rPr>
                <w:noProof/>
                <w:webHidden/>
              </w:rPr>
              <w:fldChar w:fldCharType="end"/>
            </w:r>
          </w:hyperlink>
        </w:p>
        <w:p w14:paraId="0E0F37CD" w14:textId="77777777" w:rsidR="00B25B9D" w:rsidRDefault="00F57FA9">
          <w:pPr>
            <w:pStyle w:val="TOC3"/>
            <w:tabs>
              <w:tab w:val="right" w:leader="dot" w:pos="9061"/>
            </w:tabs>
            <w:rPr>
              <w:rFonts w:asciiTheme="minorHAnsi" w:eastAsiaTheme="minorEastAsia" w:hAnsiTheme="minorHAnsi" w:cstheme="minorBidi"/>
              <w:noProof/>
              <w:sz w:val="22"/>
              <w:szCs w:val="22"/>
              <w:lang w:eastAsia="en-GB"/>
            </w:rPr>
          </w:pPr>
          <w:hyperlink w:anchor="_Toc512826754" w:history="1">
            <w:r w:rsidR="00B25B9D" w:rsidRPr="003B712B">
              <w:rPr>
                <w:rStyle w:val="Hyperlink"/>
                <w:noProof/>
              </w:rPr>
              <w:t>Administrative data</w:t>
            </w:r>
            <w:r w:rsidR="00B25B9D">
              <w:rPr>
                <w:noProof/>
                <w:webHidden/>
              </w:rPr>
              <w:tab/>
            </w:r>
            <w:r w:rsidR="00B25B9D">
              <w:rPr>
                <w:noProof/>
                <w:webHidden/>
              </w:rPr>
              <w:fldChar w:fldCharType="begin"/>
            </w:r>
            <w:r w:rsidR="00B25B9D">
              <w:rPr>
                <w:noProof/>
                <w:webHidden/>
              </w:rPr>
              <w:instrText xml:space="preserve"> PAGEREF _Toc512826754 \h </w:instrText>
            </w:r>
            <w:r w:rsidR="00B25B9D">
              <w:rPr>
                <w:noProof/>
                <w:webHidden/>
              </w:rPr>
            </w:r>
            <w:r w:rsidR="00B25B9D">
              <w:rPr>
                <w:noProof/>
                <w:webHidden/>
              </w:rPr>
              <w:fldChar w:fldCharType="separate"/>
            </w:r>
            <w:r w:rsidR="00B25B9D">
              <w:rPr>
                <w:noProof/>
                <w:webHidden/>
              </w:rPr>
              <w:t>16</w:t>
            </w:r>
            <w:r w:rsidR="00B25B9D">
              <w:rPr>
                <w:noProof/>
                <w:webHidden/>
              </w:rPr>
              <w:fldChar w:fldCharType="end"/>
            </w:r>
          </w:hyperlink>
        </w:p>
        <w:p w14:paraId="78DC6453" w14:textId="77777777" w:rsidR="00B25B9D" w:rsidRDefault="00F57FA9">
          <w:pPr>
            <w:pStyle w:val="TOC3"/>
            <w:tabs>
              <w:tab w:val="right" w:leader="dot" w:pos="9061"/>
            </w:tabs>
            <w:rPr>
              <w:rFonts w:asciiTheme="minorHAnsi" w:eastAsiaTheme="minorEastAsia" w:hAnsiTheme="minorHAnsi" w:cstheme="minorBidi"/>
              <w:noProof/>
              <w:sz w:val="22"/>
              <w:szCs w:val="22"/>
              <w:lang w:eastAsia="en-GB"/>
            </w:rPr>
          </w:pPr>
          <w:hyperlink w:anchor="_Toc512826755" w:history="1">
            <w:r w:rsidR="00B25B9D" w:rsidRPr="003B712B">
              <w:rPr>
                <w:rStyle w:val="Hyperlink"/>
                <w:noProof/>
              </w:rPr>
              <w:t>Overall assessment of the data situation</w:t>
            </w:r>
            <w:r w:rsidR="00B25B9D">
              <w:rPr>
                <w:noProof/>
                <w:webHidden/>
              </w:rPr>
              <w:tab/>
            </w:r>
            <w:r w:rsidR="00B25B9D">
              <w:rPr>
                <w:noProof/>
                <w:webHidden/>
              </w:rPr>
              <w:fldChar w:fldCharType="begin"/>
            </w:r>
            <w:r w:rsidR="00B25B9D">
              <w:rPr>
                <w:noProof/>
                <w:webHidden/>
              </w:rPr>
              <w:instrText xml:space="preserve"> PAGEREF _Toc512826755 \h </w:instrText>
            </w:r>
            <w:r w:rsidR="00B25B9D">
              <w:rPr>
                <w:noProof/>
                <w:webHidden/>
              </w:rPr>
            </w:r>
            <w:r w:rsidR="00B25B9D">
              <w:rPr>
                <w:noProof/>
                <w:webHidden/>
              </w:rPr>
              <w:fldChar w:fldCharType="separate"/>
            </w:r>
            <w:r w:rsidR="00B25B9D">
              <w:rPr>
                <w:noProof/>
                <w:webHidden/>
              </w:rPr>
              <w:t>16</w:t>
            </w:r>
            <w:r w:rsidR="00B25B9D">
              <w:rPr>
                <w:noProof/>
                <w:webHidden/>
              </w:rPr>
              <w:fldChar w:fldCharType="end"/>
            </w:r>
          </w:hyperlink>
        </w:p>
        <w:p w14:paraId="3A01AE7A" w14:textId="77777777" w:rsidR="00B25B9D" w:rsidRDefault="00F57FA9">
          <w:pPr>
            <w:pStyle w:val="TOC1"/>
            <w:rPr>
              <w:rFonts w:asciiTheme="minorHAnsi" w:eastAsiaTheme="minorEastAsia" w:hAnsiTheme="minorHAnsi" w:cstheme="minorBidi"/>
              <w:color w:val="auto"/>
              <w:sz w:val="22"/>
              <w:szCs w:val="22"/>
              <w:lang w:eastAsia="en-GB"/>
            </w:rPr>
          </w:pPr>
          <w:hyperlink w:anchor="_Toc512826756" w:history="1">
            <w:r w:rsidR="00B25B9D" w:rsidRPr="003B712B">
              <w:rPr>
                <w:rStyle w:val="Hyperlink"/>
              </w:rPr>
              <w:t>Interpretation and discussion of indicators of skill mismatch</w:t>
            </w:r>
            <w:r w:rsidR="00B25B9D">
              <w:rPr>
                <w:webHidden/>
              </w:rPr>
              <w:tab/>
            </w:r>
            <w:r w:rsidR="00B25B9D">
              <w:rPr>
                <w:webHidden/>
              </w:rPr>
              <w:fldChar w:fldCharType="begin"/>
            </w:r>
            <w:r w:rsidR="00B25B9D">
              <w:rPr>
                <w:webHidden/>
              </w:rPr>
              <w:instrText xml:space="preserve"> PAGEREF _Toc512826756 \h </w:instrText>
            </w:r>
            <w:r w:rsidR="00B25B9D">
              <w:rPr>
                <w:webHidden/>
              </w:rPr>
            </w:r>
            <w:r w:rsidR="00B25B9D">
              <w:rPr>
                <w:webHidden/>
              </w:rPr>
              <w:fldChar w:fldCharType="separate"/>
            </w:r>
            <w:r w:rsidR="00B25B9D">
              <w:rPr>
                <w:webHidden/>
              </w:rPr>
              <w:t>16</w:t>
            </w:r>
            <w:r w:rsidR="00B25B9D">
              <w:rPr>
                <w:webHidden/>
              </w:rPr>
              <w:fldChar w:fldCharType="end"/>
            </w:r>
          </w:hyperlink>
        </w:p>
        <w:p w14:paraId="6D8F4E91" w14:textId="77777777" w:rsidR="00B25B9D" w:rsidRDefault="00F57FA9">
          <w:pPr>
            <w:pStyle w:val="TOC3"/>
            <w:tabs>
              <w:tab w:val="right" w:leader="dot" w:pos="9061"/>
            </w:tabs>
            <w:rPr>
              <w:rFonts w:asciiTheme="minorHAnsi" w:eastAsiaTheme="minorEastAsia" w:hAnsiTheme="minorHAnsi" w:cstheme="minorBidi"/>
              <w:noProof/>
              <w:sz w:val="22"/>
              <w:szCs w:val="22"/>
              <w:lang w:eastAsia="en-GB"/>
            </w:rPr>
          </w:pPr>
          <w:hyperlink w:anchor="_Toc512826757" w:history="1">
            <w:r w:rsidR="00B25B9D" w:rsidRPr="003B712B">
              <w:rPr>
                <w:rStyle w:val="Hyperlink"/>
                <w:noProof/>
              </w:rPr>
              <w:t>Employment to population ratio: activity rate</w:t>
            </w:r>
            <w:r w:rsidR="00B25B9D">
              <w:rPr>
                <w:noProof/>
                <w:webHidden/>
              </w:rPr>
              <w:tab/>
            </w:r>
            <w:r w:rsidR="00B25B9D">
              <w:rPr>
                <w:noProof/>
                <w:webHidden/>
              </w:rPr>
              <w:fldChar w:fldCharType="begin"/>
            </w:r>
            <w:r w:rsidR="00B25B9D">
              <w:rPr>
                <w:noProof/>
                <w:webHidden/>
              </w:rPr>
              <w:instrText xml:space="preserve"> PAGEREF _Toc512826757 \h </w:instrText>
            </w:r>
            <w:r w:rsidR="00B25B9D">
              <w:rPr>
                <w:noProof/>
                <w:webHidden/>
              </w:rPr>
            </w:r>
            <w:r w:rsidR="00B25B9D">
              <w:rPr>
                <w:noProof/>
                <w:webHidden/>
              </w:rPr>
              <w:fldChar w:fldCharType="separate"/>
            </w:r>
            <w:r w:rsidR="00B25B9D">
              <w:rPr>
                <w:noProof/>
                <w:webHidden/>
              </w:rPr>
              <w:t>22</w:t>
            </w:r>
            <w:r w:rsidR="00B25B9D">
              <w:rPr>
                <w:noProof/>
                <w:webHidden/>
              </w:rPr>
              <w:fldChar w:fldCharType="end"/>
            </w:r>
          </w:hyperlink>
        </w:p>
        <w:p w14:paraId="2DC5FF1F" w14:textId="77777777" w:rsidR="00B25B9D" w:rsidRDefault="00F57FA9">
          <w:pPr>
            <w:pStyle w:val="TOC1"/>
            <w:rPr>
              <w:rFonts w:asciiTheme="minorHAnsi" w:eastAsiaTheme="minorEastAsia" w:hAnsiTheme="minorHAnsi" w:cstheme="minorBidi"/>
              <w:color w:val="auto"/>
              <w:sz w:val="22"/>
              <w:szCs w:val="22"/>
              <w:lang w:eastAsia="en-GB"/>
            </w:rPr>
          </w:pPr>
          <w:hyperlink w:anchor="_Toc512826758" w:history="1">
            <w:r w:rsidR="00B25B9D" w:rsidRPr="003B712B">
              <w:rPr>
                <w:rStyle w:val="Hyperlink"/>
              </w:rPr>
              <w:t>Conclusions</w:t>
            </w:r>
            <w:r w:rsidR="00B25B9D">
              <w:rPr>
                <w:webHidden/>
              </w:rPr>
              <w:tab/>
            </w:r>
            <w:r w:rsidR="00B25B9D">
              <w:rPr>
                <w:webHidden/>
              </w:rPr>
              <w:fldChar w:fldCharType="begin"/>
            </w:r>
            <w:r w:rsidR="00B25B9D">
              <w:rPr>
                <w:webHidden/>
              </w:rPr>
              <w:instrText xml:space="preserve"> PAGEREF _Toc512826758 \h </w:instrText>
            </w:r>
            <w:r w:rsidR="00B25B9D">
              <w:rPr>
                <w:webHidden/>
              </w:rPr>
            </w:r>
            <w:r w:rsidR="00B25B9D">
              <w:rPr>
                <w:webHidden/>
              </w:rPr>
              <w:fldChar w:fldCharType="separate"/>
            </w:r>
            <w:r w:rsidR="00B25B9D">
              <w:rPr>
                <w:webHidden/>
              </w:rPr>
              <w:t>34</w:t>
            </w:r>
            <w:r w:rsidR="00B25B9D">
              <w:rPr>
                <w:webHidden/>
              </w:rPr>
              <w:fldChar w:fldCharType="end"/>
            </w:r>
          </w:hyperlink>
        </w:p>
        <w:p w14:paraId="1FD91836" w14:textId="77777777" w:rsidR="00B25B9D" w:rsidRDefault="00F57FA9">
          <w:pPr>
            <w:pStyle w:val="TOC1"/>
            <w:rPr>
              <w:rFonts w:asciiTheme="minorHAnsi" w:eastAsiaTheme="minorEastAsia" w:hAnsiTheme="minorHAnsi" w:cstheme="minorBidi"/>
              <w:color w:val="auto"/>
              <w:sz w:val="22"/>
              <w:szCs w:val="22"/>
              <w:lang w:eastAsia="en-GB"/>
            </w:rPr>
          </w:pPr>
          <w:hyperlink w:anchor="_Toc512826759" w:history="1">
            <w:r w:rsidR="00B25B9D" w:rsidRPr="003B712B">
              <w:rPr>
                <w:rStyle w:val="Hyperlink"/>
              </w:rPr>
              <w:t>Literature</w:t>
            </w:r>
            <w:r w:rsidR="00B25B9D">
              <w:rPr>
                <w:webHidden/>
              </w:rPr>
              <w:tab/>
            </w:r>
            <w:r w:rsidR="00B25B9D">
              <w:rPr>
                <w:webHidden/>
              </w:rPr>
              <w:fldChar w:fldCharType="begin"/>
            </w:r>
            <w:r w:rsidR="00B25B9D">
              <w:rPr>
                <w:webHidden/>
              </w:rPr>
              <w:instrText xml:space="preserve"> PAGEREF _Toc512826759 \h </w:instrText>
            </w:r>
            <w:r w:rsidR="00B25B9D">
              <w:rPr>
                <w:webHidden/>
              </w:rPr>
            </w:r>
            <w:r w:rsidR="00B25B9D">
              <w:rPr>
                <w:webHidden/>
              </w:rPr>
              <w:fldChar w:fldCharType="separate"/>
            </w:r>
            <w:r w:rsidR="00B25B9D">
              <w:rPr>
                <w:webHidden/>
              </w:rPr>
              <w:t>36</w:t>
            </w:r>
            <w:r w:rsidR="00B25B9D">
              <w:rPr>
                <w:webHidden/>
              </w:rPr>
              <w:fldChar w:fldCharType="end"/>
            </w:r>
          </w:hyperlink>
        </w:p>
        <w:p w14:paraId="3418AF83" w14:textId="1B340EB4" w:rsidR="0067124C" w:rsidRPr="0093156D" w:rsidRDefault="00E566D1">
          <w:r w:rsidRPr="0093156D">
            <w:fldChar w:fldCharType="end"/>
          </w:r>
        </w:p>
      </w:sdtContent>
    </w:sdt>
    <w:p w14:paraId="3212049D" w14:textId="77777777" w:rsidR="0067124C" w:rsidRPr="0093156D" w:rsidRDefault="0067124C" w:rsidP="003D506A"/>
    <w:p w14:paraId="7847D492" w14:textId="77777777" w:rsidR="00D712A0" w:rsidRPr="0093156D" w:rsidRDefault="00D712A0">
      <w:pPr>
        <w:spacing w:line="276" w:lineRule="auto"/>
        <w:sectPr w:rsidR="00D712A0" w:rsidRPr="0093156D" w:rsidSect="004C7F79">
          <w:headerReference w:type="default" r:id="rId16"/>
          <w:footerReference w:type="default" r:id="rId17"/>
          <w:pgSz w:w="11906" w:h="16838"/>
          <w:pgMar w:top="1134" w:right="1021" w:bottom="1440" w:left="1814" w:header="709" w:footer="567" w:gutter="0"/>
          <w:cols w:space="708"/>
          <w:docGrid w:linePitch="360"/>
        </w:sectPr>
      </w:pPr>
    </w:p>
    <w:p w14:paraId="76B2E790" w14:textId="77777777" w:rsidR="0079461C" w:rsidRPr="0093156D" w:rsidRDefault="00FD6034" w:rsidP="00F52CE8">
      <w:pPr>
        <w:pStyle w:val="Heading1"/>
      </w:pPr>
      <w:bookmarkStart w:id="0" w:name="_Toc512826742"/>
      <w:r w:rsidRPr="0093156D">
        <w:lastRenderedPageBreak/>
        <w:t>Introduction</w:t>
      </w:r>
      <w:bookmarkEnd w:id="0"/>
    </w:p>
    <w:p w14:paraId="486A6956" w14:textId="06D2F7BE" w:rsidR="00D04930" w:rsidRPr="0093156D" w:rsidRDefault="00D04930" w:rsidP="00D04930">
      <w:pPr>
        <w:spacing w:after="120" w:line="276" w:lineRule="auto"/>
        <w:jc w:val="both"/>
      </w:pPr>
      <w:bookmarkStart w:id="1" w:name="ClearNotes"/>
      <w:r w:rsidRPr="0093156D">
        <w:t xml:space="preserve">The project skill mismatch measurement in ETF partner countries develops and pilots several indicators of labour market and skill mismatch. </w:t>
      </w:r>
      <w:r w:rsidR="00327C18">
        <w:t>The g</w:t>
      </w:r>
      <w:r w:rsidRPr="0093156D">
        <w:t>oal of the project is to develop, test, and implement the indicators in a template that allows easy access and updating.</w:t>
      </w:r>
    </w:p>
    <w:p w14:paraId="3557E2FB" w14:textId="77777777" w:rsidR="00D04930" w:rsidRPr="0093156D" w:rsidRDefault="00D04930" w:rsidP="00D04930">
      <w:pPr>
        <w:spacing w:after="120" w:line="276" w:lineRule="auto"/>
        <w:jc w:val="both"/>
      </w:pPr>
      <w:r w:rsidRPr="0093156D">
        <w:t xml:space="preserve">This report is the result of a ETF initiative, aimed to measuring skills mismatch, by defining a set of indicators and testing them on a number of partner countries, using essentially existing data from reliable sources. These indicators, based on international practise, and gathered depending on feasibility given the country capacity and data. This analytical exercise will contribute to help institutions and partners assessing the effectiveness of their skills policies. Lessons from this initiative will then translate into a revised and improved ETF methodological note on measuring skills mismatch. </w:t>
      </w:r>
    </w:p>
    <w:p w14:paraId="07AB8FC1" w14:textId="77777777" w:rsidR="002715C4" w:rsidRDefault="00D04930" w:rsidP="00D04930">
      <w:pPr>
        <w:spacing w:after="120" w:line="276" w:lineRule="auto"/>
        <w:jc w:val="both"/>
      </w:pPr>
      <w:r w:rsidRPr="0093156D">
        <w:t>Next to the current and three other companion country reports, the final phase will comprise a cross country report along with a set of standardised country factsheets on skills mismatch, presenting the results of measuring and gathering data on skills mismatch indicators, and the interpretation of these results.</w:t>
      </w:r>
    </w:p>
    <w:p w14:paraId="5BB6870C" w14:textId="595743DC" w:rsidR="002715C4" w:rsidRPr="007F041C" w:rsidRDefault="007F041C" w:rsidP="00D04930">
      <w:pPr>
        <w:spacing w:after="120" w:line="276" w:lineRule="auto"/>
        <w:jc w:val="both"/>
      </w:pPr>
      <w:r w:rsidRPr="007F041C">
        <w:t xml:space="preserve">Skill mismatch is mostly measured by proxy in the current project. In this education and occupation proxy for the skills taught respectively the skills required in a position. The various ways in which the indicators are calculated allow to identify problems or mismatches, while in itself they rarely allow to pinpoint the exact nature or cause of the mismatch. Skill mismatch in the current context entail mismatch in the level of education or skills with </w:t>
      </w:r>
      <w:r w:rsidR="00620F00" w:rsidRPr="007F041C">
        <w:t>those required</w:t>
      </w:r>
      <w:r w:rsidRPr="007F041C">
        <w:t xml:space="preserve"> in the position, the so called vertical mismatch, but also horizontal mismatch in which the types of skills in an education do not match the requirement while the overall educational level does match the requirement. </w:t>
      </w:r>
    </w:p>
    <w:p w14:paraId="517D911A" w14:textId="25AF5A7A" w:rsidR="00EF7024" w:rsidRDefault="00EF7024" w:rsidP="00EF7024">
      <w:pPr>
        <w:spacing w:line="276" w:lineRule="auto"/>
      </w:pPr>
      <w:r>
        <w:t xml:space="preserve">The </w:t>
      </w:r>
      <w:r w:rsidR="00B365BB">
        <w:t xml:space="preserve">eight </w:t>
      </w:r>
      <w:r>
        <w:t xml:space="preserve">indicators </w:t>
      </w:r>
      <w:r w:rsidR="00B365BB">
        <w:t xml:space="preserve">which are </w:t>
      </w:r>
      <w:r>
        <w:t>calculated</w:t>
      </w:r>
      <w:r w:rsidR="00B365BB">
        <w:t xml:space="preserve"> and discussed</w:t>
      </w:r>
      <w:r>
        <w:t xml:space="preserve"> in this report are:</w:t>
      </w:r>
    </w:p>
    <w:p w14:paraId="593480F7" w14:textId="7A18687E" w:rsidR="00EF7024" w:rsidRDefault="00EF7024" w:rsidP="00EF7024">
      <w:pPr>
        <w:pStyle w:val="ListParagraph"/>
        <w:numPr>
          <w:ilvl w:val="0"/>
          <w:numId w:val="17"/>
        </w:numPr>
        <w:spacing w:line="276" w:lineRule="auto"/>
      </w:pPr>
      <w:r>
        <w:t>Unemployment rates by various dimensions</w:t>
      </w:r>
    </w:p>
    <w:p w14:paraId="41776DAD" w14:textId="77777777" w:rsidR="00EF7024" w:rsidRDefault="00EF7024" w:rsidP="00EF7024">
      <w:pPr>
        <w:pStyle w:val="ListParagraph"/>
        <w:numPr>
          <w:ilvl w:val="0"/>
          <w:numId w:val="17"/>
        </w:numPr>
        <w:spacing w:line="276" w:lineRule="auto"/>
      </w:pPr>
      <w:r>
        <w:t>Proportions of unemployed versus employed</w:t>
      </w:r>
    </w:p>
    <w:p w14:paraId="27D19397" w14:textId="1FD1EA54" w:rsidR="00EF7024" w:rsidRDefault="00EF7024" w:rsidP="00EF7024">
      <w:pPr>
        <w:pStyle w:val="ListParagraph"/>
        <w:numPr>
          <w:ilvl w:val="0"/>
          <w:numId w:val="17"/>
        </w:numPr>
        <w:spacing w:line="276" w:lineRule="auto"/>
      </w:pPr>
      <w:r>
        <w:t>NEET</w:t>
      </w:r>
    </w:p>
    <w:p w14:paraId="2F50A104" w14:textId="156D93F3" w:rsidR="00EF7024" w:rsidRDefault="00EF7024" w:rsidP="00EF7024">
      <w:pPr>
        <w:pStyle w:val="ListParagraph"/>
        <w:numPr>
          <w:ilvl w:val="0"/>
          <w:numId w:val="17"/>
        </w:numPr>
        <w:spacing w:line="276" w:lineRule="auto"/>
      </w:pPr>
      <w:r>
        <w:t xml:space="preserve">Coefficient of variation of education </w:t>
      </w:r>
    </w:p>
    <w:p w14:paraId="36BA4724" w14:textId="77777777" w:rsidR="00EF7024" w:rsidRDefault="00EF7024" w:rsidP="00EF7024">
      <w:pPr>
        <w:pStyle w:val="ListParagraph"/>
        <w:numPr>
          <w:ilvl w:val="0"/>
          <w:numId w:val="17"/>
        </w:numPr>
        <w:spacing w:line="276" w:lineRule="auto"/>
      </w:pPr>
      <w:r>
        <w:t>Variance of relative unemployment rates</w:t>
      </w:r>
    </w:p>
    <w:p w14:paraId="2347F2C4" w14:textId="77777777" w:rsidR="00EF7024" w:rsidRDefault="00EF7024" w:rsidP="00EF7024">
      <w:pPr>
        <w:pStyle w:val="ListParagraph"/>
        <w:numPr>
          <w:ilvl w:val="0"/>
          <w:numId w:val="17"/>
        </w:numPr>
        <w:spacing w:line="276" w:lineRule="auto"/>
      </w:pPr>
      <w:r>
        <w:t>Mismatch by occupation</w:t>
      </w:r>
    </w:p>
    <w:p w14:paraId="1A391602" w14:textId="153FB169" w:rsidR="00EF7024" w:rsidRDefault="00EF7024" w:rsidP="00EF7024">
      <w:pPr>
        <w:pStyle w:val="ListParagraph"/>
        <w:numPr>
          <w:ilvl w:val="0"/>
          <w:numId w:val="17"/>
        </w:numPr>
        <w:spacing w:line="276" w:lineRule="auto"/>
      </w:pPr>
      <w:r>
        <w:t>Over- and Under</w:t>
      </w:r>
      <w:r w:rsidR="00B365BB">
        <w:t>-</w:t>
      </w:r>
      <w:r>
        <w:t xml:space="preserve">education </w:t>
      </w:r>
    </w:p>
    <w:p w14:paraId="17C52C4B" w14:textId="77777777" w:rsidR="00EF7024" w:rsidRDefault="00EF7024" w:rsidP="006C08D4">
      <w:pPr>
        <w:pStyle w:val="ListParagraph"/>
        <w:numPr>
          <w:ilvl w:val="0"/>
          <w:numId w:val="17"/>
        </w:numPr>
        <w:spacing w:line="276" w:lineRule="auto"/>
      </w:pPr>
      <w:r>
        <w:t xml:space="preserve">Relative wages </w:t>
      </w:r>
    </w:p>
    <w:p w14:paraId="0FEE8512" w14:textId="77777777" w:rsidR="00EF7024" w:rsidRDefault="00EF7024" w:rsidP="00EF7024">
      <w:pPr>
        <w:pStyle w:val="ListParagraph"/>
        <w:spacing w:line="276" w:lineRule="auto"/>
        <w:ind w:left="0"/>
      </w:pPr>
    </w:p>
    <w:p w14:paraId="7BA38A37" w14:textId="4FF8DD51" w:rsidR="00EF7024" w:rsidRPr="007F041C" w:rsidRDefault="00EF7024" w:rsidP="00EF7024">
      <w:pPr>
        <w:spacing w:after="120" w:line="276" w:lineRule="auto"/>
        <w:jc w:val="both"/>
      </w:pPr>
      <w:r w:rsidRPr="007F041C">
        <w:t xml:space="preserve">In describing and interpreting the indicators we allow the various persons that might be interested in skill mismatch to inform themselves about the methodology with which skill mismatch is measured using existing data sources, the analysis of skill mismatch, as well as providing some insights for the country in areas that mismatches might occur on the labour market. All persons generating, interpreting or using labour market information or being involved in labour market and or education policy might be interested in understanding the various ways in which labour market and skills can be analysed. Finally, proposals on how to further develop indicators, data infrastructure or labour market analysis </w:t>
      </w:r>
      <w:r w:rsidR="004F4AF1">
        <w:t>are</w:t>
      </w:r>
      <w:r w:rsidRPr="007F041C">
        <w:t xml:space="preserve"> provided for the country. </w:t>
      </w:r>
    </w:p>
    <w:p w14:paraId="5647A179" w14:textId="77777777" w:rsidR="00EF7024" w:rsidRDefault="00EF7024" w:rsidP="00D04930">
      <w:pPr>
        <w:spacing w:after="120" w:line="276" w:lineRule="auto"/>
        <w:jc w:val="both"/>
      </w:pPr>
    </w:p>
    <w:p w14:paraId="3EFB2E26" w14:textId="77777777" w:rsidR="0033474A" w:rsidRPr="0093156D" w:rsidRDefault="0033474A">
      <w:pPr>
        <w:spacing w:line="276" w:lineRule="auto"/>
        <w:rPr>
          <w:rFonts w:eastAsiaTheme="majorEastAsia" w:cstheme="majorBidi"/>
          <w:b/>
          <w:bCs/>
          <w:caps/>
          <w:color w:val="0092BB" w:themeColor="accent1"/>
          <w:sz w:val="36"/>
          <w:szCs w:val="36"/>
        </w:rPr>
      </w:pPr>
      <w:r w:rsidRPr="0093156D">
        <w:br w:type="page"/>
      </w:r>
    </w:p>
    <w:p w14:paraId="45264F35" w14:textId="77777777" w:rsidR="00FD6034" w:rsidRPr="0093156D" w:rsidRDefault="00FD6034" w:rsidP="00FD6034">
      <w:pPr>
        <w:pStyle w:val="Heading1"/>
      </w:pPr>
      <w:bookmarkStart w:id="2" w:name="_Toc512826743"/>
      <w:r w:rsidRPr="0093156D">
        <w:lastRenderedPageBreak/>
        <w:t>Contextual information</w:t>
      </w:r>
      <w:bookmarkEnd w:id="2"/>
    </w:p>
    <w:p w14:paraId="27D18F32" w14:textId="77777777" w:rsidR="00F505C0" w:rsidRPr="0093156D" w:rsidRDefault="002715C4" w:rsidP="00F52CE8">
      <w:pPr>
        <w:pStyle w:val="Heading2"/>
      </w:pPr>
      <w:bookmarkStart w:id="3" w:name="_Toc512826744"/>
      <w:r>
        <w:t xml:space="preserve">Country Context and </w:t>
      </w:r>
      <w:r w:rsidR="00FD6034" w:rsidRPr="0093156D">
        <w:t>Institutional Background</w:t>
      </w:r>
      <w:bookmarkEnd w:id="3"/>
    </w:p>
    <w:p w14:paraId="1E4A5D51" w14:textId="6700F720" w:rsidR="00C56E6A" w:rsidRPr="0093156D" w:rsidRDefault="00C56E6A" w:rsidP="008C4FDF">
      <w:pPr>
        <w:spacing w:after="120" w:line="276" w:lineRule="auto"/>
        <w:jc w:val="both"/>
      </w:pPr>
      <w:r w:rsidRPr="0093156D">
        <w:t xml:space="preserve">The country </w:t>
      </w:r>
      <w:r w:rsidR="00677A5E">
        <w:t>experienced</w:t>
      </w:r>
      <w:r w:rsidRPr="0093156D">
        <w:t xml:space="preserve"> turbulent times during the political transition from the Soviet Union to independent statehood and the economic transition from a centrally planned economy to a market economy. Real GDP per capita declined from 1988 to 1994 by 79%; the decline lasted for 5 years, the shortest observed among post-Soviet countries, but it had the largest cumulative decline of all (European Initiative - Liberal Academy, 2012). </w:t>
      </w:r>
      <w:r w:rsidR="00336D1F" w:rsidRPr="0093156D">
        <w:t>During</w:t>
      </w:r>
      <w:r w:rsidRPr="0093156D">
        <w:t xml:space="preserve"> </w:t>
      </w:r>
      <w:r w:rsidR="00336D1F" w:rsidRPr="0093156D">
        <w:t xml:space="preserve">the </w:t>
      </w:r>
      <w:r w:rsidRPr="0093156D">
        <w:t xml:space="preserve">first five years of independence Georgia experienced the acute hyperinflation, which prevented the economic development and contributed to the exacerbation of social problems in the country. After 1995, </w:t>
      </w:r>
      <w:r w:rsidR="00336D1F" w:rsidRPr="0093156D">
        <w:t xml:space="preserve">the </w:t>
      </w:r>
      <w:r w:rsidRPr="0093156D">
        <w:t>inflation rate declined and the Georgian economy started to grow at an average of 6%: inflation rate in Georgia averaged 7.5 percent from 1996 until 2017 with record low of -3.3 percent in May of 2012</w:t>
      </w:r>
      <w:r w:rsidRPr="0093156D">
        <w:rPr>
          <w:rStyle w:val="FootnoteReference"/>
        </w:rPr>
        <w:footnoteReference w:id="1"/>
      </w:r>
      <w:r w:rsidRPr="0093156D">
        <w:t xml:space="preserve">.  </w:t>
      </w:r>
    </w:p>
    <w:p w14:paraId="25EABE06" w14:textId="77777777" w:rsidR="00C56E6A" w:rsidRPr="0093156D" w:rsidRDefault="00C56E6A" w:rsidP="008C4FDF">
      <w:pPr>
        <w:spacing w:after="120" w:line="276" w:lineRule="auto"/>
        <w:jc w:val="both"/>
      </w:pPr>
      <w:r w:rsidRPr="0093156D">
        <w:t>Reforms, carried out in Georgia especially after the Rose Revolution of 2003</w:t>
      </w:r>
      <w:r w:rsidR="00336D1F" w:rsidRPr="0093156D">
        <w:t>,</w:t>
      </w:r>
      <w:r w:rsidRPr="0093156D">
        <w:t xml:space="preserve"> have accelerated the growth</w:t>
      </w:r>
      <w:r w:rsidR="00336D1F" w:rsidRPr="0093156D">
        <w:t>.</w:t>
      </w:r>
      <w:r w:rsidRPr="0093156D">
        <w:t xml:space="preserve"> Georgian government managed to improve the business climate substantiall</w:t>
      </w:r>
      <w:r w:rsidR="00336D1F" w:rsidRPr="0093156D">
        <w:t>y. T</w:t>
      </w:r>
      <w:r w:rsidRPr="0093156D">
        <w:t>he country moved up from 112th to 37th place in Ease of Doing Business ranking in a year from 2005 to 2006. In 2016 Georgia ranked 16th</w:t>
      </w:r>
      <w:r w:rsidRPr="0093156D">
        <w:rPr>
          <w:rStyle w:val="FootnoteReference"/>
        </w:rPr>
        <w:footnoteReference w:id="2"/>
      </w:r>
      <w:r w:rsidRPr="0093156D">
        <w:t xml:space="preserve"> - the same </w:t>
      </w:r>
      <w:r w:rsidR="00336D1F" w:rsidRPr="0093156D">
        <w:t>position</w:t>
      </w:r>
      <w:r w:rsidRPr="0093156D">
        <w:t xml:space="preserve"> as in 2008, when the economic development was interrupted as a result of the 2008 August</w:t>
      </w:r>
      <w:r w:rsidR="00336D1F" w:rsidRPr="0093156D">
        <w:t>-</w:t>
      </w:r>
      <w:r w:rsidRPr="0093156D">
        <w:t xml:space="preserve">war with Russia and the world financial crisis. </w:t>
      </w:r>
      <w:r w:rsidRPr="0093156D">
        <w:rPr>
          <w:bCs/>
        </w:rPr>
        <w:t>GDP per capita PPP in Georgia averaged 5248 USD in the period from 1990 until 2016, reaching an all time high of 9267 USD in the last year and a record low of 217</w:t>
      </w:r>
      <w:r w:rsidR="00336D1F" w:rsidRPr="0093156D">
        <w:rPr>
          <w:bCs/>
        </w:rPr>
        <w:t>8</w:t>
      </w:r>
      <w:r w:rsidRPr="0093156D">
        <w:rPr>
          <w:bCs/>
        </w:rPr>
        <w:t xml:space="preserve"> USD in 1994</w:t>
      </w:r>
      <w:r w:rsidRPr="0093156D">
        <w:rPr>
          <w:rStyle w:val="FootnoteReference"/>
          <w:bCs/>
          <w:color w:val="000000"/>
        </w:rPr>
        <w:footnoteReference w:id="3"/>
      </w:r>
      <w:r w:rsidRPr="0093156D">
        <w:rPr>
          <w:bCs/>
          <w:color w:val="000000"/>
        </w:rPr>
        <w:t>.</w:t>
      </w:r>
    </w:p>
    <w:p w14:paraId="3988BE9A" w14:textId="30B28F63" w:rsidR="00C56E6A" w:rsidRPr="0093156D" w:rsidRDefault="00C56E6A" w:rsidP="008C4FDF">
      <w:pPr>
        <w:spacing w:after="120" w:line="276" w:lineRule="auto"/>
        <w:jc w:val="both"/>
      </w:pPr>
      <w:r w:rsidRPr="0093156D">
        <w:t>In terms of the production structure during observed period</w:t>
      </w:r>
      <w:r w:rsidR="00336D1F" w:rsidRPr="0093156D">
        <w:t>,</w:t>
      </w:r>
      <w:r w:rsidRPr="0093156D">
        <w:t xml:space="preserve"> Georgia has transformed from an agriculture-driven economy to a more diversified and services-driven economy. While in 1996 more than a third of the value added (34%) was created in agriculture, in 2016 the contribution of this sector had fallen to 9%, though still retaining its place among the first three highest value adding sectors. The other two are trade (15.3%) and manufacturing (10%), with relatively stable shares in the GDP. The construction and transport sectors have traditionally played an important role in the development of the Georgian economy</w:t>
      </w:r>
      <w:r w:rsidR="00336D1F" w:rsidRPr="0093156D">
        <w:t>,</w:t>
      </w:r>
      <w:r w:rsidRPr="0093156D">
        <w:t xml:space="preserve"> contribut</w:t>
      </w:r>
      <w:r w:rsidR="00336D1F" w:rsidRPr="0093156D">
        <w:t>ing</w:t>
      </w:r>
      <w:r w:rsidRPr="0093156D">
        <w:t xml:space="preserve"> about 8 percentage to national GDP. The fastest growing sector is finance, which accounted for only 1% of GDP in 1996, but reached 4% in 2016</w:t>
      </w:r>
      <w:r w:rsidR="00336D1F" w:rsidRPr="0093156D">
        <w:t>. S</w:t>
      </w:r>
      <w:r w:rsidRPr="0093156D">
        <w:t>lightly smaller, but still substantial advances occurred in the real estate sector</w:t>
      </w:r>
      <w:r w:rsidR="00336D1F" w:rsidRPr="0093156D">
        <w:t xml:space="preserve">, </w:t>
      </w:r>
      <w:r w:rsidRPr="0093156D">
        <w:t>from 2% in 1996 to 7% in 2016 (</w:t>
      </w:r>
      <w:r w:rsidR="007F041C">
        <w:t>Geostat</w:t>
      </w:r>
      <w:r w:rsidRPr="0093156D">
        <w:t xml:space="preserve"> data</w:t>
      </w:r>
      <w:r w:rsidRPr="0093156D">
        <w:rPr>
          <w:rStyle w:val="FootnoteReference"/>
        </w:rPr>
        <w:footnoteReference w:id="4"/>
      </w:r>
      <w:r w:rsidRPr="0093156D">
        <w:t>).</w:t>
      </w:r>
    </w:p>
    <w:p w14:paraId="4E04EC4A" w14:textId="77777777" w:rsidR="00C56E6A" w:rsidRPr="0093156D" w:rsidRDefault="00C56E6A" w:rsidP="008C4FDF">
      <w:pPr>
        <w:autoSpaceDE w:val="0"/>
        <w:autoSpaceDN w:val="0"/>
        <w:adjustRightInd w:val="0"/>
        <w:spacing w:after="120" w:line="276" w:lineRule="auto"/>
        <w:jc w:val="both"/>
      </w:pPr>
      <w:r w:rsidRPr="0093156D">
        <w:t xml:space="preserve">However, the Georgian employment structure is still traditional, with agriculture accounting for 46 percent of total employment. The industrial sector is small, representing only 11 percent of total employment. The market service sector is relatively large (25 percent of employment), but is dominated by trade, which in a large part is a low value-added activity. The public services sector is also large, and activities such as education, health care and administration account for 17 percent of total employment. The modern business and financial services play a minor role as their share in non-agricultural employment is less than 6 percent. Thus, the majority of jobs in Georgia are located in the traditional, low-productivity sectors, while only a minority </w:t>
      </w:r>
      <w:r w:rsidR="00336D1F" w:rsidRPr="0093156D">
        <w:t xml:space="preserve">of jobs </w:t>
      </w:r>
      <w:r w:rsidRPr="0093156D">
        <w:t xml:space="preserve">is in modern, high-productivity sectors (WB, 2013, p.16). </w:t>
      </w:r>
    </w:p>
    <w:p w14:paraId="7C28FD9F" w14:textId="77777777" w:rsidR="002F36F9" w:rsidRPr="0093156D" w:rsidRDefault="002F36F9" w:rsidP="00C56E6A">
      <w:pPr>
        <w:spacing w:after="120"/>
        <w:jc w:val="both"/>
      </w:pPr>
    </w:p>
    <w:p w14:paraId="4B96B240" w14:textId="77777777" w:rsidR="002F36F9" w:rsidRPr="0093156D" w:rsidRDefault="002F36F9" w:rsidP="002F36F9">
      <w:pPr>
        <w:pStyle w:val="Heading3"/>
      </w:pPr>
      <w:bookmarkStart w:id="4" w:name="_Toc512826745"/>
      <w:r w:rsidRPr="0093156D">
        <w:t>Demographic development</w:t>
      </w:r>
      <w:bookmarkEnd w:id="4"/>
    </w:p>
    <w:p w14:paraId="6F4113E5" w14:textId="3BBD1500" w:rsidR="00C56E6A" w:rsidRPr="0093156D" w:rsidRDefault="00C56E6A" w:rsidP="008C4FDF">
      <w:pPr>
        <w:spacing w:after="120" w:line="276" w:lineRule="auto"/>
        <w:jc w:val="both"/>
      </w:pPr>
      <w:r w:rsidRPr="0093156D">
        <w:t xml:space="preserve">The last population census of 2014 has shown </w:t>
      </w:r>
      <w:r w:rsidR="00336D1F" w:rsidRPr="0093156D">
        <w:t>a</w:t>
      </w:r>
      <w:r w:rsidRPr="0093156D">
        <w:t xml:space="preserve"> decrease of</w:t>
      </w:r>
      <w:r w:rsidR="00336D1F" w:rsidRPr="0093156D">
        <w:t xml:space="preserve"> the</w:t>
      </w:r>
      <w:r w:rsidRPr="0093156D">
        <w:t xml:space="preserve"> national population from 4.1 million in 2002 to 3.7 million</w:t>
      </w:r>
      <w:r w:rsidR="00336D1F" w:rsidRPr="0093156D">
        <w:t xml:space="preserve"> in 2014</w:t>
      </w:r>
      <w:r w:rsidRPr="0093156D">
        <w:t xml:space="preserve">. </w:t>
      </w:r>
      <w:r w:rsidR="00677A5E">
        <w:t>S</w:t>
      </w:r>
      <w:r w:rsidRPr="0093156D">
        <w:t xml:space="preserve">ince </w:t>
      </w:r>
      <w:r w:rsidR="00677A5E">
        <w:t xml:space="preserve">its </w:t>
      </w:r>
      <w:r w:rsidRPr="0093156D">
        <w:t>independence</w:t>
      </w:r>
      <w:r w:rsidR="00677A5E">
        <w:t>,</w:t>
      </w:r>
      <w:r w:rsidRPr="0093156D">
        <w:t xml:space="preserve"> the </w:t>
      </w:r>
      <w:r w:rsidR="00677A5E">
        <w:t xml:space="preserve">population development has been negative. </w:t>
      </w:r>
      <w:r w:rsidRPr="0093156D">
        <w:t xml:space="preserve">Both low fertility and high levels of emigration have contributed to this situation. According to the UN Population Division (UN, 2017), net emigration rates from Georgia (including Abkhazia and South </w:t>
      </w:r>
      <w:r w:rsidRPr="0093156D">
        <w:lastRenderedPageBreak/>
        <w:t xml:space="preserve">Ossetia) during the period from 1990 until 2015 were the highest among the countries of the world with more than 1 million inhabitants. There </w:t>
      </w:r>
      <w:r w:rsidR="00677A5E">
        <w:t>is some indication, though, that the fertility rate has</w:t>
      </w:r>
      <w:r w:rsidRPr="0093156D">
        <w:t xml:space="preserve"> improved in Georgia since 2008. </w:t>
      </w:r>
    </w:p>
    <w:p w14:paraId="0FB41795" w14:textId="06EF7C8D" w:rsidR="00C56E6A" w:rsidRDefault="00C56E6A" w:rsidP="008C4FDF">
      <w:pPr>
        <w:spacing w:after="120" w:line="276" w:lineRule="auto"/>
        <w:jc w:val="both"/>
      </w:pPr>
      <w:r w:rsidRPr="0093156D">
        <w:t>57% of the Georgian population lives in urban areas and almost 30% of total population in the capital of Georgia, Tbilisi</w:t>
      </w:r>
      <w:r w:rsidR="00677A5E">
        <w:t>.</w:t>
      </w:r>
      <w:r w:rsidR="00336D1F" w:rsidRPr="0093156D">
        <w:t xml:space="preserve"> I</w:t>
      </w:r>
      <w:r w:rsidRPr="0093156D">
        <w:t xml:space="preserve">n 2014 ethnic Georgians accounted for 87% of the country’s population. </w:t>
      </w:r>
      <w:r w:rsidR="006A28FB" w:rsidRPr="0093156D">
        <w:t>E</w:t>
      </w:r>
      <w:r w:rsidRPr="0093156D">
        <w:t>thnic minorities include Azerbaijanis (6%) and Armenians (4.5%)</w:t>
      </w:r>
      <w:r w:rsidR="00677A5E">
        <w:t>.</w:t>
      </w:r>
      <w:r w:rsidRPr="0093156D">
        <w:rPr>
          <w:rStyle w:val="FootnoteReference"/>
        </w:rPr>
        <w:footnoteReference w:id="5"/>
      </w:r>
      <w:r w:rsidR="00677A5E">
        <w:t xml:space="preserve"> </w:t>
      </w:r>
      <w:r w:rsidRPr="0093156D">
        <w:t>The official language in Georgia is Georgian</w:t>
      </w:r>
      <w:r w:rsidR="006A28FB" w:rsidRPr="0093156D">
        <w:t xml:space="preserve">. </w:t>
      </w:r>
      <w:r w:rsidRPr="0093156D">
        <w:t xml:space="preserve">87.5% of the population is the native speaker. However, there is the problem of the fluent knowledge of the official language </w:t>
      </w:r>
      <w:r w:rsidR="006A28FB" w:rsidRPr="0093156D">
        <w:t>among</w:t>
      </w:r>
      <w:r w:rsidRPr="0093156D">
        <w:t xml:space="preserve"> main ethnic minorities. </w:t>
      </w:r>
      <w:r w:rsidR="006A28FB" w:rsidRPr="0093156D">
        <w:t>O</w:t>
      </w:r>
      <w:r w:rsidRPr="0093156D">
        <w:t>nly 19% of ethnic Azerbaijanis spoke Georgian fluently and the same figure for ethnic Armenians stood at 35% (Ibid).</w:t>
      </w:r>
      <w:r w:rsidRPr="0093156D">
        <w:rPr>
          <w:rFonts w:ascii="Calibri" w:hAnsi="Calibri" w:cs="Calibri"/>
        </w:rPr>
        <w:t xml:space="preserve"> </w:t>
      </w:r>
      <w:r w:rsidR="006A28FB" w:rsidRPr="0093156D">
        <w:t>W</w:t>
      </w:r>
      <w:r w:rsidRPr="0093156D">
        <w:t>ithout proper command of Georgian, ethnic minorities have little if any chances to get higher education in Georgia. Indeed, while 39% of the ethnic Georgians report higher than secondary education, the corresponding indicator for Armenians and Azerbaijanis stood at 9% and 6%, respectively (CRRC, 2015</w:t>
      </w:r>
      <w:r w:rsidRPr="0093156D">
        <w:rPr>
          <w:rStyle w:val="FootnoteReference"/>
        </w:rPr>
        <w:footnoteReference w:id="6"/>
      </w:r>
      <w:r w:rsidRPr="0093156D">
        <w:t xml:space="preserve">). </w:t>
      </w:r>
    </w:p>
    <w:p w14:paraId="2C89DF6D" w14:textId="77777777" w:rsidR="00677A5E" w:rsidRPr="0093156D" w:rsidRDefault="00677A5E" w:rsidP="008C4FDF">
      <w:pPr>
        <w:spacing w:after="120" w:line="276" w:lineRule="auto"/>
        <w:jc w:val="both"/>
      </w:pPr>
    </w:p>
    <w:p w14:paraId="0AF96754" w14:textId="77777777" w:rsidR="002F36F9" w:rsidRPr="0093156D" w:rsidRDefault="002F36F9" w:rsidP="008C4FDF">
      <w:pPr>
        <w:pStyle w:val="Heading3"/>
        <w:spacing w:line="276" w:lineRule="auto"/>
      </w:pPr>
      <w:bookmarkStart w:id="5" w:name="_Toc512826746"/>
      <w:r w:rsidRPr="0093156D">
        <w:t>Education system</w:t>
      </w:r>
      <w:bookmarkEnd w:id="5"/>
    </w:p>
    <w:p w14:paraId="4D6876AF" w14:textId="23101EBD" w:rsidR="00C56E6A" w:rsidRPr="0093156D" w:rsidRDefault="00C56E6A" w:rsidP="008C4FDF">
      <w:pPr>
        <w:spacing w:after="120" w:line="276" w:lineRule="auto"/>
        <w:jc w:val="both"/>
      </w:pPr>
      <w:r w:rsidRPr="0093156D">
        <w:t>Since 2004, Georgia has undertaken comprehensive educational reforms at all level of education, with the aim of creating a credible education system that is compatible with internationally accepted standards and concepts. Significant donor’s resources were devoted to on-going educational reform in Georgia</w:t>
      </w:r>
      <w:r w:rsidR="00677A5E">
        <w:t xml:space="preserve"> and is central to the </w:t>
      </w:r>
      <w:r w:rsidRPr="0093156D">
        <w:t>country’s Socio-economic Development Strategy (“Georgia 2020”)</w:t>
      </w:r>
      <w:r w:rsidR="00677A5E">
        <w:t xml:space="preserve">. </w:t>
      </w:r>
      <w:r w:rsidRPr="0093156D">
        <w:t xml:space="preserve"> </w:t>
      </w:r>
      <w:r w:rsidR="00153C75" w:rsidRPr="0093156D">
        <w:t xml:space="preserve">Public expenditures on education in Georgia </w:t>
      </w:r>
      <w:r w:rsidR="00153C75">
        <w:t>are</w:t>
      </w:r>
      <w:r w:rsidR="00153C75" w:rsidRPr="0093156D">
        <w:t xml:space="preserve"> still relatively low</w:t>
      </w:r>
      <w:r w:rsidR="00153C75">
        <w:t>, they</w:t>
      </w:r>
      <w:r w:rsidR="00153C75" w:rsidRPr="0093156D">
        <w:t xml:space="preserve"> accounted for about </w:t>
      </w:r>
      <w:r w:rsidR="00153C75">
        <w:t>3</w:t>
      </w:r>
      <w:r w:rsidR="00153C75" w:rsidRPr="0093156D">
        <w:t xml:space="preserve"> percent of GDP during 2007-13 which is significantly lower than the CIS and EU new member states’ average of 5 percent (International Bank for Reconstruction and Development/ The World Bank</w:t>
      </w:r>
      <w:r w:rsidR="00153C75" w:rsidRPr="0093156D">
        <w:rPr>
          <w:rFonts w:ascii="TimesNewRomanPSMT" w:hAnsi="TimesNewRomanPSMT" w:cs="TimesNewRomanPSMT"/>
        </w:rPr>
        <w:t xml:space="preserve">, </w:t>
      </w:r>
      <w:r w:rsidR="00153C75" w:rsidRPr="0093156D">
        <w:t>2014, p.13).</w:t>
      </w:r>
    </w:p>
    <w:p w14:paraId="3B9DFD67" w14:textId="7C264ED4" w:rsidR="00C56E6A" w:rsidRPr="0093156D" w:rsidRDefault="00C56E6A" w:rsidP="008C4FDF">
      <w:pPr>
        <w:spacing w:after="120" w:line="276" w:lineRule="auto"/>
        <w:jc w:val="both"/>
      </w:pPr>
      <w:r w:rsidRPr="0093156D">
        <w:t>Education in Georgia is mandatory for all children aged 6–14 years and illiteracy is minimal (0.4% in 2014</w:t>
      </w:r>
      <w:r w:rsidRPr="0093156D">
        <w:rPr>
          <w:rStyle w:val="FootnoteReference"/>
        </w:rPr>
        <w:footnoteReference w:id="7"/>
      </w:r>
      <w:r w:rsidRPr="0093156D">
        <w:t xml:space="preserve">). The school system is divided into elementary (six years; ages 6–12), basic (three years; ages 12–15) and secondary (three years; ages 15–18), or, alternatively, VET (two years). Only students with a secondary school diploma have access to higher education, and they have to pass unified national examinations to </w:t>
      </w:r>
      <w:r w:rsidR="009B5CA7" w:rsidRPr="0093156D">
        <w:t>enrol</w:t>
      </w:r>
      <w:r w:rsidRPr="0093156D">
        <w:t xml:space="preserve"> in a state-accredited higher education institution. The country has a high rate of enrolment in upper secondary education (92% in 2014) and a low rate of early school leavers (8% in 2014). The educational attainment level of the </w:t>
      </w:r>
      <w:r w:rsidR="0090402D" w:rsidRPr="0093156D">
        <w:t>labour</w:t>
      </w:r>
      <w:r w:rsidRPr="0093156D">
        <w:t xml:space="preserve"> force remains relatively high: in 2014, 62.1% of workers had secondary education and 30.4% - higher education. However, the quality of education remains an issue in Georgia’s general education system. In the OECD 2009 Programme for International Student Assessment (PISA), Georgian students scored below the OECD average in all fields. Only 38% of students were proficient in reading literacy, 34% were proficient in science, and only 31% were proficient in mathematics at or above the functional. The participation of the students in the VET education as well as its relevance for the </w:t>
      </w:r>
      <w:r w:rsidR="0090402D" w:rsidRPr="0093156D">
        <w:t>labour</w:t>
      </w:r>
      <w:r w:rsidRPr="0093156D">
        <w:t xml:space="preserve"> market’s demands are also important problems in Georgia (ETF, 2017 p.5, UNICEF, 2014, pp.13-19).</w:t>
      </w:r>
    </w:p>
    <w:p w14:paraId="370F2C7D" w14:textId="77777777" w:rsidR="001F38D8" w:rsidRPr="0093156D" w:rsidRDefault="001F38D8" w:rsidP="008C4FDF">
      <w:pPr>
        <w:pStyle w:val="Heading2"/>
        <w:spacing w:line="276" w:lineRule="auto"/>
      </w:pPr>
      <w:bookmarkStart w:id="6" w:name="_Toc512826747"/>
      <w:r w:rsidRPr="0093156D">
        <w:t>Labour market in Georgia</w:t>
      </w:r>
      <w:bookmarkEnd w:id="6"/>
    </w:p>
    <w:p w14:paraId="4F2EA747" w14:textId="641410B3" w:rsidR="00C56E6A" w:rsidRDefault="00C56E6A" w:rsidP="008C4FDF">
      <w:pPr>
        <w:spacing w:after="120" w:line="276" w:lineRule="auto"/>
        <w:jc w:val="both"/>
      </w:pPr>
      <w:r w:rsidRPr="0093156D">
        <w:t>The Georgian labour market has undergone major changes during the last 25 years</w:t>
      </w:r>
      <w:r w:rsidR="004A1F67">
        <w:t xml:space="preserve">, both in terms of institutional and economic changes, resulting in periods of </w:t>
      </w:r>
      <w:r w:rsidRPr="0093156D">
        <w:t xml:space="preserve">growth and severe declines. </w:t>
      </w:r>
      <w:r w:rsidR="004A1F67">
        <w:t>E</w:t>
      </w:r>
      <w:r w:rsidRPr="0093156D">
        <w:t>mployment rate</w:t>
      </w:r>
      <w:r w:rsidR="004A1F67">
        <w:t>s</w:t>
      </w:r>
      <w:r w:rsidRPr="0093156D">
        <w:t xml:space="preserve"> </w:t>
      </w:r>
      <w:r w:rsidR="004A1F67">
        <w:t>have been low</w:t>
      </w:r>
      <w:r w:rsidRPr="0093156D">
        <w:t xml:space="preserve"> and range</w:t>
      </w:r>
      <w:r w:rsidR="004A1F67">
        <w:t>d</w:t>
      </w:r>
      <w:r w:rsidRPr="0093156D">
        <w:t xml:space="preserve"> from 52% to 58%</w:t>
      </w:r>
      <w:r w:rsidR="004A1F67">
        <w:t>,</w:t>
      </w:r>
      <w:r w:rsidRPr="0093156D">
        <w:t xml:space="preserve"> with some improvement in last 2 years where it reached 59.5% (Geostat, 2017). </w:t>
      </w:r>
      <w:r w:rsidR="004A1F67">
        <w:t>These employment rates are</w:t>
      </w:r>
      <w:r w:rsidRPr="0093156D">
        <w:t xml:space="preserve"> far below the 70</w:t>
      </w:r>
      <w:r w:rsidR="004A1F67">
        <w:t xml:space="preserve">% </w:t>
      </w:r>
      <w:r w:rsidRPr="0093156D">
        <w:t xml:space="preserve">benchmark set for EU countries </w:t>
      </w:r>
      <w:r w:rsidR="004A1F67">
        <w:t>in</w:t>
      </w:r>
      <w:r w:rsidRPr="0093156D">
        <w:t xml:space="preserve"> 2010. Unemployment has been persistently high </w:t>
      </w:r>
      <w:r w:rsidR="004A1F67">
        <w:t>in</w:t>
      </w:r>
      <w:r w:rsidRPr="0093156D">
        <w:t xml:space="preserve"> Georgia, reaching its peak in 2009 (16.9%) due to the 2008 August </w:t>
      </w:r>
      <w:r w:rsidR="00153C75">
        <w:t>conflict</w:t>
      </w:r>
      <w:r w:rsidRPr="0093156D">
        <w:t xml:space="preserve"> and the world financial crisis. After that the unemployment rate started to decline, reaching 11.8% in 2016</w:t>
      </w:r>
      <w:r w:rsidR="00632F72">
        <w:t xml:space="preserve"> (see Figure 1).</w:t>
      </w:r>
      <w:r w:rsidRPr="0093156D">
        <w:rPr>
          <w:rStyle w:val="FootnoteReference"/>
        </w:rPr>
        <w:footnoteReference w:id="8"/>
      </w:r>
      <w:r w:rsidRPr="0093156D">
        <w:t xml:space="preserve"> </w:t>
      </w:r>
    </w:p>
    <w:p w14:paraId="07BF31A7" w14:textId="6E3222BE" w:rsidR="004A1F67" w:rsidRDefault="004A1F67" w:rsidP="00C56E6A">
      <w:pPr>
        <w:spacing w:after="120"/>
        <w:jc w:val="both"/>
      </w:pPr>
    </w:p>
    <w:p w14:paraId="640226C0" w14:textId="31CB0D8F" w:rsidR="004A1F67" w:rsidRPr="0093156D" w:rsidRDefault="004A1F67" w:rsidP="004A1F67">
      <w:pPr>
        <w:rPr>
          <w:rFonts w:asciiTheme="minorHAnsi" w:hAnsiTheme="minorHAnsi" w:cs="Times New Roman"/>
          <w:sz w:val="22"/>
          <w:szCs w:val="22"/>
        </w:rPr>
      </w:pPr>
      <w:r w:rsidRPr="0093156D">
        <w:rPr>
          <w:rFonts w:asciiTheme="minorHAnsi" w:hAnsiTheme="minorHAnsi"/>
          <w:b/>
          <w:sz w:val="22"/>
          <w:szCs w:val="22"/>
        </w:rPr>
        <w:t xml:space="preserve">Figure </w:t>
      </w:r>
      <w:r w:rsidRPr="0093156D">
        <w:fldChar w:fldCharType="begin"/>
      </w:r>
      <w:r w:rsidRPr="0093156D">
        <w:rPr>
          <w:rFonts w:asciiTheme="minorHAnsi" w:hAnsiTheme="minorHAnsi"/>
          <w:b/>
          <w:sz w:val="22"/>
          <w:szCs w:val="22"/>
        </w:rPr>
        <w:instrText xml:space="preserve"> SEQ Figure \* ARABIC </w:instrText>
      </w:r>
      <w:r w:rsidRPr="0093156D">
        <w:fldChar w:fldCharType="separate"/>
      </w:r>
      <w:r w:rsidR="00C50D04">
        <w:rPr>
          <w:rFonts w:asciiTheme="minorHAnsi" w:hAnsiTheme="minorHAnsi"/>
          <w:b/>
          <w:noProof/>
          <w:sz w:val="22"/>
          <w:szCs w:val="22"/>
        </w:rPr>
        <w:t>1</w:t>
      </w:r>
      <w:r w:rsidRPr="0093156D">
        <w:fldChar w:fldCharType="end"/>
      </w:r>
      <w:r w:rsidRPr="0093156D">
        <w:rPr>
          <w:rFonts w:asciiTheme="minorHAnsi" w:hAnsiTheme="minorHAnsi"/>
          <w:b/>
          <w:sz w:val="22"/>
          <w:szCs w:val="22"/>
        </w:rPr>
        <w:tab/>
        <w:t>Unemployment rates 2009 -2016 – official statistics</w:t>
      </w:r>
    </w:p>
    <w:p w14:paraId="41958125" w14:textId="77777777" w:rsidR="004A1F67" w:rsidRPr="0093156D" w:rsidRDefault="004A1F67" w:rsidP="004A1F67">
      <w:pPr>
        <w:spacing w:after="0"/>
      </w:pPr>
      <w:r w:rsidRPr="0093156D">
        <w:rPr>
          <w:noProof/>
          <w:lang w:eastAsia="en-GB"/>
        </w:rPr>
        <w:drawing>
          <wp:inline distT="0" distB="0" distL="0" distR="0" wp14:anchorId="32C61B49" wp14:editId="75118460">
            <wp:extent cx="5494351" cy="2895513"/>
            <wp:effectExtent l="0" t="0" r="0" b="635"/>
            <wp:docPr id="10" name="Picture 1" descr="C:\Users\Irina\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8.png"/>
                    <pic:cNvPicPr>
                      <a:picLocks noChangeAspect="1" noChangeArrowheads="1"/>
                    </pic:cNvPicPr>
                  </pic:nvPicPr>
                  <pic:blipFill>
                    <a:blip r:embed="rId18"/>
                    <a:srcRect/>
                    <a:stretch>
                      <a:fillRect/>
                    </a:stretch>
                  </pic:blipFill>
                  <pic:spPr bwMode="auto">
                    <a:xfrm>
                      <a:off x="0" y="0"/>
                      <a:ext cx="5546063" cy="2922765"/>
                    </a:xfrm>
                    <a:prstGeom prst="rect">
                      <a:avLst/>
                    </a:prstGeom>
                    <a:noFill/>
                    <a:ln w="9525">
                      <a:noFill/>
                      <a:miter lim="800000"/>
                      <a:headEnd/>
                      <a:tailEnd/>
                    </a:ln>
                  </pic:spPr>
                </pic:pic>
              </a:graphicData>
            </a:graphic>
          </wp:inline>
        </w:drawing>
      </w:r>
    </w:p>
    <w:p w14:paraId="1F8849C7" w14:textId="77777777" w:rsidR="004A1F67" w:rsidRPr="00E02592" w:rsidRDefault="004A1F67" w:rsidP="004A1F67">
      <w:pPr>
        <w:spacing w:after="0"/>
        <w:rPr>
          <w:sz w:val="16"/>
          <w:szCs w:val="18"/>
        </w:rPr>
      </w:pPr>
      <w:r w:rsidRPr="00E02592">
        <w:rPr>
          <w:i/>
          <w:sz w:val="16"/>
          <w:szCs w:val="18"/>
        </w:rPr>
        <w:t>Source:</w:t>
      </w:r>
      <w:r w:rsidRPr="00E02592">
        <w:rPr>
          <w:sz w:val="16"/>
          <w:szCs w:val="18"/>
        </w:rPr>
        <w:t xml:space="preserve"> Geostat, 2017, </w:t>
      </w:r>
      <w:r w:rsidRPr="00E02592">
        <w:rPr>
          <w:i/>
          <w:sz w:val="16"/>
          <w:szCs w:val="18"/>
        </w:rPr>
        <w:t>Employment and Unemployment in Georgia</w:t>
      </w:r>
      <w:r w:rsidRPr="00E02592">
        <w:rPr>
          <w:sz w:val="16"/>
          <w:szCs w:val="18"/>
        </w:rPr>
        <w:t>: http://geostat.ge/cms/site_images/_files/english/labour/employment%20and%20unemployment%202016_ENG.pdf</w:t>
      </w:r>
    </w:p>
    <w:p w14:paraId="083E77DC" w14:textId="77777777" w:rsidR="004A1F67" w:rsidRPr="0093156D" w:rsidRDefault="004A1F67" w:rsidP="00C56E6A">
      <w:pPr>
        <w:spacing w:after="120"/>
        <w:jc w:val="both"/>
      </w:pPr>
    </w:p>
    <w:p w14:paraId="716DCFD8" w14:textId="77777777" w:rsidR="00632F72" w:rsidRPr="0093156D" w:rsidRDefault="00632F72" w:rsidP="008C4FDF">
      <w:pPr>
        <w:spacing w:after="120" w:line="276" w:lineRule="auto"/>
        <w:jc w:val="both"/>
        <w:rPr>
          <w:rStyle w:val="A8"/>
          <w:sz w:val="22"/>
          <w:szCs w:val="22"/>
        </w:rPr>
      </w:pPr>
      <w:r>
        <w:t>The official figures hide however the size of the unemployment experience in Georgia.</w:t>
      </w:r>
      <w:r>
        <w:rPr>
          <w:rStyle w:val="FootnoteReference"/>
        </w:rPr>
        <w:footnoteReference w:id="9"/>
      </w:r>
      <w:r>
        <w:t xml:space="preserve"> </w:t>
      </w:r>
      <w:r w:rsidR="0090402D" w:rsidRPr="0093156D">
        <w:t>O</w:t>
      </w:r>
      <w:r w:rsidR="00C56E6A" w:rsidRPr="0093156D">
        <w:t xml:space="preserve">fficial statistics </w:t>
      </w:r>
      <w:r w:rsidR="0090402D" w:rsidRPr="0093156D">
        <w:t xml:space="preserve">tend to </w:t>
      </w:r>
      <w:r w:rsidR="00C56E6A" w:rsidRPr="0093156D">
        <w:t>overestimates national employment rates by including in the total number of employees those who are working in households free of charge and those helping family members.</w:t>
      </w:r>
      <w:r>
        <w:rPr>
          <w:rStyle w:val="FootnoteReference"/>
        </w:rPr>
        <w:footnoteReference w:id="10"/>
      </w:r>
      <w:r w:rsidR="00C56E6A" w:rsidRPr="0093156D">
        <w:t xml:space="preserve"> </w:t>
      </w:r>
      <w:r w:rsidRPr="0093156D">
        <w:t xml:space="preserve">Thus, the true unemployment rate in Georgia especially in rural areas is probably higher than that suggested by the official statistics that provides employment indicators for rural population being at least 4 times higher than for urban: in 2016 unemployment rate in rural areas of Georgia was 5%, as compared to 21.1% - in urban areas (Geostat, 2017). </w:t>
      </w:r>
    </w:p>
    <w:p w14:paraId="513C66E5" w14:textId="3697AC04" w:rsidR="00BF69BE" w:rsidRDefault="00CD3E4B" w:rsidP="008C4FDF">
      <w:pPr>
        <w:spacing w:after="120" w:line="276" w:lineRule="auto"/>
        <w:jc w:val="both"/>
      </w:pPr>
      <w:r>
        <w:t>T</w:t>
      </w:r>
      <w:r w:rsidR="00C56E6A" w:rsidRPr="0093156D">
        <w:t>he predominance of self-employed workers among the working population is an outstanding feature of the Georgian labour market. This feature is consistent over time, and at least in part it reflects the resilience of the informal economy and informal employment.</w:t>
      </w:r>
      <w:r w:rsidR="00632F72">
        <w:t xml:space="preserve"> </w:t>
      </w:r>
      <w:r w:rsidR="00C56E6A" w:rsidRPr="0093156D">
        <w:t xml:space="preserve">The large part of self-employed workforce in rural areas of Georgia is employed in the low-productivity agricultural sector; that’s why a share of incomes from self-employment in average rural household does not exceed 7% of its total cash income (Geostat, 2016, p.52). </w:t>
      </w:r>
      <w:r w:rsidR="00BF69BE">
        <w:t>S</w:t>
      </w:r>
      <w:r w:rsidR="00BF69BE" w:rsidRPr="0093156D">
        <w:t xml:space="preserve">elf-employment in Georgia does not comprise small business, which have a potential to generate income, reduce poverty level and foster economic growth, rather its main share made up of self-subsistence farming, informal trade or unpaid domestic work (Terterashvili, 2014, p.5). </w:t>
      </w:r>
    </w:p>
    <w:p w14:paraId="71832775" w14:textId="1BD9129F" w:rsidR="00C56E6A" w:rsidRPr="0093156D" w:rsidRDefault="00C56E6A" w:rsidP="008C4FDF">
      <w:pPr>
        <w:spacing w:after="120" w:line="276" w:lineRule="auto"/>
        <w:jc w:val="both"/>
      </w:pPr>
      <w:r w:rsidRPr="0093156D">
        <w:t xml:space="preserve">Many workers in Georgia either in urban and rural areas are still employed in the informal sector, often a last resort providing only subsistence income. So-called “seasonal” unemployment is also widespread in the country where </w:t>
      </w:r>
      <w:r w:rsidR="0090402D" w:rsidRPr="0093156D">
        <w:t xml:space="preserve">some </w:t>
      </w:r>
      <w:r w:rsidRPr="0093156D">
        <w:t xml:space="preserve">people </w:t>
      </w:r>
      <w:r w:rsidR="0090402D" w:rsidRPr="0093156D">
        <w:t xml:space="preserve">are </w:t>
      </w:r>
      <w:r w:rsidRPr="0093156D">
        <w:t xml:space="preserve">fully employed only during a few months in a year. </w:t>
      </w:r>
      <w:r w:rsidR="00632F72">
        <w:t xml:space="preserve">This </w:t>
      </w:r>
      <w:r w:rsidRPr="0093156D">
        <w:t xml:space="preserve">“secondary” market </w:t>
      </w:r>
      <w:r w:rsidR="00632F72">
        <w:t>forces</w:t>
      </w:r>
      <w:r w:rsidRPr="0093156D">
        <w:t xml:space="preserve"> </w:t>
      </w:r>
      <w:r w:rsidR="0090402D" w:rsidRPr="0093156D">
        <w:t xml:space="preserve">most </w:t>
      </w:r>
      <w:r w:rsidRPr="0093156D">
        <w:t>Georgians into jobs that require limited skills, offer</w:t>
      </w:r>
      <w:r w:rsidR="007F041C">
        <w:t>s</w:t>
      </w:r>
      <w:r w:rsidRPr="0093156D">
        <w:t xml:space="preserve"> no career growth opportunities, provide</w:t>
      </w:r>
      <w:r w:rsidR="007F041C">
        <w:t>s</w:t>
      </w:r>
      <w:r w:rsidRPr="0093156D">
        <w:t xml:space="preserve"> difficult working conditions and low remuneration with minimal social protections and guarantees. Since the 1990’s the problem of the “working poor” has been acute, trapping people in low-paying salaried work, and in small earnings for the self-employed. </w:t>
      </w:r>
    </w:p>
    <w:p w14:paraId="790B682C" w14:textId="3D844514" w:rsidR="00C56E6A" w:rsidRPr="0093156D" w:rsidRDefault="0090402D" w:rsidP="008C4FDF">
      <w:pPr>
        <w:spacing w:after="120" w:line="276" w:lineRule="auto"/>
        <w:jc w:val="both"/>
      </w:pPr>
      <w:r w:rsidRPr="0093156D">
        <w:t>F</w:t>
      </w:r>
      <w:r w:rsidR="00C56E6A" w:rsidRPr="0093156D">
        <w:t xml:space="preserve">or many Georgian families, emigration </w:t>
      </w:r>
      <w:r w:rsidR="00BF69BE">
        <w:t>to work</w:t>
      </w:r>
      <w:r w:rsidR="00C56E6A" w:rsidRPr="0093156D">
        <w:t xml:space="preserve"> abroad</w:t>
      </w:r>
      <w:r w:rsidR="00BF69BE">
        <w:t xml:space="preserve"> </w:t>
      </w:r>
      <w:r w:rsidR="00C56E6A" w:rsidRPr="0093156D">
        <w:t xml:space="preserve">enables </w:t>
      </w:r>
      <w:r w:rsidR="00BF69BE">
        <w:t>the household to survive on</w:t>
      </w:r>
      <w:r w:rsidR="00C56E6A" w:rsidRPr="0093156D">
        <w:t xml:space="preserve"> remittances sent from abroad. In Georgia more than one million people or 25% of its recent population live outside of the country (World Bank, 2011). </w:t>
      </w:r>
      <w:r w:rsidR="00BF69BE">
        <w:t>B</w:t>
      </w:r>
      <w:r w:rsidR="00C56E6A" w:rsidRPr="0093156D">
        <w:t xml:space="preserve">etween 7% and 8% of current Georgian population has </w:t>
      </w:r>
      <w:r w:rsidRPr="0093156D">
        <w:t xml:space="preserve">migration </w:t>
      </w:r>
      <w:r w:rsidR="00C56E6A" w:rsidRPr="0093156D">
        <w:t xml:space="preserve">experience, i.e., either they </w:t>
      </w:r>
      <w:r w:rsidRPr="0093156D">
        <w:t>have emigrated</w:t>
      </w:r>
      <w:r w:rsidR="00C56E6A" w:rsidRPr="0093156D">
        <w:t xml:space="preserve"> or they have </w:t>
      </w:r>
      <w:r w:rsidRPr="0093156D">
        <w:t>e</w:t>
      </w:r>
      <w:r w:rsidR="00C56E6A" w:rsidRPr="0093156D">
        <w:t>migrated and returned (ETF and BCG-Research, 2013, p.9).</w:t>
      </w:r>
      <w:r w:rsidR="00BF69BE">
        <w:t xml:space="preserve"> </w:t>
      </w:r>
      <w:r w:rsidR="00C56E6A" w:rsidRPr="0093156D">
        <w:t xml:space="preserve">According to the data from Georgian Integrated Household Survey, approximately 7% of population residing in Georgia receives remittances from abroad, which corresponds to the estimates between 6% and 10% of families with absent labour migrants abroad in the total number of households in Georgia (Ibid, p.12). These remittances </w:t>
      </w:r>
      <w:r w:rsidR="00BF69BE">
        <w:t>comprise</w:t>
      </w:r>
      <w:r w:rsidR="00C56E6A" w:rsidRPr="0093156D">
        <w:t xml:space="preserve"> 5% of the </w:t>
      </w:r>
      <w:r w:rsidR="00BF69BE">
        <w:t xml:space="preserve">overall </w:t>
      </w:r>
      <w:r w:rsidR="00C56E6A" w:rsidRPr="0093156D">
        <w:t>household incomes in Georgia, but for those households who receive these remittances</w:t>
      </w:r>
      <w:r w:rsidR="00BF69BE">
        <w:t>,</w:t>
      </w:r>
      <w:r w:rsidR="00C56E6A" w:rsidRPr="0093156D">
        <w:t xml:space="preserve"> it</w:t>
      </w:r>
      <w:r w:rsidR="00BF69BE">
        <w:t xml:space="preserve"> provides almost</w:t>
      </w:r>
      <w:r w:rsidR="00C56E6A" w:rsidRPr="0093156D">
        <w:t xml:space="preserve"> half of </w:t>
      </w:r>
      <w:r w:rsidR="00BF69BE">
        <w:t>the household’s</w:t>
      </w:r>
      <w:r w:rsidR="00C56E6A" w:rsidRPr="0093156D">
        <w:t xml:space="preserve"> budget (Badurashvili and Nadareishvili, 2011, p.15).</w:t>
      </w:r>
    </w:p>
    <w:p w14:paraId="45A865E2" w14:textId="77777777" w:rsidR="00C56E6A" w:rsidRPr="0093156D" w:rsidRDefault="00C56E6A" w:rsidP="00C56E6A">
      <w:pPr>
        <w:pStyle w:val="Heading2"/>
        <w:ind w:left="576" w:hanging="576"/>
      </w:pPr>
      <w:bookmarkStart w:id="7" w:name="_Toc512826748"/>
      <w:r w:rsidRPr="0093156D">
        <w:t>Labour legislation in Georgia</w:t>
      </w:r>
      <w:bookmarkEnd w:id="7"/>
    </w:p>
    <w:p w14:paraId="6859595A" w14:textId="77777777" w:rsidR="00DA42BC" w:rsidRPr="0093156D" w:rsidRDefault="00DA42BC" w:rsidP="008C4FDF">
      <w:pPr>
        <w:autoSpaceDE w:val="0"/>
        <w:autoSpaceDN w:val="0"/>
        <w:adjustRightInd w:val="0"/>
        <w:spacing w:after="120" w:line="276" w:lineRule="auto"/>
        <w:jc w:val="both"/>
      </w:pPr>
      <w:r w:rsidRPr="0093156D">
        <w:t>The rights and obligations of employers and employee in Georgia are regulated by the Constitution of Georgia, ratified international agreements, the Labour Code of Georgia, the Law of Georgia on Trade Unions and other relevant legislative acts.</w:t>
      </w:r>
    </w:p>
    <w:p w14:paraId="46C5D21F" w14:textId="77777777" w:rsidR="00DA42BC" w:rsidRPr="0093156D" w:rsidRDefault="00DA42BC" w:rsidP="008C4FDF">
      <w:pPr>
        <w:autoSpaceDE w:val="0"/>
        <w:autoSpaceDN w:val="0"/>
        <w:adjustRightInd w:val="0"/>
        <w:spacing w:after="120" w:line="276" w:lineRule="auto"/>
        <w:jc w:val="both"/>
      </w:pPr>
      <w:r w:rsidRPr="0093156D">
        <w:t>The state employment policy is also regulated by the Law of Georgia on Trade Unions, which envisages the participation of a trade union in the development and implementation of the state employment policy and provides public supervision over the abovementioned activities. However, the role of Trade Unions until recently was widely neglected. In 2009 it was officially recognized as a social partner of Georgian government (Tripartite Social Partnership Commission</w:t>
      </w:r>
      <w:r w:rsidRPr="0093156D">
        <w:rPr>
          <w:rStyle w:val="FootnoteReference"/>
        </w:rPr>
        <w:footnoteReference w:id="11"/>
      </w:r>
      <w:r w:rsidRPr="0093156D">
        <w:t xml:space="preserve">). Nowadays Trade Unions more participate in the protection of employee rights, the implementation of the state employment policy and the creation of dignified working conditions along with the employers. </w:t>
      </w:r>
    </w:p>
    <w:p w14:paraId="5E1F660A" w14:textId="0C85BAAE" w:rsidR="00DA42BC" w:rsidRPr="0093156D" w:rsidRDefault="00DA42BC" w:rsidP="008C4FDF">
      <w:pPr>
        <w:autoSpaceDE w:val="0"/>
        <w:autoSpaceDN w:val="0"/>
        <w:adjustRightInd w:val="0"/>
        <w:spacing w:after="120" w:line="276" w:lineRule="auto"/>
        <w:jc w:val="both"/>
      </w:pPr>
      <w:r w:rsidRPr="0093156D">
        <w:t xml:space="preserve">The Labour code adopted in 2006 was considered to be among the most liberal in the world. It radically increased labour market flexibility and </w:t>
      </w:r>
      <w:r w:rsidR="00BF69BE">
        <w:t xml:space="preserve">shifted </w:t>
      </w:r>
      <w:r w:rsidRPr="0093156D">
        <w:t xml:space="preserve">the power </w:t>
      </w:r>
      <w:r w:rsidR="00BF69BE">
        <w:t xml:space="preserve">towards </w:t>
      </w:r>
      <w:r w:rsidRPr="0093156D">
        <w:t>employers in industrial relations</w:t>
      </w:r>
      <w:r w:rsidR="00BF69BE">
        <w:t xml:space="preserve">. As a result, there was no institutional setting for social dialogue neither on the national nor on the firm level. </w:t>
      </w:r>
      <w:r w:rsidRPr="0093156D">
        <w:t>The new amendments to Labour code adopted in Georgia in 2013 made it more comparable with international standards. It provides a more balanced approach to the regulation of employment relations.</w:t>
      </w:r>
      <w:r w:rsidR="00BF69BE">
        <w:t xml:space="preserve"> It included a limitation on fixed-term </w:t>
      </w:r>
      <w:r w:rsidR="007F041C">
        <w:t>contracts</w:t>
      </w:r>
      <w:r w:rsidR="00BF69BE">
        <w:t xml:space="preserve">, paid and maternity leave requirements and a </w:t>
      </w:r>
      <w:r w:rsidRPr="0093156D">
        <w:t xml:space="preserve">better regulation </w:t>
      </w:r>
      <w:r w:rsidR="00BF69BE">
        <w:t>to allow for</w:t>
      </w:r>
      <w:r w:rsidRPr="0093156D">
        <w:t xml:space="preserve"> collective bargaining </w:t>
      </w:r>
      <w:r w:rsidR="00BF69BE">
        <w:t>as well as</w:t>
      </w:r>
      <w:r w:rsidRPr="0093156D">
        <w:t xml:space="preserve"> protection against anti-unions activities and strikes. </w:t>
      </w:r>
    </w:p>
    <w:p w14:paraId="1C13CC63" w14:textId="1C0E7770" w:rsidR="00DA42BC" w:rsidRPr="0093156D" w:rsidRDefault="00DA42BC" w:rsidP="008C4FDF">
      <w:pPr>
        <w:spacing w:after="120" w:line="276" w:lineRule="auto"/>
        <w:jc w:val="both"/>
      </w:pPr>
      <w:r w:rsidRPr="0093156D">
        <w:t xml:space="preserve">Part-time and flexible work’s opportunities for women are still issues in Georgia, as </w:t>
      </w:r>
      <w:r w:rsidR="00606A21">
        <w:t>they remain un</w:t>
      </w:r>
      <w:r w:rsidRPr="0093156D">
        <w:t xml:space="preserve">regulated; absence of alternative job engagement in Georgian legislation makes </w:t>
      </w:r>
      <w:r w:rsidR="00606A21">
        <w:t>it difficult for</w:t>
      </w:r>
      <w:r w:rsidRPr="0093156D">
        <w:t xml:space="preserve"> women to combine family responsibilities and </w:t>
      </w:r>
      <w:r w:rsidR="00606A21">
        <w:t xml:space="preserve">their </w:t>
      </w:r>
      <w:r w:rsidRPr="0093156D">
        <w:t xml:space="preserve">professional career. </w:t>
      </w:r>
      <w:r w:rsidR="00606A21">
        <w:t xml:space="preserve">This is also reflected in the </w:t>
      </w:r>
      <w:r w:rsidRPr="0093156D">
        <w:t xml:space="preserve">female’s </w:t>
      </w:r>
      <w:r w:rsidR="0090402D" w:rsidRPr="0093156D">
        <w:t xml:space="preserve">labour </w:t>
      </w:r>
      <w:r w:rsidRPr="0093156D">
        <w:t>force participation rate in Georgia</w:t>
      </w:r>
      <w:r w:rsidR="00606A21">
        <w:t xml:space="preserve">, which </w:t>
      </w:r>
      <w:r w:rsidRPr="0093156D">
        <w:t xml:space="preserve">is below </w:t>
      </w:r>
      <w:r w:rsidR="00606A21">
        <w:t>the male</w:t>
      </w:r>
      <w:r w:rsidRPr="0093156D">
        <w:t xml:space="preserve"> participation rate. The participation rate gap between male and female fluctuated between lower bound about 17.4 percentage points in 2004 to upper bound about 20.8 percentage points in 2012</w:t>
      </w:r>
      <w:r w:rsidR="00606A21">
        <w:t xml:space="preserve">. </w:t>
      </w:r>
    </w:p>
    <w:p w14:paraId="3E94B27B" w14:textId="77777777" w:rsidR="00DA42BC" w:rsidRPr="0093156D" w:rsidRDefault="00DA42BC" w:rsidP="00DA42BC">
      <w:pPr>
        <w:pStyle w:val="Heading2"/>
        <w:spacing w:after="120"/>
        <w:jc w:val="both"/>
      </w:pPr>
      <w:bookmarkStart w:id="8" w:name="_Toc512826749"/>
      <w:r w:rsidRPr="0093156D">
        <w:t>Labour market policy in Georgia</w:t>
      </w:r>
      <w:bookmarkEnd w:id="8"/>
    </w:p>
    <w:p w14:paraId="5D6BE02A" w14:textId="1D9EA589" w:rsidR="004D7996" w:rsidRDefault="004D7996" w:rsidP="008C4FDF">
      <w:pPr>
        <w:spacing w:after="120" w:line="276" w:lineRule="auto"/>
        <w:ind w:right="-31"/>
        <w:jc w:val="both"/>
      </w:pPr>
      <w:r>
        <w:t>Initially the labour market was largely unregulated with a lack</w:t>
      </w:r>
      <w:r w:rsidR="00DA42BC" w:rsidRPr="0093156D">
        <w:t xml:space="preserve"> of proper public institutions </w:t>
      </w:r>
      <w:r>
        <w:t xml:space="preserve">which </w:t>
      </w:r>
      <w:r w:rsidR="00710B79">
        <w:t xml:space="preserve">has been </w:t>
      </w:r>
      <w:r>
        <w:t xml:space="preserve"> a </w:t>
      </w:r>
      <w:r w:rsidR="00DA42BC" w:rsidRPr="0093156D">
        <w:t xml:space="preserve">significant obstacle for effective management of labour market. </w:t>
      </w:r>
      <w:r>
        <w:t xml:space="preserve"> However</w:t>
      </w:r>
      <w:r w:rsidR="00561D37">
        <w:t>,</w:t>
      </w:r>
      <w:r>
        <w:t xml:space="preserve"> since the </w:t>
      </w:r>
      <w:r w:rsidR="00DA42BC" w:rsidRPr="0093156D">
        <w:t xml:space="preserve">2000s several programs </w:t>
      </w:r>
      <w:r>
        <w:t xml:space="preserve">were launched </w:t>
      </w:r>
      <w:r w:rsidR="00DA42BC" w:rsidRPr="0093156D">
        <w:t xml:space="preserve">to reduce the unemployment levels in Georgia. Among these programs were projects aiming at developing small businesses, providing vocational training and re-training, training internships, and employment generating activities through the development of small-medium size businesses. </w:t>
      </w:r>
    </w:p>
    <w:p w14:paraId="4ED9D892" w14:textId="63D6E684" w:rsidR="00DA42BC" w:rsidRPr="0093156D" w:rsidRDefault="00DA42BC" w:rsidP="008C4FDF">
      <w:pPr>
        <w:spacing w:after="120" w:line="276" w:lineRule="auto"/>
        <w:ind w:right="-31"/>
        <w:jc w:val="both"/>
      </w:pPr>
      <w:r w:rsidRPr="0093156D">
        <w:t xml:space="preserve">The scale of </w:t>
      </w:r>
      <w:r w:rsidR="004D7996">
        <w:t xml:space="preserve">these </w:t>
      </w:r>
      <w:r w:rsidRPr="0093156D">
        <w:t xml:space="preserve">programs was limited and outcomes in terms of actual employment </w:t>
      </w:r>
      <w:r w:rsidR="004D7996">
        <w:t>small</w:t>
      </w:r>
      <w:r w:rsidRPr="0093156D">
        <w:t>.</w:t>
      </w:r>
      <w:r w:rsidRPr="0093156D">
        <w:rPr>
          <w:rFonts w:ascii="Times New Roman" w:hAnsi="Times New Roman" w:cs="Times New Roman"/>
        </w:rPr>
        <w:t xml:space="preserve"> </w:t>
      </w:r>
      <w:r w:rsidRPr="0093156D">
        <w:t xml:space="preserve">Programs’ participants were offered mainly the cash benefits instead of enhancing their qualification levels, leading to a </w:t>
      </w:r>
      <w:r w:rsidR="0090402D" w:rsidRPr="0093156D">
        <w:t xml:space="preserve">labour </w:t>
      </w:r>
      <w:r w:rsidRPr="0093156D">
        <w:t xml:space="preserve">market policy that failed to tackle the core problem of employment creation. </w:t>
      </w:r>
      <w:r w:rsidR="004D7996">
        <w:t>Thus</w:t>
      </w:r>
      <w:r w:rsidRPr="0093156D">
        <w:t xml:space="preserve"> these programs were not able to provide tangible results due to lack of proper evaluation and control mechanisms and a relatively small program size (Ambroladze, 2012, p.25). </w:t>
      </w:r>
    </w:p>
    <w:p w14:paraId="06E193EC" w14:textId="25032D18" w:rsidR="009622AA" w:rsidRPr="009622AA" w:rsidRDefault="009622AA" w:rsidP="008C4FDF">
      <w:pPr>
        <w:pStyle w:val="CommentText"/>
        <w:spacing w:line="276" w:lineRule="auto"/>
        <w:jc w:val="both"/>
        <w:rPr>
          <w:lang w:val="en-US"/>
        </w:rPr>
      </w:pPr>
      <w:r w:rsidRPr="0093156D">
        <w:t xml:space="preserve">The responsible agency for administering financing and implementation of employment policy in Georgia is the Ministry of Labour, Health and Social Affairs (MoLHSA), created in 1995 after the merger of three different ministries. However, the department implementing the employment policy there was abolished in 2005 and has been created again only in 2013. Recently some functions, particularly related to exchange of information about labour market between different Georgian agencies and managing of labour market information have been delegated from the MoLHSA to the Ministry of Economy and Sustainable Development. </w:t>
      </w:r>
      <w:r w:rsidRPr="00F76053">
        <w:t xml:space="preserve"> The unit dealing with “Labour Market Information System (LMIS)” web portal was moved in 2017 to the Ministry of Economy.</w:t>
      </w:r>
      <w:r>
        <w:rPr>
          <w:rStyle w:val="FootnoteReference"/>
        </w:rPr>
        <w:footnoteReference w:id="12"/>
      </w:r>
      <w:r w:rsidRPr="00F76053">
        <w:t xml:space="preserve"> </w:t>
      </w:r>
    </w:p>
    <w:p w14:paraId="3C552C68" w14:textId="4E615917" w:rsidR="004D55E4" w:rsidRPr="009622AA" w:rsidRDefault="004D55E4" w:rsidP="008C4FDF">
      <w:pPr>
        <w:spacing w:after="120" w:line="276" w:lineRule="auto"/>
        <w:ind w:right="-31"/>
        <w:jc w:val="both"/>
      </w:pPr>
      <w:r w:rsidRPr="009622AA">
        <w:t xml:space="preserve">The Labour and Employment Policy Department, created in 2014 within the MoLHSA: </w:t>
      </w:r>
      <w:r w:rsidR="00EB223C" w:rsidRPr="009622AA">
        <w:t xml:space="preserve">The </w:t>
      </w:r>
      <w:r w:rsidR="009622AA" w:rsidRPr="009622AA">
        <w:t>Labour and Employment Policy Department, created in 2014,</w:t>
      </w:r>
      <w:r w:rsidRPr="009622AA">
        <w:t xml:space="preserve"> has the mandate to develop national employment and labour market policies</w:t>
      </w:r>
      <w:r w:rsidR="009622AA" w:rsidRPr="009622AA">
        <w:t xml:space="preserve">. Youth has been one of the initial </w:t>
      </w:r>
      <w:r w:rsidRPr="009622AA">
        <w:t>target groups for its policies. The staff of this department has been receiving the EU-funded technical support for improving its policies during 2014-2018 period. The department recently developed a one-stop-shop integrated public web-portal “Labour Market Information System (LMIS)” which ultimately will provide updated information on labour market trends, career guidance and occupational profiles.</w:t>
      </w:r>
    </w:p>
    <w:p w14:paraId="56AD89D4" w14:textId="263308C9" w:rsidR="004D55E4" w:rsidRPr="009622AA" w:rsidRDefault="00F76053" w:rsidP="008C4FDF">
      <w:pPr>
        <w:spacing w:after="120" w:line="276" w:lineRule="auto"/>
        <w:ind w:right="-31"/>
        <w:jc w:val="both"/>
      </w:pPr>
      <w:r w:rsidRPr="0093156D">
        <w:t>Efforts to improve a situation with labour market management are still at the very initial stages in Georgia</w:t>
      </w:r>
      <w:r w:rsidR="009622AA">
        <w:t xml:space="preserve">, the efforts of the past years have resulted in the development of several crucial policy documents </w:t>
      </w:r>
      <w:r w:rsidR="004D55E4" w:rsidRPr="009622AA">
        <w:t>the</w:t>
      </w:r>
      <w:r w:rsidR="004D55E4" w:rsidRPr="009622AA" w:rsidDel="00E13153">
        <w:t xml:space="preserve"> </w:t>
      </w:r>
      <w:r w:rsidR="004D55E4" w:rsidRPr="009622AA">
        <w:t>State Strategy for the Formation of the Georgian Labour Market 2015-2018 and its Action Plan, followed by the State Strategy on Developing the Labour Market Information System (LMIS) 2015-2018 and Action Plan; the Strategy of Developing Publicly Available Lifelong Vocational Counselling and Career Planning 2015-2017 and Action Plan; the State Programme of Development of Employment Promotion Services 2015-2018 and Action Plan; the Active Labour Market Policy (ALMP) Strategy 2016-2018 and Action Plan.</w:t>
      </w:r>
    </w:p>
    <w:p w14:paraId="047A6805" w14:textId="5C58AF09" w:rsidR="004D55E4" w:rsidRPr="004D55E4" w:rsidRDefault="00844CDE" w:rsidP="008C4FDF">
      <w:pPr>
        <w:spacing w:after="120" w:line="276" w:lineRule="auto"/>
        <w:ind w:right="-31"/>
        <w:jc w:val="both"/>
      </w:pPr>
      <w:r>
        <w:t>The</w:t>
      </w:r>
      <w:r w:rsidR="00F76053" w:rsidRPr="0093156D">
        <w:t xml:space="preserve"> State Employment Agency was created in 2006 but </w:t>
      </w:r>
      <w:r w:rsidR="00EA1B02">
        <w:t xml:space="preserve">already </w:t>
      </w:r>
      <w:r w:rsidR="00F76053" w:rsidRPr="0093156D">
        <w:t xml:space="preserve">dissolved one year later. </w:t>
      </w:r>
      <w:r w:rsidR="00EA1B02">
        <w:t>T</w:t>
      </w:r>
      <w:r w:rsidR="004D55E4" w:rsidRPr="009622AA">
        <w:t>he Employment Support Services (ESS), created in 2014 within the Social Services Agency (SSA)</w:t>
      </w:r>
      <w:r w:rsidR="009622AA">
        <w:t xml:space="preserve"> was aimed</w:t>
      </w:r>
      <w:r w:rsidR="004D55E4" w:rsidRPr="004D55E4">
        <w:t xml:space="preserve"> to function as public employment services of the country, it was made responsible to register job-seekers and vacancies, provide employment services, and implement active labour market programmes (ALMP). The main ALMPs introduced so far have been training and retraining programmes for the unemployed, employment support programmes for vulnerable and less competitive groups; internships at private companies for the unemployed, job subsidization for vulnerable job seekers, as well as job fairs in different regions, vocational counselling and career guidance. The ESS staff benefited from the EU-funded twinning project, which was completed in the first quarter of 2017. </w:t>
      </w:r>
    </w:p>
    <w:p w14:paraId="5213E368" w14:textId="77777777" w:rsidR="00561D37" w:rsidRPr="0093156D" w:rsidRDefault="00561D37" w:rsidP="008C4FDF">
      <w:pPr>
        <w:tabs>
          <w:tab w:val="left" w:pos="9450"/>
        </w:tabs>
        <w:spacing w:after="120" w:line="276" w:lineRule="auto"/>
        <w:ind w:right="-29"/>
        <w:jc w:val="both"/>
      </w:pPr>
      <w:r w:rsidRPr="0093156D">
        <w:t>The Programme for Employment Support Services Development and associated action plan for 2015–2018</w:t>
      </w:r>
      <w:r w:rsidRPr="0093156D">
        <w:rPr>
          <w:rStyle w:val="FootnoteReference"/>
        </w:rPr>
        <w:footnoteReference w:id="13"/>
      </w:r>
      <w:r w:rsidRPr="0093156D">
        <w:t xml:space="preserve"> defines the employment support services to be provided by the Social Service Agency, including job counselling and placement services, ALMPs and labour market intelligence. The agency has launched a job portal called WorkNet (www.worknet.gov.ge) to register jobseekers and job vacancies. Jobseekers can now access and register online, but the components on vacancies and education and training opportunities have not yet been activated. Automatic job matching between jobseekers and employers will be possible through the website, but there is, as yet, no tracking of online matches nor any analysis of existing registers (ETF, 2017, p.9).</w:t>
      </w:r>
    </w:p>
    <w:p w14:paraId="36F83C66" w14:textId="77777777" w:rsidR="00561D37" w:rsidRDefault="00DA42BC" w:rsidP="008C4FDF">
      <w:pPr>
        <w:spacing w:after="120" w:line="276" w:lineRule="auto"/>
        <w:ind w:right="-29"/>
        <w:jc w:val="both"/>
      </w:pPr>
      <w:r w:rsidRPr="0093156D">
        <w:t>There are some private employment agencies, which deal mainly with organizing of labour migration abroad. Georgian Ministry of Internally Displaced Persons from Occupied territories, Accommodation and Refugees implements a program on supporting reintegration of the returned Georgian migrants</w:t>
      </w:r>
      <w:r w:rsidRPr="0093156D">
        <w:rPr>
          <w:rStyle w:val="FootnoteReference"/>
        </w:rPr>
        <w:footnoteReference w:id="14"/>
      </w:r>
      <w:r w:rsidRPr="0093156D">
        <w:t>, which includes retraining of migrants and funding of micro business projects activities among them. Some international organizations also have similar type of programs implementing for specific groups of population - as, IDP, women-entrepreneurs, persons with disables etc.</w:t>
      </w:r>
    </w:p>
    <w:p w14:paraId="3157274C" w14:textId="0DD4C78E" w:rsidR="00DA42BC" w:rsidRPr="0093156D" w:rsidRDefault="00DA42BC" w:rsidP="008C4FDF">
      <w:pPr>
        <w:spacing w:after="120" w:line="276" w:lineRule="auto"/>
        <w:ind w:right="-29"/>
        <w:jc w:val="both"/>
      </w:pPr>
      <w:r w:rsidRPr="0093156D">
        <w:t xml:space="preserve">Some online </w:t>
      </w:r>
      <w:r w:rsidR="00561D37">
        <w:t>job-</w:t>
      </w:r>
      <w:r w:rsidRPr="0093156D">
        <w:t>platforms, existing in Georgia since long time</w:t>
      </w:r>
      <w:r w:rsidRPr="00561D37">
        <w:t xml:space="preserve"> (</w:t>
      </w:r>
      <w:hyperlink r:id="rId19" w:history="1">
        <w:r w:rsidRPr="00561D37">
          <w:t>www.jobs.ge</w:t>
        </w:r>
      </w:hyperlink>
      <w:r w:rsidRPr="00561D37">
        <w:t xml:space="preserve">, </w:t>
      </w:r>
      <w:hyperlink r:id="rId20" w:history="1">
        <w:r w:rsidRPr="00561D37">
          <w:t>www.hr.ge</w:t>
        </w:r>
      </w:hyperlink>
      <w:r w:rsidRPr="00561D37">
        <w:t xml:space="preserve">, </w:t>
      </w:r>
      <w:hyperlink r:id="rId21" w:history="1">
        <w:r w:rsidRPr="00561D37">
          <w:t>www.hr.gov.ge</w:t>
        </w:r>
      </w:hyperlink>
      <w:r w:rsidRPr="00561D37">
        <w:t>)</w:t>
      </w:r>
      <w:r w:rsidRPr="0093156D">
        <w:t xml:space="preserve"> help job seekers to find a job, but a range of available vacancies there are limited and as data shows majority of job seekers in Georgia find a job using informal contacts. </w:t>
      </w:r>
    </w:p>
    <w:p w14:paraId="778B594F" w14:textId="77777777" w:rsidR="00DA42BC" w:rsidRPr="0093156D" w:rsidRDefault="00DA42BC" w:rsidP="008C4FDF">
      <w:pPr>
        <w:tabs>
          <w:tab w:val="left" w:pos="9450"/>
        </w:tabs>
        <w:spacing w:after="120" w:line="276" w:lineRule="auto"/>
        <w:ind w:right="-31"/>
        <w:jc w:val="both"/>
      </w:pPr>
      <w:r w:rsidRPr="0093156D">
        <w:t>According to study implemented by CRRC in 2013, the useful connections considered to be among two (alongside with education) most important factors for getting a good job in a country where unemployment is widely considered</w:t>
      </w:r>
      <w:r w:rsidRPr="0093156D">
        <w:rPr>
          <w:rStyle w:val="FootnoteReference"/>
        </w:rPr>
        <w:footnoteReference w:id="15"/>
      </w:r>
      <w:r w:rsidRPr="0093156D">
        <w:t xml:space="preserve">. As a lot of Georgians tend to look for a job using informal ways, it is not surprising that job interviews are not common in Georgia. According to study conducted in 2014 by the Center for Social Sciences of Tbilisi State University, </w:t>
      </w:r>
      <w:r w:rsidRPr="0093156D">
        <w:rPr>
          <w:color w:val="333333"/>
          <w:shd w:val="clear" w:color="auto" w:fill="FFFFFF"/>
        </w:rPr>
        <w:t>44 percent of Georgians use their family, friends and acquaintance</w:t>
      </w:r>
      <w:r w:rsidR="001C2621" w:rsidRPr="0093156D">
        <w:rPr>
          <w:color w:val="333333"/>
          <w:shd w:val="clear" w:color="auto" w:fill="FFFFFF"/>
        </w:rPr>
        <w:t>s to find a job, and almost 2/3</w:t>
      </w:r>
      <w:r w:rsidRPr="0093156D">
        <w:rPr>
          <w:color w:val="333333"/>
          <w:shd w:val="clear" w:color="auto" w:fill="FFFFFF"/>
        </w:rPr>
        <w:t xml:space="preserve"> of those, who rely on their social network in job search, get employed. </w:t>
      </w:r>
      <w:r w:rsidRPr="0093156D">
        <w:t>Only half of the 1364 persons- formally or informally employed individuals from various parts of the country- participated in job interview. But if someone is to be interviewed for a job, it is highly possible that they will be asked personal questions not related to their career. Over 65 percent of all respondents, men and women were asked during an interview about their marital status, and 40 percent of them were asked about the number of children. Such questions can lead to a discriminatory treatment, because, having a family can be seen as an advantage for a man and as a disadvantage for a woman (Popovaite, 2015).</w:t>
      </w:r>
    </w:p>
    <w:p w14:paraId="37EE2F93" w14:textId="77777777" w:rsidR="00DA42BC" w:rsidRPr="0093156D" w:rsidRDefault="00DA42BC" w:rsidP="008C4FDF">
      <w:pPr>
        <w:tabs>
          <w:tab w:val="left" w:pos="9450"/>
        </w:tabs>
        <w:spacing w:after="120" w:line="276" w:lineRule="auto"/>
        <w:ind w:right="-31"/>
        <w:jc w:val="both"/>
      </w:pPr>
      <w:r w:rsidRPr="0093156D">
        <w:t xml:space="preserve">The representative survey of enterprises just recently conducted by the Georgian Ministry of Labour, Health and Social Affairs (MLHSA), has also revealed that a key source for finding of staff for local employers are </w:t>
      </w:r>
      <w:r w:rsidR="00E84D9A" w:rsidRPr="0093156D">
        <w:t>these informal</w:t>
      </w:r>
      <w:r w:rsidRPr="0093156D">
        <w:t xml:space="preserve"> connections: this was mentioned by the 60% of interviewed during the survey (MLHSA, 2015, p.26). Employers also contribute to the problems of youth unemployment as a rule they are seeking for experienced employees; so new arrivals have problems with the finding of appropriate jobs in Georgia.</w:t>
      </w:r>
    </w:p>
    <w:p w14:paraId="47A3E841" w14:textId="5F31C1E8" w:rsidR="00DA42BC" w:rsidRPr="0093156D" w:rsidRDefault="00DA42BC" w:rsidP="008C4FDF">
      <w:pPr>
        <w:tabs>
          <w:tab w:val="left" w:pos="2250"/>
          <w:tab w:val="left" w:pos="2340"/>
        </w:tabs>
        <w:spacing w:after="0" w:line="276" w:lineRule="auto"/>
        <w:jc w:val="both"/>
      </w:pPr>
      <w:r w:rsidRPr="0093156D">
        <w:t xml:space="preserve">The country’s Socio-economic Development Strategy “Georgia 2020”, which sets out an overall policy framework for employment and the labour market, recognises the need to improve labour market functioning. It defines several activities to be carried out </w:t>
      </w:r>
      <w:r w:rsidR="00770732" w:rsidRPr="0093156D">
        <w:t>to</w:t>
      </w:r>
      <w:r w:rsidRPr="0093156D">
        <w:t xml:space="preserve"> institutionalise labour market research, develop labour market intelligence, ensure effective communication between employers and jobseekers, develop public and private job mediation services, create a system for retraining unemployed individuals and jobseekers, and launch programmes to promote self-employment and entrepreneurial activities. Moreover, the EU–Georgia Association Agreement including the Deep and Comprehensive Free Trade Area signed in 2014 requires labour and employment legislation to be adapted to European standards (for example, on decent work, employment policy, ALMPs, health and safety at work, social dialogue, social protection, social inclusion of people with disabilities and from minority groups, gender equality and antidiscrimination laws) (ETF, 2017, p.8).</w:t>
      </w:r>
    </w:p>
    <w:p w14:paraId="7611D4E2" w14:textId="77777777" w:rsidR="000C7E40" w:rsidRPr="0093156D" w:rsidRDefault="000C7E40" w:rsidP="005C7444">
      <w:pPr>
        <w:pStyle w:val="BodyText"/>
        <w:ind w:left="720"/>
        <w:rPr>
          <w:lang w:val="en-GB"/>
        </w:rPr>
      </w:pPr>
    </w:p>
    <w:p w14:paraId="2520E90D" w14:textId="18029B02" w:rsidR="00FD6034" w:rsidRPr="0093156D" w:rsidRDefault="00B24541" w:rsidP="00FD6034">
      <w:pPr>
        <w:pStyle w:val="Heading2"/>
      </w:pPr>
      <w:bookmarkStart w:id="9" w:name="_Toc512826750"/>
      <w:r>
        <w:t>Developments in skill mismatch</w:t>
      </w:r>
      <w:bookmarkEnd w:id="9"/>
      <w:r>
        <w:t xml:space="preserve"> </w:t>
      </w:r>
    </w:p>
    <w:p w14:paraId="7F227214" w14:textId="77777777" w:rsidR="00710B79" w:rsidRDefault="00710B79" w:rsidP="007F041C">
      <w:pPr>
        <w:spacing w:after="120" w:line="276" w:lineRule="auto"/>
        <w:ind w:right="-31"/>
        <w:jc w:val="both"/>
      </w:pPr>
      <w:r w:rsidRPr="0093156D">
        <w:t xml:space="preserve">Lack of proper public institutions has been created significant obstacles for effective management of Georgian labour market. Recently some functions, particularly related to exchange of information about labour market between different Georgian agencies and managing of labour market information have been delegated from the MoLHSA to the Ministry of Economy and Sustainable Development. </w:t>
      </w:r>
    </w:p>
    <w:p w14:paraId="06033344" w14:textId="35BD668A" w:rsidR="004F68C5" w:rsidRPr="0093156D" w:rsidRDefault="004F68C5" w:rsidP="007F041C">
      <w:pPr>
        <w:autoSpaceDE w:val="0"/>
        <w:autoSpaceDN w:val="0"/>
        <w:adjustRightInd w:val="0"/>
        <w:spacing w:after="120" w:line="276" w:lineRule="auto"/>
        <w:jc w:val="both"/>
      </w:pPr>
      <w:r w:rsidRPr="0093156D">
        <w:t xml:space="preserve">Comprehensive </w:t>
      </w:r>
      <w:r w:rsidR="00101CF9" w:rsidRPr="0093156D">
        <w:t>research</w:t>
      </w:r>
      <w:r w:rsidRPr="0093156D">
        <w:t xml:space="preserve"> on </w:t>
      </w:r>
      <w:r w:rsidR="00B24541">
        <w:t xml:space="preserve">labour market mismatch </w:t>
      </w:r>
      <w:r w:rsidRPr="0093156D">
        <w:t xml:space="preserve">in Georgia </w:t>
      </w:r>
      <w:r w:rsidR="00101CF9" w:rsidRPr="0093156D">
        <w:t>has</w:t>
      </w:r>
      <w:r w:rsidRPr="0093156D">
        <w:t xml:space="preserve"> been initiated by the International Organiz</w:t>
      </w:r>
      <w:r w:rsidR="001C2621" w:rsidRPr="0093156D">
        <w:t>ation of Migration Georgia in</w:t>
      </w:r>
      <w:r w:rsidRPr="0093156D">
        <w:t xml:space="preserve"> 2007. The latest survey of 2010 has demonstrated that even in conditions of mass unemployment, most employers in Georgia have difficulties recruiting personnel of required occupations and qualifications: 34% of entrepreneurs encounter problems recruiting required personnel; 54% of hard-to-recruit personnel are skilled workers, 31% are higher education specialists, and 2% are non-skilled workers; 13% of employers encounter difficulties recruiting both working staff, and specialists with higher education. (USAID and IOM, 2010, p.37). </w:t>
      </w:r>
    </w:p>
    <w:p w14:paraId="43D279CA" w14:textId="727B52C9" w:rsidR="004F68C5" w:rsidRPr="0093156D" w:rsidRDefault="007F4B38" w:rsidP="007F041C">
      <w:pPr>
        <w:autoSpaceDE w:val="0"/>
        <w:autoSpaceDN w:val="0"/>
        <w:adjustRightInd w:val="0"/>
        <w:spacing w:after="120" w:line="276" w:lineRule="auto"/>
        <w:jc w:val="both"/>
      </w:pPr>
      <w:r>
        <w:t>A</w:t>
      </w:r>
      <w:r w:rsidR="004F68C5" w:rsidRPr="0093156D">
        <w:t xml:space="preserve"> survey in Georgia on demands of employers on </w:t>
      </w:r>
      <w:r w:rsidR="0090402D" w:rsidRPr="0093156D">
        <w:t xml:space="preserve">labour </w:t>
      </w:r>
      <w:r w:rsidR="004F68C5" w:rsidRPr="0093156D">
        <w:t xml:space="preserve">force has revealed more than </w:t>
      </w:r>
      <w:r w:rsidR="001C2621" w:rsidRPr="0093156D">
        <w:t xml:space="preserve"> </w:t>
      </w:r>
      <w:r w:rsidR="004F68C5" w:rsidRPr="0093156D">
        <w:t>6000 job vacancies in 960 reported organizations (MLHSA, 2015, p. 17)</w:t>
      </w:r>
      <w:r>
        <w:rPr>
          <w:rStyle w:val="FootnoteReference"/>
        </w:rPr>
        <w:footnoteReference w:id="16"/>
      </w:r>
      <w:r w:rsidR="004F68C5" w:rsidRPr="0093156D">
        <w:t xml:space="preserve">. The main reason of shortage in labour </w:t>
      </w:r>
      <w:r w:rsidR="00F06884" w:rsidRPr="0093156D">
        <w:t>within specific</w:t>
      </w:r>
      <w:r w:rsidR="004F68C5" w:rsidRPr="0093156D">
        <w:t xml:space="preserve"> positions is the lack of workforce skills qualifications, lack of applicants and low salaries. The low qualification of job seekers/employees in many cases leads to the necessity of </w:t>
      </w:r>
      <w:r w:rsidR="001C2621" w:rsidRPr="0093156D">
        <w:t xml:space="preserve">seeking for </w:t>
      </w:r>
      <w:r w:rsidR="004F68C5" w:rsidRPr="0093156D">
        <w:t xml:space="preserve">the foreign workforce. According to </w:t>
      </w:r>
      <w:r w:rsidR="00F06884" w:rsidRPr="0093156D">
        <w:t xml:space="preserve">the </w:t>
      </w:r>
      <w:r w:rsidR="004F68C5" w:rsidRPr="0093156D">
        <w:t>survey</w:t>
      </w:r>
      <w:r w:rsidR="00F06884" w:rsidRPr="0093156D">
        <w:t xml:space="preserve">, </w:t>
      </w:r>
      <w:r w:rsidR="004F68C5" w:rsidRPr="0093156D">
        <w:t xml:space="preserve">a shortage </w:t>
      </w:r>
      <w:r w:rsidR="00F06884" w:rsidRPr="0093156D">
        <w:t xml:space="preserve">can be identified for the </w:t>
      </w:r>
      <w:r w:rsidR="004F68C5" w:rsidRPr="0093156D">
        <w:t>following positions: accountants, teachers, special field practicing physicians/specialists, waiters, cleaning personnel and equivalent. This also includes sales and marketing managers, sheet metal workers, data accounting clerks, directors and executive officers, skilled workers for the industrial sector (Ibid, p.16).</w:t>
      </w:r>
    </w:p>
    <w:p w14:paraId="7C971C29" w14:textId="35F9B6BD" w:rsidR="004F68C5" w:rsidRPr="0093156D" w:rsidRDefault="00F06884" w:rsidP="007F041C">
      <w:pPr>
        <w:pStyle w:val="Default"/>
        <w:spacing w:after="120" w:line="276" w:lineRule="auto"/>
        <w:jc w:val="both"/>
        <w:rPr>
          <w:sz w:val="20"/>
          <w:szCs w:val="20"/>
          <w:lang w:val="en-GB"/>
        </w:rPr>
      </w:pPr>
      <w:r w:rsidRPr="0093156D">
        <w:rPr>
          <w:sz w:val="20"/>
          <w:szCs w:val="20"/>
          <w:lang w:val="en-GB"/>
        </w:rPr>
        <w:t>A q</w:t>
      </w:r>
      <w:r w:rsidR="004F68C5" w:rsidRPr="0093156D">
        <w:rPr>
          <w:sz w:val="20"/>
          <w:szCs w:val="20"/>
          <w:lang w:val="en-GB"/>
        </w:rPr>
        <w:t xml:space="preserve">ualitative component of this survey </w:t>
      </w:r>
      <w:r w:rsidR="001C2621" w:rsidRPr="0093156D">
        <w:rPr>
          <w:sz w:val="20"/>
          <w:szCs w:val="20"/>
          <w:lang w:val="en-GB"/>
        </w:rPr>
        <w:t xml:space="preserve">confirmed </w:t>
      </w:r>
      <w:r w:rsidR="004F68C5" w:rsidRPr="0093156D">
        <w:rPr>
          <w:sz w:val="20"/>
          <w:szCs w:val="20"/>
          <w:lang w:val="en-GB"/>
        </w:rPr>
        <w:t xml:space="preserve">that employers have difficulties to find workers with proper professional skills in number of positions, such as marketing manager, sales manager, food technologist, project manager, financier, </w:t>
      </w:r>
      <w:r w:rsidR="007F041C" w:rsidRPr="0093156D">
        <w:rPr>
          <w:sz w:val="20"/>
          <w:szCs w:val="20"/>
          <w:lang w:val="en-GB"/>
        </w:rPr>
        <w:t>and risk</w:t>
      </w:r>
      <w:r w:rsidR="004F68C5" w:rsidRPr="0093156D">
        <w:rPr>
          <w:sz w:val="20"/>
          <w:szCs w:val="20"/>
          <w:lang w:val="en-GB"/>
        </w:rPr>
        <w:t xml:space="preserve"> analyst – </w:t>
      </w:r>
      <w:r w:rsidR="001C2621" w:rsidRPr="0093156D">
        <w:rPr>
          <w:sz w:val="20"/>
          <w:szCs w:val="20"/>
          <w:lang w:val="en-GB"/>
        </w:rPr>
        <w:t xml:space="preserve">professions, </w:t>
      </w:r>
      <w:r w:rsidR="004F68C5" w:rsidRPr="0093156D">
        <w:rPr>
          <w:sz w:val="20"/>
          <w:szCs w:val="20"/>
          <w:lang w:val="en-GB"/>
        </w:rPr>
        <w:t xml:space="preserve">which permanently are vacant in respondent organizations. </w:t>
      </w:r>
    </w:p>
    <w:p w14:paraId="4C2052AB" w14:textId="2C9F59DB" w:rsidR="004F68C5" w:rsidRPr="0093156D" w:rsidRDefault="004F68C5" w:rsidP="00EA1B02">
      <w:pPr>
        <w:spacing w:before="120" w:after="120" w:line="276" w:lineRule="auto"/>
        <w:jc w:val="both"/>
      </w:pPr>
      <w:r w:rsidRPr="0093156D">
        <w:t xml:space="preserve">Some experts </w:t>
      </w:r>
      <w:r w:rsidR="00F06884" w:rsidRPr="0093156D">
        <w:t>suggest</w:t>
      </w:r>
      <w:r w:rsidRPr="0093156D">
        <w:t xml:space="preserve"> that </w:t>
      </w:r>
      <w:r w:rsidR="007F041C">
        <w:t>imbalances</w:t>
      </w:r>
      <w:r w:rsidRPr="0093156D">
        <w:t xml:space="preserve"> between supply and demand of workforce in the Georgian </w:t>
      </w:r>
      <w:r w:rsidR="0090402D" w:rsidRPr="0093156D">
        <w:t xml:space="preserve">labour </w:t>
      </w:r>
      <w:r w:rsidRPr="0093156D">
        <w:t xml:space="preserve">market is caused by the structural unemployment that predominates in Georgia, however, there is </w:t>
      </w:r>
      <w:r w:rsidR="001C2621" w:rsidRPr="0093156D">
        <w:t>friction</w:t>
      </w:r>
      <w:r w:rsidRPr="0093156D">
        <w:t xml:space="preserve"> unemployment as well, which gradually transforms into structural unemployment (Paichadze et.</w:t>
      </w:r>
      <w:r w:rsidRPr="0093156D">
        <w:rPr>
          <w:i/>
        </w:rPr>
        <w:t>al,</w:t>
      </w:r>
      <w:r w:rsidRPr="0093156D">
        <w:t xml:space="preserve"> 2016, p.100).</w:t>
      </w:r>
    </w:p>
    <w:p w14:paraId="0F105B0B" w14:textId="77777777" w:rsidR="004F68C5" w:rsidRPr="0093156D" w:rsidRDefault="004F68C5" w:rsidP="00EA1B02">
      <w:pPr>
        <w:autoSpaceDE w:val="0"/>
        <w:autoSpaceDN w:val="0"/>
        <w:adjustRightInd w:val="0"/>
        <w:spacing w:after="120" w:line="276" w:lineRule="auto"/>
        <w:jc w:val="both"/>
      </w:pPr>
      <w:r w:rsidRPr="0093156D">
        <w:t xml:space="preserve">A skills mismatch occurs when the supply of skills does not match the demand for skills. Specifically, when the skills possessed by workers differ from the skills required by employers. There are </w:t>
      </w:r>
      <w:r w:rsidR="00F06884" w:rsidRPr="0093156D">
        <w:t xml:space="preserve">currently </w:t>
      </w:r>
      <w:r w:rsidRPr="0093156D">
        <w:t xml:space="preserve">no direct measures of the demand for and supply of skills available for Georgia. </w:t>
      </w:r>
      <w:r w:rsidR="00F06884" w:rsidRPr="0093156D">
        <w:t>E</w:t>
      </w:r>
      <w:r w:rsidRPr="0093156D">
        <w:t xml:space="preserve">ducation and occupation are usually used as proxies for skills. </w:t>
      </w:r>
      <w:r w:rsidR="00F06884" w:rsidRPr="0093156D">
        <w:t>R</w:t>
      </w:r>
      <w:r w:rsidRPr="0093156D">
        <w:t>ecent</w:t>
      </w:r>
      <w:r w:rsidR="00F06884" w:rsidRPr="0093156D">
        <w:t>ly</w:t>
      </w:r>
      <w:r w:rsidRPr="0093156D">
        <w:t xml:space="preserve"> research </w:t>
      </w:r>
      <w:r w:rsidR="00F06884" w:rsidRPr="0093156D">
        <w:t xml:space="preserve">in this area </w:t>
      </w:r>
      <w:r w:rsidRPr="0093156D">
        <w:t xml:space="preserve">has been conducted in Georgia by </w:t>
      </w:r>
      <w:r w:rsidR="00F06884" w:rsidRPr="0093156D">
        <w:t xml:space="preserve">the </w:t>
      </w:r>
      <w:r w:rsidRPr="0093156D">
        <w:t xml:space="preserve">World Bank. By comparing the structure of jobs by education and occupation with that of the </w:t>
      </w:r>
      <w:r w:rsidR="0090402D" w:rsidRPr="0093156D">
        <w:t xml:space="preserve">labour </w:t>
      </w:r>
      <w:r w:rsidRPr="0093156D">
        <w:t>force it has found a discrepancy between the traditional employment structure in Georgia, which is indicative of limited demand for highly skilled labo</w:t>
      </w:r>
      <w:r w:rsidR="0090402D" w:rsidRPr="0093156D">
        <w:t>u</w:t>
      </w:r>
      <w:r w:rsidRPr="0093156D">
        <w:t>r, and a large supply of workers with tertiary education. But the modern sector of the Georgian economy is too small to absorb all the workers with tertiary education and</w:t>
      </w:r>
      <w:r w:rsidR="00F06884" w:rsidRPr="0093156D">
        <w:t>,</w:t>
      </w:r>
      <w:r w:rsidRPr="0093156D">
        <w:t xml:space="preserve"> as a consequence, many highly educated workers are unemployed or employed in </w:t>
      </w:r>
      <w:r w:rsidR="00F06884" w:rsidRPr="0093156D">
        <w:t>low s</w:t>
      </w:r>
      <w:r w:rsidRPr="0093156D">
        <w:t xml:space="preserve">killed jobs. </w:t>
      </w:r>
      <w:r w:rsidR="00F06884" w:rsidRPr="0093156D">
        <w:t>As a result, r</w:t>
      </w:r>
      <w:r w:rsidRPr="0093156D">
        <w:t>eturns to higher education are limited. At the same time, many workers with higher education diplomas seem to lack some important employability skills. Despite high unemployment, employers often cannot find workers with the required skills. Thus, overeducation (also known as a vertical mismatch) seems to correspond with underskilling, or a skills gap (WB, 2013, p.15)</w:t>
      </w:r>
    </w:p>
    <w:p w14:paraId="01815E36" w14:textId="77777777" w:rsidR="004F68C5" w:rsidRPr="0093156D" w:rsidRDefault="00F06884" w:rsidP="00EA1B02">
      <w:pPr>
        <w:autoSpaceDE w:val="0"/>
        <w:autoSpaceDN w:val="0"/>
        <w:adjustRightInd w:val="0"/>
        <w:spacing w:after="120" w:line="276" w:lineRule="auto"/>
        <w:jc w:val="both"/>
      </w:pPr>
      <w:r w:rsidRPr="0093156D">
        <w:t>The tr</w:t>
      </w:r>
      <w:r w:rsidR="004F68C5" w:rsidRPr="0093156D">
        <w:t xml:space="preserve">aditional employment structure in Georgia limits the demand for highly educated workers while </w:t>
      </w:r>
      <w:r w:rsidR="00A9504A" w:rsidRPr="0093156D">
        <w:t xml:space="preserve">it </w:t>
      </w:r>
      <w:r w:rsidR="004F68C5" w:rsidRPr="0093156D">
        <w:t>has a large supply of highly educated workers. At 31 percent, the percentage of workers with tertiary education is high, not only for middle-income countries like Georgia, but also for high-income European countries. Only 9 percent of workers have less than secondary education, implying that the bulk of workforce have secondary education. High educated workers are concentrated in urban areas with every second worker having a higher education diploma. Even in rural areas, one worker in six has a tertiary education. There is clearly a mismatch between the demand for highly educated workers and their supply. Given Georgia’s industrial structure, relatively few jobs require higher education there. The demand for college graduates in agriculture or trade – the two largest industries in Georgia – is also limited. At the same time, not enough workers with vocational training exist to fill the large proportion of jobs that would require vocational skills. Currently, workers with tertiary education fill many jobs requiring vocational skills (Ibid, p.19).</w:t>
      </w:r>
    </w:p>
    <w:p w14:paraId="5B07ED58" w14:textId="77777777" w:rsidR="004F68C5" w:rsidRPr="0093156D" w:rsidRDefault="004F68C5" w:rsidP="00EA1B02">
      <w:pPr>
        <w:autoSpaceDE w:val="0"/>
        <w:autoSpaceDN w:val="0"/>
        <w:adjustRightInd w:val="0"/>
        <w:spacing w:after="120" w:line="276" w:lineRule="auto"/>
        <w:jc w:val="both"/>
      </w:pPr>
      <w:r w:rsidRPr="0093156D">
        <w:t>Above</w:t>
      </w:r>
      <w:r w:rsidR="00F06884" w:rsidRPr="0093156D">
        <w:t xml:space="preserve"> </w:t>
      </w:r>
      <w:r w:rsidRPr="0093156D">
        <w:t xml:space="preserve">mentioned research </w:t>
      </w:r>
      <w:r w:rsidR="00F06884" w:rsidRPr="0093156D">
        <w:t>suggests</w:t>
      </w:r>
      <w:r w:rsidRPr="0093156D">
        <w:t xml:space="preserve"> also that highly educated workers do not have the </w:t>
      </w:r>
      <w:r w:rsidR="00F06884" w:rsidRPr="0093156D">
        <w:t xml:space="preserve">specific </w:t>
      </w:r>
      <w:r w:rsidRPr="0093156D">
        <w:t xml:space="preserve">skills needed in the </w:t>
      </w:r>
      <w:r w:rsidR="0090402D" w:rsidRPr="0093156D">
        <w:t xml:space="preserve">labour </w:t>
      </w:r>
      <w:r w:rsidRPr="0093156D">
        <w:t>market. There is a large pool of jobless workers with tertiary and secondary education, which could suggest that employers should not have problems finding workers with skills to perform necessary labo</w:t>
      </w:r>
      <w:r w:rsidR="00F06884" w:rsidRPr="0093156D">
        <w:t>u</w:t>
      </w:r>
      <w:r w:rsidRPr="0093156D">
        <w:t xml:space="preserve">r. However, many Georgian employers complain that hiring workers with required skills is difficult. Some data on this topic is presented in the analysis above. </w:t>
      </w:r>
      <w:r w:rsidR="00C25AB9" w:rsidRPr="0093156D">
        <w:t>The 2008 E</w:t>
      </w:r>
      <w:r w:rsidRPr="0093156D">
        <w:t>BRD-World Bank Business Environment and Enterprise Performance Survey (BEEPS) shows that close to 30 percent of Georgian employers see inadequate workforce skills as a major obstacle to the operation and growth of their firms. Thus, despite a large supply of highly educated workers, skills are a major constraint; innovative and growing firms suffer from skill shortages the most.</w:t>
      </w:r>
    </w:p>
    <w:p w14:paraId="5A293DDB" w14:textId="77777777" w:rsidR="004F68C5" w:rsidRPr="0093156D" w:rsidRDefault="00F06884" w:rsidP="00EA1B02">
      <w:pPr>
        <w:autoSpaceDE w:val="0"/>
        <w:autoSpaceDN w:val="0"/>
        <w:adjustRightInd w:val="0"/>
        <w:spacing w:after="120" w:line="276" w:lineRule="auto"/>
        <w:jc w:val="both"/>
      </w:pPr>
      <w:r w:rsidRPr="0093156D">
        <w:t>O</w:t>
      </w:r>
      <w:r w:rsidR="004F68C5" w:rsidRPr="0093156D">
        <w:t>verqualification is common in Georgia. Several assessments confirmed a high degree of qualifications and skills mismatch, noting the excess supply of higher qualification – over qualification. This is proven also by fact that share of workers with higher education in Georgia is higher than in many of higher-economies and OECD average. According to calculations made by ETF for 2015, 27.8% of Georgian youth (person aged 15-24) are not in education, employment and training (NEET) (ETF, 2015). This figure is two or three times higher than in most EU countries where the share of NEET rarely exceeds 15 percentage.</w:t>
      </w:r>
    </w:p>
    <w:p w14:paraId="7B36EDA5" w14:textId="77777777" w:rsidR="004F68C5" w:rsidRPr="0093156D" w:rsidRDefault="004F68C5" w:rsidP="00EA1B02">
      <w:pPr>
        <w:autoSpaceDE w:val="0"/>
        <w:autoSpaceDN w:val="0"/>
        <w:adjustRightInd w:val="0"/>
        <w:spacing w:after="221" w:line="276" w:lineRule="auto"/>
        <w:jc w:val="both"/>
      </w:pPr>
      <w:r w:rsidRPr="0093156D">
        <w:t xml:space="preserve">Hence, a large proportion of workers with tertiary education </w:t>
      </w:r>
      <w:r w:rsidR="00315E37" w:rsidRPr="0093156D">
        <w:t>work</w:t>
      </w:r>
      <w:r w:rsidRPr="0093156D">
        <w:t xml:space="preserve"> in Georgia in occupations that do not require a tertiary degree and take less skilled jobs. Overqualification is a direct consequence of overeducation. Highly educated workers are compelled to take less skilled jobs because there are not enough jobs requiring high skills. Only one in two workers with a tertiary education works as a professional or a manager; the rest work in occupations that do not require a university diploma. Many highly educated workers are employed in agriculture (14 percent), as manual workers (10 percent) and as salespersons (10 percent). Looking at overqualification by type of employment, almost 30 percent of salespersons and 20 percent of unskilled workers have college/university diplomas (Ibid, p.21).</w:t>
      </w:r>
      <w:r w:rsidR="002B0699" w:rsidRPr="0093156D">
        <w:t xml:space="preserve"> </w:t>
      </w:r>
      <w:r w:rsidR="004F063E" w:rsidRPr="0093156D">
        <w:t>These</w:t>
      </w:r>
      <w:r w:rsidRPr="0093156D">
        <w:t xml:space="preserve"> figures indicate that overqualification is a considerable problem in Georgia. A significant proportion of the workforce has invested in qualifications that are not needed and higher than those required in the jobs that they perform. </w:t>
      </w:r>
    </w:p>
    <w:p w14:paraId="0547D326" w14:textId="77777777" w:rsidR="004F68C5" w:rsidRPr="0093156D" w:rsidRDefault="004F063E" w:rsidP="00EA1B02">
      <w:pPr>
        <w:autoSpaceDE w:val="0"/>
        <w:autoSpaceDN w:val="0"/>
        <w:adjustRightInd w:val="0"/>
        <w:spacing w:after="120" w:line="276" w:lineRule="auto"/>
        <w:jc w:val="both"/>
      </w:pPr>
      <w:r w:rsidRPr="0093156D">
        <w:t>S</w:t>
      </w:r>
      <w:r w:rsidR="00EF3C16" w:rsidRPr="0093156D">
        <w:t>ome research findings</w:t>
      </w:r>
      <w:r w:rsidRPr="0093156D">
        <w:t xml:space="preserve"> suggest that in</w:t>
      </w:r>
      <w:r w:rsidR="004F68C5" w:rsidRPr="0093156D">
        <w:t xml:space="preserve"> Georgia only 60% of employed individuals having academic degree are employed in their specialties. </w:t>
      </w:r>
      <w:r w:rsidR="00B96BDC" w:rsidRPr="0093156D">
        <w:t>E</w:t>
      </w:r>
      <w:r w:rsidR="004F68C5" w:rsidRPr="0093156D">
        <w:t>mployment rate within their professions is higher in case of Master graduates (compared to Bachelors). Master’s level in this</w:t>
      </w:r>
      <w:r w:rsidR="00EF3C16" w:rsidRPr="0093156D">
        <w:t xml:space="preserve"> case acts as</w:t>
      </w:r>
      <w:r w:rsidR="004F68C5" w:rsidRPr="0093156D">
        <w:t xml:space="preserve"> an instrument of professional reorientation and orientation on the market. The share of individuals employed within their profession, also differs significantly. The lowest indicator in these terms is in engineering (EPPM, 2013).</w:t>
      </w:r>
    </w:p>
    <w:p w14:paraId="0EE5EA4B" w14:textId="44F95C5B" w:rsidR="00F76053" w:rsidRDefault="004F68C5" w:rsidP="00EA1B02">
      <w:pPr>
        <w:autoSpaceDE w:val="0"/>
        <w:autoSpaceDN w:val="0"/>
        <w:adjustRightInd w:val="0"/>
        <w:spacing w:after="120" w:line="276" w:lineRule="auto"/>
        <w:jc w:val="both"/>
      </w:pPr>
      <w:r w:rsidRPr="0093156D">
        <w:t xml:space="preserve">In </w:t>
      </w:r>
      <w:r w:rsidR="00E81F6E" w:rsidRPr="0093156D">
        <w:t>general,</w:t>
      </w:r>
      <w:r w:rsidRPr="0093156D">
        <w:t xml:space="preserve"> a distinct feature of the Georgian labour market is the shortage of workers with technical skills. The Georgian Young Economists survey on the business environment in 2007–2008 revealed that there is a high demand for medium and top professional managers, with technical and skilled qualifications. The construction business lacks qualified skilled labour. A lot of people are represented on the supply side with the </w:t>
      </w:r>
      <w:r w:rsidR="00E81F6E" w:rsidRPr="0093156D">
        <w:t>above-mentioned</w:t>
      </w:r>
      <w:r w:rsidRPr="0093156D">
        <w:t xml:space="preserve"> qualifications. Georgian businesses report difficulties in hiring and retaining skilled workers precisely because they use outdated technology or do not have the necessary scale to provide remuneration that would be competitive by international standards. In addition, workers probably do not possess the modern skills required for some specific positions. </w:t>
      </w:r>
    </w:p>
    <w:p w14:paraId="2F7C0431" w14:textId="6E240884" w:rsidR="004F68C5" w:rsidRPr="0093156D" w:rsidRDefault="004F68C5" w:rsidP="00EA1B02">
      <w:pPr>
        <w:autoSpaceDE w:val="0"/>
        <w:autoSpaceDN w:val="0"/>
        <w:adjustRightInd w:val="0"/>
        <w:spacing w:after="120" w:line="276" w:lineRule="auto"/>
        <w:jc w:val="both"/>
      </w:pPr>
      <w:r w:rsidRPr="0093156D">
        <w:t>The World Competitiveness Report (2011–12) concluded that Georgia’s inadequately educated workforce represents a major obstacle for doing business in the country. This suggests that the VETs are ineffective at preparing professionals with the skills that meet current market needs. There are huge gaps between educational programs at VETs and labour market demands, largely because a comprehensive labour market analysis does not exist. (Labadze and Tukhashvili, 2012, p.22).</w:t>
      </w:r>
    </w:p>
    <w:p w14:paraId="43B985CC" w14:textId="77777777" w:rsidR="004F68C5" w:rsidRPr="0093156D" w:rsidRDefault="00B96BDC" w:rsidP="00EA1B02">
      <w:pPr>
        <w:autoSpaceDE w:val="0"/>
        <w:autoSpaceDN w:val="0"/>
        <w:adjustRightInd w:val="0"/>
        <w:spacing w:after="120" w:line="276" w:lineRule="auto"/>
        <w:jc w:val="both"/>
      </w:pPr>
      <w:r w:rsidRPr="0093156D">
        <w:t>T</w:t>
      </w:r>
      <w:r w:rsidR="004F68C5" w:rsidRPr="0093156D">
        <w:t xml:space="preserve">he Georgian education and training system is characterized by the lack of training in occupational skills, generating skill shortages. According to </w:t>
      </w:r>
      <w:r w:rsidR="00BE7E3C" w:rsidRPr="0093156D">
        <w:t xml:space="preserve">labour market </w:t>
      </w:r>
      <w:r w:rsidR="004F68C5" w:rsidRPr="0093156D">
        <w:t>studies</w:t>
      </w:r>
      <w:r w:rsidR="00BE7E3C" w:rsidRPr="0093156D">
        <w:t xml:space="preserve"> conducted by IOM</w:t>
      </w:r>
      <w:r w:rsidR="004F68C5" w:rsidRPr="0093156D">
        <w:t>, 37% of employers in Georgia are dissatisfied with their new employees’ skills, but only one-fifth of them carry out the activities to improve their personnel skills. The dominant method of implementing training is on-the-job training, reported by 64% of those employers that are committed to improving their staff skills (IOM, 2011, p.29).</w:t>
      </w:r>
    </w:p>
    <w:p w14:paraId="6D1A290A" w14:textId="6564643A" w:rsidR="008C4FDF" w:rsidRDefault="008C4FDF" w:rsidP="008C4FDF">
      <w:pPr>
        <w:autoSpaceDE w:val="0"/>
        <w:autoSpaceDN w:val="0"/>
        <w:adjustRightInd w:val="0"/>
        <w:spacing w:after="120" w:line="276" w:lineRule="auto"/>
        <w:jc w:val="both"/>
      </w:pPr>
      <w:r w:rsidRPr="0093156D">
        <w:t xml:space="preserve">The VET in contrast to general education system should generate industry-specific and firm-specific skills and knowledge. </w:t>
      </w:r>
      <w:r>
        <w:t>T</w:t>
      </w:r>
      <w:r w:rsidRPr="00F76053">
        <w:t>he VET system in Georgia is extremely small. Out of 554 000 students from grades 1-12, 16 454 students are enrolled in all types of VET programmes in 2016. This number of VET students is 3% of all general education students enrolled in 2016 (from 1</w:t>
      </w:r>
      <w:r w:rsidRPr="00F76053">
        <w:rPr>
          <w:vertAlign w:val="superscript"/>
        </w:rPr>
        <w:t>st</w:t>
      </w:r>
      <w:r w:rsidRPr="00F76053">
        <w:t xml:space="preserve"> to 12</w:t>
      </w:r>
      <w:r w:rsidRPr="00F76053">
        <w:rPr>
          <w:vertAlign w:val="superscript"/>
        </w:rPr>
        <w:t>th</w:t>
      </w:r>
      <w:r w:rsidRPr="00F76053">
        <w:t xml:space="preserve"> grades). If taken only the number of upper secondary students, however, the VET enrolment share reaches to 10%</w:t>
      </w:r>
      <w:r>
        <w:t xml:space="preserve"> (ETF, 2018)</w:t>
      </w:r>
      <w:r w:rsidRPr="00F76053">
        <w:t xml:space="preserve"> </w:t>
      </w:r>
    </w:p>
    <w:p w14:paraId="6D91AABE" w14:textId="4C30272A" w:rsidR="004F68C5" w:rsidRPr="0093156D" w:rsidRDefault="002203AA" w:rsidP="00EA1B02">
      <w:pPr>
        <w:pStyle w:val="Default"/>
        <w:spacing w:after="120" w:line="276" w:lineRule="auto"/>
        <w:jc w:val="both"/>
        <w:rPr>
          <w:sz w:val="20"/>
          <w:szCs w:val="20"/>
          <w:lang w:val="en-GB"/>
        </w:rPr>
      </w:pPr>
      <w:r w:rsidRPr="0093156D">
        <w:rPr>
          <w:sz w:val="20"/>
          <w:szCs w:val="20"/>
          <w:lang w:val="en-GB"/>
        </w:rPr>
        <w:t>According to</w:t>
      </w:r>
      <w:r w:rsidR="004F68C5" w:rsidRPr="0093156D">
        <w:rPr>
          <w:sz w:val="20"/>
          <w:szCs w:val="20"/>
          <w:lang w:val="en-GB"/>
        </w:rPr>
        <w:t xml:space="preserve"> research implemented by GTZ, the main shortcomings of the VET system in Georgia can be classified in two categories: firstly, </w:t>
      </w:r>
      <w:r w:rsidR="008033E2">
        <w:rPr>
          <w:sz w:val="20"/>
          <w:szCs w:val="20"/>
          <w:lang w:val="en-GB"/>
        </w:rPr>
        <w:t>occupations involving</w:t>
      </w:r>
      <w:r w:rsidR="004F68C5" w:rsidRPr="0093156D">
        <w:rPr>
          <w:sz w:val="20"/>
          <w:szCs w:val="20"/>
          <w:lang w:val="en-GB"/>
        </w:rPr>
        <w:t xml:space="preserve"> technical skills are not </w:t>
      </w:r>
      <w:r w:rsidR="008033E2">
        <w:rPr>
          <w:sz w:val="20"/>
          <w:szCs w:val="20"/>
          <w:lang w:val="en-GB"/>
        </w:rPr>
        <w:t xml:space="preserve">well </w:t>
      </w:r>
      <w:r w:rsidR="004F68C5" w:rsidRPr="0093156D">
        <w:rPr>
          <w:sz w:val="20"/>
          <w:szCs w:val="20"/>
          <w:lang w:val="en-GB"/>
        </w:rPr>
        <w:t xml:space="preserve">covered by the VET system. Secondly, the existing VET programs do not match the needs of the business sector as business does not engage in the system (GTZ, 2010). </w:t>
      </w:r>
      <w:r w:rsidR="0090402D" w:rsidRPr="0093156D">
        <w:rPr>
          <w:sz w:val="20"/>
          <w:szCs w:val="20"/>
          <w:lang w:val="en-GB"/>
        </w:rPr>
        <w:t xml:space="preserve">Labour </w:t>
      </w:r>
      <w:r w:rsidR="004F68C5" w:rsidRPr="0093156D">
        <w:rPr>
          <w:sz w:val="20"/>
          <w:szCs w:val="20"/>
          <w:lang w:val="en-GB"/>
        </w:rPr>
        <w:t xml:space="preserve">market surveys conducted by GTZ have found </w:t>
      </w:r>
      <w:r w:rsidR="00FB27D9" w:rsidRPr="0093156D">
        <w:rPr>
          <w:sz w:val="20"/>
          <w:szCs w:val="20"/>
          <w:lang w:val="en-GB"/>
        </w:rPr>
        <w:t xml:space="preserve">that </w:t>
      </w:r>
      <w:r w:rsidR="008C4FDF">
        <w:rPr>
          <w:sz w:val="20"/>
          <w:szCs w:val="20"/>
          <w:lang w:val="en-GB"/>
        </w:rPr>
        <w:t xml:space="preserve">several branches of the industries require skills for </w:t>
      </w:r>
      <w:r w:rsidR="004F68C5" w:rsidRPr="0093156D">
        <w:rPr>
          <w:sz w:val="20"/>
          <w:szCs w:val="20"/>
          <w:lang w:val="en-GB"/>
        </w:rPr>
        <w:t xml:space="preserve">occupations </w:t>
      </w:r>
      <w:r w:rsidR="008C4FDF">
        <w:rPr>
          <w:sz w:val="20"/>
          <w:szCs w:val="20"/>
          <w:lang w:val="en-GB"/>
        </w:rPr>
        <w:t>that are not taught</w:t>
      </w:r>
      <w:r w:rsidR="004F68C5" w:rsidRPr="0093156D">
        <w:rPr>
          <w:sz w:val="20"/>
          <w:szCs w:val="20"/>
          <w:lang w:val="en-GB"/>
        </w:rPr>
        <w:t xml:space="preserve"> </w:t>
      </w:r>
      <w:r w:rsidR="008C4FDF">
        <w:rPr>
          <w:sz w:val="20"/>
          <w:szCs w:val="20"/>
          <w:lang w:val="en-GB"/>
        </w:rPr>
        <w:t>at</w:t>
      </w:r>
      <w:r w:rsidR="004F68C5" w:rsidRPr="0093156D">
        <w:rPr>
          <w:sz w:val="20"/>
          <w:szCs w:val="20"/>
          <w:lang w:val="en-GB"/>
        </w:rPr>
        <w:t xml:space="preserve"> Georgian VET </w:t>
      </w:r>
      <w:r w:rsidR="00FB27D9" w:rsidRPr="0093156D">
        <w:rPr>
          <w:sz w:val="20"/>
          <w:szCs w:val="20"/>
          <w:lang w:val="en-GB"/>
        </w:rPr>
        <w:t>centres</w:t>
      </w:r>
      <w:r w:rsidR="004F68C5" w:rsidRPr="0093156D">
        <w:rPr>
          <w:sz w:val="20"/>
          <w:szCs w:val="20"/>
          <w:lang w:val="en-GB"/>
        </w:rPr>
        <w:t>.</w:t>
      </w:r>
    </w:p>
    <w:p w14:paraId="3366C910" w14:textId="4C9A3036" w:rsidR="004F68C5" w:rsidRPr="0093156D" w:rsidRDefault="004F68C5" w:rsidP="00EA1B02">
      <w:pPr>
        <w:pStyle w:val="Default"/>
        <w:spacing w:after="120" w:line="276" w:lineRule="auto"/>
        <w:jc w:val="both"/>
        <w:rPr>
          <w:sz w:val="20"/>
          <w:szCs w:val="20"/>
          <w:lang w:val="en-GB"/>
        </w:rPr>
      </w:pPr>
      <w:r w:rsidRPr="0093156D">
        <w:rPr>
          <w:sz w:val="20"/>
          <w:szCs w:val="20"/>
          <w:lang w:val="en-GB"/>
        </w:rPr>
        <w:t>Studies show that the attitudes of the population and stakeholders towards vocational education are becoming positive</w:t>
      </w:r>
      <w:r w:rsidR="00710B79">
        <w:rPr>
          <w:sz w:val="20"/>
          <w:szCs w:val="20"/>
          <w:lang w:val="en-GB"/>
        </w:rPr>
        <w:t>r</w:t>
      </w:r>
      <w:r w:rsidRPr="0093156D">
        <w:rPr>
          <w:sz w:val="20"/>
          <w:szCs w:val="20"/>
          <w:lang w:val="en-GB"/>
        </w:rPr>
        <w:t xml:space="preserve"> (a trend that is also reflected in the increased enrolment of young people in VET schools), although this is a slow process (UNDP, 2015). The main challenge is not a lack of positive attitudes towards VET, but the fact that VET is considered a second-rate alternative to higher or general education. Today VET is still affected by the stigma and negative attitudes from Soviet times. VET is perceived as qualifying students for low-status, manual and poorly paid jobs. In addition, students and stakeholders are hindered by ‘dead-ends’, which create barriers for graduates wishing to progress to the upper levels of education. This issue has been addressed in the New Law on VET, but it has not yet been approved and still needs to be put in force. </w:t>
      </w:r>
    </w:p>
    <w:p w14:paraId="093C34C5" w14:textId="77777777" w:rsidR="004F68C5" w:rsidRPr="0093156D" w:rsidRDefault="004F68C5" w:rsidP="00EA1B02">
      <w:pPr>
        <w:pStyle w:val="Default"/>
        <w:spacing w:after="120" w:line="276" w:lineRule="auto"/>
        <w:jc w:val="both"/>
        <w:rPr>
          <w:sz w:val="20"/>
          <w:szCs w:val="20"/>
          <w:lang w:val="en-GB"/>
        </w:rPr>
      </w:pPr>
      <w:r w:rsidRPr="0093156D">
        <w:rPr>
          <w:sz w:val="20"/>
          <w:szCs w:val="20"/>
          <w:lang w:val="en-GB"/>
        </w:rPr>
        <w:t>In spite of the implementation of numerous measures to reduce the imbalance between supply and demand, the quality of VET still needs improvement. Studies from 2015 (UNDP, 2016) once again reveal the need for the further development of skills of graduates and the quality assurance of professional qualifications.</w:t>
      </w:r>
    </w:p>
    <w:p w14:paraId="3E1F0E2D" w14:textId="31D57994" w:rsidR="004F68C5" w:rsidRPr="0093156D" w:rsidRDefault="007F4B38" w:rsidP="00EA1B02">
      <w:pPr>
        <w:pStyle w:val="Default"/>
        <w:spacing w:after="120" w:line="276" w:lineRule="auto"/>
        <w:jc w:val="both"/>
        <w:rPr>
          <w:sz w:val="20"/>
          <w:szCs w:val="20"/>
          <w:lang w:val="en-GB"/>
        </w:rPr>
      </w:pPr>
      <w:r>
        <w:rPr>
          <w:sz w:val="20"/>
          <w:szCs w:val="20"/>
          <w:lang w:val="en-GB"/>
        </w:rPr>
        <w:t>T</w:t>
      </w:r>
      <w:r w:rsidR="007A410D">
        <w:rPr>
          <w:sz w:val="20"/>
          <w:szCs w:val="20"/>
          <w:lang w:val="en-GB"/>
        </w:rPr>
        <w:t xml:space="preserve">he </w:t>
      </w:r>
      <w:r w:rsidR="004F68C5" w:rsidRPr="0093156D">
        <w:rPr>
          <w:sz w:val="20"/>
          <w:szCs w:val="20"/>
          <w:lang w:val="en-GB"/>
        </w:rPr>
        <w:t xml:space="preserve">available data </w:t>
      </w:r>
      <w:r w:rsidR="007A410D">
        <w:rPr>
          <w:sz w:val="20"/>
          <w:szCs w:val="20"/>
          <w:lang w:val="en-GB"/>
        </w:rPr>
        <w:t xml:space="preserve">in 2015 </w:t>
      </w:r>
      <w:r w:rsidR="004F68C5" w:rsidRPr="0093156D">
        <w:rPr>
          <w:sz w:val="20"/>
          <w:szCs w:val="20"/>
          <w:lang w:val="en-GB"/>
        </w:rPr>
        <w:t>shows that VET graduates in Georgia perform</w:t>
      </w:r>
      <w:r w:rsidR="007A410D">
        <w:rPr>
          <w:sz w:val="20"/>
          <w:szCs w:val="20"/>
          <w:lang w:val="en-GB"/>
        </w:rPr>
        <w:t>ed</w:t>
      </w:r>
      <w:r w:rsidR="004F68C5" w:rsidRPr="0093156D">
        <w:rPr>
          <w:sz w:val="20"/>
          <w:szCs w:val="20"/>
          <w:lang w:val="en-GB"/>
        </w:rPr>
        <w:t xml:space="preserve"> slightly better in the labour market than university graduates. The unemployment rate for university graduates was higher (14.4%) than that of VET graduates (11%) in 2015. Conversely, among young people (aged 15–24), the highest unemployment rate is experienced by young VET graduates (36%) and secondary education graduates (33%), compared to young university graduates (30.8%). </w:t>
      </w:r>
      <w:r w:rsidR="007A410D">
        <w:rPr>
          <w:sz w:val="20"/>
          <w:szCs w:val="20"/>
          <w:lang w:val="en-GB"/>
        </w:rPr>
        <w:t>Since 2016, however, the difference between the VET and university graduates disappeared</w:t>
      </w:r>
      <w:r w:rsidR="008E7175">
        <w:rPr>
          <w:sz w:val="20"/>
          <w:szCs w:val="20"/>
          <w:lang w:val="en-GB"/>
        </w:rPr>
        <w:t xml:space="preserve"> (ETF, 2018)</w:t>
      </w:r>
      <w:r w:rsidR="007A410D">
        <w:rPr>
          <w:sz w:val="20"/>
          <w:szCs w:val="20"/>
          <w:lang w:val="en-GB"/>
        </w:rPr>
        <w:t xml:space="preserve">. </w:t>
      </w:r>
      <w:r w:rsidR="004F68C5" w:rsidRPr="0093156D">
        <w:rPr>
          <w:sz w:val="20"/>
          <w:szCs w:val="20"/>
          <w:lang w:val="en-GB"/>
        </w:rPr>
        <w:t>The analysis shows that young people (and especially girls) face obstacles while transitioning to the labour market. This includes inflation of qualifications, lack of trust of employers towards vocational qualifications, preference for the higher levels of educational attainment, requirements for work experience that few young people can meet, and the mismatch of skills between supply and demand. In spite of the high level of unemployment, employers find it difficult to find the personnel they require (ETF, 2016, p.5).</w:t>
      </w:r>
    </w:p>
    <w:p w14:paraId="486F9FE0" w14:textId="77777777" w:rsidR="004F68C5" w:rsidRPr="0093156D" w:rsidRDefault="004F68C5" w:rsidP="00EA1B02">
      <w:pPr>
        <w:pStyle w:val="Default"/>
        <w:spacing w:after="120" w:line="276" w:lineRule="auto"/>
        <w:jc w:val="both"/>
        <w:rPr>
          <w:sz w:val="20"/>
          <w:szCs w:val="20"/>
          <w:lang w:val="en-GB"/>
        </w:rPr>
      </w:pPr>
      <w:r w:rsidRPr="0093156D">
        <w:rPr>
          <w:sz w:val="20"/>
          <w:szCs w:val="20"/>
          <w:lang w:val="en-GB"/>
        </w:rPr>
        <w:t>In 2015 tracer study 57% of VET graduates pointed out that there was lack of relevance between the VET profession and their employment while 32.2% point out about correspondence and 7% about partial correspondence.</w:t>
      </w:r>
    </w:p>
    <w:p w14:paraId="5D8C6018" w14:textId="37014730" w:rsidR="002715C4" w:rsidRDefault="002715C4">
      <w:pPr>
        <w:spacing w:line="276" w:lineRule="auto"/>
        <w:rPr>
          <w:color w:val="616264"/>
        </w:rPr>
      </w:pPr>
    </w:p>
    <w:p w14:paraId="521C6ACF" w14:textId="77777777" w:rsidR="00F76053" w:rsidRPr="0093156D" w:rsidRDefault="00F76053" w:rsidP="00F76053">
      <w:pPr>
        <w:pStyle w:val="Heading1"/>
      </w:pPr>
      <w:bookmarkStart w:id="10" w:name="_Toc512826751"/>
      <w:r w:rsidRPr="0093156D">
        <w:t>Data situation</w:t>
      </w:r>
      <w:bookmarkEnd w:id="10"/>
    </w:p>
    <w:p w14:paraId="273A7B0A" w14:textId="77777777" w:rsidR="00F76053" w:rsidRPr="00A15288" w:rsidRDefault="00F76053" w:rsidP="00EA1B02">
      <w:pPr>
        <w:pStyle w:val="CommentText"/>
        <w:spacing w:line="276" w:lineRule="auto"/>
        <w:jc w:val="both"/>
      </w:pPr>
      <w:r>
        <w:t xml:space="preserve">Labour market analysis is based on good and available data. A review of the data situation to allow </w:t>
      </w:r>
      <w:r w:rsidRPr="00A15288">
        <w:t xml:space="preserve">the analysis of skill mismatch is presented here. For Georgia two monitoring systems exist: </w:t>
      </w:r>
    </w:p>
    <w:p w14:paraId="098F016F" w14:textId="77777777" w:rsidR="00F76053" w:rsidRPr="00A15288" w:rsidRDefault="00F76053" w:rsidP="00EA1B02">
      <w:pPr>
        <w:pStyle w:val="CommentText"/>
        <w:numPr>
          <w:ilvl w:val="0"/>
          <w:numId w:val="14"/>
        </w:numPr>
        <w:spacing w:line="276" w:lineRule="auto"/>
        <w:jc w:val="both"/>
      </w:pPr>
      <w:r w:rsidRPr="00A15288">
        <w:t xml:space="preserve">the Education Management Information System (EMIS) is provided by the Ministry of Education and Science (MoES); </w:t>
      </w:r>
    </w:p>
    <w:p w14:paraId="4E36A7C9" w14:textId="30582BDA" w:rsidR="00F76053" w:rsidRDefault="00F76053" w:rsidP="00EA1B02">
      <w:pPr>
        <w:pStyle w:val="CommentText"/>
        <w:numPr>
          <w:ilvl w:val="0"/>
          <w:numId w:val="14"/>
        </w:numPr>
        <w:spacing w:line="276" w:lineRule="auto"/>
        <w:jc w:val="both"/>
      </w:pPr>
      <w:r>
        <w:t>the Labour Market Information System (LMIS) is a web portal to provide updated information on labour market and education issues in the country (MoLHSA 2016a)</w:t>
      </w:r>
      <w:r w:rsidRPr="00A14387">
        <w:t xml:space="preserve"> The portal was launched in 2016 by the Ministry of Labour, Health and Social Affairs (MoLHSA), but since July 2017 the function of LMIS maintenance and update was transferred from the MoLHSA to the Ministry of Economy and </w:t>
      </w:r>
      <w:r w:rsidR="006C08D4">
        <w:t>Sustainable Development (MoESD) (ETF, 2018)</w:t>
      </w:r>
      <w:r w:rsidR="008E7175">
        <w:t>.</w:t>
      </w:r>
      <w:r w:rsidR="006C08D4" w:rsidDel="006C08D4">
        <w:rPr>
          <w:rStyle w:val="FootnoteReference"/>
        </w:rPr>
        <w:t xml:space="preserve"> </w:t>
      </w:r>
    </w:p>
    <w:p w14:paraId="21CFA728" w14:textId="77777777" w:rsidR="00F76053" w:rsidRDefault="00F76053" w:rsidP="00585414">
      <w:pPr>
        <w:spacing w:after="240" w:line="276" w:lineRule="auto"/>
        <w:jc w:val="both"/>
        <w:rPr>
          <w:rFonts w:eastAsia="Times New Roman"/>
          <w:color w:val="1A1A1A"/>
        </w:rPr>
      </w:pPr>
      <w:r w:rsidRPr="0039107C">
        <w:rPr>
          <w:rFonts w:eastAsia="Times New Roman"/>
          <w:color w:val="1A1A1A"/>
        </w:rPr>
        <w:t xml:space="preserve">The Ministry of Education and Sciences (MoES) has evolved comprehensive institutional arrangements for the management and implementation of vocational education and training, and has acquired substantial experience in elaborating and monitoring VET policy. Within the MoES, the VET Development Department is responsible for the definition, coordination and management of VET policy. The Department comprises three Divisions (Policy, Monitoring and Social Partnership). There are six agencies subordinate to the MoES, National Centre for Educational Quality Enhancement (NCEQE), National Teacher Professional Development Centre (NTPDC), Educational and Scientific </w:t>
      </w:r>
      <w:r w:rsidRPr="00A15288">
        <w:rPr>
          <w:rFonts w:eastAsia="Times New Roman"/>
          <w:color w:val="1A1A1A"/>
        </w:rPr>
        <w:t>Infrastructure Development Agency (ESIDA), Education Management Information System (EMIS),</w:t>
      </w:r>
      <w:r w:rsidRPr="0039107C">
        <w:rPr>
          <w:rFonts w:eastAsia="Times New Roman"/>
          <w:color w:val="1A1A1A"/>
        </w:rPr>
        <w:t xml:space="preserve"> Office of Resource Officers in Educational Institutions (OROEI), and National Assessment and Evaluation Centre (NAEC), which contribute to the overall design, management and implementation of VET policy</w:t>
      </w:r>
      <w:r>
        <w:rPr>
          <w:rFonts w:eastAsia="Times New Roman"/>
          <w:color w:val="1A1A1A"/>
        </w:rPr>
        <w:t>.</w:t>
      </w:r>
    </w:p>
    <w:p w14:paraId="364C7AE7" w14:textId="3D2B7CCC" w:rsidR="00F76053" w:rsidRPr="008634FE" w:rsidRDefault="00F76053" w:rsidP="00EA1B02">
      <w:pPr>
        <w:pStyle w:val="CommentText"/>
        <w:spacing w:line="276" w:lineRule="auto"/>
        <w:jc w:val="both"/>
        <w:rPr>
          <w:bCs/>
          <w:color w:val="595959" w:themeColor="text1" w:themeTint="A6"/>
        </w:rPr>
      </w:pPr>
      <w:r w:rsidRPr="0039107C">
        <w:rPr>
          <w:shd w:val="clear" w:color="auto" w:fill="FFFFFF"/>
        </w:rPr>
        <w:t xml:space="preserve">LMIS IT System </w:t>
      </w:r>
      <w:r w:rsidR="00B24541">
        <w:rPr>
          <w:shd w:val="clear" w:color="auto" w:fill="FFFFFF"/>
        </w:rPr>
        <w:t>was</w:t>
      </w:r>
      <w:r w:rsidRPr="0039107C">
        <w:rPr>
          <w:shd w:val="clear" w:color="auto" w:fill="FFFFFF"/>
        </w:rPr>
        <w:t xml:space="preserve"> envisaged as “One Stop Shop” public web portal that includes up-to-date information about: Labour Market Conditions in Georgia; Occupational profiles and outlook; Career guidance information. LMIS is a mechanism to handle collection, procession, analysis and dissemination of the labour market information to jobseekers, students, employers, policy-makers and other stakeholders. </w:t>
      </w:r>
      <w:r>
        <w:rPr>
          <w:shd w:val="clear" w:color="auto" w:fill="FFFFFF"/>
        </w:rPr>
        <w:t>It p</w:t>
      </w:r>
      <w:r w:rsidRPr="0039107C">
        <w:rPr>
          <w:shd w:val="clear" w:color="auto" w:fill="FFFFFF"/>
        </w:rPr>
        <w:t>rovides information on employability, trends in industrial se</w:t>
      </w:r>
      <w:r w:rsidR="007F041C">
        <w:rPr>
          <w:shd w:val="clear" w:color="auto" w:fill="FFFFFF"/>
        </w:rPr>
        <w:t>ctors, career prospects &amp; etc; i</w:t>
      </w:r>
      <w:r w:rsidRPr="0039107C">
        <w:rPr>
          <w:shd w:val="clear" w:color="auto" w:fill="FFFFFF"/>
        </w:rPr>
        <w:t>mproving information flow; Supports policy makers in analysis and decision-making process.</w:t>
      </w:r>
      <w:r w:rsidRPr="00AE3582">
        <w:rPr>
          <w:shd w:val="clear" w:color="auto" w:fill="FFFFFF"/>
        </w:rPr>
        <w:t xml:space="preserve"> With a databank of 78 variables within 6 categories on education, labour, economy, agriculture, youth, etc. it is designed as a mechanism to handle collection, processing, analysis and dissemination of labour market information to jobseekers, students, employers, policy-makers. In 2017, this department has transferred to the MoESD with a government decision, but its expected aim of helping citizens, including youth, students and job seekers, remains the same</w:t>
      </w:r>
      <w:r>
        <w:rPr>
          <w:shd w:val="clear" w:color="auto" w:fill="FFFFFF"/>
        </w:rPr>
        <w:t xml:space="preserve">. </w:t>
      </w:r>
      <w:r w:rsidRPr="00AE3582">
        <w:rPr>
          <w:bCs/>
        </w:rPr>
        <w:t>It ultimately will provide updated information on labour market trends, career guidance and occupational profiles.</w:t>
      </w:r>
      <w:r w:rsidRPr="00AE3582">
        <w:rPr>
          <w:rStyle w:val="FootnoteReference"/>
          <w:bCs/>
        </w:rPr>
        <w:footnoteReference w:id="17"/>
      </w:r>
      <w:r w:rsidRPr="00AE3582">
        <w:rPr>
          <w:bCs/>
        </w:rPr>
        <w:t>.</w:t>
      </w:r>
      <w:r w:rsidRPr="005C77A7">
        <w:rPr>
          <w:bCs/>
          <w:color w:val="595959" w:themeColor="text1" w:themeTint="A6"/>
        </w:rPr>
        <w:t xml:space="preserve"> </w:t>
      </w:r>
    </w:p>
    <w:p w14:paraId="26B117D2" w14:textId="77777777" w:rsidR="00F76053" w:rsidRDefault="00F76053" w:rsidP="00C25E11">
      <w:pPr>
        <w:pStyle w:val="CommentText"/>
        <w:spacing w:line="276" w:lineRule="auto"/>
        <w:jc w:val="both"/>
      </w:pPr>
      <w:r>
        <w:t xml:space="preserve">Note that for the skill mismatch indicators of the subsequent paragraph only those data sources were used that were made available and that is collected on a regular basis to allow is use in labour market information systems. An additional requirement was that the basic indicators should be calculated across many different ETF partner countries. We thus rely heavily on the labour force survey conducted and published by the National Office of Statistics of Georgia (Geostat). </w:t>
      </w:r>
    </w:p>
    <w:p w14:paraId="72EB9D8A" w14:textId="7B5A3E9B" w:rsidR="00F76053" w:rsidRDefault="00F76053" w:rsidP="00C25E11">
      <w:pPr>
        <w:spacing w:line="276" w:lineRule="auto"/>
        <w:jc w:val="both"/>
      </w:pPr>
      <w:r>
        <w:t>Several data-sources relevant for statistical analysis on</w:t>
      </w:r>
      <w:r w:rsidRPr="003D5EA1">
        <w:t xml:space="preserve"> education and labour market</w:t>
      </w:r>
      <w:r>
        <w:t xml:space="preserve"> dynamics exist</w:t>
      </w:r>
      <w:r w:rsidRPr="00FA3E7F">
        <w:t xml:space="preserve"> </w:t>
      </w:r>
      <w:r>
        <w:t>at national level</w:t>
      </w:r>
      <w:r w:rsidRPr="000739A6">
        <w:t xml:space="preserve"> </w:t>
      </w:r>
      <w:r>
        <w:t xml:space="preserve">in Georgia. All of them have own deficiencies and limitations </w:t>
      </w:r>
      <w:r w:rsidR="00C25E11">
        <w:t>in regard to</w:t>
      </w:r>
      <w:r>
        <w:t xml:space="preserve"> skills mismatch measures’ assessments.</w:t>
      </w:r>
      <w:r w:rsidRPr="00FA3E7F">
        <w:t xml:space="preserve"> </w:t>
      </w:r>
      <w:r>
        <w:t xml:space="preserve">Despite the national </w:t>
      </w:r>
      <w:r w:rsidRPr="003D5EA1">
        <w:t>Labour Force Survey</w:t>
      </w:r>
      <w:r>
        <w:t xml:space="preserve"> (LFS) is found to be t</w:t>
      </w:r>
      <w:r w:rsidRPr="003D5EA1">
        <w:t>he most comprehensive data-source for calculation</w:t>
      </w:r>
      <w:r>
        <w:t xml:space="preserve"> of skill mismatch indicators at</w:t>
      </w:r>
      <w:r w:rsidRPr="003D5EA1">
        <w:t xml:space="preserve"> the national</w:t>
      </w:r>
      <w:r>
        <w:t xml:space="preserve"> level,</w:t>
      </w:r>
      <w:r w:rsidRPr="008A74A4">
        <w:t xml:space="preserve"> </w:t>
      </w:r>
      <w:r>
        <w:t>each of information sources presented below, however, provides us with some information characterizing outcomes of functioning of institutional settings on education and labour market in Georgia.</w:t>
      </w:r>
    </w:p>
    <w:p w14:paraId="4719CFAD" w14:textId="77777777" w:rsidR="00F76053" w:rsidRPr="005C77A7" w:rsidRDefault="00F76053" w:rsidP="00F76053">
      <w:pPr>
        <w:pStyle w:val="BodyText"/>
        <w:spacing w:after="0" w:line="240" w:lineRule="auto"/>
        <w:jc w:val="both"/>
        <w:rPr>
          <w:color w:val="595959" w:themeColor="text1" w:themeTint="A6"/>
          <w:lang w:val="en-GB"/>
        </w:rPr>
      </w:pPr>
    </w:p>
    <w:p w14:paraId="4440FAD0" w14:textId="77777777" w:rsidR="00F76053" w:rsidRPr="00555E41" w:rsidRDefault="00F76053" w:rsidP="00F76053">
      <w:pPr>
        <w:pStyle w:val="Heading3"/>
      </w:pPr>
      <w:bookmarkStart w:id="11" w:name="_Toc512826752"/>
      <w:r>
        <w:t>Labour Force Survey</w:t>
      </w:r>
      <w:bookmarkEnd w:id="11"/>
    </w:p>
    <w:p w14:paraId="0BE2C4AC" w14:textId="2BC85C20" w:rsidR="00F76053" w:rsidRPr="0093156D" w:rsidRDefault="00F76053" w:rsidP="00C25E11">
      <w:pPr>
        <w:spacing w:after="120" w:line="276" w:lineRule="auto"/>
        <w:jc w:val="both"/>
      </w:pPr>
      <w:r w:rsidRPr="0093156D">
        <w:t>According to the methodology on skill mismatch measures provided by ETF the most comprehensive data-source for calculation of skill mismatch indicators is the national Labour Force Survey (LFS). LFS in Georgia until recently (2016) was a part of Integrated Household Survey (IHS) that has been settled in Georgia by the national statistical office (</w:t>
      </w:r>
      <w:r w:rsidR="00391151" w:rsidRPr="0093156D">
        <w:t>Geostat</w:t>
      </w:r>
      <w:r w:rsidRPr="0093156D">
        <w:t>) since mid-1990s. This quarterly survey is nationally representative, and it comprises approximately 3400 households from all over Georgia except the territories not controlled by Georgian government.</w:t>
      </w:r>
    </w:p>
    <w:p w14:paraId="159FBC6D" w14:textId="77777777" w:rsidR="00F76053" w:rsidRPr="0093156D" w:rsidRDefault="00F76053" w:rsidP="00C25E11">
      <w:pPr>
        <w:spacing w:after="120" w:line="276" w:lineRule="auto"/>
        <w:jc w:val="both"/>
      </w:pPr>
      <w:r w:rsidRPr="0093156D">
        <w:t xml:space="preserve">In 2010-2011 in frame of Millennium Challenge Georgia Programme that supported Geostat in producing of more comprehensive national statistics the IHS used a bigger sample size (about 6000 households), but the content of labour force statistics in that time remained the same. </w:t>
      </w:r>
    </w:p>
    <w:p w14:paraId="2C0C4F15" w14:textId="77777777" w:rsidR="00F76053" w:rsidRPr="0093156D" w:rsidRDefault="00F76053" w:rsidP="00C25E11">
      <w:pPr>
        <w:autoSpaceDE w:val="0"/>
        <w:autoSpaceDN w:val="0"/>
        <w:adjustRightInd w:val="0"/>
        <w:spacing w:after="0" w:line="276" w:lineRule="auto"/>
        <w:jc w:val="both"/>
      </w:pPr>
      <w:r w:rsidRPr="0093156D">
        <w:t>In LFS all persons in age 15 and above living in household are interviewed, except those family members who at the moment of an interview:</w:t>
      </w:r>
    </w:p>
    <w:p w14:paraId="6F4295EB" w14:textId="77777777" w:rsidR="00F76053" w:rsidRPr="0093156D" w:rsidRDefault="00F76053" w:rsidP="00C25E11">
      <w:pPr>
        <w:autoSpaceDE w:val="0"/>
        <w:autoSpaceDN w:val="0"/>
        <w:adjustRightInd w:val="0"/>
        <w:spacing w:after="0" w:line="276" w:lineRule="auto"/>
        <w:jc w:val="both"/>
      </w:pPr>
    </w:p>
    <w:p w14:paraId="687E4889" w14:textId="77777777" w:rsidR="00F76053" w:rsidRPr="0093156D" w:rsidRDefault="00F76053" w:rsidP="00C25E11">
      <w:pPr>
        <w:pStyle w:val="ListParagraph"/>
        <w:numPr>
          <w:ilvl w:val="0"/>
          <w:numId w:val="13"/>
        </w:numPr>
        <w:autoSpaceDE w:val="0"/>
        <w:autoSpaceDN w:val="0"/>
        <w:adjustRightInd w:val="0"/>
        <w:spacing w:after="0" w:line="276" w:lineRule="auto"/>
      </w:pPr>
      <w:r w:rsidRPr="0093156D">
        <w:t>Lived outside the household for more than 12 months;</w:t>
      </w:r>
    </w:p>
    <w:p w14:paraId="4FB1ACD3" w14:textId="77777777" w:rsidR="00F76053" w:rsidRPr="0093156D" w:rsidRDefault="00F76053" w:rsidP="00C25E11">
      <w:pPr>
        <w:pStyle w:val="ListParagraph"/>
        <w:numPr>
          <w:ilvl w:val="0"/>
          <w:numId w:val="13"/>
        </w:numPr>
        <w:autoSpaceDE w:val="0"/>
        <w:autoSpaceDN w:val="0"/>
        <w:adjustRightInd w:val="0"/>
        <w:spacing w:after="0" w:line="276" w:lineRule="auto"/>
      </w:pPr>
      <w:r w:rsidRPr="0093156D">
        <w:t>Lived at a military base;</w:t>
      </w:r>
    </w:p>
    <w:p w14:paraId="6E3FFA8F" w14:textId="77777777" w:rsidR="00F76053" w:rsidRPr="0093156D" w:rsidRDefault="00F76053" w:rsidP="00C25E11">
      <w:pPr>
        <w:pStyle w:val="ListParagraph"/>
        <w:numPr>
          <w:ilvl w:val="0"/>
          <w:numId w:val="13"/>
        </w:numPr>
        <w:autoSpaceDE w:val="0"/>
        <w:autoSpaceDN w:val="0"/>
        <w:adjustRightInd w:val="0"/>
        <w:spacing w:after="120" w:line="276" w:lineRule="auto"/>
      </w:pPr>
      <w:r w:rsidRPr="0093156D">
        <w:t>Stayed in prisons, psychiatric clinics, retirement homes and other types of specialized institutions.</w:t>
      </w:r>
    </w:p>
    <w:p w14:paraId="277C2CF9" w14:textId="5B30A013" w:rsidR="00F76053" w:rsidRPr="0093156D" w:rsidRDefault="00F76053" w:rsidP="00C25E11">
      <w:pPr>
        <w:spacing w:after="120" w:line="276" w:lineRule="auto"/>
        <w:jc w:val="both"/>
      </w:pPr>
      <w:r w:rsidRPr="0093156D">
        <w:t>All datasets up to 2016 are available and accessible online at the Geo</w:t>
      </w:r>
      <w:r w:rsidR="00391151">
        <w:t>s</w:t>
      </w:r>
      <w:r w:rsidRPr="0093156D">
        <w:t xml:space="preserve">tat website. Since 2017 a new separate LFS started in Georgia with a revised questionnaires and bigger sample size (around 6000 households). Quarterly data is not published by Geostat and the first data for 2017 would be available for </w:t>
      </w:r>
      <w:r w:rsidR="00620F00" w:rsidRPr="0093156D">
        <w:t>June</w:t>
      </w:r>
      <w:r w:rsidRPr="0093156D">
        <w:t xml:space="preserve"> 15 of 2018. This new LFS’ results will be presented in SPSS program</w:t>
      </w:r>
      <w:r w:rsidRPr="0093156D">
        <w:rPr>
          <w:rStyle w:val="FootnoteReference"/>
        </w:rPr>
        <w:footnoteReference w:id="18"/>
      </w:r>
      <w:r w:rsidRPr="0093156D">
        <w:t xml:space="preserve"> and it will insure that sample size and design is comprehensive enough for publishing of official statistics on employment by occupation and branch of activity (industries), while currently Geostat release only statistics on distribution of Georgian population aged 15 and older by age groups, administrative regions and economic status and on distribution of employed in Georgia by institutional sector (public vs. non-public).  </w:t>
      </w:r>
    </w:p>
    <w:p w14:paraId="61D60B05" w14:textId="77777777" w:rsidR="00F76053" w:rsidRPr="0093156D" w:rsidRDefault="00F76053" w:rsidP="00C25E11">
      <w:pPr>
        <w:spacing w:line="276" w:lineRule="auto"/>
        <w:jc w:val="both"/>
      </w:pPr>
      <w:r w:rsidRPr="0093156D">
        <w:t>According to the country specifics and recommendations provided by the UN’s International Labour Organization (ILO), the upper age limit is not defined, as the rate of economic activity for the Georgian population in the post-retirement age is high. The following criteria and explanations used by the Geostat are based on the ILO methodology</w:t>
      </w:r>
      <w:r w:rsidRPr="0093156D">
        <w:rPr>
          <w:rStyle w:val="FootnoteReference"/>
        </w:rPr>
        <w:footnoteReference w:id="19"/>
      </w:r>
      <w:r w:rsidRPr="0093156D">
        <w:t>:</w:t>
      </w:r>
    </w:p>
    <w:p w14:paraId="6B71B25A" w14:textId="77777777" w:rsidR="00F76053" w:rsidRPr="0093156D" w:rsidRDefault="00F76053" w:rsidP="00C25E11">
      <w:pPr>
        <w:spacing w:line="276" w:lineRule="auto"/>
        <w:jc w:val="both"/>
      </w:pPr>
      <w:r w:rsidRPr="0093156D">
        <w:rPr>
          <w:i/>
        </w:rPr>
        <w:t>Economically active</w:t>
      </w:r>
      <w:r w:rsidRPr="0093156D">
        <w:t xml:space="preserve"> – is a person at the age of 15 or above who works or offers his/her labour for production of the services or products, that fall within the frame of domestic product as determined in the national accounts system of United Nations (UN). </w:t>
      </w:r>
    </w:p>
    <w:p w14:paraId="03D42A59" w14:textId="77777777" w:rsidR="00F76053" w:rsidRPr="0093156D" w:rsidRDefault="00F76053" w:rsidP="00C25E11">
      <w:pPr>
        <w:spacing w:line="276" w:lineRule="auto"/>
        <w:jc w:val="both"/>
      </w:pPr>
      <w:r w:rsidRPr="0093156D">
        <w:rPr>
          <w:i/>
        </w:rPr>
        <w:t>Employed (hired or self-employed)</w:t>
      </w:r>
      <w:r w:rsidRPr="0093156D">
        <w:t xml:space="preserve"> – is a person at the age of 15 or above who worked 7 days prior to the interview process (for at least one hour) to generate income (salary, profit or other compensation in kind), or helped other household members for free, or was formally considered employed but for some reason did not attend the work.</w:t>
      </w:r>
    </w:p>
    <w:p w14:paraId="7D695159" w14:textId="0A31DD10" w:rsidR="00F76053" w:rsidRPr="0093156D" w:rsidRDefault="00F76053" w:rsidP="00C25E11">
      <w:pPr>
        <w:spacing w:line="276" w:lineRule="auto"/>
        <w:jc w:val="both"/>
      </w:pPr>
      <w:r w:rsidRPr="0093156D">
        <w:rPr>
          <w:i/>
        </w:rPr>
        <w:t>Unemployed</w:t>
      </w:r>
      <w:r w:rsidRPr="0093156D">
        <w:t xml:space="preserve"> – a person at the age of 15 or above, who was not employed (even for one hour) 7 days prior to the interview process, was looking for a job for the last 4 weeks and was ready to start working within the next 2 weeks. </w:t>
      </w:r>
    </w:p>
    <w:p w14:paraId="4C62CC4D" w14:textId="7E1303C7" w:rsidR="00F76053" w:rsidRPr="0093156D" w:rsidRDefault="00F76053" w:rsidP="00C25E11">
      <w:pPr>
        <w:spacing w:line="276" w:lineRule="auto"/>
        <w:jc w:val="both"/>
      </w:pPr>
      <w:r w:rsidRPr="0093156D">
        <w:rPr>
          <w:i/>
        </w:rPr>
        <w:t>Economically inactive</w:t>
      </w:r>
      <w:r w:rsidRPr="0093156D">
        <w:t xml:space="preserve"> – is a person at the age of 15 or above, who was not employed (for at least one hour) 7 days prior to interview process and did not look for a job within previous 4 weeks. Also, a person who was looking for a job within previous 4 weeks, but was not prepared to start the work within the next 2 weeks.</w:t>
      </w:r>
    </w:p>
    <w:p w14:paraId="05448150" w14:textId="77777777" w:rsidR="00F76053" w:rsidRPr="0093156D" w:rsidRDefault="00F76053" w:rsidP="00C25E11">
      <w:pPr>
        <w:spacing w:line="276" w:lineRule="auto"/>
        <w:jc w:val="both"/>
      </w:pPr>
      <w:r w:rsidRPr="0093156D">
        <w:t xml:space="preserve">As it was mentioned above Geostat does not publish data on distribution of employed in Georgia by educational level. However, LFS microdata available on web-site includes variable on education, but only by aggregated educational levels of ISCED. For coding of detailed professions ISCO-national classificatory is used in Georgia. Some variable in LFS, as job tenure (employment duration) or company size data is available only for waged employment. Variable on age is presented in data-set by 5-years age groups. </w:t>
      </w:r>
    </w:p>
    <w:p w14:paraId="30219DA6" w14:textId="77777777" w:rsidR="00F76053" w:rsidRDefault="00F76053" w:rsidP="00C25E11">
      <w:pPr>
        <w:spacing w:line="276" w:lineRule="auto"/>
        <w:jc w:val="both"/>
      </w:pPr>
      <w:r w:rsidRPr="0093156D">
        <w:t xml:space="preserve">Concerning mismatch related variables, data corresponding to underutilisation of qualifications and skill obsolescence is </w:t>
      </w:r>
      <w:r>
        <w:t xml:space="preserve">not part of the </w:t>
      </w:r>
      <w:r w:rsidRPr="0093156D">
        <w:t xml:space="preserve">Georgian LFS. </w:t>
      </w:r>
    </w:p>
    <w:p w14:paraId="4EC47EB8" w14:textId="22029C79" w:rsidR="00F76053" w:rsidRPr="00A15288" w:rsidRDefault="00F76053" w:rsidP="00A15288">
      <w:pPr>
        <w:pStyle w:val="Heading3"/>
      </w:pPr>
      <w:bookmarkStart w:id="12" w:name="_Toc512826753"/>
      <w:r>
        <w:t>Other regular data collections</w:t>
      </w:r>
      <w:bookmarkEnd w:id="12"/>
    </w:p>
    <w:p w14:paraId="1C0B86A6" w14:textId="435C45BC" w:rsidR="00F76053" w:rsidRPr="00B335FD" w:rsidRDefault="004B38F4" w:rsidP="004B38F4">
      <w:pPr>
        <w:pStyle w:val="CommentText"/>
        <w:spacing w:line="276" w:lineRule="auto"/>
        <w:jc w:val="both"/>
      </w:pPr>
      <w:r>
        <w:t>T</w:t>
      </w:r>
      <w:r w:rsidR="00F76053">
        <w:t xml:space="preserve">he Georgian population censuses (conducted in 2002 and 2014) </w:t>
      </w:r>
      <w:r>
        <w:t xml:space="preserve">collects </w:t>
      </w:r>
      <w:r w:rsidR="00F76053">
        <w:t xml:space="preserve">data on educational level of </w:t>
      </w:r>
      <w:r>
        <w:t xml:space="preserve">the </w:t>
      </w:r>
      <w:r w:rsidR="00F76053">
        <w:t>population</w:t>
      </w:r>
      <w:r w:rsidR="007A410D">
        <w:t>.</w:t>
      </w:r>
      <w:r>
        <w:t xml:space="preserve"> It includes questions on the process of education for all household </w:t>
      </w:r>
      <w:r w:rsidRPr="004B38F4">
        <w:t>member, including the highest level of completed education (</w:t>
      </w:r>
      <w:r w:rsidR="00F76053" w:rsidRPr="004B38F4">
        <w:t>for each person age</w:t>
      </w:r>
      <w:r w:rsidRPr="004B38F4">
        <w:t>d</w:t>
      </w:r>
      <w:r w:rsidR="00F76053" w:rsidRPr="004B38F4">
        <w:t xml:space="preserve"> 10 </w:t>
      </w:r>
      <w:r w:rsidRPr="004B38F4">
        <w:t>or more years)</w:t>
      </w:r>
      <w:r>
        <w:t xml:space="preserve">. </w:t>
      </w:r>
      <w:r w:rsidR="00F76053" w:rsidRPr="004B38F4">
        <w:t>During the Georgian censuses employment data on all persons aged 15 and older  is collected that includes: (1) status of economic activity (</w:t>
      </w:r>
      <w:r>
        <w:t xml:space="preserve">since 2014 </w:t>
      </w:r>
      <w:r w:rsidR="00F76053" w:rsidRPr="004B38F4">
        <w:t>applying the same definition as in LFS: employment during last week; seeking for job during past 4 weeks and readiness to start a work  within 2 weeks)</w:t>
      </w:r>
      <w:r>
        <w:t xml:space="preserve">; </w:t>
      </w:r>
      <w:r w:rsidR="00F76053" w:rsidRPr="004B38F4">
        <w:t xml:space="preserve"> (2) employment status of person (hired employee, self-employed, employer etc.)</w:t>
      </w:r>
      <w:r>
        <w:t>;</w:t>
      </w:r>
      <w:r w:rsidR="00F76053" w:rsidRPr="004B38F4">
        <w:t xml:space="preserve"> and (3) some details on person’s labour activity: title of organization/enterprise, type of goods or services produced there and person’s job position or short description of what is he/she doing at the work. For analysis of specifics of labour activity of population data on main source of livelihood recorded for each household member aged 15 years also might be used.</w:t>
      </w:r>
      <w:r w:rsidR="00F76053">
        <w:t xml:space="preserve"> </w:t>
      </w:r>
    </w:p>
    <w:p w14:paraId="01395BEF" w14:textId="77777777" w:rsidR="00F76053" w:rsidRPr="006A4637" w:rsidRDefault="00F76053" w:rsidP="00C25E11">
      <w:pPr>
        <w:pStyle w:val="CommentText"/>
        <w:spacing w:line="276" w:lineRule="auto"/>
        <w:rPr>
          <w:b/>
        </w:rPr>
      </w:pPr>
      <w:r w:rsidRPr="00555E41">
        <w:rPr>
          <w:b/>
        </w:rPr>
        <w:t xml:space="preserve">Other </w:t>
      </w:r>
      <w:r w:rsidRPr="006A4637">
        <w:rPr>
          <w:b/>
        </w:rPr>
        <w:t>surveys</w:t>
      </w:r>
    </w:p>
    <w:p w14:paraId="10889A32" w14:textId="384E2009" w:rsidR="00F76053" w:rsidRPr="004B38F4" w:rsidRDefault="00F76053" w:rsidP="006A4637">
      <w:pPr>
        <w:pStyle w:val="CommentText"/>
        <w:jc w:val="both"/>
      </w:pPr>
      <w:r w:rsidRPr="006A4637">
        <w:t xml:space="preserve">The </w:t>
      </w:r>
      <w:r w:rsidR="007A410D" w:rsidRPr="006A4637">
        <w:t xml:space="preserve">first </w:t>
      </w:r>
      <w:r w:rsidRPr="006A4637">
        <w:t xml:space="preserve">nationally representative survey in Georgia on demands of employers on labour force has been conducted </w:t>
      </w:r>
      <w:r w:rsidR="00012E2A" w:rsidRPr="006A4637">
        <w:t>b</w:t>
      </w:r>
      <w:r w:rsidRPr="006A4637">
        <w:t xml:space="preserve">y </w:t>
      </w:r>
      <w:r w:rsidR="00012E2A" w:rsidRPr="006A4637">
        <w:t xml:space="preserve">the </w:t>
      </w:r>
      <w:r w:rsidRPr="006A4637">
        <w:t>Georgian Ministry on labour, Health and Social Affairs in 2015. In this survey the demand by occupations and the expectations of the future development is surveyed. Also some mismatch related indicators are surveyed. The most common problems employers face is the lack of necessary skills, which is also the main explanatory factor to hire foreign workers, which is in four out o</w:t>
      </w:r>
      <w:r w:rsidR="00564951">
        <w:t>f</w:t>
      </w:r>
      <w:r w:rsidRPr="006A4637">
        <w:t xml:space="preserve"> ten the cases related to the lack of necessary skills among the Georgian labour force</w:t>
      </w:r>
      <w:r w:rsidR="004B38F4" w:rsidRPr="006A4637">
        <w:t xml:space="preserve"> (cf. MLHSA, 2015; Rutowski, 2015). </w:t>
      </w:r>
      <w:r w:rsidR="002C146F">
        <w:t xml:space="preserve">As mentioned above, the Georgian authorities continued the practice of investigating the skills needs of companies. </w:t>
      </w:r>
      <w:r w:rsidR="006A4637" w:rsidRPr="00564951">
        <w:t>MoESD conducted</w:t>
      </w:r>
      <w:r w:rsidR="002C146F" w:rsidRPr="00564951">
        <w:t>, in 2017,</w:t>
      </w:r>
      <w:r w:rsidR="006A4637" w:rsidRPr="00564951">
        <w:t xml:space="preserve"> a nationwide Establishment Skills Survey with over 6000 companies</w:t>
      </w:r>
      <w:r w:rsidR="002C146F" w:rsidRPr="00564951">
        <w:t xml:space="preserve">, covering </w:t>
      </w:r>
      <w:r w:rsidR="006A4637" w:rsidRPr="00564951">
        <w:t>all sectors</w:t>
      </w:r>
      <w:r w:rsidR="002C146F" w:rsidRPr="00564951">
        <w:rPr>
          <w:vertAlign w:val="superscript"/>
        </w:rPr>
        <w:footnoteReference w:id="20"/>
      </w:r>
      <w:r w:rsidR="002C146F" w:rsidRPr="00564951">
        <w:t xml:space="preserve">. </w:t>
      </w:r>
    </w:p>
    <w:p w14:paraId="2E9126C6" w14:textId="49B72ABD" w:rsidR="00F76053" w:rsidRPr="004B38F4" w:rsidRDefault="002C146F" w:rsidP="004B38F4">
      <w:pPr>
        <w:spacing w:line="276" w:lineRule="auto"/>
        <w:jc w:val="both"/>
      </w:pPr>
      <w:r>
        <w:t xml:space="preserve">The topic of transition from education to work has been explored as well. </w:t>
      </w:r>
      <w:r w:rsidR="00F76053" w:rsidRPr="004B38F4">
        <w:t>Data on nationally representative survey on 2000 youths (18-35 y.o.) conducted by the Georgian Centre of Population Research in frame of international project “Opportunities and Barriers at the Transition from Education to Work. A Comparative Youth Study in Azerbaijan, Georgia and Tajikistan” (TEW-CCA) financed by Volkswagen foundation might be used upon release of access to micro-data</w:t>
      </w:r>
      <w:r>
        <w:rPr>
          <w:rStyle w:val="FootnoteReference"/>
        </w:rPr>
        <w:footnoteReference w:id="21"/>
      </w:r>
      <w:r w:rsidR="00F76053" w:rsidRPr="004B38F4">
        <w:t xml:space="preserve">.   </w:t>
      </w:r>
    </w:p>
    <w:p w14:paraId="197436C1" w14:textId="0C5747A6" w:rsidR="00F76053" w:rsidRDefault="00F76053" w:rsidP="004B38F4">
      <w:pPr>
        <w:pStyle w:val="CommentText"/>
        <w:spacing w:line="276" w:lineRule="auto"/>
        <w:jc w:val="both"/>
      </w:pPr>
      <w:r w:rsidRPr="004B38F4">
        <w:t xml:space="preserve">There are no </w:t>
      </w:r>
      <w:r w:rsidR="00A15288" w:rsidRPr="004B38F4">
        <w:t xml:space="preserve">structural </w:t>
      </w:r>
      <w:r w:rsidRPr="004B38F4">
        <w:t>tracer studies in Georgia available for higher education institution graduates, but during the fall of 2014 the first round of tracer study for public VET graduates was launched by the VET Department of the Georgian Ministry of Education and Science for the 2881 of graduates in the academic year 2012/2013 from the public VET schools</w:t>
      </w:r>
      <w:r w:rsidR="004B38F4" w:rsidRPr="004B38F4">
        <w:t xml:space="preserve"> (Ministry of Education and Science, 2015). T</w:t>
      </w:r>
      <w:r w:rsidRPr="004B38F4">
        <w:t>hose who were registered in the EMIS database. In tracer Study of 2016 were interviewed 302 out of</w:t>
      </w:r>
      <w:r>
        <w:t xml:space="preserve"> 415 graduates of public VET institutions</w:t>
      </w:r>
      <w:r w:rsidR="004B38F4">
        <w:t xml:space="preserve"> (</w:t>
      </w:r>
      <w:r w:rsidR="004B38F4" w:rsidRPr="004B38F4">
        <w:t>Gamkrelidze</w:t>
      </w:r>
      <w:r w:rsidR="004B38F4">
        <w:t>, 2016)</w:t>
      </w:r>
      <w:r>
        <w:t>.</w:t>
      </w:r>
      <w:r w:rsidR="00F64A2B">
        <w:t xml:space="preserve"> </w:t>
      </w:r>
      <w:r>
        <w:t>The study was based on standardised questionnaires administered in the course of phone interviews (structured questionnaire, uploaded on the web page: poll.vet.ge</w:t>
      </w:r>
      <w:r w:rsidR="00470F5B">
        <w:t>)</w:t>
      </w:r>
      <w:r>
        <w:t>. The core questions are split into nine modules dedicated to several groups of respondents depending on their current status as follows: (a) Studying at higher educational institution, (b) Studying in VET institution, (c) Working,</w:t>
      </w:r>
      <w:r w:rsidRPr="00FD212C">
        <w:t xml:space="preserve"> </w:t>
      </w:r>
      <w:r>
        <w:t>(d)Started own business, (e) Involved in family business, (f) Intern, (g) Unemployed, (h) Back to school and (i) Other.</w:t>
      </w:r>
    </w:p>
    <w:p w14:paraId="3C5CB479" w14:textId="5DAB96B6" w:rsidR="00F76053" w:rsidRDefault="00F76053" w:rsidP="004B38F4">
      <w:pPr>
        <w:pStyle w:val="CommentText"/>
        <w:spacing w:line="276" w:lineRule="auto"/>
        <w:jc w:val="both"/>
      </w:pPr>
      <w:r w:rsidRPr="008639FD">
        <w:t xml:space="preserve">The </w:t>
      </w:r>
      <w:r w:rsidRPr="004B38F4">
        <w:t xml:space="preserve">World Bank </w:t>
      </w:r>
      <w:r w:rsidR="004B38F4" w:rsidRPr="004B38F4">
        <w:t xml:space="preserve">(2014) </w:t>
      </w:r>
      <w:r w:rsidRPr="004B38F4">
        <w:t>STEP survey</w:t>
      </w:r>
      <w:r w:rsidR="00E6417C" w:rsidRPr="004B38F4">
        <w:t xml:space="preserve"> </w:t>
      </w:r>
      <w:r>
        <w:t xml:space="preserve">with data for </w:t>
      </w:r>
      <w:r w:rsidRPr="0093156D">
        <w:t>2013</w:t>
      </w:r>
      <w:r>
        <w:t xml:space="preserve"> shows significant qualitative skill mismatches in many dimensions of the skill spectrum (language, technical skills, leadership). However, this has so far been only a singular assessment of the situation. </w:t>
      </w:r>
      <w:r w:rsidRPr="004B38F4">
        <w:t xml:space="preserve">UNICEFs Youth survey </w:t>
      </w:r>
      <w:r w:rsidRPr="00904279">
        <w:t>(2013)</w:t>
      </w:r>
      <w:r w:rsidR="004B38F4" w:rsidRPr="004B38F4">
        <w:t xml:space="preserve"> </w:t>
      </w:r>
      <w:r>
        <w:t xml:space="preserve">provides some data on the experience of youth on education and the labour market. </w:t>
      </w:r>
    </w:p>
    <w:p w14:paraId="4B844E6A" w14:textId="77777777" w:rsidR="00F76053" w:rsidRDefault="00F76053" w:rsidP="004B38F4">
      <w:pPr>
        <w:pStyle w:val="CommentText"/>
        <w:spacing w:line="276" w:lineRule="auto"/>
        <w:jc w:val="both"/>
      </w:pPr>
      <w:r>
        <w:t xml:space="preserve">All these assessments of the labour market especially in the school-to-work transition are important steps in finding aspects of skill mismatch and improvements necessary for the Georgian education system and the labour market. They do not, yet, provide a structural and repeated assessment of the situation which would allow for specific mismatch indicators based on such a survey. </w:t>
      </w:r>
    </w:p>
    <w:p w14:paraId="60E16969" w14:textId="77777777" w:rsidR="00F76053" w:rsidRDefault="00F76053" w:rsidP="00F76053">
      <w:pPr>
        <w:pStyle w:val="Heading3"/>
      </w:pPr>
      <w:bookmarkStart w:id="13" w:name="_Toc512826754"/>
      <w:r w:rsidRPr="00555E41">
        <w:t>Administrative data</w:t>
      </w:r>
      <w:bookmarkEnd w:id="13"/>
    </w:p>
    <w:p w14:paraId="4295CB8B" w14:textId="77777777" w:rsidR="00F76053" w:rsidRDefault="00F76053" w:rsidP="004B38F4">
      <w:pPr>
        <w:pStyle w:val="CommentText"/>
        <w:spacing w:line="276" w:lineRule="auto"/>
        <w:jc w:val="both"/>
      </w:pPr>
      <w:r>
        <w:t xml:space="preserve">Administrative data on business registers exists and have been used to draw representative samples of the demand surveys by the ministries. They contain information on the organisation with respect to the location, economic activity code, size indication and the ownership. </w:t>
      </w:r>
    </w:p>
    <w:p w14:paraId="2908B07B" w14:textId="129B9EDF" w:rsidR="00B24541" w:rsidRPr="00A66E61" w:rsidRDefault="00F76053" w:rsidP="00D44D86">
      <w:pPr>
        <w:pStyle w:val="CommentText"/>
        <w:spacing w:line="276" w:lineRule="auto"/>
        <w:jc w:val="both"/>
      </w:pPr>
      <w:r w:rsidRPr="008F2ADE">
        <w:t>A registration of job seekers has to be done within the</w:t>
      </w:r>
      <w:r>
        <w:t xml:space="preserve"> </w:t>
      </w:r>
      <w:r w:rsidRPr="004B38F4">
        <w:t>Worknet</w:t>
      </w:r>
      <w:r w:rsidR="00D049F9">
        <w:t>-</w:t>
      </w:r>
      <w:r w:rsidRPr="004B38F4">
        <w:t>portal</w:t>
      </w:r>
      <w:r w:rsidRPr="00A66E61">
        <w:t xml:space="preserve"> </w:t>
      </w:r>
      <w:r w:rsidRPr="008F2ADE">
        <w:t xml:space="preserve">- the national register of the job seekers </w:t>
      </w:r>
      <w:r w:rsidRPr="005C77A7">
        <w:t>(</w:t>
      </w:r>
      <w:hyperlink r:id="rId22" w:history="1">
        <w:r w:rsidRPr="004B38F4">
          <w:t>www.worknet.gov.ge</w:t>
        </w:r>
      </w:hyperlink>
      <w:r w:rsidRPr="005C77A7">
        <w:t xml:space="preserve">). </w:t>
      </w:r>
      <w:r w:rsidRPr="00335F69">
        <w:t>The stock of posted vacancies can be accessed online, however it is not processed for statistical purposes</w:t>
      </w:r>
      <w:r>
        <w:t>.</w:t>
      </w:r>
      <w:r w:rsidRPr="004B38F4">
        <w:t xml:space="preserve"> </w:t>
      </w:r>
      <w:r w:rsidRPr="00A66E61">
        <w:t>In 2016, SSA/ESS managed to register 70,123 job seekers, 4727 job vacancies in Worknet portal and made 670 job placements in total</w:t>
      </w:r>
      <w:r w:rsidRPr="004B38F4">
        <w:t xml:space="preserve">. </w:t>
      </w:r>
    </w:p>
    <w:p w14:paraId="493DD292" w14:textId="77777777" w:rsidR="00F76053" w:rsidRDefault="00F76053" w:rsidP="00C33257">
      <w:pPr>
        <w:pStyle w:val="Heading3"/>
        <w:spacing w:line="276" w:lineRule="auto"/>
      </w:pPr>
      <w:bookmarkStart w:id="14" w:name="_Toc512826755"/>
      <w:r>
        <w:t>Overall assessment of the data situation</w:t>
      </w:r>
      <w:bookmarkEnd w:id="14"/>
    </w:p>
    <w:p w14:paraId="309942F7" w14:textId="21262378" w:rsidR="00B24541" w:rsidRDefault="00B24541" w:rsidP="00C33257">
      <w:pPr>
        <w:autoSpaceDE w:val="0"/>
        <w:autoSpaceDN w:val="0"/>
        <w:adjustRightInd w:val="0"/>
        <w:spacing w:after="120" w:line="276" w:lineRule="auto"/>
        <w:jc w:val="both"/>
      </w:pPr>
      <w:r>
        <w:t xml:space="preserve">Overall, the Georgian data situation can be considered to be good. The LFS seems to be fairly reliable and is able to provide the data necessary for key labour market statistics as well as most of the basic indicators of skill mismatch. It allows to disentangle the indicators by various groupings and in different dimensions. Inclusion of specific mismatch variables to directly identify skill usage, over-, or undereducation would – of course – simplify providing additional indicators. </w:t>
      </w:r>
    </w:p>
    <w:p w14:paraId="5283E958" w14:textId="040E7369" w:rsidR="00B24541" w:rsidRDefault="00B24541" w:rsidP="00C33257">
      <w:pPr>
        <w:autoSpaceDE w:val="0"/>
        <w:autoSpaceDN w:val="0"/>
        <w:adjustRightInd w:val="0"/>
        <w:spacing w:after="120" w:line="276" w:lineRule="auto"/>
        <w:jc w:val="both"/>
      </w:pPr>
      <w:r>
        <w:t xml:space="preserve">In Georgia, a wealth of additional data is available. Most of the additional data is based on projects that have not yet lead to the regular or structural collection of comparable data over time. There seem to be some developments, however, to provide some of the incidental data on a more regular level (tracer studies). This would be especially fruitful as the </w:t>
      </w:r>
      <w:r w:rsidR="00C33257">
        <w:t xml:space="preserve">indicators of the next part of the report point towards mismatches and problems of the school-to-work transition which would be best analysed using specific data-collections targeting this process and the underlying reasons. </w:t>
      </w:r>
    </w:p>
    <w:p w14:paraId="52F8F187" w14:textId="107C3D75" w:rsidR="00C33257" w:rsidRDefault="00C33257" w:rsidP="00C33257">
      <w:pPr>
        <w:autoSpaceDE w:val="0"/>
        <w:autoSpaceDN w:val="0"/>
        <w:adjustRightInd w:val="0"/>
        <w:spacing w:after="120" w:line="276" w:lineRule="auto"/>
        <w:jc w:val="both"/>
      </w:pPr>
      <w:r>
        <w:t xml:space="preserve">While some information on demand and vacancies exist based on surveys among employers, a more structural and encompassing collection of vacancy data would help in bringing together information on supply, based on the existing data collections, and demand as identified by surveys of vacancies. Administrative data on vacancies might partly fill this gap, however in order to allow its full use, the element of the specific elements of the demand in terms of skills should be collected. </w:t>
      </w:r>
      <w:r w:rsidR="00470F5B">
        <w:t>Additionally</w:t>
      </w:r>
      <w:r>
        <w:t xml:space="preserve">, great care should be taken in cleaning administrative registers of vacancies </w:t>
      </w:r>
      <w:r w:rsidR="00D049F9">
        <w:t>to ensure that</w:t>
      </w:r>
      <w:r>
        <w:t xml:space="preserve"> only those vacancies that are still open are registered in the system. </w:t>
      </w:r>
    </w:p>
    <w:p w14:paraId="7A098354" w14:textId="280DA90F" w:rsidR="00C33257" w:rsidRDefault="00C33257" w:rsidP="00C33257">
      <w:pPr>
        <w:autoSpaceDE w:val="0"/>
        <w:autoSpaceDN w:val="0"/>
        <w:adjustRightInd w:val="0"/>
        <w:spacing w:after="120" w:line="276" w:lineRule="auto"/>
        <w:jc w:val="both"/>
      </w:pPr>
      <w:r>
        <w:t>I</w:t>
      </w:r>
      <w:r w:rsidR="00B24541">
        <w:t xml:space="preserve">n this </w:t>
      </w:r>
      <w:r>
        <w:t>report</w:t>
      </w:r>
      <w:r w:rsidR="00B24541">
        <w:t xml:space="preserve"> the data </w:t>
      </w:r>
      <w:r>
        <w:t xml:space="preserve">that </w:t>
      </w:r>
      <w:r w:rsidR="00B24541">
        <w:t xml:space="preserve">was mainly used </w:t>
      </w:r>
      <w:r>
        <w:t xml:space="preserve">is LFS based. Additional data sources are used to extend some of the analysis in order to deepen, extend or confirm the insights from the indicators. </w:t>
      </w:r>
    </w:p>
    <w:p w14:paraId="5FD28AAC" w14:textId="77777777" w:rsidR="00B24541" w:rsidRDefault="00B24541" w:rsidP="00F76053">
      <w:pPr>
        <w:spacing w:after="120"/>
        <w:jc w:val="both"/>
        <w:rPr>
          <w:highlight w:val="yellow"/>
        </w:rPr>
      </w:pPr>
    </w:p>
    <w:p w14:paraId="7D9F7168" w14:textId="02001DEE" w:rsidR="00FD6034" w:rsidRPr="0093156D" w:rsidRDefault="00FD6034" w:rsidP="00FD6034">
      <w:pPr>
        <w:pStyle w:val="Heading1"/>
      </w:pPr>
      <w:bookmarkStart w:id="15" w:name="_Toc512826756"/>
      <w:r w:rsidRPr="0093156D">
        <w:t>Interpretation and discussion of indicators of skill mismatch</w:t>
      </w:r>
      <w:bookmarkEnd w:id="15"/>
    </w:p>
    <w:p w14:paraId="142960ED" w14:textId="77777777" w:rsidR="00C33257" w:rsidRPr="00643ED8" w:rsidRDefault="006C1F59" w:rsidP="00643ED8">
      <w:pPr>
        <w:autoSpaceDE w:val="0"/>
        <w:autoSpaceDN w:val="0"/>
        <w:adjustRightInd w:val="0"/>
        <w:spacing w:after="120" w:line="276" w:lineRule="auto"/>
        <w:jc w:val="both"/>
      </w:pPr>
      <w:r w:rsidRPr="00643ED8">
        <w:t xml:space="preserve">While labour market imbalances in general refer to a difference between demand and supply, mismatch concentrates on certain aspects of demand / supply imbalances, specifically a mismatch on skills or qualifications between demand and supply. Skill mismatch can occur even when the total supply suffices to meet total demand in total numbers, but not in skills or qualifications. The dimension of skill mismatch on the micro level a matter of level, thus the skills are within the correct field of a specific task or occupation, but the level of the skill is lower than what would usually be required for the specific occupation or task. This is usually referred to as vertical mismatch, or over- and undereducation and/or over- and underskilling. Horizontal mismatch occurs when the level of the qualification is sufficient, but the type or field of qualification does not adequately match. The more detailed job requirements can be measured in terms of skills or qualifications, the more likely it is that one finds (some) horizontal mismatch. The corollary is also that the less detailed data is, the less likely it is to identify horizontal mismatch, even if it exists. </w:t>
      </w:r>
    </w:p>
    <w:p w14:paraId="3744F835" w14:textId="18708CEA" w:rsidR="006C1F59" w:rsidRPr="00643ED8" w:rsidRDefault="006C1F59" w:rsidP="00643ED8">
      <w:pPr>
        <w:autoSpaceDE w:val="0"/>
        <w:autoSpaceDN w:val="0"/>
        <w:adjustRightInd w:val="0"/>
        <w:spacing w:after="120" w:line="276" w:lineRule="auto"/>
        <w:jc w:val="both"/>
      </w:pPr>
      <w:r w:rsidRPr="00643ED8">
        <w:t>The body of knowledge and recommendations summed-up in the ETF methodological note, as well as other important studies carried out on the skills mismatch by JRC</w:t>
      </w:r>
      <w:r w:rsidR="00646738" w:rsidRPr="00643ED8">
        <w:t xml:space="preserve"> (2014),</w:t>
      </w:r>
      <w:r w:rsidR="00C33257" w:rsidRPr="00643ED8">
        <w:t xml:space="preserve"> </w:t>
      </w:r>
      <w:r w:rsidRPr="00643ED8">
        <w:t>Cedefop</w:t>
      </w:r>
      <w:r w:rsidR="00646738" w:rsidRPr="00643ED8">
        <w:t xml:space="preserve"> (2015)</w:t>
      </w:r>
      <w:r w:rsidRPr="00643ED8">
        <w:t xml:space="preserve"> the European Commission</w:t>
      </w:r>
      <w:r w:rsidR="00646738" w:rsidRPr="00643ED8">
        <w:t xml:space="preserve"> (2015), </w:t>
      </w:r>
      <w:r w:rsidRPr="00643ED8">
        <w:t>and Eurostat</w:t>
      </w:r>
      <w:r w:rsidR="00646738" w:rsidRPr="00643ED8">
        <w:t xml:space="preserve"> (2016)</w:t>
      </w:r>
      <w:r w:rsidRPr="00643ED8">
        <w:t xml:space="preserve"> represent the essential conceptual and methodological starting point for this country study. </w:t>
      </w:r>
    </w:p>
    <w:p w14:paraId="1FBA47DB" w14:textId="7CA9B739" w:rsidR="00A15288" w:rsidRPr="006C1F59" w:rsidRDefault="00A15288" w:rsidP="00A15288">
      <w:pPr>
        <w:pStyle w:val="Caption"/>
        <w:keepNext/>
        <w:spacing w:after="0"/>
        <w:ind w:left="1410" w:hanging="1410"/>
        <w:rPr>
          <w:b/>
          <w:i w:val="0"/>
          <w:color w:val="auto"/>
          <w:sz w:val="22"/>
          <w:szCs w:val="22"/>
          <w:lang w:val="en-GB"/>
        </w:rPr>
      </w:pPr>
      <w:r w:rsidRPr="0093156D">
        <w:rPr>
          <w:b/>
          <w:i w:val="0"/>
          <w:color w:val="auto"/>
          <w:sz w:val="22"/>
          <w:szCs w:val="22"/>
          <w:lang w:val="en-GB"/>
        </w:rPr>
        <w:t xml:space="preserve">Table </w:t>
      </w:r>
      <w:r w:rsidRPr="0093156D">
        <w:rPr>
          <w:lang w:val="en-GB"/>
        </w:rPr>
        <w:fldChar w:fldCharType="begin"/>
      </w:r>
      <w:r w:rsidRPr="0093156D">
        <w:rPr>
          <w:b/>
          <w:i w:val="0"/>
          <w:color w:val="auto"/>
          <w:sz w:val="22"/>
          <w:szCs w:val="22"/>
          <w:lang w:val="en-GB"/>
        </w:rPr>
        <w:instrText xml:space="preserve"> SEQ Table \* ARABIC </w:instrText>
      </w:r>
      <w:r w:rsidRPr="0093156D">
        <w:rPr>
          <w:lang w:val="en-GB"/>
        </w:rPr>
        <w:fldChar w:fldCharType="separate"/>
      </w:r>
      <w:r w:rsidR="00C50D04">
        <w:rPr>
          <w:b/>
          <w:i w:val="0"/>
          <w:noProof/>
          <w:color w:val="auto"/>
          <w:sz w:val="22"/>
          <w:szCs w:val="22"/>
          <w:lang w:val="en-GB"/>
        </w:rPr>
        <w:t>1</w:t>
      </w:r>
      <w:r w:rsidRPr="0093156D">
        <w:rPr>
          <w:lang w:val="en-GB"/>
        </w:rPr>
        <w:fldChar w:fldCharType="end"/>
      </w:r>
      <w:r w:rsidRPr="0093156D">
        <w:rPr>
          <w:b/>
          <w:i w:val="0"/>
          <w:color w:val="auto"/>
          <w:sz w:val="22"/>
          <w:szCs w:val="22"/>
          <w:lang w:val="en-GB"/>
        </w:rPr>
        <w:tab/>
      </w:r>
      <w:r>
        <w:rPr>
          <w:b/>
          <w:i w:val="0"/>
          <w:color w:val="auto"/>
          <w:sz w:val="22"/>
          <w:szCs w:val="22"/>
          <w:lang w:val="en-GB"/>
        </w:rPr>
        <w:t>Mismatch indicators Georgia – Definitions and Interpretation</w:t>
      </w:r>
      <w:r w:rsidRPr="0093156D">
        <w:rPr>
          <w:b/>
          <w:i w:val="0"/>
          <w:color w:val="auto"/>
          <w:sz w:val="22"/>
          <w:szCs w:val="22"/>
          <w:lang w:val="en-GB"/>
        </w:rPr>
        <w:t xml:space="preserve"> </w:t>
      </w:r>
    </w:p>
    <w:tbl>
      <w:tblPr>
        <w:tblStyle w:val="TableGrid"/>
        <w:tblW w:w="0" w:type="auto"/>
        <w:tblLook w:val="04A0" w:firstRow="1" w:lastRow="0" w:firstColumn="1" w:lastColumn="0" w:noHBand="0" w:noVBand="1"/>
      </w:tblPr>
      <w:tblGrid>
        <w:gridCol w:w="1511"/>
        <w:gridCol w:w="1310"/>
        <w:gridCol w:w="2403"/>
        <w:gridCol w:w="1228"/>
        <w:gridCol w:w="2609"/>
      </w:tblGrid>
      <w:tr w:rsidR="00A15288" w:rsidRPr="00004349" w14:paraId="3ACF8F3D" w14:textId="77777777" w:rsidTr="00646738">
        <w:tc>
          <w:tcPr>
            <w:tcW w:w="1513" w:type="dxa"/>
            <w:shd w:val="clear" w:color="auto" w:fill="F2F2F2" w:themeFill="background1" w:themeFillShade="F2"/>
          </w:tcPr>
          <w:p w14:paraId="48634DB6" w14:textId="77777777" w:rsidR="00A15288" w:rsidRPr="00004349" w:rsidRDefault="00A15288" w:rsidP="00A15288">
            <w:pPr>
              <w:jc w:val="both"/>
              <w:rPr>
                <w:b/>
              </w:rPr>
            </w:pPr>
            <w:r w:rsidRPr="00004349">
              <w:rPr>
                <w:b/>
              </w:rPr>
              <w:t>Indicator</w:t>
            </w:r>
          </w:p>
        </w:tc>
        <w:tc>
          <w:tcPr>
            <w:tcW w:w="1317" w:type="dxa"/>
            <w:shd w:val="clear" w:color="auto" w:fill="F2F2F2" w:themeFill="background1" w:themeFillShade="F2"/>
          </w:tcPr>
          <w:p w14:paraId="24A91EF4" w14:textId="77777777" w:rsidR="00A15288" w:rsidRPr="00004349" w:rsidRDefault="00A15288" w:rsidP="00A15288">
            <w:pPr>
              <w:jc w:val="both"/>
              <w:rPr>
                <w:b/>
              </w:rPr>
            </w:pPr>
            <w:r w:rsidRPr="00004349">
              <w:rPr>
                <w:b/>
              </w:rPr>
              <w:t>Definition</w:t>
            </w:r>
          </w:p>
        </w:tc>
        <w:tc>
          <w:tcPr>
            <w:tcW w:w="2449" w:type="dxa"/>
            <w:shd w:val="clear" w:color="auto" w:fill="F2F2F2" w:themeFill="background1" w:themeFillShade="F2"/>
          </w:tcPr>
          <w:p w14:paraId="07153655" w14:textId="77777777" w:rsidR="00A15288" w:rsidRPr="00004349" w:rsidRDefault="00A15288" w:rsidP="00A15288">
            <w:pPr>
              <w:jc w:val="both"/>
              <w:rPr>
                <w:b/>
              </w:rPr>
            </w:pPr>
            <w:r w:rsidRPr="00004349">
              <w:rPr>
                <w:b/>
              </w:rPr>
              <w:t>Purpose</w:t>
            </w:r>
          </w:p>
        </w:tc>
        <w:tc>
          <w:tcPr>
            <w:tcW w:w="1127" w:type="dxa"/>
            <w:shd w:val="clear" w:color="auto" w:fill="F2F2F2" w:themeFill="background1" w:themeFillShade="F2"/>
          </w:tcPr>
          <w:p w14:paraId="53D21D7D" w14:textId="77777777" w:rsidR="00A15288" w:rsidRPr="00004349" w:rsidRDefault="00A15288" w:rsidP="00A15288">
            <w:pPr>
              <w:jc w:val="both"/>
              <w:rPr>
                <w:b/>
              </w:rPr>
            </w:pPr>
            <w:r w:rsidRPr="00004349">
              <w:rPr>
                <w:b/>
              </w:rPr>
              <w:t>Data source(s)</w:t>
            </w:r>
          </w:p>
        </w:tc>
        <w:tc>
          <w:tcPr>
            <w:tcW w:w="2655" w:type="dxa"/>
            <w:shd w:val="clear" w:color="auto" w:fill="F2F2F2" w:themeFill="background1" w:themeFillShade="F2"/>
          </w:tcPr>
          <w:p w14:paraId="3EC2309B" w14:textId="77777777" w:rsidR="00A15288" w:rsidRPr="00004349" w:rsidRDefault="00A15288" w:rsidP="00A15288">
            <w:pPr>
              <w:jc w:val="both"/>
              <w:rPr>
                <w:b/>
              </w:rPr>
            </w:pPr>
            <w:r w:rsidRPr="00004349">
              <w:rPr>
                <w:b/>
              </w:rPr>
              <w:t>Interpretation</w:t>
            </w:r>
          </w:p>
        </w:tc>
      </w:tr>
      <w:tr w:rsidR="00A15288" w:rsidRPr="00004349" w14:paraId="1D32E6D2" w14:textId="77777777" w:rsidTr="00646738">
        <w:tc>
          <w:tcPr>
            <w:tcW w:w="1513" w:type="dxa"/>
          </w:tcPr>
          <w:p w14:paraId="47B6E456" w14:textId="77777777" w:rsidR="00A15288" w:rsidRPr="00004349" w:rsidRDefault="00A15288" w:rsidP="00A15288">
            <w:pPr>
              <w:jc w:val="both"/>
              <w:rPr>
                <w:rFonts w:ascii="Arial Narrow" w:hAnsi="Arial Narrow"/>
                <w:b/>
              </w:rPr>
            </w:pPr>
            <w:r w:rsidRPr="00004349">
              <w:rPr>
                <w:rFonts w:ascii="Arial Narrow" w:hAnsi="Arial Narrow"/>
                <w:b/>
              </w:rPr>
              <w:t>Unemployment rate</w:t>
            </w:r>
          </w:p>
        </w:tc>
        <w:tc>
          <w:tcPr>
            <w:tcW w:w="1317" w:type="dxa"/>
          </w:tcPr>
          <w:p w14:paraId="4E629487" w14:textId="77777777" w:rsidR="00A15288" w:rsidRPr="00004349" w:rsidRDefault="00A15288" w:rsidP="00A15288">
            <w:pPr>
              <w:jc w:val="both"/>
              <w:rPr>
                <w:rFonts w:ascii="Arial Narrow" w:hAnsi="Arial Narrow"/>
              </w:rPr>
            </w:pPr>
            <w:r w:rsidRPr="00004349">
              <w:rPr>
                <w:rFonts w:ascii="Arial Narrow" w:hAnsi="Arial Narrow"/>
              </w:rPr>
              <w:t>U / (E + U)</w:t>
            </w:r>
          </w:p>
        </w:tc>
        <w:tc>
          <w:tcPr>
            <w:tcW w:w="2449" w:type="dxa"/>
          </w:tcPr>
          <w:p w14:paraId="36E8DE5A" w14:textId="77777777" w:rsidR="00A15288" w:rsidRPr="00004349" w:rsidRDefault="00A15288" w:rsidP="00A15288">
            <w:pPr>
              <w:jc w:val="both"/>
              <w:rPr>
                <w:rFonts w:ascii="Arial Narrow" w:hAnsi="Arial Narrow"/>
              </w:rPr>
            </w:pPr>
            <w:r w:rsidRPr="00004349">
              <w:rPr>
                <w:rFonts w:ascii="Arial Narrow" w:hAnsi="Arial Narrow"/>
              </w:rPr>
              <w:t>Official unemployment rate. Often strict definition of unemployed (searching within the past 4 weeks)</w:t>
            </w:r>
          </w:p>
        </w:tc>
        <w:tc>
          <w:tcPr>
            <w:tcW w:w="1127" w:type="dxa"/>
          </w:tcPr>
          <w:p w14:paraId="1EA6FE56" w14:textId="77777777" w:rsidR="00A15288" w:rsidRPr="00004349" w:rsidRDefault="00A15288" w:rsidP="00A15288">
            <w:pPr>
              <w:jc w:val="both"/>
              <w:rPr>
                <w:rFonts w:ascii="Arial Narrow" w:hAnsi="Arial Narrow"/>
              </w:rPr>
            </w:pPr>
            <w:r w:rsidRPr="00004349">
              <w:rPr>
                <w:rFonts w:ascii="Arial Narrow" w:hAnsi="Arial Narrow"/>
              </w:rPr>
              <w:t>LFS</w:t>
            </w:r>
          </w:p>
        </w:tc>
        <w:tc>
          <w:tcPr>
            <w:tcW w:w="2655" w:type="dxa"/>
          </w:tcPr>
          <w:p w14:paraId="0777E257" w14:textId="77777777" w:rsidR="00A15288" w:rsidRPr="00004349" w:rsidRDefault="00A15288" w:rsidP="00A15288">
            <w:pPr>
              <w:jc w:val="both"/>
              <w:rPr>
                <w:rFonts w:ascii="Arial Narrow" w:hAnsi="Arial Narrow"/>
              </w:rPr>
            </w:pPr>
            <w:r w:rsidRPr="00004349">
              <w:rPr>
                <w:rFonts w:ascii="Arial Narrow" w:hAnsi="Arial Narrow"/>
              </w:rPr>
              <w:t>Higher unemployment rates show a mismatch between demand &amp; supply</w:t>
            </w:r>
          </w:p>
        </w:tc>
      </w:tr>
      <w:tr w:rsidR="00A15288" w:rsidRPr="00004349" w14:paraId="69D726FA" w14:textId="77777777" w:rsidTr="00646738">
        <w:tc>
          <w:tcPr>
            <w:tcW w:w="1513" w:type="dxa"/>
          </w:tcPr>
          <w:p w14:paraId="44CDB724" w14:textId="77777777" w:rsidR="00A15288" w:rsidRPr="00004349" w:rsidRDefault="00A15288" w:rsidP="00A15288">
            <w:pPr>
              <w:jc w:val="both"/>
              <w:rPr>
                <w:rFonts w:ascii="Arial Narrow" w:hAnsi="Arial Narrow"/>
                <w:b/>
              </w:rPr>
            </w:pPr>
            <w:r w:rsidRPr="00004349">
              <w:rPr>
                <w:rFonts w:ascii="Arial Narrow" w:hAnsi="Arial Narrow"/>
                <w:b/>
              </w:rPr>
              <w:t>Unemployed / Employed ratio</w:t>
            </w:r>
          </w:p>
        </w:tc>
        <w:tc>
          <w:tcPr>
            <w:tcW w:w="1317" w:type="dxa"/>
          </w:tcPr>
          <w:p w14:paraId="22F7CA67" w14:textId="77777777" w:rsidR="00A15288" w:rsidRPr="00004349" w:rsidRDefault="00A15288" w:rsidP="00A15288">
            <w:pPr>
              <w:jc w:val="both"/>
              <w:rPr>
                <w:rFonts w:ascii="Arial Narrow" w:hAnsi="Arial Narrow"/>
              </w:rPr>
            </w:pPr>
            <w:r w:rsidRPr="00004349">
              <w:rPr>
                <w:rFonts w:ascii="Arial Narrow" w:hAnsi="Arial Narrow"/>
              </w:rPr>
              <w:t>U/E</w:t>
            </w:r>
          </w:p>
        </w:tc>
        <w:tc>
          <w:tcPr>
            <w:tcW w:w="2449" w:type="dxa"/>
          </w:tcPr>
          <w:p w14:paraId="171CA198" w14:textId="667C2FA7" w:rsidR="00A15288" w:rsidRPr="00004349" w:rsidRDefault="00A15288" w:rsidP="00A15288">
            <w:pPr>
              <w:jc w:val="both"/>
              <w:rPr>
                <w:rFonts w:ascii="Arial Narrow" w:hAnsi="Arial Narrow"/>
              </w:rPr>
            </w:pPr>
            <w:r w:rsidRPr="00004349">
              <w:rPr>
                <w:rFonts w:ascii="Arial Narrow" w:hAnsi="Arial Narrow"/>
              </w:rPr>
              <w:t xml:space="preserve">Like the unemployment rate. Simpler to calculate. Provides a direct interpretation of the relation of the employed to unemployed. </w:t>
            </w:r>
          </w:p>
        </w:tc>
        <w:tc>
          <w:tcPr>
            <w:tcW w:w="1127" w:type="dxa"/>
          </w:tcPr>
          <w:p w14:paraId="40700555" w14:textId="77777777" w:rsidR="00A15288" w:rsidRPr="00004349" w:rsidRDefault="00A15288" w:rsidP="00A15288">
            <w:pPr>
              <w:jc w:val="both"/>
              <w:rPr>
                <w:rFonts w:ascii="Arial Narrow" w:hAnsi="Arial Narrow"/>
              </w:rPr>
            </w:pPr>
            <w:r w:rsidRPr="00004349">
              <w:rPr>
                <w:rFonts w:ascii="Arial Narrow" w:hAnsi="Arial Narrow"/>
              </w:rPr>
              <w:t>LFS</w:t>
            </w:r>
          </w:p>
        </w:tc>
        <w:tc>
          <w:tcPr>
            <w:tcW w:w="2655" w:type="dxa"/>
          </w:tcPr>
          <w:p w14:paraId="248961CD" w14:textId="77777777" w:rsidR="00A15288" w:rsidRPr="00004349" w:rsidRDefault="00A15288" w:rsidP="00A15288">
            <w:pPr>
              <w:jc w:val="both"/>
              <w:rPr>
                <w:rFonts w:ascii="Arial Narrow" w:hAnsi="Arial Narrow"/>
              </w:rPr>
            </w:pPr>
            <w:r w:rsidRPr="00004349">
              <w:rPr>
                <w:rFonts w:ascii="Arial Narrow" w:hAnsi="Arial Narrow"/>
              </w:rPr>
              <w:t xml:space="preserve">See above. Note also that the different groups might exhibit quite different ratios. </w:t>
            </w:r>
          </w:p>
          <w:p w14:paraId="4579B9BB" w14:textId="77777777" w:rsidR="00A15288" w:rsidRPr="00004349" w:rsidRDefault="00A15288" w:rsidP="00A15288">
            <w:pPr>
              <w:jc w:val="both"/>
              <w:rPr>
                <w:rFonts w:ascii="Arial Narrow" w:hAnsi="Arial Narrow"/>
              </w:rPr>
            </w:pPr>
            <w:r w:rsidRPr="00004349">
              <w:rPr>
                <w:rFonts w:ascii="Arial Narrow" w:hAnsi="Arial Narrow"/>
              </w:rPr>
              <w:t xml:space="preserve">Here youth U/E shows problems in school to work transition; old age U/E shows lack of relevant skills or institutional barriers to employment. </w:t>
            </w:r>
          </w:p>
        </w:tc>
      </w:tr>
      <w:tr w:rsidR="00A15288" w:rsidRPr="00004349" w14:paraId="2A4B14DC" w14:textId="77777777" w:rsidTr="00646738">
        <w:tc>
          <w:tcPr>
            <w:tcW w:w="1513" w:type="dxa"/>
          </w:tcPr>
          <w:p w14:paraId="7DFF422C" w14:textId="77777777" w:rsidR="00A15288" w:rsidRPr="00004349" w:rsidRDefault="00A15288" w:rsidP="00A15288">
            <w:pPr>
              <w:jc w:val="both"/>
              <w:rPr>
                <w:rFonts w:ascii="Arial Narrow" w:hAnsi="Arial Narrow"/>
                <w:b/>
              </w:rPr>
            </w:pPr>
            <w:r w:rsidRPr="00004349">
              <w:rPr>
                <w:rFonts w:ascii="Arial Narrow" w:hAnsi="Arial Narrow"/>
                <w:b/>
              </w:rPr>
              <w:t>NEET</w:t>
            </w:r>
          </w:p>
        </w:tc>
        <w:tc>
          <w:tcPr>
            <w:tcW w:w="1317" w:type="dxa"/>
          </w:tcPr>
          <w:p w14:paraId="449A8DC4" w14:textId="77777777" w:rsidR="00A15288" w:rsidRPr="00004349" w:rsidRDefault="00A15288" w:rsidP="00A15288">
            <w:pPr>
              <w:jc w:val="both"/>
              <w:rPr>
                <w:rFonts w:ascii="Arial Narrow" w:hAnsi="Arial Narrow"/>
              </w:rPr>
            </w:pPr>
            <w:r w:rsidRPr="00004349">
              <w:rPr>
                <w:rFonts w:ascii="Arial Narrow" w:hAnsi="Arial Narrow"/>
              </w:rPr>
              <w:t>IA/POP</w:t>
            </w:r>
          </w:p>
        </w:tc>
        <w:tc>
          <w:tcPr>
            <w:tcW w:w="2449" w:type="dxa"/>
          </w:tcPr>
          <w:p w14:paraId="783D74BD" w14:textId="77777777" w:rsidR="00A15288" w:rsidRPr="00004349" w:rsidRDefault="00A15288" w:rsidP="00A15288">
            <w:pPr>
              <w:jc w:val="both"/>
              <w:rPr>
                <w:rFonts w:ascii="Arial Narrow" w:hAnsi="Arial Narrow"/>
              </w:rPr>
            </w:pPr>
            <w:r w:rsidRPr="00004349">
              <w:rPr>
                <w:rFonts w:ascii="Arial Narrow" w:hAnsi="Arial Narrow"/>
              </w:rPr>
              <w:t xml:space="preserve">Examine the non-employment among youth in the school to work transition. </w:t>
            </w:r>
          </w:p>
        </w:tc>
        <w:tc>
          <w:tcPr>
            <w:tcW w:w="1127" w:type="dxa"/>
          </w:tcPr>
          <w:p w14:paraId="68B45D03" w14:textId="77777777" w:rsidR="00A15288" w:rsidRPr="00004349" w:rsidRDefault="00A15288" w:rsidP="00A15288">
            <w:pPr>
              <w:jc w:val="both"/>
              <w:rPr>
                <w:rFonts w:ascii="Arial Narrow" w:hAnsi="Arial Narrow"/>
              </w:rPr>
            </w:pPr>
            <w:r w:rsidRPr="00004349">
              <w:rPr>
                <w:rFonts w:ascii="Arial Narrow" w:hAnsi="Arial Narrow"/>
              </w:rPr>
              <w:t>LFS</w:t>
            </w:r>
          </w:p>
        </w:tc>
        <w:tc>
          <w:tcPr>
            <w:tcW w:w="2655" w:type="dxa"/>
          </w:tcPr>
          <w:p w14:paraId="6A611AB9" w14:textId="77777777" w:rsidR="00A15288" w:rsidRPr="00004349" w:rsidRDefault="00A15288" w:rsidP="00A15288">
            <w:pPr>
              <w:jc w:val="both"/>
              <w:rPr>
                <w:rFonts w:ascii="Arial Narrow" w:hAnsi="Arial Narrow"/>
              </w:rPr>
            </w:pPr>
            <w:r w:rsidRPr="00004349">
              <w:rPr>
                <w:rFonts w:ascii="Arial Narrow" w:hAnsi="Arial Narrow"/>
              </w:rPr>
              <w:t xml:space="preserve">Youth that is neither working (after education) or in education provides insights into the barrier to enter the labour market. Depending on age / education level this shows the lack of (acceptance) of skills from the education system. </w:t>
            </w:r>
          </w:p>
        </w:tc>
      </w:tr>
      <w:tr w:rsidR="00A15288" w:rsidRPr="00004349" w14:paraId="6296A702" w14:textId="77777777" w:rsidTr="00646738">
        <w:tc>
          <w:tcPr>
            <w:tcW w:w="1513" w:type="dxa"/>
          </w:tcPr>
          <w:p w14:paraId="1D6BF3BF" w14:textId="77777777" w:rsidR="00A15288" w:rsidRPr="00004349" w:rsidRDefault="00A15288" w:rsidP="00A15288">
            <w:pPr>
              <w:jc w:val="both"/>
              <w:rPr>
                <w:rFonts w:ascii="Arial Narrow" w:hAnsi="Arial Narrow"/>
                <w:b/>
              </w:rPr>
            </w:pPr>
            <w:r w:rsidRPr="00004349">
              <w:rPr>
                <w:rFonts w:ascii="Arial Narrow" w:hAnsi="Arial Narrow"/>
                <w:b/>
              </w:rPr>
              <w:t>Overeducation</w:t>
            </w:r>
          </w:p>
        </w:tc>
        <w:tc>
          <w:tcPr>
            <w:tcW w:w="1317" w:type="dxa"/>
          </w:tcPr>
          <w:p w14:paraId="5172A63A" w14:textId="77777777" w:rsidR="00A15288" w:rsidRPr="00004349" w:rsidRDefault="00A15288" w:rsidP="00A15288">
            <w:pPr>
              <w:jc w:val="both"/>
              <w:rPr>
                <w:rFonts w:ascii="Arial Narrow" w:hAnsi="Arial Narrow"/>
              </w:rPr>
            </w:pPr>
            <w:r w:rsidRPr="00004349">
              <w:rPr>
                <w:rFonts w:ascii="Arial Narrow" w:hAnsi="Arial Narrow"/>
              </w:rPr>
              <w:t>% with education level above required / identified level of education in occupation (group)</w:t>
            </w:r>
          </w:p>
        </w:tc>
        <w:tc>
          <w:tcPr>
            <w:tcW w:w="2449" w:type="dxa"/>
          </w:tcPr>
          <w:p w14:paraId="365FCF9F" w14:textId="397B8ED5" w:rsidR="00A15288" w:rsidRPr="00004349" w:rsidRDefault="00E44DCE" w:rsidP="00A15288">
            <w:pPr>
              <w:jc w:val="both"/>
              <w:rPr>
                <w:rFonts w:ascii="Arial Narrow" w:hAnsi="Arial Narrow"/>
              </w:rPr>
            </w:pPr>
            <w:r w:rsidRPr="00004349">
              <w:rPr>
                <w:rFonts w:ascii="Arial Narrow" w:hAnsi="Arial Narrow"/>
              </w:rPr>
              <w:t xml:space="preserve">Degree of mismatch by qualification level. </w:t>
            </w:r>
          </w:p>
        </w:tc>
        <w:tc>
          <w:tcPr>
            <w:tcW w:w="1127" w:type="dxa"/>
          </w:tcPr>
          <w:p w14:paraId="2151E2B3" w14:textId="77777777" w:rsidR="00A15288" w:rsidRPr="00004349" w:rsidRDefault="00A15288" w:rsidP="00A15288">
            <w:pPr>
              <w:jc w:val="both"/>
              <w:rPr>
                <w:rFonts w:ascii="Arial Narrow" w:hAnsi="Arial Narrow"/>
              </w:rPr>
            </w:pPr>
            <w:r w:rsidRPr="00004349">
              <w:rPr>
                <w:rFonts w:ascii="Arial Narrow" w:hAnsi="Arial Narrow"/>
              </w:rPr>
              <w:t xml:space="preserve">LFS; </w:t>
            </w:r>
          </w:p>
          <w:p w14:paraId="14ACC45B" w14:textId="223FD590" w:rsidR="00A15288" w:rsidRPr="00004349" w:rsidRDefault="00A15288" w:rsidP="00A15288">
            <w:pPr>
              <w:jc w:val="both"/>
              <w:rPr>
                <w:rFonts w:ascii="Arial Narrow" w:hAnsi="Arial Narrow"/>
              </w:rPr>
            </w:pPr>
            <w:r w:rsidRPr="00004349">
              <w:rPr>
                <w:rFonts w:ascii="Arial Narrow" w:hAnsi="Arial Narrow"/>
              </w:rPr>
              <w:t xml:space="preserve">Skills surveys; </w:t>
            </w:r>
          </w:p>
        </w:tc>
        <w:tc>
          <w:tcPr>
            <w:tcW w:w="2655" w:type="dxa"/>
          </w:tcPr>
          <w:p w14:paraId="42F59660" w14:textId="138F0141" w:rsidR="00A15288" w:rsidRPr="00004349" w:rsidRDefault="00A15288" w:rsidP="00A15288">
            <w:pPr>
              <w:jc w:val="both"/>
              <w:rPr>
                <w:rFonts w:ascii="Arial Narrow" w:hAnsi="Arial Narrow"/>
              </w:rPr>
            </w:pPr>
            <w:r w:rsidRPr="00004349">
              <w:rPr>
                <w:rFonts w:ascii="Arial Narrow" w:hAnsi="Arial Narrow"/>
              </w:rPr>
              <w:t>Higher percentages of overeducation (or an increase) reflects higher mismatc</w:t>
            </w:r>
            <w:r w:rsidR="00C33257" w:rsidRPr="00004349">
              <w:rPr>
                <w:rFonts w:ascii="Arial Narrow" w:hAnsi="Arial Narrow"/>
              </w:rPr>
              <w:t xml:space="preserve">h. </w:t>
            </w:r>
          </w:p>
        </w:tc>
      </w:tr>
      <w:tr w:rsidR="00A15288" w:rsidRPr="00004349" w14:paraId="27018B7F" w14:textId="77777777" w:rsidTr="00646738">
        <w:tc>
          <w:tcPr>
            <w:tcW w:w="1513" w:type="dxa"/>
          </w:tcPr>
          <w:p w14:paraId="4891D22A" w14:textId="77777777" w:rsidR="00A15288" w:rsidRPr="00004349" w:rsidRDefault="00A15288" w:rsidP="00A15288">
            <w:pPr>
              <w:jc w:val="both"/>
              <w:rPr>
                <w:rFonts w:ascii="Arial Narrow" w:hAnsi="Arial Narrow"/>
                <w:b/>
              </w:rPr>
            </w:pPr>
            <w:r w:rsidRPr="00004349">
              <w:rPr>
                <w:rFonts w:ascii="Arial Narrow" w:hAnsi="Arial Narrow"/>
                <w:b/>
              </w:rPr>
              <w:t xml:space="preserve">Undereducation </w:t>
            </w:r>
          </w:p>
        </w:tc>
        <w:tc>
          <w:tcPr>
            <w:tcW w:w="1317" w:type="dxa"/>
          </w:tcPr>
          <w:p w14:paraId="1D387851" w14:textId="29D14AA0" w:rsidR="00A15288" w:rsidRPr="00004349" w:rsidRDefault="00A15288" w:rsidP="00F57FA9">
            <w:pPr>
              <w:jc w:val="both"/>
              <w:rPr>
                <w:rFonts w:ascii="Arial Narrow" w:hAnsi="Arial Narrow"/>
              </w:rPr>
            </w:pPr>
            <w:r w:rsidRPr="00004349">
              <w:rPr>
                <w:rFonts w:ascii="Arial Narrow" w:hAnsi="Arial Narrow"/>
              </w:rPr>
              <w:t xml:space="preserve">% with education level </w:t>
            </w:r>
            <w:r w:rsidR="00F57FA9">
              <w:rPr>
                <w:rFonts w:ascii="Arial Narrow" w:hAnsi="Arial Narrow"/>
              </w:rPr>
              <w:t>under</w:t>
            </w:r>
            <w:r w:rsidRPr="00004349">
              <w:rPr>
                <w:rFonts w:ascii="Arial Narrow" w:hAnsi="Arial Narrow"/>
              </w:rPr>
              <w:t xml:space="preserve"> required / identified level of education in occupation group</w:t>
            </w:r>
          </w:p>
        </w:tc>
        <w:tc>
          <w:tcPr>
            <w:tcW w:w="2449" w:type="dxa"/>
          </w:tcPr>
          <w:p w14:paraId="1A6C73D9" w14:textId="6C833899" w:rsidR="00A15288" w:rsidRPr="00004349" w:rsidRDefault="00E44DCE" w:rsidP="00A15288">
            <w:pPr>
              <w:jc w:val="both"/>
              <w:rPr>
                <w:rFonts w:ascii="Arial Narrow" w:hAnsi="Arial Narrow"/>
              </w:rPr>
            </w:pPr>
            <w:r w:rsidRPr="00004349">
              <w:rPr>
                <w:rFonts w:ascii="Arial Narrow" w:hAnsi="Arial Narrow"/>
              </w:rPr>
              <w:t>Degree of mismatch by qualification level.</w:t>
            </w:r>
          </w:p>
        </w:tc>
        <w:tc>
          <w:tcPr>
            <w:tcW w:w="1127" w:type="dxa"/>
          </w:tcPr>
          <w:p w14:paraId="5D7F2336" w14:textId="77777777" w:rsidR="00A15288" w:rsidRPr="00004349" w:rsidRDefault="00A15288" w:rsidP="00A15288">
            <w:pPr>
              <w:jc w:val="both"/>
              <w:rPr>
                <w:rFonts w:ascii="Arial Narrow" w:hAnsi="Arial Narrow"/>
              </w:rPr>
            </w:pPr>
            <w:r w:rsidRPr="00004349">
              <w:rPr>
                <w:rFonts w:ascii="Arial Narrow" w:hAnsi="Arial Narrow"/>
              </w:rPr>
              <w:t xml:space="preserve">LFS; </w:t>
            </w:r>
          </w:p>
          <w:p w14:paraId="4DA51D0E" w14:textId="7176C633" w:rsidR="00A15288" w:rsidRPr="00004349" w:rsidRDefault="00A15288" w:rsidP="00A15288">
            <w:pPr>
              <w:jc w:val="both"/>
              <w:rPr>
                <w:rFonts w:ascii="Arial Narrow" w:hAnsi="Arial Narrow"/>
              </w:rPr>
            </w:pPr>
            <w:r w:rsidRPr="00004349">
              <w:rPr>
                <w:rFonts w:ascii="Arial Narrow" w:hAnsi="Arial Narrow"/>
              </w:rPr>
              <w:t xml:space="preserve">Skills surveys; </w:t>
            </w:r>
          </w:p>
        </w:tc>
        <w:tc>
          <w:tcPr>
            <w:tcW w:w="2655" w:type="dxa"/>
          </w:tcPr>
          <w:p w14:paraId="52587807" w14:textId="3ED0C543" w:rsidR="00A15288" w:rsidRPr="00004349" w:rsidRDefault="00C33257" w:rsidP="00A15288">
            <w:pPr>
              <w:jc w:val="both"/>
              <w:rPr>
                <w:rFonts w:ascii="Arial Narrow" w:hAnsi="Arial Narrow"/>
              </w:rPr>
            </w:pPr>
            <w:r w:rsidRPr="00004349">
              <w:rPr>
                <w:rFonts w:ascii="Arial Narrow" w:hAnsi="Arial Narrow"/>
              </w:rPr>
              <w:t xml:space="preserve">Higher percentages of undereducation (or an increase) reflect higher mismatch. </w:t>
            </w:r>
          </w:p>
        </w:tc>
      </w:tr>
      <w:tr w:rsidR="00A15288" w:rsidRPr="00004349" w14:paraId="34F86921" w14:textId="77777777" w:rsidTr="00646738">
        <w:tc>
          <w:tcPr>
            <w:tcW w:w="1513" w:type="dxa"/>
          </w:tcPr>
          <w:p w14:paraId="015150A5" w14:textId="77777777" w:rsidR="00A15288" w:rsidRPr="00004349" w:rsidRDefault="00A15288" w:rsidP="00A15288">
            <w:pPr>
              <w:jc w:val="both"/>
              <w:rPr>
                <w:rFonts w:ascii="Arial Narrow" w:hAnsi="Arial Narrow"/>
                <w:b/>
              </w:rPr>
            </w:pPr>
            <w:r w:rsidRPr="00004349">
              <w:rPr>
                <w:rFonts w:ascii="Arial Narrow" w:hAnsi="Arial Narrow"/>
                <w:b/>
              </w:rPr>
              <w:t>Coefficient of Variation</w:t>
            </w:r>
          </w:p>
        </w:tc>
        <w:tc>
          <w:tcPr>
            <w:tcW w:w="1317" w:type="dxa"/>
          </w:tcPr>
          <w:p w14:paraId="278F84B0" w14:textId="77777777" w:rsidR="00A15288" w:rsidRPr="00004349" w:rsidRDefault="00A15288" w:rsidP="00A15288">
            <w:pPr>
              <w:jc w:val="both"/>
              <w:rPr>
                <w:rFonts w:ascii="Arial Narrow" w:hAnsi="Arial Narrow"/>
              </w:rPr>
            </w:pPr>
          </w:p>
        </w:tc>
        <w:tc>
          <w:tcPr>
            <w:tcW w:w="2449" w:type="dxa"/>
          </w:tcPr>
          <w:p w14:paraId="47E21700" w14:textId="77777777" w:rsidR="00A15288" w:rsidRPr="00004349" w:rsidRDefault="00A15288" w:rsidP="00A15288">
            <w:pPr>
              <w:jc w:val="both"/>
              <w:rPr>
                <w:rFonts w:ascii="Arial Narrow" w:hAnsi="Arial Narrow"/>
              </w:rPr>
            </w:pPr>
            <w:r w:rsidRPr="00004349">
              <w:rPr>
                <w:rFonts w:ascii="Arial Narrow" w:hAnsi="Arial Narrow"/>
              </w:rPr>
              <w:t>Comparison on differences in education level among employed to unemployed</w:t>
            </w:r>
          </w:p>
        </w:tc>
        <w:tc>
          <w:tcPr>
            <w:tcW w:w="1127" w:type="dxa"/>
          </w:tcPr>
          <w:p w14:paraId="47992FC8" w14:textId="6AA88E1E" w:rsidR="00A15288" w:rsidRPr="00004349" w:rsidRDefault="00067713" w:rsidP="00643ED8">
            <w:pPr>
              <w:jc w:val="both"/>
              <w:rPr>
                <w:rFonts w:ascii="Arial Narrow" w:hAnsi="Arial Narrow"/>
              </w:rPr>
            </w:pPr>
            <w:r w:rsidRPr="00004349">
              <w:rPr>
                <w:rFonts w:ascii="Arial Narrow" w:hAnsi="Arial Narrow"/>
              </w:rPr>
              <w:t>LFS</w:t>
            </w:r>
          </w:p>
        </w:tc>
        <w:tc>
          <w:tcPr>
            <w:tcW w:w="2655" w:type="dxa"/>
          </w:tcPr>
          <w:p w14:paraId="5ACAE678" w14:textId="3B9F299E" w:rsidR="00A15288" w:rsidRPr="00004349" w:rsidRDefault="00A15288" w:rsidP="009A69D1">
            <w:pPr>
              <w:jc w:val="both"/>
              <w:rPr>
                <w:rFonts w:ascii="Arial Narrow" w:hAnsi="Arial Narrow"/>
              </w:rPr>
            </w:pPr>
            <w:r w:rsidRPr="00004349">
              <w:rPr>
                <w:rFonts w:ascii="Arial Narrow" w:hAnsi="Arial Narrow"/>
              </w:rPr>
              <w:t>Higher lev</w:t>
            </w:r>
            <w:r w:rsidR="009A69D1" w:rsidRPr="00004349">
              <w:rPr>
                <w:rFonts w:ascii="Arial Narrow" w:hAnsi="Arial Narrow"/>
              </w:rPr>
              <w:t>els indicate higher incidence of skill mismatch</w:t>
            </w:r>
            <w:r w:rsidRPr="00004349">
              <w:rPr>
                <w:rFonts w:ascii="Arial Narrow" w:hAnsi="Arial Narrow"/>
              </w:rPr>
              <w:t xml:space="preserve"> </w:t>
            </w:r>
          </w:p>
        </w:tc>
      </w:tr>
      <w:tr w:rsidR="00A15288" w:rsidRPr="00004349" w14:paraId="26DB733F" w14:textId="77777777" w:rsidTr="00646738">
        <w:tc>
          <w:tcPr>
            <w:tcW w:w="1513" w:type="dxa"/>
          </w:tcPr>
          <w:p w14:paraId="7EE6524B" w14:textId="1C42CF93" w:rsidR="00A15288" w:rsidRPr="00004349" w:rsidRDefault="00766489" w:rsidP="00A15288">
            <w:pPr>
              <w:jc w:val="both"/>
              <w:rPr>
                <w:rFonts w:ascii="Arial Narrow" w:hAnsi="Arial Narrow"/>
                <w:b/>
              </w:rPr>
            </w:pPr>
            <w:r>
              <w:rPr>
                <w:rFonts w:ascii="Arial Narrow" w:hAnsi="Arial Narrow"/>
                <w:b/>
              </w:rPr>
              <w:t>(relative) W</w:t>
            </w:r>
            <w:r w:rsidR="00A15288" w:rsidRPr="00004349">
              <w:rPr>
                <w:rFonts w:ascii="Arial Narrow" w:hAnsi="Arial Narrow"/>
                <w:b/>
              </w:rPr>
              <w:t xml:space="preserve">age rates </w:t>
            </w:r>
          </w:p>
        </w:tc>
        <w:tc>
          <w:tcPr>
            <w:tcW w:w="1317" w:type="dxa"/>
          </w:tcPr>
          <w:p w14:paraId="64EFFDA2" w14:textId="13BE89DE" w:rsidR="00A15288" w:rsidRPr="00004349" w:rsidRDefault="00A15288" w:rsidP="00A15288">
            <w:pPr>
              <w:jc w:val="both"/>
              <w:rPr>
                <w:rFonts w:ascii="Arial Narrow" w:hAnsi="Arial Narrow"/>
              </w:rPr>
            </w:pPr>
            <w:r w:rsidRPr="00004349">
              <w:rPr>
                <w:rFonts w:ascii="Arial Narrow" w:hAnsi="Arial Narrow"/>
              </w:rPr>
              <w:t>Various definitions. Mostly index of wages relative to base year (and relative to specific base level)</w:t>
            </w:r>
          </w:p>
        </w:tc>
        <w:tc>
          <w:tcPr>
            <w:tcW w:w="2449" w:type="dxa"/>
          </w:tcPr>
          <w:p w14:paraId="65E20964" w14:textId="4FC4511E" w:rsidR="00A15288" w:rsidRPr="00004349" w:rsidRDefault="00A15288" w:rsidP="00A15288">
            <w:pPr>
              <w:jc w:val="both"/>
              <w:rPr>
                <w:rFonts w:ascii="Arial Narrow" w:hAnsi="Arial Narrow"/>
              </w:rPr>
            </w:pPr>
            <w:r w:rsidRPr="00004349">
              <w:rPr>
                <w:rFonts w:ascii="Arial Narrow" w:hAnsi="Arial Narrow"/>
              </w:rPr>
              <w:t>Examines the overall level at a specific time,</w:t>
            </w:r>
            <w:r w:rsidR="00E44DCE" w:rsidRPr="00004349">
              <w:rPr>
                <w:rFonts w:ascii="Arial Narrow" w:hAnsi="Arial Narrow"/>
              </w:rPr>
              <w:t xml:space="preserve"> </w:t>
            </w:r>
            <w:r w:rsidRPr="00004349">
              <w:rPr>
                <w:rFonts w:ascii="Arial Narrow" w:hAnsi="Arial Narrow"/>
              </w:rPr>
              <w:t xml:space="preserve">also the development over time. </w:t>
            </w:r>
          </w:p>
        </w:tc>
        <w:tc>
          <w:tcPr>
            <w:tcW w:w="1127" w:type="dxa"/>
          </w:tcPr>
          <w:p w14:paraId="2B8F1D7E" w14:textId="4E70E687" w:rsidR="00A15288" w:rsidRPr="00004349" w:rsidRDefault="00A15288" w:rsidP="00A15288">
            <w:pPr>
              <w:jc w:val="both"/>
              <w:rPr>
                <w:rFonts w:ascii="Arial Narrow" w:hAnsi="Arial Narrow"/>
              </w:rPr>
            </w:pPr>
            <w:r w:rsidRPr="00004349">
              <w:rPr>
                <w:rFonts w:ascii="Arial Narrow" w:hAnsi="Arial Narrow"/>
              </w:rPr>
              <w:t>LFS; Wage surveys; administrative (tax or social security) data</w:t>
            </w:r>
          </w:p>
        </w:tc>
        <w:tc>
          <w:tcPr>
            <w:tcW w:w="2655" w:type="dxa"/>
          </w:tcPr>
          <w:p w14:paraId="2C6B2E49" w14:textId="49E81B71" w:rsidR="00A15288" w:rsidRPr="00004349" w:rsidRDefault="00A15288" w:rsidP="00A15288">
            <w:pPr>
              <w:jc w:val="both"/>
              <w:rPr>
                <w:rFonts w:ascii="Arial Narrow" w:hAnsi="Arial Narrow"/>
              </w:rPr>
            </w:pPr>
            <w:r w:rsidRPr="00004349">
              <w:rPr>
                <w:rFonts w:ascii="Arial Narrow" w:hAnsi="Arial Narrow"/>
              </w:rPr>
              <w:t xml:space="preserve">Increasing (relative) wages usually indicate a higher (relative) demand for the specific group. I.e. an increase of the wages of higher educated relative to the intermediate educated reflect higher relative demand towards higher educated. </w:t>
            </w:r>
          </w:p>
        </w:tc>
      </w:tr>
    </w:tbl>
    <w:p w14:paraId="0FDAB42E" w14:textId="7C114088" w:rsidR="00A15288" w:rsidRPr="007E42AA" w:rsidRDefault="007E42AA" w:rsidP="00A15288">
      <w:pPr>
        <w:jc w:val="both"/>
        <w:rPr>
          <w:sz w:val="16"/>
          <w:lang w:val="en-US"/>
        </w:rPr>
      </w:pPr>
      <w:r w:rsidRPr="007E42AA">
        <w:rPr>
          <w:b/>
          <w:sz w:val="16"/>
        </w:rPr>
        <w:t>Notes</w:t>
      </w:r>
      <w:r w:rsidRPr="007E42AA">
        <w:rPr>
          <w:sz w:val="16"/>
        </w:rPr>
        <w:t>: POP stands for Population, U for Unemployed, IA for inactives. The population is</w:t>
      </w:r>
      <w:r>
        <w:rPr>
          <w:sz w:val="16"/>
        </w:rPr>
        <w:t>,</w:t>
      </w:r>
      <w:r w:rsidRPr="007E42AA">
        <w:rPr>
          <w:sz w:val="16"/>
        </w:rPr>
        <w:t xml:space="preserve"> by definition</w:t>
      </w:r>
      <w:r>
        <w:rPr>
          <w:sz w:val="16"/>
        </w:rPr>
        <w:t>,</w:t>
      </w:r>
      <w:r w:rsidRPr="007E42AA">
        <w:rPr>
          <w:sz w:val="16"/>
        </w:rPr>
        <w:t xml:space="preserve"> the sum of employed, unemployed and inactives (</w:t>
      </w:r>
      <w:r w:rsidRPr="007E42AA">
        <w:rPr>
          <w:sz w:val="16"/>
          <w:lang w:val="en-US"/>
        </w:rPr>
        <w:t>POP=U+E+IA)</w:t>
      </w:r>
      <w:r w:rsidRPr="007E42AA">
        <w:rPr>
          <w:sz w:val="16"/>
        </w:rPr>
        <w:t>, while the labour force is defined as unemployed plus employed (</w:t>
      </w:r>
      <w:r w:rsidR="00A15288" w:rsidRPr="007E42AA">
        <w:rPr>
          <w:sz w:val="16"/>
          <w:lang w:val="en-US"/>
        </w:rPr>
        <w:t>LF=U+E</w:t>
      </w:r>
      <w:r w:rsidRPr="007E42AA">
        <w:rPr>
          <w:sz w:val="16"/>
          <w:lang w:val="en-US"/>
        </w:rPr>
        <w:t xml:space="preserve">). </w:t>
      </w:r>
    </w:p>
    <w:p w14:paraId="06D1B3F2" w14:textId="218C60E2" w:rsidR="00643ED8" w:rsidRPr="00643ED8" w:rsidRDefault="00643ED8" w:rsidP="00E167DE">
      <w:pPr>
        <w:jc w:val="both"/>
        <w:rPr>
          <w:lang w:val="ro-RO"/>
        </w:rPr>
      </w:pPr>
      <w:r>
        <w:rPr>
          <w:lang w:val="en-US"/>
        </w:rPr>
        <w:t>In the following pages, the set of skills mismatch indicators is discussed, using existing data and providing interpretation in line with country’s context.</w:t>
      </w:r>
    </w:p>
    <w:p w14:paraId="11F53AFC" w14:textId="13C91392" w:rsidR="00643ED8" w:rsidRDefault="008225AF" w:rsidP="00643ED8">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rPr>
          <w:b/>
          <w:sz w:val="20"/>
          <w:lang w:val="en-US"/>
        </w:rPr>
      </w:pPr>
      <w:r>
        <w:rPr>
          <w:b/>
          <w:sz w:val="20"/>
          <w:lang w:val="en-US"/>
        </w:rPr>
        <w:t>1</w:t>
      </w:r>
      <w:r w:rsidR="00643ED8">
        <w:rPr>
          <w:b/>
          <w:sz w:val="20"/>
          <w:lang w:val="en-US"/>
        </w:rPr>
        <w:t xml:space="preserve">. </w:t>
      </w:r>
      <w:r w:rsidR="00643ED8" w:rsidRPr="00AC7F97">
        <w:rPr>
          <w:b/>
          <w:sz w:val="20"/>
          <w:lang w:val="en-US"/>
        </w:rPr>
        <w:t>Indicator</w:t>
      </w:r>
      <w:r w:rsidR="00643ED8">
        <w:rPr>
          <w:b/>
          <w:sz w:val="20"/>
          <w:lang w:val="en-US"/>
        </w:rPr>
        <w:t xml:space="preserve">s </w:t>
      </w:r>
      <w:r w:rsidR="00643ED8" w:rsidRPr="00AC7F97">
        <w:rPr>
          <w:b/>
          <w:sz w:val="20"/>
          <w:lang w:val="en-US"/>
        </w:rPr>
        <w:t>of Skill Mismatch:</w:t>
      </w:r>
      <w:r w:rsidR="00643ED8">
        <w:rPr>
          <w:b/>
          <w:sz w:val="20"/>
          <w:lang w:val="en-US"/>
        </w:rPr>
        <w:t xml:space="preserve"> Unemployment rate and Unemployed / Employed ratios</w:t>
      </w:r>
    </w:p>
    <w:p w14:paraId="07E4A01B" w14:textId="77777777" w:rsidR="00643ED8" w:rsidRPr="00AC7F97" w:rsidRDefault="00643ED8" w:rsidP="00643ED8">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rPr>
          <w:b/>
          <w:sz w:val="20"/>
          <w:lang w:val="en-US"/>
        </w:rPr>
      </w:pPr>
    </w:p>
    <w:p w14:paraId="479EF6E9" w14:textId="64630467" w:rsidR="00643ED8" w:rsidRPr="0033531B" w:rsidRDefault="00643ED8" w:rsidP="00643ED8">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sz w:val="18"/>
          <w:szCs w:val="22"/>
        </w:rPr>
      </w:pPr>
      <w:r>
        <w:rPr>
          <w:sz w:val="18"/>
          <w:szCs w:val="22"/>
        </w:rPr>
        <w:t xml:space="preserve">The unemployment rate calculates the rate of unemployed relative to the population that is active on the labour market, the sum of employed and unemployed. Higher rates show an increasing mismatch between supply and demand. </w:t>
      </w:r>
      <w:r w:rsidRPr="0033531B">
        <w:rPr>
          <w:sz w:val="18"/>
          <w:szCs w:val="22"/>
        </w:rPr>
        <w:t xml:space="preserve">Related to this are the Unemployed to Employed ratios which provide a placid way to express the magnitude of the unemployed. A ratio of 0.1 implies that for each unemployed there are 10 employed persons, while 1 implies a </w:t>
      </w:r>
      <w:r>
        <w:rPr>
          <w:sz w:val="18"/>
          <w:szCs w:val="22"/>
        </w:rPr>
        <w:t>one-</w:t>
      </w:r>
      <w:r w:rsidRPr="0033531B">
        <w:rPr>
          <w:sz w:val="18"/>
          <w:szCs w:val="22"/>
        </w:rPr>
        <w:t>on</w:t>
      </w:r>
      <w:r>
        <w:rPr>
          <w:sz w:val="18"/>
          <w:szCs w:val="22"/>
        </w:rPr>
        <w:t>-one</w:t>
      </w:r>
      <w:r w:rsidRPr="0033531B">
        <w:rPr>
          <w:sz w:val="18"/>
          <w:szCs w:val="22"/>
        </w:rPr>
        <w:t xml:space="preserve"> relation. </w:t>
      </w:r>
    </w:p>
    <w:p w14:paraId="570A3B15" w14:textId="43ABB6BE" w:rsidR="006B0C8A" w:rsidRDefault="004B5787" w:rsidP="00646738">
      <w:pPr>
        <w:spacing w:line="276" w:lineRule="auto"/>
        <w:jc w:val="both"/>
      </w:pPr>
      <w:r>
        <w:t xml:space="preserve">As has been presented in the earlier chapters, the </w:t>
      </w:r>
      <w:r w:rsidR="006B0C8A">
        <w:t xml:space="preserve">general unemployment </w:t>
      </w:r>
      <w:r w:rsidR="00A54FD9">
        <w:t>rates</w:t>
      </w:r>
      <w:r>
        <w:t xml:space="preserve"> in Georgia have </w:t>
      </w:r>
      <w:r w:rsidR="006B0C8A">
        <w:t xml:space="preserve">been </w:t>
      </w:r>
      <w:r w:rsidR="004D35B5" w:rsidRPr="0093156D">
        <w:t>decreasing since 2009</w:t>
      </w:r>
      <w:r w:rsidR="006B0C8A">
        <w:t xml:space="preserve">. This corresponds to the general picture presented in Figure </w:t>
      </w:r>
      <w:r w:rsidR="00E64622">
        <w:t>2</w:t>
      </w:r>
      <w:r w:rsidR="006B0C8A">
        <w:t xml:space="preserve">, where unemployment rates are disaggregated by age groups. Using additional dimensions like age groups, education level or gender allows for a deeper understanding on the differential impact of unemployment across these various groups. </w:t>
      </w:r>
    </w:p>
    <w:p w14:paraId="3EC8CE71" w14:textId="216D7B2C" w:rsidR="006B0C8A" w:rsidRDefault="006B0C8A" w:rsidP="00646738">
      <w:pPr>
        <w:spacing w:line="276" w:lineRule="auto"/>
        <w:jc w:val="both"/>
      </w:pPr>
      <w:r>
        <w:t xml:space="preserve">In Georgia, very high levels of unemployment can be found among the young, i.e. the age groups </w:t>
      </w:r>
      <w:r w:rsidR="00646738">
        <w:t xml:space="preserve">covering </w:t>
      </w:r>
      <w:r>
        <w:t>15-29</w:t>
      </w:r>
      <w:r w:rsidR="00646738">
        <w:t xml:space="preserve"> years</w:t>
      </w:r>
      <w:r>
        <w:t xml:space="preserve">. </w:t>
      </w:r>
      <w:r w:rsidR="00E64622">
        <w:t>T</w:t>
      </w:r>
      <w:r>
        <w:t xml:space="preserve">hese age groups </w:t>
      </w:r>
      <w:r w:rsidR="00E64622">
        <w:t xml:space="preserve">are in the apparently difficult </w:t>
      </w:r>
      <w:r>
        <w:t xml:space="preserve">process of </w:t>
      </w:r>
      <w:r w:rsidR="00E64622">
        <w:t>transiting</w:t>
      </w:r>
      <w:r>
        <w:t xml:space="preserve"> from education to the labour market. For the calculation of unemployment only the population (active) on the labour market is taken into account. This has two implications</w:t>
      </w:r>
      <w:r w:rsidR="00E64622">
        <w:t xml:space="preserve"> for the younger age groups</w:t>
      </w:r>
      <w:r>
        <w:t>: on one hand there is a smaller base, active population available as there are many still in education thus not available for the labour market, and on the other hand the transition process between graduation and first employment can be difficult</w:t>
      </w:r>
      <w:r w:rsidR="00E64622">
        <w:t xml:space="preserve">, though in terms of skills match it might be good to search somewhat for a good match between qualification obtained and occupation to be filled. </w:t>
      </w:r>
      <w:r>
        <w:t xml:space="preserve"> </w:t>
      </w:r>
    </w:p>
    <w:p w14:paraId="00C5B556" w14:textId="77777777" w:rsidR="00E64622" w:rsidRDefault="006B0C8A" w:rsidP="00646738">
      <w:pPr>
        <w:spacing w:line="276" w:lineRule="auto"/>
        <w:jc w:val="both"/>
      </w:pPr>
      <w:r>
        <w:t xml:space="preserve">Compared to </w:t>
      </w:r>
      <w:r w:rsidR="00E167DE" w:rsidRPr="0093156D">
        <w:t xml:space="preserve">2011, unemployment rates in 2016 have decreased in all presented age groups, most significantly (almost on 25%) – among youths in age of 25-29. </w:t>
      </w:r>
      <w:r w:rsidR="00E64622">
        <w:t xml:space="preserve">While the especially strong </w:t>
      </w:r>
      <w:r>
        <w:t xml:space="preserve">fluctuations in younger age groups might </w:t>
      </w:r>
      <w:r w:rsidR="00E167DE" w:rsidRPr="0093156D">
        <w:t>be considered as statistical artefact caused by the insufficient presence of respondents in the Georgian Labour Force Survey. In general labour force participation rates in Georgia are lower among youths compare</w:t>
      </w:r>
      <w:r>
        <w:t>d</w:t>
      </w:r>
      <w:r w:rsidR="00E167DE" w:rsidRPr="0093156D">
        <w:t xml:space="preserve"> to average national rates. </w:t>
      </w:r>
    </w:p>
    <w:p w14:paraId="74E4123D" w14:textId="2524804F" w:rsidR="00E167DE" w:rsidRPr="0093156D" w:rsidRDefault="00E167DE" w:rsidP="00E167DE">
      <w:pPr>
        <w:pStyle w:val="Caption"/>
        <w:keepNext/>
        <w:spacing w:after="0"/>
        <w:rPr>
          <w:b/>
          <w:i w:val="0"/>
          <w:color w:val="auto"/>
          <w:sz w:val="22"/>
          <w:szCs w:val="22"/>
          <w:lang w:val="en-GB"/>
        </w:rPr>
      </w:pPr>
      <w:bookmarkStart w:id="16" w:name="_Toc497904293"/>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2</w:t>
      </w:r>
      <w:r w:rsidRPr="0093156D">
        <w:rPr>
          <w:lang w:val="en-GB"/>
        </w:rPr>
        <w:fldChar w:fldCharType="end"/>
      </w:r>
      <w:r w:rsidRPr="0093156D">
        <w:rPr>
          <w:b/>
          <w:i w:val="0"/>
          <w:color w:val="auto"/>
          <w:sz w:val="22"/>
          <w:szCs w:val="22"/>
          <w:lang w:val="en-GB"/>
        </w:rPr>
        <w:tab/>
        <w:t>Georgia: Unemployment rates by age group, 2011-2016</w:t>
      </w:r>
      <w:bookmarkEnd w:id="16"/>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061"/>
      </w:tblGrid>
      <w:tr w:rsidR="00E167DE" w:rsidRPr="0093156D" w14:paraId="4F6753B9"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6C9C9E07" w14:textId="77777777" w:rsidR="00E167DE" w:rsidRPr="0093156D" w:rsidRDefault="00E167DE" w:rsidP="00E167DE">
            <w:pPr>
              <w:rPr>
                <w:rFonts w:asciiTheme="minorHAnsi" w:hAnsiTheme="minorHAnsi"/>
                <w:sz w:val="22"/>
                <w:szCs w:val="22"/>
              </w:rPr>
            </w:pPr>
            <w:r w:rsidRPr="0093156D">
              <w:rPr>
                <w:noProof/>
                <w:lang w:eastAsia="en-GB"/>
              </w:rPr>
              <w:drawing>
                <wp:inline distT="0" distB="0" distL="0" distR="0" wp14:anchorId="49FFE563" wp14:editId="7DFD2BD2">
                  <wp:extent cx="5610225" cy="3286125"/>
                  <wp:effectExtent l="0" t="0" r="0" b="0"/>
                  <wp:docPr id="99" name="Diagramm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10E06C98" w14:textId="77777777" w:rsidR="00E02592" w:rsidRPr="0093156D" w:rsidRDefault="00E02592" w:rsidP="00E02592">
      <w:pPr>
        <w:rPr>
          <w:sz w:val="18"/>
        </w:rPr>
      </w:pPr>
      <w:r w:rsidRPr="0093156D">
        <w:rPr>
          <w:sz w:val="18"/>
        </w:rPr>
        <w:t>Source:</w:t>
      </w:r>
      <w:r>
        <w:rPr>
          <w:sz w:val="18"/>
        </w:rPr>
        <w:t xml:space="preserve"> Own calculations using LFS 2012-2016 </w:t>
      </w:r>
    </w:p>
    <w:p w14:paraId="7A1B22AA" w14:textId="77777777" w:rsidR="00646738" w:rsidRDefault="00646738" w:rsidP="00646738">
      <w:pPr>
        <w:spacing w:line="276" w:lineRule="auto"/>
        <w:jc w:val="both"/>
      </w:pPr>
      <w:r w:rsidRPr="0093156D">
        <w:t>More detailed indicators composing a combination of employment’s variable with age and educational attainment of respondents</w:t>
      </w:r>
      <w:r w:rsidRPr="0093156D">
        <w:rPr>
          <w:rStyle w:val="FootnoteReference"/>
        </w:rPr>
        <w:footnoteReference w:id="22"/>
      </w:r>
      <w:r w:rsidRPr="0093156D">
        <w:t xml:space="preserve"> (see Appendix) sometimes show us the misleading results</w:t>
      </w:r>
      <w:r>
        <w:t xml:space="preserve"> due to the small cell size of the combined variables</w:t>
      </w:r>
      <w:r w:rsidRPr="0093156D">
        <w:t>.</w:t>
      </w:r>
      <w:r>
        <w:rPr>
          <w:rStyle w:val="FootnoteReference"/>
        </w:rPr>
        <w:footnoteReference w:id="23"/>
      </w:r>
      <w:r w:rsidRPr="0093156D">
        <w:t xml:space="preserve"> </w:t>
      </w:r>
    </w:p>
    <w:p w14:paraId="7ADA043B" w14:textId="708491CB" w:rsidR="00E64622" w:rsidRDefault="00E64622" w:rsidP="00C25E11">
      <w:pPr>
        <w:spacing w:line="276" w:lineRule="auto"/>
        <w:jc w:val="both"/>
      </w:pPr>
      <w:r>
        <w:t>The unemployed to employed ration (U/E ratio) is given in the Figures 3-6. They are in calculation very related to the unemployment rate, as they only differ in the denominator. Figures 3-5 provide the breakdown of this indicator by education for the young age groups (15-19, 20-24, and 25-29</w:t>
      </w:r>
      <w:r w:rsidR="00EA1B79">
        <w:t xml:space="preserve">), while Figure 6 provides this same breakdown for the entire working age population. </w:t>
      </w:r>
    </w:p>
    <w:p w14:paraId="28DA197A" w14:textId="2B83A346" w:rsidR="00EA1B79" w:rsidRDefault="00EA1B79" w:rsidP="00C25E11">
      <w:pPr>
        <w:spacing w:line="276" w:lineRule="auto"/>
        <w:jc w:val="both"/>
      </w:pPr>
      <w:r>
        <w:t xml:space="preserve">Taking Figure 3 as an example, we can see that the average U/E ratio in 2011 is 0.5, and rising to a peak of 0.76 in 2013 to then drop down to 0.46 in 2016. In this youngest age group only the education levels None, Low, and Medium are represented, the highest level can only be observed at a higher age. The main group pushing up the U/E ratio are the medium level education. This can be understood if we take into account that the bulge of the persons in this age group is still participating in education, and  as such not part of the statistic. They only enter the statistic when they are searching for jobs (unemployed) or working. </w:t>
      </w:r>
    </w:p>
    <w:p w14:paraId="0F6948FA" w14:textId="66C7A069" w:rsidR="00E167DE" w:rsidRDefault="00EA1B79" w:rsidP="00C25E11">
      <w:pPr>
        <w:spacing w:line="276" w:lineRule="auto"/>
        <w:jc w:val="both"/>
      </w:pPr>
      <w:r>
        <w:t>Figure 4 shows that among the 20-24 year old the differences between the education level already diminishes, which is partly the result of a higher number of persons th</w:t>
      </w:r>
      <w:r w:rsidR="00643ED8">
        <w:t>at are observed with the differe</w:t>
      </w:r>
      <w:r>
        <w:t xml:space="preserve">nt education levels. All in all, figure 4 shows a rather stable U/E ratio over time, with the exception of </w:t>
      </w:r>
      <w:r w:rsidR="0025460E">
        <w:t>the category “None”. The</w:t>
      </w:r>
      <w:r w:rsidR="00E167DE" w:rsidRPr="0093156D">
        <w:t xml:space="preserve"> inclusion of not-educated in calculations might cause the problem of inconsistency of presented time-series over considered period, as for example in indicators for age 30-39 not-educated respondents are not included at all; the same is </w:t>
      </w:r>
      <w:r w:rsidR="0025460E">
        <w:t xml:space="preserve">the case in </w:t>
      </w:r>
      <w:r w:rsidR="00E167DE" w:rsidRPr="0093156D">
        <w:t xml:space="preserve">age </w:t>
      </w:r>
      <w:r w:rsidR="0025460E">
        <w:t xml:space="preserve">groups </w:t>
      </w:r>
      <w:r w:rsidR="00E167DE" w:rsidRPr="0093156D">
        <w:t>of 50-64 (with exception of year 2015)</w:t>
      </w:r>
      <w:r w:rsidR="0025460E">
        <w:t xml:space="preserve">. In the calculation of further indicators, we will usually exclude the education level “None” among the qualifications. </w:t>
      </w:r>
    </w:p>
    <w:p w14:paraId="354DA758" w14:textId="3B08CC87" w:rsidR="00646738" w:rsidRPr="0093156D" w:rsidRDefault="00646738" w:rsidP="00646738">
      <w:pPr>
        <w:spacing w:after="120" w:line="276" w:lineRule="auto"/>
        <w:jc w:val="both"/>
      </w:pPr>
      <w:r w:rsidRPr="0093156D">
        <w:t>Disregarding uneducated workers, we can conclude that the higher the educational level is in Georgia the higher is the unemp</w:t>
      </w:r>
      <w:r w:rsidR="00643ED8">
        <w:t>loyment to employment indicator</w:t>
      </w:r>
      <w:r w:rsidRPr="0093156D">
        <w:t xml:space="preserve">, which support our previous findings that low skilled workers </w:t>
      </w:r>
      <w:r w:rsidR="00643ED8">
        <w:t>seem to be</w:t>
      </w:r>
      <w:r w:rsidRPr="0093156D">
        <w:t xml:space="preserve"> now in higher demand on the Georgian labour market. However, there are some exceptions: for </w:t>
      </w:r>
      <w:r w:rsidR="00D049F9" w:rsidRPr="0093156D">
        <w:t>example,</w:t>
      </w:r>
      <w:r w:rsidRPr="0093156D">
        <w:t xml:space="preserve"> in age groups of 20-24 and 25-29 this difference is not so obvious and sometimes a ratio is in favour of workers with medium educational attainment. This is in line with findings discussed above, that VET graduates in Georgia now perform slightly better in the labour market than university graduates: according to ETF, unemployment rate for university graduates was higher (14.4%) than that of VET graduates - 11% in 2015. This </w:t>
      </w:r>
      <w:r>
        <w:t xml:space="preserve">differences in </w:t>
      </w:r>
      <w:r w:rsidRPr="0093156D">
        <w:t>integration to labour market among people with distinctive educational levels is diminishing with increase of age of respondents over the whole period under consideration. It is because of better employment’s outcomes for highly educated people in most recent period: in the age group where the most of employees are concentrated (30-49 years old) factor of education plays the fewer role in their employment opportunities- unemployment to employment indicator in last 3 years fluctuates only between 0.1</w:t>
      </w:r>
      <w:r>
        <w:t>6</w:t>
      </w:r>
      <w:r w:rsidRPr="0093156D">
        <w:t xml:space="preserve"> and 0.1</w:t>
      </w:r>
      <w:r>
        <w:t>5</w:t>
      </w:r>
      <w:r w:rsidRPr="0093156D">
        <w:t xml:space="preserve"> for respondents with either educational attainment. </w:t>
      </w:r>
    </w:p>
    <w:p w14:paraId="2E776440" w14:textId="77777777" w:rsidR="00646738" w:rsidRPr="0093156D" w:rsidRDefault="00646738" w:rsidP="00C25E11">
      <w:pPr>
        <w:spacing w:line="276" w:lineRule="auto"/>
        <w:jc w:val="both"/>
      </w:pPr>
    </w:p>
    <w:p w14:paraId="55216746" w14:textId="41A44172" w:rsidR="00E167DE" w:rsidRPr="0093156D" w:rsidRDefault="00E167DE" w:rsidP="00E167DE">
      <w:pPr>
        <w:pStyle w:val="Caption"/>
        <w:keepNext/>
        <w:spacing w:after="0"/>
        <w:ind w:left="1410" w:hanging="1410"/>
        <w:rPr>
          <w:b/>
          <w:i w:val="0"/>
          <w:color w:val="auto"/>
          <w:sz w:val="22"/>
          <w:szCs w:val="22"/>
          <w:lang w:val="en-GB"/>
        </w:rPr>
      </w:pPr>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3</w:t>
      </w:r>
      <w:r w:rsidRPr="0093156D">
        <w:rPr>
          <w:lang w:val="en-GB"/>
        </w:rPr>
        <w:fldChar w:fldCharType="end"/>
      </w:r>
      <w:r w:rsidRPr="0093156D">
        <w:rPr>
          <w:b/>
          <w:i w:val="0"/>
          <w:color w:val="auto"/>
          <w:sz w:val="22"/>
          <w:szCs w:val="22"/>
          <w:lang w:val="en-GB"/>
        </w:rPr>
        <w:tab/>
        <w:t>Georgia: Unemployment to employment-ratio by educational attainment levels, 2011-2016, age 15-19</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061"/>
      </w:tblGrid>
      <w:tr w:rsidR="00E167DE" w:rsidRPr="0093156D" w14:paraId="467817EE"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7D83DB11" w14:textId="77777777" w:rsidR="00E167DE" w:rsidRPr="0093156D" w:rsidRDefault="00E167DE" w:rsidP="00E167DE">
            <w:pPr>
              <w:rPr>
                <w:rFonts w:asciiTheme="minorHAnsi" w:hAnsiTheme="minorHAnsi"/>
                <w:sz w:val="22"/>
                <w:szCs w:val="22"/>
              </w:rPr>
            </w:pPr>
            <w:r w:rsidRPr="0093156D">
              <w:rPr>
                <w:noProof/>
                <w:lang w:eastAsia="en-GB"/>
              </w:rPr>
              <w:drawing>
                <wp:inline distT="0" distB="0" distL="0" distR="0" wp14:anchorId="6F390723" wp14:editId="79D3C1D2">
                  <wp:extent cx="5581650" cy="3629025"/>
                  <wp:effectExtent l="0" t="0" r="0" b="0"/>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0CB2C8D5" w14:textId="77777777" w:rsidR="00E02592" w:rsidRPr="0093156D" w:rsidRDefault="00E02592" w:rsidP="00E02592">
      <w:pPr>
        <w:rPr>
          <w:sz w:val="18"/>
        </w:rPr>
      </w:pPr>
      <w:r w:rsidRPr="0093156D">
        <w:rPr>
          <w:sz w:val="18"/>
        </w:rPr>
        <w:t>Source:</w:t>
      </w:r>
      <w:r>
        <w:rPr>
          <w:sz w:val="18"/>
        </w:rPr>
        <w:t xml:space="preserve"> Own calculations using LFS 2012-2016 </w:t>
      </w:r>
    </w:p>
    <w:p w14:paraId="581381EF" w14:textId="1830BCDF" w:rsidR="00E167DE" w:rsidRPr="0093156D" w:rsidRDefault="00E167DE" w:rsidP="00E167DE">
      <w:pPr>
        <w:pStyle w:val="Caption"/>
        <w:keepNext/>
        <w:spacing w:after="0"/>
        <w:ind w:left="1410" w:hanging="1410"/>
        <w:rPr>
          <w:b/>
          <w:i w:val="0"/>
          <w:color w:val="auto"/>
          <w:sz w:val="22"/>
          <w:szCs w:val="22"/>
          <w:lang w:val="en-GB"/>
        </w:rPr>
      </w:pPr>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4</w:t>
      </w:r>
      <w:r w:rsidRPr="0093156D">
        <w:rPr>
          <w:lang w:val="en-GB"/>
        </w:rPr>
        <w:fldChar w:fldCharType="end"/>
      </w:r>
      <w:r w:rsidRPr="0093156D">
        <w:rPr>
          <w:b/>
          <w:i w:val="0"/>
          <w:color w:val="auto"/>
          <w:sz w:val="22"/>
          <w:szCs w:val="22"/>
          <w:lang w:val="en-GB"/>
        </w:rPr>
        <w:tab/>
        <w:t>Georgia: Unemployment to employment-ratio by educational attainment levels, 2011-2016, age 20-24</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061"/>
      </w:tblGrid>
      <w:tr w:rsidR="00E167DE" w:rsidRPr="0093156D" w14:paraId="026C4D1F"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7F6C8D0E" w14:textId="77777777" w:rsidR="00E167DE" w:rsidRPr="0093156D" w:rsidRDefault="00E167DE" w:rsidP="00E167DE">
            <w:pPr>
              <w:rPr>
                <w:rFonts w:asciiTheme="minorHAnsi" w:hAnsiTheme="minorHAnsi"/>
                <w:sz w:val="22"/>
                <w:szCs w:val="22"/>
              </w:rPr>
            </w:pPr>
            <w:r w:rsidRPr="0093156D">
              <w:rPr>
                <w:noProof/>
                <w:lang w:eastAsia="en-GB"/>
              </w:rPr>
              <w:drawing>
                <wp:inline distT="0" distB="0" distL="0" distR="0" wp14:anchorId="4BBF9C16" wp14:editId="10D3C925">
                  <wp:extent cx="5581650" cy="3209925"/>
                  <wp:effectExtent l="0" t="0" r="0" b="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41CF3D0A" w14:textId="77777777" w:rsidR="00E02592" w:rsidRPr="0093156D" w:rsidRDefault="00E02592" w:rsidP="00E02592">
      <w:pPr>
        <w:rPr>
          <w:sz w:val="18"/>
        </w:rPr>
      </w:pPr>
      <w:r w:rsidRPr="0093156D">
        <w:rPr>
          <w:sz w:val="18"/>
        </w:rPr>
        <w:t>Source:</w:t>
      </w:r>
      <w:r>
        <w:rPr>
          <w:sz w:val="18"/>
        </w:rPr>
        <w:t xml:space="preserve"> Own calculations using LFS 2012-2016 </w:t>
      </w:r>
    </w:p>
    <w:p w14:paraId="53E30043" w14:textId="77777777" w:rsidR="00E167DE" w:rsidRPr="0093156D" w:rsidRDefault="00E167DE" w:rsidP="00E167DE">
      <w:pPr>
        <w:rPr>
          <w:rFonts w:asciiTheme="minorHAnsi" w:hAnsiTheme="minorHAnsi"/>
          <w:sz w:val="22"/>
          <w:szCs w:val="22"/>
        </w:rPr>
      </w:pPr>
    </w:p>
    <w:p w14:paraId="468DF3D7" w14:textId="7228520C" w:rsidR="00E167DE" w:rsidRPr="0093156D" w:rsidRDefault="00E167DE" w:rsidP="00E167DE">
      <w:pPr>
        <w:pStyle w:val="Caption"/>
        <w:keepNext/>
        <w:spacing w:after="0"/>
        <w:ind w:left="1410" w:hanging="1410"/>
        <w:rPr>
          <w:b/>
          <w:i w:val="0"/>
          <w:color w:val="auto"/>
          <w:sz w:val="22"/>
          <w:szCs w:val="22"/>
          <w:lang w:val="en-GB"/>
        </w:rPr>
      </w:pPr>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5</w:t>
      </w:r>
      <w:r w:rsidRPr="0093156D">
        <w:rPr>
          <w:lang w:val="en-GB"/>
        </w:rPr>
        <w:fldChar w:fldCharType="end"/>
      </w:r>
      <w:r w:rsidRPr="0093156D">
        <w:rPr>
          <w:b/>
          <w:i w:val="0"/>
          <w:color w:val="auto"/>
          <w:sz w:val="22"/>
          <w:szCs w:val="22"/>
          <w:lang w:val="en-GB"/>
        </w:rPr>
        <w:tab/>
        <w:t>Georgia: Unemployment to employment-ratio by educational attainment levels, 2011-2016, age 25-29</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061"/>
      </w:tblGrid>
      <w:tr w:rsidR="00E167DE" w:rsidRPr="0093156D" w14:paraId="28811E24"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4ED04F5A" w14:textId="77777777" w:rsidR="00E167DE" w:rsidRPr="0093156D" w:rsidRDefault="00E167DE" w:rsidP="00E167DE">
            <w:pPr>
              <w:rPr>
                <w:rFonts w:asciiTheme="minorHAnsi" w:hAnsiTheme="minorHAnsi"/>
                <w:sz w:val="22"/>
                <w:szCs w:val="22"/>
              </w:rPr>
            </w:pPr>
            <w:r w:rsidRPr="0093156D">
              <w:rPr>
                <w:noProof/>
                <w:lang w:eastAsia="en-GB"/>
              </w:rPr>
              <w:drawing>
                <wp:inline distT="0" distB="0" distL="0" distR="0" wp14:anchorId="27D8390E" wp14:editId="2D1192CC">
                  <wp:extent cx="5629275" cy="3248025"/>
                  <wp:effectExtent l="0" t="0" r="0" b="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4665822C" w14:textId="77777777" w:rsidR="00E02592" w:rsidRPr="0093156D" w:rsidRDefault="00E02592" w:rsidP="00E02592">
      <w:pPr>
        <w:rPr>
          <w:sz w:val="18"/>
        </w:rPr>
      </w:pPr>
      <w:r w:rsidRPr="0093156D">
        <w:rPr>
          <w:sz w:val="18"/>
        </w:rPr>
        <w:t>Source:</w:t>
      </w:r>
      <w:r>
        <w:rPr>
          <w:sz w:val="18"/>
        </w:rPr>
        <w:t xml:space="preserve"> Own calculations using LFS 2012-2016 </w:t>
      </w:r>
    </w:p>
    <w:p w14:paraId="2709EE60" w14:textId="4A410998" w:rsidR="00E167DE" w:rsidRPr="0093156D" w:rsidRDefault="00E167DE" w:rsidP="00E167DE">
      <w:pPr>
        <w:pStyle w:val="Caption"/>
        <w:keepNext/>
        <w:spacing w:after="0"/>
        <w:ind w:left="1410" w:hanging="1410"/>
        <w:rPr>
          <w:b/>
          <w:i w:val="0"/>
          <w:color w:val="auto"/>
          <w:sz w:val="22"/>
          <w:szCs w:val="22"/>
          <w:lang w:val="en-GB"/>
        </w:rPr>
      </w:pPr>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6</w:t>
      </w:r>
      <w:r w:rsidRPr="0093156D">
        <w:rPr>
          <w:lang w:val="en-GB"/>
        </w:rPr>
        <w:fldChar w:fldCharType="end"/>
      </w:r>
      <w:r w:rsidRPr="0093156D">
        <w:rPr>
          <w:b/>
          <w:i w:val="0"/>
          <w:color w:val="auto"/>
          <w:sz w:val="22"/>
          <w:szCs w:val="22"/>
          <w:lang w:val="en-GB"/>
        </w:rPr>
        <w:tab/>
        <w:t>Georgia: Unemployment to employment-ratio by educational attainment levels, 2011-2016, age 15-64</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061"/>
      </w:tblGrid>
      <w:tr w:rsidR="00E167DE" w:rsidRPr="0093156D" w14:paraId="08EA9106"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430A9B09" w14:textId="77777777" w:rsidR="00E167DE" w:rsidRPr="0093156D" w:rsidRDefault="00E167DE" w:rsidP="00E167DE">
            <w:pPr>
              <w:rPr>
                <w:rFonts w:asciiTheme="minorHAnsi" w:hAnsiTheme="minorHAnsi"/>
                <w:sz w:val="22"/>
                <w:szCs w:val="22"/>
              </w:rPr>
            </w:pPr>
            <w:r w:rsidRPr="0093156D">
              <w:rPr>
                <w:noProof/>
                <w:lang w:eastAsia="en-GB"/>
              </w:rPr>
              <w:drawing>
                <wp:inline distT="0" distB="0" distL="0" distR="0" wp14:anchorId="1639653E" wp14:editId="32EDB9CA">
                  <wp:extent cx="5600700" cy="3533775"/>
                  <wp:effectExtent l="0" t="0" r="0"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3F3FAE26" w14:textId="77777777" w:rsidR="00E02592" w:rsidRPr="0093156D" w:rsidRDefault="00E02592" w:rsidP="00E02592">
      <w:pPr>
        <w:rPr>
          <w:sz w:val="18"/>
        </w:rPr>
      </w:pPr>
      <w:r w:rsidRPr="0093156D">
        <w:rPr>
          <w:sz w:val="18"/>
        </w:rPr>
        <w:t>Source:</w:t>
      </w:r>
      <w:r>
        <w:rPr>
          <w:sz w:val="18"/>
        </w:rPr>
        <w:t xml:space="preserve"> Own calculations using LFS 2012-2016 </w:t>
      </w:r>
    </w:p>
    <w:p w14:paraId="55CDFE7F" w14:textId="63A7D4AD" w:rsidR="00E167DE" w:rsidRPr="0093156D" w:rsidRDefault="0025460E" w:rsidP="00A54FD9">
      <w:pPr>
        <w:spacing w:after="120" w:line="276" w:lineRule="auto"/>
        <w:jc w:val="both"/>
      </w:pPr>
      <w:r>
        <w:t>In interpreting this indicator, it is important to understand the</w:t>
      </w:r>
      <w:r w:rsidR="00E167DE" w:rsidRPr="0093156D">
        <w:t xml:space="preserve"> specific Georgian context. LFS defines an unemployed as a person at the age of 15 or above, who was not employed (even for one hour) 7 days prior to the interview process, was looking for a job for the last 4 </w:t>
      </w:r>
      <w:r w:rsidR="002B1D0D" w:rsidRPr="0093156D">
        <w:t>weeks and</w:t>
      </w:r>
      <w:r w:rsidR="00E167DE" w:rsidRPr="0093156D">
        <w:t xml:space="preserve"> was ready to start working within the next </w:t>
      </w:r>
      <w:r w:rsidR="00EA1B79">
        <w:t>two</w:t>
      </w:r>
      <w:r w:rsidR="00E167DE" w:rsidRPr="0093156D">
        <w:t xml:space="preserve"> weeks</w:t>
      </w:r>
      <w:r w:rsidR="00E167DE" w:rsidRPr="00EA1B79">
        <w:rPr>
          <w:vertAlign w:val="superscript"/>
        </w:rPr>
        <w:footnoteReference w:id="24"/>
      </w:r>
      <w:r w:rsidR="00E167DE" w:rsidRPr="0093156D">
        <w:t xml:space="preserve">. With this definition it is clear that within the traditional structure of Georgian economy with agriculture (mainly for subsistence) accounting for 46 percent of total and rural households consist of several generations of which one person, the land owner, is accounted as employer and others - as helping family members, chances to be identified as unemployed are higher for younger household members that usually are less likely to be engaged in agricultural work. </w:t>
      </w:r>
    </w:p>
    <w:p w14:paraId="05ABB31D" w14:textId="2D19C9C6" w:rsidR="001E6915" w:rsidRDefault="00E167DE" w:rsidP="00A54FD9">
      <w:pPr>
        <w:spacing w:after="120" w:line="276" w:lineRule="auto"/>
        <w:jc w:val="both"/>
      </w:pPr>
      <w:r w:rsidRPr="0093156D">
        <w:t xml:space="preserve">Within urban areas of Georgia young proactive people are usually supported in Georgia by their parents.  Thus, they can be identified as unemployed as they are searching for a good job. But later when they are no longer supported by their parents, they </w:t>
      </w:r>
      <w:r w:rsidR="002B1D0D" w:rsidRPr="0093156D">
        <w:t>must</w:t>
      </w:r>
      <w:r w:rsidRPr="0093156D">
        <w:t xml:space="preserve"> find </w:t>
      </w:r>
      <w:r w:rsidR="002B1D0D">
        <w:t>employment</w:t>
      </w:r>
      <w:r w:rsidRPr="0093156D">
        <w:t xml:space="preserve"> and support their own families. They are thus more likely to accept any job, often informal, sometimes work that do not correspond to their education and skills. </w:t>
      </w:r>
      <w:r w:rsidR="002B1D0D" w:rsidRPr="0093156D">
        <w:t>Thus,</w:t>
      </w:r>
      <w:r w:rsidRPr="0093156D">
        <w:t xml:space="preserve"> they are not considered by official statistics as unemployed - unemployment indicators in Georgia are diminishing with the increase of age of labour force.</w:t>
      </w:r>
    </w:p>
    <w:p w14:paraId="515E7989" w14:textId="306956FC" w:rsidR="00A54FD9" w:rsidRDefault="00A54FD9" w:rsidP="00A54FD9">
      <w:pPr>
        <w:spacing w:after="120" w:line="276" w:lineRule="auto"/>
        <w:jc w:val="both"/>
      </w:pPr>
    </w:p>
    <w:p w14:paraId="543ACFB2" w14:textId="4B50A2F0" w:rsidR="00A54FD9" w:rsidRDefault="00A54FD9" w:rsidP="00A54FD9">
      <w:pPr>
        <w:pStyle w:val="Heading3"/>
      </w:pPr>
      <w:bookmarkStart w:id="17" w:name="_Toc512826757"/>
      <w:r>
        <w:t>Employment to population ratio: activity rate</w:t>
      </w:r>
      <w:bookmarkEnd w:id="17"/>
    </w:p>
    <w:p w14:paraId="2AB02187" w14:textId="4A68BB06" w:rsidR="00A54FD9" w:rsidRPr="0093156D" w:rsidRDefault="00A54FD9" w:rsidP="00A54FD9">
      <w:pPr>
        <w:spacing w:after="120" w:line="276" w:lineRule="auto"/>
        <w:jc w:val="both"/>
      </w:pPr>
      <w:r w:rsidRPr="0093156D">
        <w:t xml:space="preserve">Employment to population’s ratios presented at the Figure </w:t>
      </w:r>
      <w:r w:rsidR="0025460E">
        <w:t>7</w:t>
      </w:r>
      <w:r w:rsidRPr="0093156D">
        <w:t xml:space="preserve"> show that age-related differences in labour market’s behaviour are significant in Georgia. First of all</w:t>
      </w:r>
      <w:r w:rsidR="0025460E">
        <w:t>,</w:t>
      </w:r>
      <w:r w:rsidRPr="0093156D">
        <w:t xml:space="preserve"> </w:t>
      </w:r>
      <w:r w:rsidR="0025460E">
        <w:t xml:space="preserve">the </w:t>
      </w:r>
      <w:r w:rsidRPr="0093156D">
        <w:t xml:space="preserve">data shows </w:t>
      </w:r>
      <w:r w:rsidR="0025460E">
        <w:t>a distinctively different</w:t>
      </w:r>
      <w:r w:rsidRPr="0093156D">
        <w:t xml:space="preserve"> </w:t>
      </w:r>
      <w:r w:rsidR="0025460E">
        <w:t>participation</w:t>
      </w:r>
      <w:r w:rsidRPr="0093156D">
        <w:t xml:space="preserve"> of two neighbouring age groups: 20-24 and 25-29 years old: while in each ten persons of age 20-24 only four are employed, in age of 25-29 almost six person among each ten are employed.</w:t>
      </w:r>
      <w:r w:rsidR="0025460E">
        <w:t xml:space="preserve"> This is due to enrolment in education, as can be seen in taking into account next section’s </w:t>
      </w:r>
      <w:r w:rsidRPr="0093156D">
        <w:t>NEET rates in these two age groups</w:t>
      </w:r>
      <w:r w:rsidR="0025460E">
        <w:t xml:space="preserve">, which </w:t>
      </w:r>
      <w:r w:rsidRPr="0093156D">
        <w:t xml:space="preserve">are </w:t>
      </w:r>
      <w:r w:rsidR="0025460E">
        <w:t xml:space="preserve">very similar. </w:t>
      </w:r>
    </w:p>
    <w:p w14:paraId="4202F303" w14:textId="18E0F9A8" w:rsidR="00A54FD9" w:rsidRDefault="0025460E" w:rsidP="00A54FD9">
      <w:pPr>
        <w:spacing w:after="120" w:line="276" w:lineRule="auto"/>
        <w:jc w:val="both"/>
      </w:pPr>
      <w:r>
        <w:t>P</w:t>
      </w:r>
      <w:r w:rsidR="00A54FD9" w:rsidRPr="0093156D">
        <w:t>eople in age of 50-59 in Georgia have the highest employment to population’s ratios and share of employed is quite high even among more aged persons</w:t>
      </w:r>
      <w:r>
        <w:t>, the</w:t>
      </w:r>
      <w:r w:rsidR="00A54FD9" w:rsidRPr="0093156D">
        <w:t xml:space="preserve"> 60-74 years old. Reasons of this are related to the specific feature of Georgian labour market and methodology of accounting of employment status in LFS in this country - with half of self-employed, half of those employed in agriculture and plenty of helping family members without real earning considered not to be unemployed</w:t>
      </w:r>
      <w:r w:rsidR="00244838">
        <w:t>.</w:t>
      </w:r>
      <w:r w:rsidR="00A54FD9" w:rsidRPr="0093156D">
        <w:t xml:space="preserve"> In this regards it is important to note that retirement system in Georgia provides a universal coverage for all elderly people and is virtually complete: all citizens, stateless persons and foreign nationals residing in Georgia for the last 10 years who are over the retirement age (60 for women and 65 for men) are automatically entitled to old-age pensions without any contribution or means-testing requirements. Hence, all people of retirement age receive a basic pension in Georgia. The most important is that the status of pensioner does not makes any obstacles for employment opportunities of retired aside of those- hired in public sector, where less than 15% of total number of employed in Georgia are engaged</w:t>
      </w:r>
      <w:r w:rsidR="00A54FD9" w:rsidRPr="0093156D">
        <w:rPr>
          <w:rStyle w:val="FootnoteReference"/>
        </w:rPr>
        <w:footnoteReference w:id="25"/>
      </w:r>
      <w:r w:rsidR="00A54FD9" w:rsidRPr="0093156D">
        <w:t xml:space="preserve">. As a basic pension in Georgia is low and is even below an official subsistence minimum everybody who is able to, continue working after retirement or enrol in family business.   </w:t>
      </w:r>
    </w:p>
    <w:p w14:paraId="7D4C1AD9" w14:textId="70824D1C" w:rsidR="0025460E" w:rsidRDefault="0025460E" w:rsidP="00646738">
      <w:pPr>
        <w:spacing w:line="276" w:lineRule="auto"/>
        <w:jc w:val="both"/>
      </w:pPr>
      <w:r w:rsidRPr="0093156D">
        <w:t xml:space="preserve">Figure </w:t>
      </w:r>
      <w:r>
        <w:t>8</w:t>
      </w:r>
      <w:r w:rsidRPr="0093156D">
        <w:t xml:space="preserve"> provides the employment to population ratio for two groups of the population: those with VET training and those without. In essence</w:t>
      </w:r>
      <w:r w:rsidR="00646738">
        <w:t>,</w:t>
      </w:r>
      <w:r w:rsidRPr="0093156D">
        <w:t xml:space="preserve"> it shows the differences in successful labour market participation. Overall the VET qualifi</w:t>
      </w:r>
      <w:r w:rsidR="00244838">
        <w:t>catio</w:t>
      </w:r>
      <w:r w:rsidR="009A69D1">
        <w:t>n</w:t>
      </w:r>
      <w:r w:rsidRPr="0093156D">
        <w:t xml:space="preserve"> provide a consistently better ratio, i.e. higher employment rates for all available years. While the gap was 9.2 percentage points in 2011, this gap narrowed to 6 percentage points in 2016. Other indicators are needed in order to evaluate whether th</w:t>
      </w:r>
      <w:r>
        <w:t>e</w:t>
      </w:r>
      <w:r w:rsidRPr="0093156D">
        <w:t>s</w:t>
      </w:r>
      <w:r>
        <w:t>e</w:t>
      </w:r>
      <w:r w:rsidRPr="0093156D">
        <w:t xml:space="preserve"> dynamics implies increasingly better labour market conditions for the non-VET trained population due to supply or a demand effect.</w:t>
      </w:r>
    </w:p>
    <w:p w14:paraId="0631920F" w14:textId="5CCDDF38" w:rsidR="00A54FD9" w:rsidRPr="0093156D" w:rsidRDefault="00A54FD9" w:rsidP="00A54FD9">
      <w:pPr>
        <w:pStyle w:val="Caption"/>
        <w:keepNext/>
        <w:spacing w:after="0"/>
        <w:rPr>
          <w:b/>
          <w:i w:val="0"/>
          <w:color w:val="auto"/>
          <w:sz w:val="22"/>
          <w:szCs w:val="22"/>
          <w:lang w:val="en-GB"/>
        </w:rPr>
      </w:pPr>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7</w:t>
      </w:r>
      <w:r w:rsidRPr="0093156D">
        <w:rPr>
          <w:lang w:val="en-GB"/>
        </w:rPr>
        <w:fldChar w:fldCharType="end"/>
      </w:r>
      <w:r w:rsidRPr="0093156D">
        <w:rPr>
          <w:b/>
          <w:i w:val="0"/>
          <w:color w:val="auto"/>
          <w:sz w:val="22"/>
          <w:szCs w:val="22"/>
          <w:lang w:val="en-GB"/>
        </w:rPr>
        <w:tab/>
        <w:t>Georgia: Employment to population- ratio by age group, 2011-2016</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061"/>
      </w:tblGrid>
      <w:tr w:rsidR="00A54FD9" w:rsidRPr="0093156D" w14:paraId="0CAA117A"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36BD065E" w14:textId="77777777" w:rsidR="00A54FD9" w:rsidRPr="0093156D" w:rsidRDefault="00A54FD9" w:rsidP="00C25E11">
            <w:pPr>
              <w:rPr>
                <w:rFonts w:asciiTheme="minorHAnsi" w:hAnsiTheme="minorHAnsi"/>
                <w:sz w:val="22"/>
                <w:szCs w:val="22"/>
              </w:rPr>
            </w:pPr>
            <w:r w:rsidRPr="0093156D">
              <w:rPr>
                <w:noProof/>
                <w:lang w:eastAsia="en-GB"/>
              </w:rPr>
              <w:drawing>
                <wp:inline distT="0" distB="0" distL="0" distR="0" wp14:anchorId="7CAD96BC" wp14:editId="2A7CB61D">
                  <wp:extent cx="5648325" cy="3848100"/>
                  <wp:effectExtent l="0" t="0" r="0" b="0"/>
                  <wp:docPr id="100" name="Diagramm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0908AB52" w14:textId="77777777" w:rsidR="00E02592" w:rsidRPr="0093156D" w:rsidRDefault="00E02592" w:rsidP="00E02592">
      <w:pPr>
        <w:rPr>
          <w:sz w:val="18"/>
        </w:rPr>
      </w:pPr>
      <w:r w:rsidRPr="0093156D">
        <w:rPr>
          <w:sz w:val="18"/>
        </w:rPr>
        <w:t>Source:</w:t>
      </w:r>
      <w:r>
        <w:rPr>
          <w:sz w:val="18"/>
        </w:rPr>
        <w:t xml:space="preserve"> Own calculations using LFS 2012-2016 </w:t>
      </w:r>
    </w:p>
    <w:p w14:paraId="07F366D7" w14:textId="77777777" w:rsidR="0025460E" w:rsidRDefault="0025460E" w:rsidP="0025460E">
      <w:pPr>
        <w:spacing w:line="276" w:lineRule="auto"/>
      </w:pPr>
    </w:p>
    <w:p w14:paraId="3CC27D1B" w14:textId="77777777" w:rsidR="0025460E" w:rsidRDefault="0025460E" w:rsidP="00A54FD9">
      <w:pPr>
        <w:pStyle w:val="Caption"/>
        <w:keepNext/>
        <w:spacing w:after="0"/>
        <w:rPr>
          <w:b/>
          <w:i w:val="0"/>
          <w:color w:val="auto"/>
          <w:sz w:val="22"/>
          <w:szCs w:val="22"/>
          <w:lang w:val="en-GB"/>
        </w:rPr>
      </w:pPr>
    </w:p>
    <w:p w14:paraId="405DCDC7" w14:textId="14627BFE" w:rsidR="00A54FD9" w:rsidRPr="0093156D" w:rsidRDefault="00A54FD9" w:rsidP="00A54FD9">
      <w:pPr>
        <w:pStyle w:val="Caption"/>
        <w:keepNext/>
        <w:spacing w:after="0"/>
        <w:rPr>
          <w:b/>
          <w:i w:val="0"/>
          <w:color w:val="auto"/>
          <w:sz w:val="22"/>
          <w:szCs w:val="22"/>
          <w:lang w:val="en-GB"/>
        </w:rPr>
      </w:pPr>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8</w:t>
      </w:r>
      <w:r w:rsidRPr="0093156D">
        <w:rPr>
          <w:lang w:val="en-GB"/>
        </w:rPr>
        <w:fldChar w:fldCharType="end"/>
      </w:r>
      <w:r w:rsidRPr="0093156D">
        <w:rPr>
          <w:b/>
          <w:i w:val="0"/>
          <w:color w:val="auto"/>
          <w:sz w:val="22"/>
          <w:szCs w:val="22"/>
          <w:lang w:val="en-GB"/>
        </w:rPr>
        <w:tab/>
        <w:t>Georgia: Employment to population- ratio by type of education, 2011-2016</w:t>
      </w:r>
    </w:p>
    <w:tbl>
      <w:tblPr>
        <w:tblStyle w:val="TableGrid"/>
        <w:tblW w:w="5000" w:type="pct"/>
        <w:tblCellMar>
          <w:top w:w="57" w:type="dxa"/>
          <w:left w:w="70" w:type="dxa"/>
          <w:bottom w:w="57" w:type="dxa"/>
          <w:right w:w="70" w:type="dxa"/>
        </w:tblCellMar>
        <w:tblLook w:val="04A0" w:firstRow="1" w:lastRow="0" w:firstColumn="1" w:lastColumn="0" w:noHBand="0" w:noVBand="1"/>
      </w:tblPr>
      <w:tblGrid>
        <w:gridCol w:w="9061"/>
      </w:tblGrid>
      <w:tr w:rsidR="00A54FD9" w:rsidRPr="0093156D" w14:paraId="0C80D65F" w14:textId="77777777" w:rsidTr="00C25E11">
        <w:tc>
          <w:tcPr>
            <w:tcW w:w="9061" w:type="dxa"/>
            <w:tcBorders>
              <w:top w:val="single" w:sz="4" w:space="0" w:color="auto"/>
              <w:left w:val="single" w:sz="4" w:space="0" w:color="auto"/>
              <w:bottom w:val="single" w:sz="4" w:space="0" w:color="auto"/>
              <w:right w:val="single" w:sz="4" w:space="0" w:color="auto"/>
            </w:tcBorders>
            <w:hideMark/>
          </w:tcPr>
          <w:p w14:paraId="69AC27D4" w14:textId="77777777" w:rsidR="00A54FD9" w:rsidRPr="0093156D" w:rsidRDefault="00A54FD9" w:rsidP="00C25E11">
            <w:pPr>
              <w:rPr>
                <w:rFonts w:asciiTheme="minorHAnsi" w:hAnsiTheme="minorHAnsi"/>
                <w:sz w:val="22"/>
                <w:szCs w:val="22"/>
              </w:rPr>
            </w:pPr>
            <w:r w:rsidRPr="0093156D">
              <w:rPr>
                <w:noProof/>
                <w:lang w:eastAsia="en-GB"/>
              </w:rPr>
              <w:drawing>
                <wp:inline distT="0" distB="0" distL="0" distR="0" wp14:anchorId="0D634E48" wp14:editId="20A6E7C2">
                  <wp:extent cx="5648325" cy="3362325"/>
                  <wp:effectExtent l="0" t="0" r="0" b="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2CA10F27" w14:textId="77777777" w:rsidR="00E02592" w:rsidRPr="0093156D" w:rsidRDefault="00E02592" w:rsidP="00E02592">
      <w:pPr>
        <w:rPr>
          <w:sz w:val="18"/>
        </w:rPr>
      </w:pPr>
      <w:r w:rsidRPr="0093156D">
        <w:rPr>
          <w:sz w:val="18"/>
        </w:rPr>
        <w:t>Source:</w:t>
      </w:r>
      <w:r>
        <w:rPr>
          <w:sz w:val="18"/>
        </w:rPr>
        <w:t xml:space="preserve"> Own calculations using LFS 2012-2016 </w:t>
      </w:r>
    </w:p>
    <w:p w14:paraId="58B44540" w14:textId="77777777" w:rsidR="00A54FD9" w:rsidRDefault="00A54FD9" w:rsidP="00A54FD9">
      <w:pPr>
        <w:spacing w:line="276" w:lineRule="auto"/>
      </w:pPr>
    </w:p>
    <w:p w14:paraId="611BEECB" w14:textId="00ECAB8D" w:rsidR="009A69D1" w:rsidRDefault="00004349" w:rsidP="00513859">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rPr>
          <w:b/>
          <w:sz w:val="20"/>
          <w:lang w:val="en-US"/>
        </w:rPr>
      </w:pPr>
      <w:r>
        <w:rPr>
          <w:b/>
          <w:sz w:val="20"/>
          <w:lang w:val="en-US"/>
        </w:rPr>
        <w:t>2</w:t>
      </w:r>
      <w:r w:rsidR="009A69D1">
        <w:rPr>
          <w:b/>
          <w:sz w:val="20"/>
          <w:lang w:val="en-US"/>
        </w:rPr>
        <w:t xml:space="preserve">. </w:t>
      </w:r>
      <w:r w:rsidR="009A69D1" w:rsidRPr="00AC7F97">
        <w:rPr>
          <w:b/>
          <w:sz w:val="20"/>
          <w:lang w:val="en-US"/>
        </w:rPr>
        <w:t>Indicator of Skill Mismatch:</w:t>
      </w:r>
      <w:r w:rsidR="009A69D1">
        <w:rPr>
          <w:b/>
          <w:sz w:val="20"/>
          <w:lang w:val="en-US"/>
        </w:rPr>
        <w:t xml:space="preserve"> NEET</w:t>
      </w:r>
    </w:p>
    <w:p w14:paraId="07A4DECE" w14:textId="77777777" w:rsidR="009A69D1" w:rsidRPr="00AC7F97" w:rsidRDefault="009A69D1" w:rsidP="00513859">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rPr>
          <w:b/>
          <w:sz w:val="20"/>
          <w:lang w:val="en-US"/>
        </w:rPr>
      </w:pPr>
    </w:p>
    <w:p w14:paraId="5B043E61" w14:textId="77777777" w:rsidR="009A69D1" w:rsidRPr="00AC7F97" w:rsidRDefault="009A69D1" w:rsidP="0051385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szCs w:val="22"/>
        </w:rPr>
      </w:pPr>
      <w:r w:rsidRPr="00AC7F97">
        <w:rPr>
          <w:sz w:val="18"/>
          <w:szCs w:val="22"/>
        </w:rPr>
        <w:t xml:space="preserve">This methodology </w:t>
      </w:r>
      <w:r>
        <w:rPr>
          <w:sz w:val="18"/>
          <w:szCs w:val="22"/>
        </w:rPr>
        <w:t xml:space="preserve">calculates the rate of young persons that is neither in employment, education or training. It thus calculates the rate of the young not actively participating on the labour market or being in education. The underlying reason presumed to be some form of mismatch, as those that are not in education are generally presumed to have finished their education and should find employment in some form. It combines thus non-participation and unemployment. </w:t>
      </w:r>
    </w:p>
    <w:p w14:paraId="08979731" w14:textId="77777777" w:rsidR="0025460E" w:rsidRDefault="0025460E" w:rsidP="0025460E">
      <w:pPr>
        <w:spacing w:line="276" w:lineRule="auto"/>
        <w:jc w:val="both"/>
      </w:pPr>
      <w:r>
        <w:t xml:space="preserve">The NEET rate of young persons in Georgia shows that the youngest category of 15-19 year olds shows, not unexpectedly, the lowest rate. In general, a low rate can be considered good, as the person is either in employment or preparing for it by being in education or training. </w:t>
      </w:r>
    </w:p>
    <w:p w14:paraId="3A8FE36E" w14:textId="77777777" w:rsidR="0025460E" w:rsidRDefault="0025460E" w:rsidP="0025460E">
      <w:pPr>
        <w:spacing w:line="276" w:lineRule="auto"/>
        <w:jc w:val="both"/>
      </w:pPr>
      <w:r>
        <w:t xml:space="preserve">The youngest group, 15-19-year olds, is likely not to have fully finished education yet, hence a large share is expected to be in education. Comparing with the previous indicators on participation, unemployment or the ratio of unemployed over employed, we know that while the share of unemployed seemed to have been high, it is of a relatively small share of the overall group. </w:t>
      </w:r>
    </w:p>
    <w:p w14:paraId="3D14C861" w14:textId="77777777" w:rsidR="0025460E" w:rsidRDefault="0025460E" w:rsidP="0025460E">
      <w:pPr>
        <w:spacing w:line="276" w:lineRule="auto"/>
        <w:jc w:val="both"/>
      </w:pPr>
      <w:r>
        <w:t xml:space="preserve">For the groups aged 20-24 and 25-29 years, the same cannot be said. Here the rates are high, fluctuating around 40% for the period 2012-2016. In the case of the 20-24-year olds, figure 2 showed that high unemployment rate, while the rate for the 25-29 year old was already significantly lower (by a distance of 10 percentage points). The high NEET rate must therefore be the result of a, potentially only temporary, withdrawal from the labour market. </w:t>
      </w:r>
    </w:p>
    <w:p w14:paraId="4FAEF7B5" w14:textId="3068DC31" w:rsidR="001E6915" w:rsidRPr="0093156D" w:rsidRDefault="001E6915" w:rsidP="001E6915">
      <w:pPr>
        <w:pStyle w:val="Caption"/>
        <w:keepNext/>
        <w:spacing w:after="0"/>
        <w:rPr>
          <w:b/>
          <w:i w:val="0"/>
          <w:color w:val="auto"/>
          <w:sz w:val="22"/>
          <w:szCs w:val="22"/>
          <w:lang w:val="en-GB"/>
        </w:rPr>
      </w:pPr>
      <w:bookmarkStart w:id="18" w:name="_Toc494972655"/>
      <w:bookmarkStart w:id="19" w:name="_Toc497904297"/>
      <w:r w:rsidRPr="0093156D">
        <w:rPr>
          <w:b/>
          <w:i w:val="0"/>
          <w:color w:val="auto"/>
          <w:sz w:val="22"/>
          <w:szCs w:val="22"/>
          <w:lang w:val="en-GB"/>
        </w:rPr>
        <w:t xml:space="preserve">Figure </w:t>
      </w:r>
      <w:r w:rsidRPr="0093156D">
        <w:rPr>
          <w:b/>
          <w:i w:val="0"/>
          <w:color w:val="auto"/>
          <w:sz w:val="22"/>
          <w:szCs w:val="22"/>
          <w:lang w:val="en-GB"/>
        </w:rPr>
        <w:fldChar w:fldCharType="begin"/>
      </w:r>
      <w:r w:rsidRPr="0093156D">
        <w:rPr>
          <w:b/>
          <w:i w:val="0"/>
          <w:color w:val="auto"/>
          <w:sz w:val="22"/>
          <w:szCs w:val="22"/>
          <w:lang w:val="en-GB"/>
        </w:rPr>
        <w:instrText xml:space="preserve"> SEQ Figure \* ARABIC </w:instrText>
      </w:r>
      <w:r w:rsidRPr="0093156D">
        <w:rPr>
          <w:b/>
          <w:i w:val="0"/>
          <w:color w:val="auto"/>
          <w:sz w:val="22"/>
          <w:szCs w:val="22"/>
          <w:lang w:val="en-GB"/>
        </w:rPr>
        <w:fldChar w:fldCharType="separate"/>
      </w:r>
      <w:r w:rsidR="00C50D04">
        <w:rPr>
          <w:b/>
          <w:i w:val="0"/>
          <w:noProof/>
          <w:color w:val="auto"/>
          <w:sz w:val="22"/>
          <w:szCs w:val="22"/>
          <w:lang w:val="en-GB"/>
        </w:rPr>
        <w:t>9</w:t>
      </w:r>
      <w:r w:rsidRPr="0093156D">
        <w:rPr>
          <w:b/>
          <w:i w:val="0"/>
          <w:color w:val="auto"/>
          <w:sz w:val="22"/>
          <w:szCs w:val="22"/>
          <w:lang w:val="en-GB"/>
        </w:rPr>
        <w:fldChar w:fldCharType="end"/>
      </w:r>
      <w:r w:rsidRPr="0093156D">
        <w:rPr>
          <w:b/>
          <w:i w:val="0"/>
          <w:color w:val="auto"/>
          <w:sz w:val="22"/>
          <w:szCs w:val="22"/>
          <w:lang w:val="en-GB"/>
        </w:rPr>
        <w:tab/>
        <w:t>Young persons (15-19, 20-24, 25-29) not in employment, education or training</w:t>
      </w:r>
      <w:bookmarkEnd w:id="18"/>
      <w:bookmarkEnd w:id="19"/>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1E6915" w:rsidRPr="0093156D" w14:paraId="6DA4B987" w14:textId="77777777" w:rsidTr="00E02592">
        <w:tc>
          <w:tcPr>
            <w:tcW w:w="9061" w:type="dxa"/>
          </w:tcPr>
          <w:p w14:paraId="0661B68B" w14:textId="77777777" w:rsidR="001E6915" w:rsidRPr="0093156D" w:rsidRDefault="001E6915" w:rsidP="00A15288">
            <w:pPr>
              <w:rPr>
                <w:rFonts w:asciiTheme="minorHAnsi" w:hAnsiTheme="minorHAnsi"/>
                <w:sz w:val="22"/>
                <w:szCs w:val="22"/>
              </w:rPr>
            </w:pPr>
            <w:r w:rsidRPr="0093156D">
              <w:rPr>
                <w:noProof/>
                <w:lang w:eastAsia="en-GB"/>
              </w:rPr>
              <w:drawing>
                <wp:inline distT="0" distB="0" distL="0" distR="0" wp14:anchorId="0761793A" wp14:editId="41745D12">
                  <wp:extent cx="5619750" cy="3286125"/>
                  <wp:effectExtent l="0" t="0" r="0" b="0"/>
                  <wp:docPr id="103" name="Diagramm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39CF2502" w14:textId="77777777" w:rsidR="00E02592" w:rsidRPr="0093156D" w:rsidRDefault="00E02592" w:rsidP="00E02592">
      <w:pPr>
        <w:rPr>
          <w:sz w:val="18"/>
        </w:rPr>
      </w:pPr>
      <w:r w:rsidRPr="0093156D">
        <w:rPr>
          <w:sz w:val="18"/>
        </w:rPr>
        <w:t>Source:</w:t>
      </w:r>
      <w:r>
        <w:rPr>
          <w:sz w:val="18"/>
        </w:rPr>
        <w:t xml:space="preserve"> Own calculations using LFS 2012-2016 </w:t>
      </w:r>
    </w:p>
    <w:p w14:paraId="037549E1" w14:textId="77777777" w:rsidR="00004349" w:rsidRDefault="00646738" w:rsidP="00C25E11">
      <w:pPr>
        <w:spacing w:line="276" w:lineRule="auto"/>
        <w:jc w:val="both"/>
      </w:pPr>
      <w:r>
        <w:t>Gender might be the explanation here</w:t>
      </w:r>
      <w:r w:rsidR="001E6915" w:rsidRPr="0093156D">
        <w:t xml:space="preserve">:  females in Georgia stay longer outside of labour market due to family responsibilities, with childbearing taking place in Georgia </w:t>
      </w:r>
      <w:r>
        <w:t>around this age</w:t>
      </w:r>
      <w:r w:rsidR="001E6915" w:rsidRPr="0093156D">
        <w:t>. Official statistics shows the high gender gap in employment rates between men and women in Georgia. Gender studies show that on the background of high levels of gender inequality in family life in Georgia. There is an obvious inequality in employment opportunities between Georgian men and women.</w:t>
      </w:r>
    </w:p>
    <w:p w14:paraId="20E10169" w14:textId="77777777" w:rsidR="00004349" w:rsidRDefault="001E6915" w:rsidP="00C25E11">
      <w:pPr>
        <w:spacing w:line="276" w:lineRule="auto"/>
        <w:jc w:val="both"/>
      </w:pPr>
      <w:r w:rsidRPr="0093156D">
        <w:t xml:space="preserve">This happens not only because the women with children are not able to combine family responsibilities with a job, but also because married women in Georgia are not independent in making of decision concerning their choice to work or to stay at home. Generations and Gender Survey in Georgia found that while Georgian men can unilaterally decide how much time they could devote to a paid job, women more often take into account their partners’ opinion concerning this (Badurashvili et.al, 2011, p.21). </w:t>
      </w:r>
    </w:p>
    <w:p w14:paraId="48FA4427" w14:textId="72FFCD97" w:rsidR="004D35B5" w:rsidRDefault="001E6915" w:rsidP="00C25E11">
      <w:pPr>
        <w:spacing w:line="276" w:lineRule="auto"/>
        <w:jc w:val="both"/>
      </w:pPr>
      <w:r w:rsidRPr="0093156D">
        <w:t>Hence, women participate less in the labour market than men in Georgia: in a comparison of the population of men and women aged 15 and above, 78% of men are economically active in contrast to only 58% of women. Accordingly, the percentage of employed women in Georgia equals to 53% of the total female population, while the respective figure for men is 67% (Geostat, 2017)</w:t>
      </w:r>
      <w:r>
        <w:t>.</w:t>
      </w:r>
      <w:r>
        <w:rPr>
          <w:rStyle w:val="FootnoteReference"/>
        </w:rPr>
        <w:footnoteReference w:id="26"/>
      </w:r>
    </w:p>
    <w:p w14:paraId="5A7F1FC0" w14:textId="59F1F95E" w:rsidR="00004349" w:rsidRDefault="00004349">
      <w:pPr>
        <w:spacing w:line="276" w:lineRule="auto"/>
      </w:pPr>
      <w:r>
        <w:br w:type="page"/>
      </w:r>
    </w:p>
    <w:p w14:paraId="32F86537" w14:textId="77777777" w:rsidR="00004349" w:rsidRDefault="00004349" w:rsidP="00C25E11">
      <w:pPr>
        <w:spacing w:line="276" w:lineRule="auto"/>
        <w:jc w:val="both"/>
      </w:pPr>
    </w:p>
    <w:p w14:paraId="066F60A6" w14:textId="04F80BD5" w:rsidR="00513859" w:rsidRDefault="00004349" w:rsidP="00513859">
      <w:pPr>
        <w:pStyle w:val="Tablefirstcolumn"/>
        <w:pBdr>
          <w:top w:val="single" w:sz="4" w:space="1" w:color="auto"/>
          <w:left w:val="single" w:sz="4" w:space="4" w:color="auto"/>
          <w:bottom w:val="single" w:sz="4" w:space="1" w:color="auto"/>
          <w:right w:val="single" w:sz="4" w:space="4" w:color="auto"/>
        </w:pBdr>
        <w:shd w:val="clear" w:color="auto" w:fill="BFC0C1" w:themeFill="text2" w:themeFillTint="66"/>
        <w:rPr>
          <w:b/>
          <w:sz w:val="20"/>
          <w:lang w:val="en-US"/>
        </w:rPr>
      </w:pPr>
      <w:r>
        <w:rPr>
          <w:b/>
          <w:sz w:val="20"/>
          <w:lang w:val="en-US"/>
        </w:rPr>
        <w:t>3</w:t>
      </w:r>
      <w:r w:rsidR="00513859">
        <w:rPr>
          <w:b/>
          <w:sz w:val="20"/>
          <w:lang w:val="en-US"/>
        </w:rPr>
        <w:t xml:space="preserve">. </w:t>
      </w:r>
      <w:r w:rsidR="00513859" w:rsidRPr="00AC7F97">
        <w:rPr>
          <w:b/>
          <w:sz w:val="20"/>
          <w:lang w:val="en-US"/>
        </w:rPr>
        <w:t>Indicator of Skill Mismatch:</w:t>
      </w:r>
      <w:r w:rsidR="00513859">
        <w:rPr>
          <w:b/>
          <w:sz w:val="20"/>
          <w:lang w:val="en-US"/>
        </w:rPr>
        <w:t xml:space="preserve"> Variance of relative unemployment rates (by education)</w:t>
      </w:r>
    </w:p>
    <w:p w14:paraId="724ED8D4" w14:textId="6F0B5DF4" w:rsidR="00513859" w:rsidRPr="00513859" w:rsidRDefault="00513859" w:rsidP="00513859">
      <w:pPr>
        <w:pBdr>
          <w:top w:val="single" w:sz="4" w:space="1" w:color="auto"/>
          <w:left w:val="single" w:sz="4" w:space="4" w:color="auto"/>
          <w:bottom w:val="single" w:sz="4" w:space="1" w:color="auto"/>
          <w:right w:val="single" w:sz="4" w:space="4" w:color="auto"/>
        </w:pBdr>
        <w:shd w:val="clear" w:color="auto" w:fill="BFC0C1" w:themeFill="text2" w:themeFillTint="66"/>
      </w:pPr>
      <w:r w:rsidRPr="00513859">
        <w:t xml:space="preserve">This indicator shows how unemployment deviates within education levels from the average of the entire country.  The higher the value of the variance, the higher the level of mismatch. </w:t>
      </w:r>
      <w:r>
        <w:t>T</w:t>
      </w:r>
      <w:r w:rsidRPr="00513859">
        <w:t xml:space="preserve">he methodology would also be applicable to sub-groups such as age, age and gender, and (previous) occupation. </w:t>
      </w:r>
    </w:p>
    <w:p w14:paraId="56F404F5" w14:textId="7AD9579F" w:rsidR="00646738" w:rsidRPr="0093156D" w:rsidRDefault="007D320B" w:rsidP="007D320B">
      <w:pPr>
        <w:spacing w:line="276" w:lineRule="auto"/>
        <w:jc w:val="both"/>
      </w:pPr>
      <w:r>
        <w:t>The variance of relative unemployment rates, as presented in Figure 10, allows us to compare the variation that exists in unemployment rates of specific education levels with the national average. A higher level indicates that there is a lot of deviations of these education levels, or in other words unemployment hits the various types of education very differently. The indicator is high in the years 2011 and 2012 with values of 0.13 and 0.14, while it drops down to much lower values, 0.05 in 2013 and even 0.02 in 2016. This allows</w:t>
      </w:r>
      <w:r w:rsidR="00646738" w:rsidRPr="0093156D">
        <w:t xml:space="preserve"> us to conclude that on the background of positive trends in unemployment levels in Georgia that smoothly diminish during whole period of 2011-2016, an indicator on variance of relative unemployment rates vanishes the specific problems experiencing by the Georgian labour market during period of consideration - its heterogeneity across educational dimension, namely an overeducation of employees. It might be noted that in general we see the same positive pattern of presented time-series: according to the variance’s rates a skill mismatch level in Georgia is strongly decreasing, especially relative to the years 2011 and 2012.</w:t>
      </w:r>
      <w:r w:rsidR="00646738" w:rsidRPr="0093156D">
        <w:rPr>
          <w:rStyle w:val="FootnoteReference"/>
        </w:rPr>
        <w:footnoteReference w:id="27"/>
      </w:r>
    </w:p>
    <w:p w14:paraId="6A6F0B82" w14:textId="1FB13B1B" w:rsidR="00646738" w:rsidRPr="0093156D" w:rsidRDefault="00646738" w:rsidP="00646738">
      <w:pPr>
        <w:pStyle w:val="Caption"/>
        <w:keepNext/>
        <w:spacing w:after="0"/>
        <w:ind w:left="1410" w:hanging="1410"/>
        <w:rPr>
          <w:lang w:val="en-GB"/>
        </w:rPr>
      </w:pPr>
      <w:bookmarkStart w:id="20" w:name="_Toc497904298"/>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10</w:t>
      </w:r>
      <w:r w:rsidRPr="0093156D">
        <w:rPr>
          <w:lang w:val="en-GB"/>
        </w:rPr>
        <w:fldChar w:fldCharType="end"/>
      </w:r>
      <w:r w:rsidRPr="0093156D">
        <w:rPr>
          <w:b/>
          <w:i w:val="0"/>
          <w:color w:val="auto"/>
          <w:sz w:val="22"/>
          <w:szCs w:val="22"/>
          <w:lang w:val="en-GB"/>
        </w:rPr>
        <w:tab/>
        <w:t>Variance of relative unemployment rates, age 15-64</w:t>
      </w:r>
      <w:bookmarkEnd w:id="20"/>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646738" w:rsidRPr="0093156D" w14:paraId="0935A2BE" w14:textId="77777777" w:rsidTr="00646738">
        <w:tc>
          <w:tcPr>
            <w:tcW w:w="9061" w:type="dxa"/>
            <w:tcBorders>
              <w:top w:val="single" w:sz="4" w:space="0" w:color="auto"/>
              <w:left w:val="single" w:sz="4" w:space="0" w:color="auto"/>
              <w:bottom w:val="single" w:sz="4" w:space="0" w:color="auto"/>
              <w:right w:val="single" w:sz="4" w:space="0" w:color="auto"/>
            </w:tcBorders>
            <w:hideMark/>
          </w:tcPr>
          <w:p w14:paraId="411978A1" w14:textId="77777777" w:rsidR="00646738" w:rsidRPr="0093156D" w:rsidRDefault="00646738" w:rsidP="00646738">
            <w:pPr>
              <w:rPr>
                <w:rFonts w:asciiTheme="minorHAnsi" w:hAnsiTheme="minorHAnsi"/>
                <w:sz w:val="22"/>
                <w:szCs w:val="22"/>
              </w:rPr>
            </w:pPr>
            <w:r w:rsidRPr="0093156D">
              <w:rPr>
                <w:noProof/>
                <w:lang w:eastAsia="en-GB"/>
              </w:rPr>
              <w:drawing>
                <wp:inline distT="0" distB="0" distL="0" distR="0" wp14:anchorId="3C0F53A6" wp14:editId="7384FD9E">
                  <wp:extent cx="5657850" cy="2781300"/>
                  <wp:effectExtent l="0" t="0" r="0" b="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5ACB8F66" w14:textId="77777777" w:rsidR="00E02592" w:rsidRPr="0093156D" w:rsidRDefault="00E02592" w:rsidP="00E02592">
      <w:pPr>
        <w:rPr>
          <w:sz w:val="18"/>
        </w:rPr>
      </w:pPr>
      <w:r w:rsidRPr="0093156D">
        <w:rPr>
          <w:sz w:val="18"/>
        </w:rPr>
        <w:t>Source:</w:t>
      </w:r>
      <w:r>
        <w:rPr>
          <w:sz w:val="18"/>
        </w:rPr>
        <w:t xml:space="preserve"> Own calculations using LFS 2012-2016 </w:t>
      </w:r>
    </w:p>
    <w:p w14:paraId="07B988C9" w14:textId="77777777" w:rsidR="00004349" w:rsidRDefault="00004349">
      <w:pPr>
        <w:spacing w:line="276" w:lineRule="auto"/>
      </w:pPr>
    </w:p>
    <w:p w14:paraId="5621D4FD" w14:textId="77777777" w:rsidR="00004349" w:rsidRDefault="00004349">
      <w:pPr>
        <w:spacing w:line="276" w:lineRule="auto"/>
      </w:pPr>
      <w:r>
        <w:br w:type="page"/>
      </w:r>
    </w:p>
    <w:p w14:paraId="2E30B99E" w14:textId="73C1352C" w:rsidR="00513859" w:rsidRDefault="00513859">
      <w:pPr>
        <w:spacing w:line="276" w:lineRule="auto"/>
      </w:pPr>
    </w:p>
    <w:p w14:paraId="4C2EEB7B" w14:textId="3D4EE197" w:rsidR="00513859" w:rsidRPr="00AC7F97" w:rsidRDefault="00004349" w:rsidP="00513859">
      <w:pPr>
        <w:pStyle w:val="Tablefirstcolumn"/>
        <w:pBdr>
          <w:top w:val="single" w:sz="4" w:space="1" w:color="auto"/>
          <w:left w:val="single" w:sz="4" w:space="4" w:color="auto"/>
          <w:bottom w:val="single" w:sz="4" w:space="1" w:color="auto"/>
          <w:right w:val="single" w:sz="4" w:space="4" w:color="auto"/>
        </w:pBdr>
        <w:shd w:val="clear" w:color="auto" w:fill="BFC0C1" w:themeFill="text2" w:themeFillTint="66"/>
        <w:rPr>
          <w:b/>
          <w:sz w:val="20"/>
          <w:lang w:val="en-US"/>
        </w:rPr>
      </w:pPr>
      <w:r>
        <w:rPr>
          <w:b/>
          <w:sz w:val="20"/>
          <w:lang w:val="en-US"/>
        </w:rPr>
        <w:t>4</w:t>
      </w:r>
      <w:r w:rsidR="00513859">
        <w:rPr>
          <w:b/>
          <w:sz w:val="20"/>
          <w:lang w:val="en-US"/>
        </w:rPr>
        <w:t xml:space="preserve">. </w:t>
      </w:r>
      <w:r w:rsidR="00513859" w:rsidRPr="00AC7F97">
        <w:rPr>
          <w:b/>
          <w:sz w:val="20"/>
          <w:lang w:val="en-US"/>
        </w:rPr>
        <w:t>Indicator of Skill Mismatch:</w:t>
      </w:r>
      <w:r w:rsidR="00513859">
        <w:rPr>
          <w:b/>
          <w:sz w:val="20"/>
          <w:lang w:val="en-US"/>
        </w:rPr>
        <w:t xml:space="preserve"> Coefficient of Variation by Skills</w:t>
      </w:r>
    </w:p>
    <w:p w14:paraId="3F0CBB9B" w14:textId="77777777" w:rsidR="00513859" w:rsidRPr="00AC7F97" w:rsidRDefault="00513859" w:rsidP="00513859">
      <w:pPr>
        <w:pBdr>
          <w:top w:val="single" w:sz="4" w:space="1" w:color="auto"/>
          <w:left w:val="single" w:sz="4" w:space="4" w:color="auto"/>
          <w:bottom w:val="single" w:sz="4" w:space="1" w:color="auto"/>
          <w:right w:val="single" w:sz="4" w:space="4" w:color="auto"/>
        </w:pBdr>
        <w:shd w:val="clear" w:color="auto" w:fill="BFC0C1" w:themeFill="text2" w:themeFillTint="66"/>
        <w:spacing w:line="276" w:lineRule="auto"/>
        <w:rPr>
          <w:szCs w:val="22"/>
        </w:rPr>
      </w:pPr>
      <w:r w:rsidRPr="00A72B6C">
        <w:rPr>
          <w:szCs w:val="22"/>
        </w:rPr>
        <w:t xml:space="preserve">The </w:t>
      </w:r>
      <w:r>
        <w:rPr>
          <w:szCs w:val="22"/>
        </w:rPr>
        <w:t>indicator</w:t>
      </w:r>
      <w:r w:rsidRPr="00A72B6C">
        <w:rPr>
          <w:szCs w:val="22"/>
        </w:rPr>
        <w:t xml:space="preserve"> compares the distribution of skills within different grou</w:t>
      </w:r>
      <w:r>
        <w:rPr>
          <w:szCs w:val="22"/>
        </w:rPr>
        <w:t>ps while correcting for the overall size of the underlying statistic. The difference in skill composition of employed to unemployed</w:t>
      </w:r>
      <w:r w:rsidRPr="00A72B6C">
        <w:rPr>
          <w:szCs w:val="22"/>
        </w:rPr>
        <w:t xml:space="preserve"> is expressed in just one number which measures the overall extent of mismatch. The higher the number, the greater the difference between the skills possessed by people employed in the labour market and the skills possessed by people wishing to enter the labour market. The extent to which the distributions are different can therefore be</w:t>
      </w:r>
      <w:r>
        <w:rPr>
          <w:szCs w:val="22"/>
        </w:rPr>
        <w:t xml:space="preserve"> interpreted</w:t>
      </w:r>
      <w:r w:rsidRPr="00A72B6C">
        <w:rPr>
          <w:szCs w:val="22"/>
        </w:rPr>
        <w:t xml:space="preserve"> a measure of the ineffectiveness caused by the matching process of supply and demand of skills in the labour market. (ETF 2012: 6)</w:t>
      </w:r>
    </w:p>
    <w:p w14:paraId="27D74AFE" w14:textId="70EEB5DF" w:rsidR="00470F5B" w:rsidRDefault="00B552E7" w:rsidP="00E167DE">
      <w:pPr>
        <w:spacing w:line="276" w:lineRule="auto"/>
        <w:jc w:val="both"/>
      </w:pPr>
      <w:r>
        <w:t xml:space="preserve">A slightly different approach to investigate the differential effect of unemployment on the various qualification levels is the coefficient of variation. </w:t>
      </w:r>
      <w:r w:rsidR="00E167DE" w:rsidRPr="0093156D">
        <w:t>Figures 1</w:t>
      </w:r>
      <w:r w:rsidR="00270C09">
        <w:t>1</w:t>
      </w:r>
      <w:r w:rsidR="00E167DE" w:rsidRPr="0093156D">
        <w:t xml:space="preserve"> to 1</w:t>
      </w:r>
      <w:r w:rsidR="00270C09">
        <w:t>3</w:t>
      </w:r>
      <w:r w:rsidR="00E167DE" w:rsidRPr="0093156D">
        <w:t xml:space="preserve"> present a coefficient of variation that reflects the difference between the skills possessed by </w:t>
      </w:r>
      <w:r w:rsidR="007E42AA">
        <w:t>unemployed</w:t>
      </w:r>
      <w:r w:rsidR="00E167DE" w:rsidRPr="0093156D">
        <w:t xml:space="preserve"> in Georgia and the skills possessed by general population in labour age. </w:t>
      </w:r>
    </w:p>
    <w:p w14:paraId="4D690891" w14:textId="0BF8D160" w:rsidR="007E42AA" w:rsidRDefault="00B552E7" w:rsidP="00E167DE">
      <w:pPr>
        <w:spacing w:line="276" w:lineRule="auto"/>
        <w:jc w:val="both"/>
      </w:pPr>
      <w:r>
        <w:t>While the CVAR seems relatively stable of the period 2011-2016, d</w:t>
      </w:r>
      <w:r w:rsidR="00E167DE" w:rsidRPr="0093156D">
        <w:t xml:space="preserve">ata for 2014 shows that the highest rates and correspondingly the greatest difference in skills </w:t>
      </w:r>
      <w:r>
        <w:t xml:space="preserve">between the qualification of the unemployed to the qualification mix of the population. </w:t>
      </w:r>
    </w:p>
    <w:p w14:paraId="79F1342F" w14:textId="3CB904B9" w:rsidR="00E167DE" w:rsidRPr="0093156D" w:rsidRDefault="00E167DE" w:rsidP="00E167DE">
      <w:pPr>
        <w:pStyle w:val="Caption"/>
        <w:keepNext/>
        <w:spacing w:after="0"/>
        <w:ind w:left="1410" w:hanging="1410"/>
        <w:rPr>
          <w:b/>
          <w:i w:val="0"/>
          <w:color w:val="auto"/>
          <w:sz w:val="22"/>
          <w:szCs w:val="22"/>
          <w:lang w:val="en-GB"/>
        </w:rPr>
      </w:pPr>
      <w:bookmarkStart w:id="21" w:name="_Toc497904299"/>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11</w:t>
      </w:r>
      <w:r w:rsidRPr="0093156D">
        <w:rPr>
          <w:lang w:val="en-GB"/>
        </w:rPr>
        <w:fldChar w:fldCharType="end"/>
      </w:r>
      <w:r w:rsidRPr="0093156D">
        <w:rPr>
          <w:b/>
          <w:i w:val="0"/>
          <w:color w:val="auto"/>
          <w:sz w:val="22"/>
          <w:szCs w:val="22"/>
          <w:lang w:val="en-GB"/>
        </w:rPr>
        <w:tab/>
      </w:r>
      <w:r w:rsidR="00B12321">
        <w:rPr>
          <w:b/>
          <w:i w:val="0"/>
          <w:color w:val="auto"/>
          <w:sz w:val="22"/>
          <w:szCs w:val="22"/>
          <w:lang w:val="en-GB"/>
        </w:rPr>
        <w:t>CVAR of qualification composition</w:t>
      </w:r>
      <w:r w:rsidRPr="0093156D">
        <w:rPr>
          <w:b/>
          <w:i w:val="0"/>
          <w:color w:val="auto"/>
          <w:sz w:val="22"/>
          <w:szCs w:val="22"/>
          <w:lang w:val="en-GB"/>
        </w:rPr>
        <w:t>, age 15-64</w:t>
      </w:r>
      <w:bookmarkEnd w:id="21"/>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rsidRPr="0093156D" w14:paraId="083D4EC0"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356BEBAE" w14:textId="77777777" w:rsidR="00E167DE" w:rsidRPr="0093156D" w:rsidRDefault="00E167DE" w:rsidP="00E167DE">
            <w:pPr>
              <w:rPr>
                <w:sz w:val="24"/>
                <w:szCs w:val="24"/>
              </w:rPr>
            </w:pPr>
            <w:r w:rsidRPr="0093156D">
              <w:rPr>
                <w:noProof/>
                <w:lang w:eastAsia="en-GB"/>
              </w:rPr>
              <w:drawing>
                <wp:inline distT="0" distB="0" distL="0" distR="0" wp14:anchorId="19478D14" wp14:editId="68FBEA17">
                  <wp:extent cx="5600700" cy="2631882"/>
                  <wp:effectExtent l="0" t="0" r="0" b="0"/>
                  <wp:docPr id="67" name="Diagramm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4E491572" w14:textId="77777777" w:rsidR="00E02592" w:rsidRPr="0093156D" w:rsidRDefault="00E02592" w:rsidP="00E02592">
      <w:pPr>
        <w:rPr>
          <w:sz w:val="18"/>
        </w:rPr>
      </w:pPr>
      <w:r w:rsidRPr="0093156D">
        <w:rPr>
          <w:sz w:val="18"/>
        </w:rPr>
        <w:t>Source:</w:t>
      </w:r>
      <w:r>
        <w:rPr>
          <w:sz w:val="18"/>
        </w:rPr>
        <w:t xml:space="preserve"> Own calculations using LFS 2012-2016 </w:t>
      </w:r>
    </w:p>
    <w:p w14:paraId="4E481384" w14:textId="264E8BD4" w:rsidR="00B552E7" w:rsidRPr="0093156D" w:rsidRDefault="00B552E7" w:rsidP="00870193">
      <w:pPr>
        <w:spacing w:line="276" w:lineRule="auto"/>
        <w:jc w:val="both"/>
      </w:pPr>
      <w:r>
        <w:t>Figure 12 allows us to investigate the CVAR if we restrict the indicator to the specific age group. It allows to see whether the differences in qualification of unemployed to population persists in the same way across all age groups. Clearly this is n</w:t>
      </w:r>
      <w:bookmarkStart w:id="22" w:name="_GoBack"/>
      <w:bookmarkEnd w:id="22"/>
      <w:r>
        <w:t xml:space="preserve">ot the case, as the younger age groups exhibit a much higher indicator, than those of the mid-aged population, while towards the end, the indicator is rising again. The low levels at mid-age indicate that the unemployed are – at that age – very similar to those that are in the overall </w:t>
      </w:r>
      <w:r w:rsidR="00244838">
        <w:t xml:space="preserve">working age </w:t>
      </w:r>
      <w:r>
        <w:t xml:space="preserve">population. At younger age, there are stronger differences between the unemployed, hence indicating that unemployment is related to education level, especially in those age groups. </w:t>
      </w:r>
      <w:r w:rsidR="00870193">
        <w:t xml:space="preserve">This confirms the partial picture that the unemployment rates and also the U/E indicator had given for these age groups. </w:t>
      </w:r>
    </w:p>
    <w:p w14:paraId="243C2728" w14:textId="2D511CC5" w:rsidR="00E167DE" w:rsidRPr="0093156D" w:rsidRDefault="00E167DE" w:rsidP="00E167DE">
      <w:pPr>
        <w:pStyle w:val="Caption"/>
        <w:keepNext/>
        <w:spacing w:after="0"/>
        <w:ind w:left="1410" w:hanging="1410"/>
        <w:rPr>
          <w:b/>
          <w:i w:val="0"/>
          <w:color w:val="auto"/>
          <w:sz w:val="22"/>
          <w:szCs w:val="22"/>
          <w:lang w:val="en-GB"/>
        </w:rPr>
      </w:pPr>
      <w:bookmarkStart w:id="23" w:name="_Toc497904300"/>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12</w:t>
      </w:r>
      <w:r w:rsidRPr="0093156D">
        <w:rPr>
          <w:lang w:val="en-GB"/>
        </w:rPr>
        <w:fldChar w:fldCharType="end"/>
      </w:r>
      <w:r w:rsidRPr="0093156D">
        <w:rPr>
          <w:b/>
          <w:i w:val="0"/>
          <w:color w:val="auto"/>
          <w:sz w:val="22"/>
          <w:szCs w:val="22"/>
          <w:lang w:val="en-GB"/>
        </w:rPr>
        <w:tab/>
        <w:t>CVA</w:t>
      </w:r>
      <w:r w:rsidR="00B12321">
        <w:rPr>
          <w:b/>
          <w:i w:val="0"/>
          <w:color w:val="auto"/>
          <w:sz w:val="22"/>
          <w:szCs w:val="22"/>
          <w:lang w:val="en-GB"/>
        </w:rPr>
        <w:t xml:space="preserve">R of qualification </w:t>
      </w:r>
      <w:r w:rsidR="00AB3E5A">
        <w:rPr>
          <w:b/>
          <w:i w:val="0"/>
          <w:color w:val="auto"/>
          <w:sz w:val="22"/>
          <w:szCs w:val="22"/>
          <w:lang w:val="en-GB"/>
        </w:rPr>
        <w:t xml:space="preserve">composition, </w:t>
      </w:r>
      <w:r w:rsidR="00AB3E5A" w:rsidRPr="0093156D">
        <w:rPr>
          <w:b/>
          <w:i w:val="0"/>
          <w:color w:val="auto"/>
          <w:sz w:val="22"/>
          <w:szCs w:val="22"/>
          <w:lang w:val="en-GB"/>
        </w:rPr>
        <w:t>2014</w:t>
      </w:r>
      <w:r w:rsidR="00B12321">
        <w:rPr>
          <w:b/>
          <w:i w:val="0"/>
          <w:color w:val="auto"/>
          <w:sz w:val="22"/>
          <w:szCs w:val="22"/>
          <w:lang w:val="en-GB"/>
        </w:rPr>
        <w:t>,</w:t>
      </w:r>
      <w:r w:rsidRPr="0093156D">
        <w:rPr>
          <w:b/>
          <w:i w:val="0"/>
          <w:color w:val="auto"/>
          <w:sz w:val="22"/>
          <w:szCs w:val="22"/>
          <w:lang w:val="en-GB"/>
        </w:rPr>
        <w:t xml:space="preserve"> by age groups</w:t>
      </w:r>
      <w:bookmarkEnd w:id="23"/>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rsidRPr="0093156D" w14:paraId="2E2C51AC"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32B6E999" w14:textId="77777777" w:rsidR="00E167DE" w:rsidRPr="0093156D" w:rsidRDefault="00E167DE" w:rsidP="00E167DE">
            <w:pPr>
              <w:spacing w:after="160" w:line="256" w:lineRule="auto"/>
              <w:rPr>
                <w:rFonts w:asciiTheme="minorHAnsi" w:hAnsiTheme="minorHAnsi"/>
                <w:sz w:val="22"/>
                <w:szCs w:val="22"/>
              </w:rPr>
            </w:pPr>
            <w:r w:rsidRPr="0093156D">
              <w:rPr>
                <w:noProof/>
                <w:lang w:eastAsia="en-GB"/>
              </w:rPr>
              <w:drawing>
                <wp:inline distT="0" distB="0" distL="0" distR="0" wp14:anchorId="23506C8B" wp14:editId="212BB2FC">
                  <wp:extent cx="5076825" cy="2295525"/>
                  <wp:effectExtent l="0" t="0" r="0" b="0"/>
                  <wp:docPr id="68" name="Diagramm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64C884A3" w14:textId="621BD3C7" w:rsidR="00E02592" w:rsidRPr="0093156D" w:rsidRDefault="00E02592" w:rsidP="00E02592">
      <w:pPr>
        <w:rPr>
          <w:sz w:val="18"/>
        </w:rPr>
      </w:pPr>
      <w:r w:rsidRPr="0093156D">
        <w:rPr>
          <w:sz w:val="18"/>
        </w:rPr>
        <w:t>Source:</w:t>
      </w:r>
      <w:r>
        <w:rPr>
          <w:sz w:val="18"/>
        </w:rPr>
        <w:t xml:space="preserve"> Own calculations using LFS 2014</w:t>
      </w:r>
    </w:p>
    <w:p w14:paraId="576BF023" w14:textId="7916FA4E" w:rsidR="00E167DE" w:rsidRPr="0093156D" w:rsidRDefault="00E167DE" w:rsidP="00E02592">
      <w:pPr>
        <w:pStyle w:val="Caption"/>
        <w:keepNext/>
        <w:spacing w:after="0"/>
        <w:rPr>
          <w:b/>
          <w:i w:val="0"/>
          <w:color w:val="auto"/>
          <w:sz w:val="22"/>
          <w:szCs w:val="22"/>
          <w:lang w:val="en-GB"/>
        </w:rPr>
      </w:pPr>
      <w:r w:rsidRPr="0093156D">
        <w:rPr>
          <w:b/>
          <w:i w:val="0"/>
          <w:color w:val="auto"/>
          <w:sz w:val="22"/>
          <w:szCs w:val="22"/>
          <w:lang w:val="en-GB"/>
        </w:rPr>
        <w:t xml:space="preserve">Figure </w:t>
      </w:r>
      <w:r w:rsidRPr="0093156D">
        <w:rPr>
          <w:lang w:val="en-GB"/>
        </w:rPr>
        <w:fldChar w:fldCharType="begin"/>
      </w:r>
      <w:r w:rsidRPr="0093156D">
        <w:rPr>
          <w:b/>
          <w:i w:val="0"/>
          <w:color w:val="auto"/>
          <w:sz w:val="22"/>
          <w:szCs w:val="22"/>
          <w:lang w:val="en-GB"/>
        </w:rPr>
        <w:instrText xml:space="preserve"> SEQ Figure \* ARABIC </w:instrText>
      </w:r>
      <w:r w:rsidRPr="0093156D">
        <w:rPr>
          <w:lang w:val="en-GB"/>
        </w:rPr>
        <w:fldChar w:fldCharType="separate"/>
      </w:r>
      <w:r w:rsidR="00C50D04">
        <w:rPr>
          <w:b/>
          <w:i w:val="0"/>
          <w:noProof/>
          <w:color w:val="auto"/>
          <w:sz w:val="22"/>
          <w:szCs w:val="22"/>
          <w:lang w:val="en-GB"/>
        </w:rPr>
        <w:t>13</w:t>
      </w:r>
      <w:r w:rsidRPr="0093156D">
        <w:rPr>
          <w:lang w:val="en-GB"/>
        </w:rPr>
        <w:fldChar w:fldCharType="end"/>
      </w:r>
      <w:r w:rsidRPr="0093156D">
        <w:rPr>
          <w:b/>
          <w:i w:val="0"/>
          <w:color w:val="auto"/>
          <w:sz w:val="22"/>
          <w:szCs w:val="22"/>
          <w:lang w:val="en-GB"/>
        </w:rPr>
        <w:tab/>
      </w:r>
      <w:r w:rsidR="00AB3E5A">
        <w:rPr>
          <w:b/>
          <w:i w:val="0"/>
          <w:color w:val="auto"/>
          <w:sz w:val="22"/>
          <w:szCs w:val="22"/>
          <w:lang w:val="en-GB"/>
        </w:rPr>
        <w:t xml:space="preserve">CVAR of qualification composition, </w:t>
      </w:r>
      <w:r w:rsidRPr="0093156D">
        <w:rPr>
          <w:b/>
          <w:i w:val="0"/>
          <w:color w:val="auto"/>
          <w:sz w:val="22"/>
          <w:szCs w:val="22"/>
          <w:lang w:val="en-GB"/>
        </w:rPr>
        <w:t>2011-2016 (15-64): VET vs. non-VET</w:t>
      </w:r>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rsidRPr="0093156D" w14:paraId="066D67A8" w14:textId="77777777" w:rsidTr="00E167DE">
        <w:tc>
          <w:tcPr>
            <w:tcW w:w="9061" w:type="dxa"/>
            <w:tcBorders>
              <w:top w:val="single" w:sz="4" w:space="0" w:color="auto"/>
              <w:left w:val="single" w:sz="4" w:space="0" w:color="auto"/>
              <w:bottom w:val="single" w:sz="4" w:space="0" w:color="auto"/>
              <w:right w:val="single" w:sz="4" w:space="0" w:color="auto"/>
            </w:tcBorders>
            <w:hideMark/>
          </w:tcPr>
          <w:p w14:paraId="62E85763" w14:textId="77777777" w:rsidR="00E167DE" w:rsidRPr="0093156D" w:rsidRDefault="00E167DE" w:rsidP="00E167DE">
            <w:pPr>
              <w:spacing w:after="160" w:line="256" w:lineRule="auto"/>
              <w:rPr>
                <w:rFonts w:asciiTheme="minorHAnsi" w:hAnsiTheme="minorHAnsi"/>
                <w:sz w:val="22"/>
                <w:szCs w:val="22"/>
              </w:rPr>
            </w:pPr>
            <w:r w:rsidRPr="0093156D">
              <w:rPr>
                <w:noProof/>
                <w:lang w:eastAsia="en-GB"/>
              </w:rPr>
              <w:drawing>
                <wp:inline distT="0" distB="0" distL="0" distR="0" wp14:anchorId="205061DA" wp14:editId="7D9D0E26">
                  <wp:extent cx="5210175" cy="2533650"/>
                  <wp:effectExtent l="0" t="0" r="0" b="0"/>
                  <wp:docPr id="27" name="Diagram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60987047" w14:textId="77777777" w:rsidR="00E02592" w:rsidRPr="0093156D" w:rsidRDefault="00E02592" w:rsidP="00E02592">
      <w:pPr>
        <w:rPr>
          <w:sz w:val="18"/>
        </w:rPr>
      </w:pPr>
      <w:bookmarkStart w:id="24" w:name="_Toc497904294"/>
      <w:r w:rsidRPr="0093156D">
        <w:rPr>
          <w:sz w:val="18"/>
        </w:rPr>
        <w:t>Source:</w:t>
      </w:r>
      <w:r>
        <w:rPr>
          <w:sz w:val="18"/>
        </w:rPr>
        <w:t xml:space="preserve"> Own calculations using LFS 2012-2016 </w:t>
      </w:r>
    </w:p>
    <w:p w14:paraId="0139A77D" w14:textId="60B14FDD" w:rsidR="00870193" w:rsidRDefault="00870193" w:rsidP="00870193">
      <w:pPr>
        <w:spacing w:after="120" w:line="276" w:lineRule="auto"/>
        <w:jc w:val="both"/>
      </w:pPr>
      <w:r>
        <w:t>Figure 13 is calculated slightly differently from the rest. It distinguishes qualification only in terms of VET and non-VET</w:t>
      </w:r>
      <w:r w:rsidR="008225AF">
        <w:rPr>
          <w:rStyle w:val="FootnoteReference"/>
        </w:rPr>
        <w:footnoteReference w:id="28"/>
      </w:r>
      <w:r>
        <w:t xml:space="preserve"> rather than the level. The idea being that we want to examine whether there are differences in unemployment experience for VET trained persons versus those that have followed other types of education. </w:t>
      </w:r>
    </w:p>
    <w:p w14:paraId="5EFF3FA6" w14:textId="77777777" w:rsidR="00870193" w:rsidRDefault="00870193" w:rsidP="00870193">
      <w:pPr>
        <w:spacing w:after="120" w:line="276" w:lineRule="auto"/>
        <w:jc w:val="both"/>
      </w:pPr>
      <w:r w:rsidRPr="0093156D">
        <w:t>The coefficient of variation, differentiating between VET and non</w:t>
      </w:r>
      <w:r>
        <w:t>-</w:t>
      </w:r>
      <w:r w:rsidRPr="0093156D">
        <w:t xml:space="preserve">VET </w:t>
      </w:r>
      <w:r>
        <w:t xml:space="preserve">trained population in Figure 13 </w:t>
      </w:r>
      <w:r w:rsidRPr="0093156D">
        <w:t xml:space="preserve">shows a slowly diminishing variation over time which implies that the better employment rates of VET trained are slowly decreasing, i.e. the variation goes down which implies that the two groups are becoming more equal in the degree to which they experience unemployment. This is mainly caused by lower unemployment levels of the non-VET trained population. </w:t>
      </w:r>
    </w:p>
    <w:p w14:paraId="6C493E33" w14:textId="77777777" w:rsidR="00004349" w:rsidRPr="0093156D" w:rsidRDefault="00004349" w:rsidP="00870193">
      <w:pPr>
        <w:spacing w:after="120" w:line="276" w:lineRule="auto"/>
        <w:jc w:val="both"/>
      </w:pPr>
    </w:p>
    <w:bookmarkEnd w:id="24"/>
    <w:p w14:paraId="1763C842" w14:textId="7AD58481" w:rsidR="00513859" w:rsidRDefault="00004349" w:rsidP="00513859">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rPr>
          <w:b/>
          <w:sz w:val="20"/>
          <w:lang w:val="en-US"/>
        </w:rPr>
      </w:pPr>
      <w:r>
        <w:rPr>
          <w:b/>
          <w:sz w:val="20"/>
          <w:lang w:val="en-US"/>
        </w:rPr>
        <w:t>5</w:t>
      </w:r>
      <w:r w:rsidR="00513859">
        <w:rPr>
          <w:b/>
          <w:sz w:val="20"/>
          <w:lang w:val="en-US"/>
        </w:rPr>
        <w:t xml:space="preserve">. </w:t>
      </w:r>
      <w:r w:rsidR="00513859" w:rsidRPr="00AC7F97">
        <w:rPr>
          <w:b/>
          <w:sz w:val="20"/>
          <w:lang w:val="en-US"/>
        </w:rPr>
        <w:t>Indicator of Skill Mismatch:</w:t>
      </w:r>
      <w:r w:rsidR="00513859">
        <w:rPr>
          <w:b/>
          <w:sz w:val="20"/>
          <w:lang w:val="en-US"/>
        </w:rPr>
        <w:t xml:space="preserve"> Relative wages</w:t>
      </w:r>
    </w:p>
    <w:p w14:paraId="0BE58084" w14:textId="77777777" w:rsidR="00513859" w:rsidRDefault="00513859" w:rsidP="00513859">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sz w:val="18"/>
          <w:szCs w:val="22"/>
        </w:rPr>
      </w:pPr>
      <w:r w:rsidRPr="00AC7F97">
        <w:rPr>
          <w:sz w:val="18"/>
          <w:szCs w:val="22"/>
        </w:rPr>
        <w:t xml:space="preserve">This methodology compares the wages </w:t>
      </w:r>
      <w:r>
        <w:rPr>
          <w:sz w:val="18"/>
          <w:szCs w:val="22"/>
        </w:rPr>
        <w:t>across</w:t>
      </w:r>
      <w:r w:rsidRPr="00AC7F97">
        <w:rPr>
          <w:sz w:val="18"/>
          <w:szCs w:val="22"/>
        </w:rPr>
        <w:t xml:space="preserve"> education level</w:t>
      </w:r>
      <w:r>
        <w:rPr>
          <w:sz w:val="18"/>
          <w:szCs w:val="22"/>
        </w:rPr>
        <w:t>s</w:t>
      </w:r>
      <w:r w:rsidRPr="00AC7F97">
        <w:rPr>
          <w:sz w:val="18"/>
          <w:szCs w:val="22"/>
        </w:rPr>
        <w:t xml:space="preserve"> over time, either relative to a benchmark wage or indexed vis-à-vis a base year. It can usefully be plotted in a diagram, as it is then very easy to see how certain education levels are more or less well remunerated than others over time. An education level that is seen to attract a higher income than that achieved by people with other levels of education can thus be a sign that this level of education is in higher demand on the labour market.</w:t>
      </w:r>
    </w:p>
    <w:p w14:paraId="269F0BC7" w14:textId="77777777" w:rsidR="0042031B" w:rsidRDefault="00E167DE" w:rsidP="00BF60CD">
      <w:pPr>
        <w:spacing w:line="276" w:lineRule="auto"/>
        <w:jc w:val="both"/>
      </w:pPr>
      <w:r w:rsidRPr="0093156D">
        <w:t xml:space="preserve">Data presented </w:t>
      </w:r>
      <w:r w:rsidR="00AB3E5A">
        <w:t>in</w:t>
      </w:r>
      <w:r w:rsidRPr="0093156D">
        <w:t xml:space="preserve"> Figure 1</w:t>
      </w:r>
      <w:r w:rsidR="00AB3E5A">
        <w:t>4</w:t>
      </w:r>
      <w:r w:rsidRPr="0093156D">
        <w:t xml:space="preserve">, representing the development of wages from 2011 to 2016, shows an overall increase </w:t>
      </w:r>
      <w:r w:rsidR="00D049F9">
        <w:t>in</w:t>
      </w:r>
      <w:r w:rsidR="00D049F9" w:rsidRPr="0093156D">
        <w:t xml:space="preserve"> </w:t>
      </w:r>
      <w:r w:rsidR="00D049F9">
        <w:t>wages</w:t>
      </w:r>
      <w:r w:rsidR="00BF60CD">
        <w:t xml:space="preserve"> of 65%, where high educated gain 51%, intermediate 66% and low educated 182% over the period 2011-2016</w:t>
      </w:r>
      <w:r w:rsidRPr="0093156D">
        <w:t>. These data also show that the low educated workers in Georgia have increased their wages by more than the other categories</w:t>
      </w:r>
      <w:r w:rsidR="00BF60CD">
        <w:t xml:space="preserve"> </w:t>
      </w:r>
      <w:r w:rsidRPr="0093156D">
        <w:t>which is a sign that this particular level of education</w:t>
      </w:r>
      <w:r w:rsidR="00BF60CD">
        <w:t xml:space="preserve"> has, relatively speaking, gained </w:t>
      </w:r>
      <w:r w:rsidRPr="0093156D">
        <w:t xml:space="preserve">higher demand on the Georgian labour market. </w:t>
      </w:r>
      <w:r w:rsidR="00BF60CD">
        <w:t>However, taking 2014 as a base, we should note that high educated have on average more than six times the income than low educated, intermediate level still has on average incomes that represent 2.5 times that of low educated, which represents the overall demand for skills. Thus</w:t>
      </w:r>
      <w:r w:rsidR="00D049F9">
        <w:t>,</w:t>
      </w:r>
      <w:r w:rsidR="00BF60CD">
        <w:t xml:space="preserve"> one interpretation for the gains of the lower educated would be that their wages follow the economic situation much more than those of intermediate and higher educated, thus they gain more now in the period of economic recuperation.</w:t>
      </w:r>
    </w:p>
    <w:p w14:paraId="4BE55719" w14:textId="77777777" w:rsidR="0042031B" w:rsidRPr="0093156D" w:rsidRDefault="0042031B" w:rsidP="0042031B">
      <w:pPr>
        <w:spacing w:line="276" w:lineRule="auto"/>
        <w:jc w:val="both"/>
      </w:pPr>
      <w:r w:rsidRPr="0093156D">
        <w:t xml:space="preserve">This might </w:t>
      </w:r>
      <w:r>
        <w:t xml:space="preserve">also </w:t>
      </w:r>
      <w:r w:rsidRPr="0093156D">
        <w:t>be linked to the trends in the remuneration of workers engaged in different economic sectors: if we look at the official statistics on average monthly nominal earnings of employees in Georgia</w:t>
      </w:r>
      <w:r w:rsidRPr="0093156D">
        <w:rPr>
          <w:rStyle w:val="FootnoteReference"/>
        </w:rPr>
        <w:footnoteReference w:id="29"/>
      </w:r>
      <w:r w:rsidRPr="0093156D">
        <w:t>, we could see that during 2014-2016 the most significant increase in wages of employees is observed in construction, manufacturing and hotel and restaurants businesses - sectors where low educated people in Georgia are widely engaged.</w:t>
      </w:r>
      <w:r>
        <w:t xml:space="preserve"> Figure 15 illuminates the development and distribution of wages across the occupation groups, as identified by the first digit ISCO classification. Striking is also the low levels of income for the ‘Skilled agricultural and fishery workers’ which are likely to represent the strong influence of subsistence farming in Georgia. This group has less than half the income of elementary occupations. Allowing for the theoretical shortcut of equating income with productivity levels would imply that the employment in agricultural occupations is a poor use of skills.</w:t>
      </w:r>
    </w:p>
    <w:p w14:paraId="74C4435B" w14:textId="4E83E259" w:rsidR="00E167DE" w:rsidRPr="00D415DF" w:rsidRDefault="00E167DE" w:rsidP="00E167DE">
      <w:pPr>
        <w:pStyle w:val="Caption"/>
        <w:keepNext/>
        <w:spacing w:after="0"/>
        <w:rPr>
          <w:b/>
          <w:i w:val="0"/>
          <w:color w:val="000000" w:themeColor="text1"/>
          <w:sz w:val="22"/>
          <w:lang w:val="en-GB"/>
        </w:rPr>
      </w:pPr>
      <w:r w:rsidRPr="00D415DF">
        <w:rPr>
          <w:b/>
          <w:i w:val="0"/>
          <w:color w:val="000000" w:themeColor="text1"/>
          <w:sz w:val="22"/>
          <w:lang w:val="en-GB"/>
        </w:rPr>
        <w:t xml:space="preserve">Figure </w:t>
      </w:r>
      <w:r w:rsidRPr="00D415DF">
        <w:rPr>
          <w:b/>
          <w:i w:val="0"/>
          <w:color w:val="000000" w:themeColor="text1"/>
          <w:sz w:val="22"/>
          <w:lang w:val="en-GB"/>
        </w:rPr>
        <w:fldChar w:fldCharType="begin"/>
      </w:r>
      <w:r w:rsidRPr="00D415DF">
        <w:rPr>
          <w:b/>
          <w:i w:val="0"/>
          <w:color w:val="000000" w:themeColor="text1"/>
          <w:sz w:val="22"/>
          <w:lang w:val="en-GB"/>
        </w:rPr>
        <w:instrText xml:space="preserve"> SEQ Figure \* ARABIC </w:instrText>
      </w:r>
      <w:r w:rsidRPr="00D415DF">
        <w:rPr>
          <w:b/>
          <w:i w:val="0"/>
          <w:color w:val="000000" w:themeColor="text1"/>
          <w:sz w:val="22"/>
          <w:lang w:val="en-GB"/>
        </w:rPr>
        <w:fldChar w:fldCharType="separate"/>
      </w:r>
      <w:r w:rsidR="00C50D04" w:rsidRPr="00D415DF">
        <w:rPr>
          <w:b/>
          <w:i w:val="0"/>
          <w:noProof/>
          <w:color w:val="000000" w:themeColor="text1"/>
          <w:sz w:val="22"/>
          <w:lang w:val="en-GB"/>
        </w:rPr>
        <w:t>14</w:t>
      </w:r>
      <w:r w:rsidRPr="00D415DF">
        <w:rPr>
          <w:b/>
          <w:i w:val="0"/>
          <w:color w:val="000000" w:themeColor="text1"/>
          <w:sz w:val="22"/>
          <w:lang w:val="en-GB"/>
        </w:rPr>
        <w:fldChar w:fldCharType="end"/>
      </w:r>
      <w:r w:rsidRPr="00D415DF">
        <w:rPr>
          <w:b/>
          <w:i w:val="0"/>
          <w:color w:val="000000" w:themeColor="text1"/>
          <w:sz w:val="22"/>
          <w:lang w:val="en-GB"/>
        </w:rPr>
        <w:tab/>
        <w:t>Income Georgia (</w:t>
      </w:r>
      <w:r w:rsidR="00B84F59" w:rsidRPr="00D415DF">
        <w:rPr>
          <w:b/>
          <w:i w:val="0"/>
          <w:color w:val="000000" w:themeColor="text1"/>
          <w:sz w:val="22"/>
          <w:lang w:val="en-GB"/>
        </w:rPr>
        <w:t>Index set to Low Education in</w:t>
      </w:r>
      <w:r w:rsidRPr="00D415DF">
        <w:rPr>
          <w:b/>
          <w:i w:val="0"/>
          <w:color w:val="000000" w:themeColor="text1"/>
          <w:sz w:val="22"/>
          <w:lang w:val="en-GB"/>
        </w:rPr>
        <w:t xml:space="preserve"> 2014 = 100)</w:t>
      </w:r>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14:paraId="7743BC91" w14:textId="77777777" w:rsidTr="00565155">
        <w:tc>
          <w:tcPr>
            <w:tcW w:w="9061" w:type="dxa"/>
            <w:tcBorders>
              <w:top w:val="single" w:sz="4" w:space="0" w:color="auto"/>
              <w:left w:val="single" w:sz="4" w:space="0" w:color="auto"/>
              <w:bottom w:val="single" w:sz="4" w:space="0" w:color="auto"/>
              <w:right w:val="single" w:sz="4" w:space="0" w:color="auto"/>
            </w:tcBorders>
            <w:hideMark/>
          </w:tcPr>
          <w:p w14:paraId="2858F1DF" w14:textId="77777777" w:rsidR="00E167DE" w:rsidRDefault="00E167DE" w:rsidP="00E167DE">
            <w:pPr>
              <w:rPr>
                <w:sz w:val="22"/>
              </w:rPr>
            </w:pPr>
            <w:r>
              <w:rPr>
                <w:noProof/>
                <w:lang w:eastAsia="en-GB"/>
              </w:rPr>
              <w:drawing>
                <wp:inline distT="0" distB="0" distL="0" distR="0" wp14:anchorId="1E5FD58D" wp14:editId="606CBCC3">
                  <wp:extent cx="5286375" cy="2590800"/>
                  <wp:effectExtent l="0" t="0" r="9525" b="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7115D504" w14:textId="77777777" w:rsidR="00565155" w:rsidRPr="0093156D" w:rsidRDefault="00565155" w:rsidP="00565155">
      <w:pPr>
        <w:rPr>
          <w:sz w:val="18"/>
        </w:rPr>
      </w:pPr>
      <w:r w:rsidRPr="0093156D">
        <w:rPr>
          <w:sz w:val="18"/>
        </w:rPr>
        <w:t>Source:</w:t>
      </w:r>
      <w:r>
        <w:rPr>
          <w:sz w:val="18"/>
        </w:rPr>
        <w:t xml:space="preserve"> Own calculations using LFS 2012-2016 </w:t>
      </w:r>
    </w:p>
    <w:p w14:paraId="2C7D6B17" w14:textId="77777777" w:rsidR="00E167DE" w:rsidRDefault="00E167DE" w:rsidP="00E167DE">
      <w:pPr>
        <w:rPr>
          <w:rFonts w:asciiTheme="minorHAnsi" w:hAnsiTheme="minorHAnsi" w:cstheme="minorBidi"/>
        </w:rPr>
      </w:pPr>
    </w:p>
    <w:p w14:paraId="62821E88" w14:textId="1CF621AA" w:rsidR="00E167DE" w:rsidRDefault="00E167DE" w:rsidP="00E167DE">
      <w:pPr>
        <w:pStyle w:val="Caption"/>
        <w:keepNext/>
        <w:spacing w:after="0"/>
        <w:ind w:left="1410" w:hanging="1410"/>
        <w:rPr>
          <w:b/>
          <w:i w:val="0"/>
          <w:color w:val="auto"/>
          <w:sz w:val="22"/>
          <w:lang w:val="en-US"/>
        </w:rPr>
      </w:pPr>
      <w:r>
        <w:rPr>
          <w:b/>
          <w:i w:val="0"/>
          <w:color w:val="auto"/>
          <w:sz w:val="22"/>
          <w:lang w:val="en-US"/>
        </w:rPr>
        <w:t xml:space="preserve">Figure </w:t>
      </w:r>
      <w:r>
        <w:rPr>
          <w:b/>
          <w:i w:val="0"/>
          <w:color w:val="auto"/>
          <w:sz w:val="22"/>
        </w:rPr>
        <w:fldChar w:fldCharType="begin"/>
      </w:r>
      <w:r>
        <w:rPr>
          <w:b/>
          <w:i w:val="0"/>
          <w:color w:val="auto"/>
          <w:sz w:val="22"/>
          <w:lang w:val="en-US"/>
        </w:rPr>
        <w:instrText xml:space="preserve"> SEQ Figure \* ARABIC </w:instrText>
      </w:r>
      <w:r>
        <w:rPr>
          <w:b/>
          <w:i w:val="0"/>
          <w:color w:val="auto"/>
          <w:sz w:val="22"/>
        </w:rPr>
        <w:fldChar w:fldCharType="separate"/>
      </w:r>
      <w:r w:rsidR="00C50D04">
        <w:rPr>
          <w:b/>
          <w:i w:val="0"/>
          <w:noProof/>
          <w:color w:val="auto"/>
          <w:sz w:val="22"/>
          <w:lang w:val="en-US"/>
        </w:rPr>
        <w:t>15</w:t>
      </w:r>
      <w:r>
        <w:rPr>
          <w:b/>
          <w:i w:val="0"/>
          <w:color w:val="auto"/>
          <w:sz w:val="22"/>
        </w:rPr>
        <w:fldChar w:fldCharType="end"/>
      </w:r>
      <w:r>
        <w:rPr>
          <w:b/>
          <w:i w:val="0"/>
          <w:color w:val="auto"/>
          <w:sz w:val="22"/>
          <w:lang w:val="en-US"/>
        </w:rPr>
        <w:tab/>
        <w:t>Georgia: Average income of persons employed by occupation (Elementary Occupations 2014 = 100)</w:t>
      </w:r>
    </w:p>
    <w:tbl>
      <w:tblPr>
        <w:tblStyle w:val="TableGrid"/>
        <w:tblW w:w="0" w:type="auto"/>
        <w:tblCellMar>
          <w:top w:w="57" w:type="dxa"/>
          <w:left w:w="70" w:type="dxa"/>
          <w:bottom w:w="57" w:type="dxa"/>
          <w:right w:w="70" w:type="dxa"/>
        </w:tblCellMar>
        <w:tblLook w:val="04A0" w:firstRow="1" w:lastRow="0" w:firstColumn="1" w:lastColumn="0" w:noHBand="0" w:noVBand="1"/>
      </w:tblPr>
      <w:tblGrid>
        <w:gridCol w:w="9061"/>
      </w:tblGrid>
      <w:tr w:rsidR="00E167DE" w14:paraId="2FBE799C" w14:textId="77777777" w:rsidTr="00E02592">
        <w:tc>
          <w:tcPr>
            <w:tcW w:w="9061" w:type="dxa"/>
            <w:tcBorders>
              <w:top w:val="single" w:sz="4" w:space="0" w:color="auto"/>
              <w:left w:val="single" w:sz="4" w:space="0" w:color="auto"/>
              <w:bottom w:val="single" w:sz="4" w:space="0" w:color="auto"/>
              <w:right w:val="single" w:sz="4" w:space="0" w:color="auto"/>
            </w:tcBorders>
            <w:hideMark/>
          </w:tcPr>
          <w:p w14:paraId="34DA24B1" w14:textId="77777777" w:rsidR="00E167DE" w:rsidRDefault="00E167DE" w:rsidP="00E167DE">
            <w:pPr>
              <w:rPr>
                <w:sz w:val="22"/>
                <w:lang w:val="de-DE"/>
              </w:rPr>
            </w:pPr>
            <w:r>
              <w:rPr>
                <w:noProof/>
                <w:lang w:eastAsia="en-GB"/>
              </w:rPr>
              <w:drawing>
                <wp:inline distT="0" distB="0" distL="0" distR="0" wp14:anchorId="00604617" wp14:editId="1013B90C">
                  <wp:extent cx="5600700" cy="5181600"/>
                  <wp:effectExtent l="0" t="0" r="0" b="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343F6A8E" w14:textId="7FE79363" w:rsidR="00E02592" w:rsidRPr="0093156D" w:rsidRDefault="00E02592" w:rsidP="00E02592">
      <w:pPr>
        <w:rPr>
          <w:sz w:val="18"/>
        </w:rPr>
      </w:pPr>
      <w:r w:rsidRPr="0093156D">
        <w:rPr>
          <w:sz w:val="18"/>
        </w:rPr>
        <w:t>Source:</w:t>
      </w:r>
      <w:r>
        <w:rPr>
          <w:sz w:val="18"/>
        </w:rPr>
        <w:t xml:space="preserve"> Own calculations using LFS 2012-2016 </w:t>
      </w:r>
    </w:p>
    <w:p w14:paraId="4A28E82D" w14:textId="77A26006" w:rsidR="00E167DE" w:rsidRDefault="00E167DE" w:rsidP="00366370">
      <w:pPr>
        <w:spacing w:line="276" w:lineRule="auto"/>
        <w:jc w:val="both"/>
      </w:pPr>
    </w:p>
    <w:p w14:paraId="639D7579" w14:textId="3B7F96C5" w:rsidR="0042031B" w:rsidRPr="00AC7F97" w:rsidRDefault="00004349" w:rsidP="0042031B">
      <w:pPr>
        <w:pStyle w:val="Tablefirstcolumn"/>
        <w:pBdr>
          <w:top w:val="single" w:sz="4" w:space="1" w:color="auto"/>
          <w:left w:val="single" w:sz="4" w:space="4" w:color="auto"/>
          <w:bottom w:val="single" w:sz="4" w:space="1" w:color="auto"/>
          <w:right w:val="single" w:sz="4" w:space="4" w:color="auto"/>
        </w:pBdr>
        <w:shd w:val="clear" w:color="auto" w:fill="D9D9D9" w:themeFill="background1" w:themeFillShade="D9"/>
        <w:rPr>
          <w:b/>
          <w:sz w:val="20"/>
          <w:lang w:val="en-US"/>
        </w:rPr>
      </w:pPr>
      <w:r>
        <w:rPr>
          <w:b/>
          <w:sz w:val="20"/>
          <w:lang w:val="en-US"/>
        </w:rPr>
        <w:t>6</w:t>
      </w:r>
      <w:r w:rsidR="0042031B">
        <w:rPr>
          <w:b/>
          <w:sz w:val="20"/>
          <w:lang w:val="en-US"/>
        </w:rPr>
        <w:t xml:space="preserve">. </w:t>
      </w:r>
      <w:r w:rsidR="0042031B" w:rsidRPr="00AC7F97">
        <w:rPr>
          <w:b/>
          <w:sz w:val="20"/>
          <w:lang w:val="en-US"/>
        </w:rPr>
        <w:t>Indicator of Skill Mismatch: Occupational mismatch</w:t>
      </w:r>
    </w:p>
    <w:p w14:paraId="2AB089AF" w14:textId="77777777" w:rsidR="0042031B" w:rsidRDefault="0042031B" w:rsidP="0042031B">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szCs w:val="22"/>
        </w:rPr>
      </w:pPr>
      <w:r w:rsidRPr="00AC7F97">
        <w:rPr>
          <w:szCs w:val="22"/>
        </w:rPr>
        <w:t xml:space="preserve">This method is based on comparisons of the ratio of people with a given education level (ISCED) working at an inappropriate skill level (measured by the International Standard Classification of Occupations – ISCO) to all workers within that ISCED level. </w:t>
      </w:r>
    </w:p>
    <w:p w14:paraId="16CB2DD1" w14:textId="748236C8" w:rsidR="00E84D9A" w:rsidRDefault="00E84D9A" w:rsidP="006C1F59">
      <w:pPr>
        <w:spacing w:line="276" w:lineRule="auto"/>
        <w:jc w:val="both"/>
      </w:pPr>
      <w:r w:rsidRPr="0093156D">
        <w:t>Tables</w:t>
      </w:r>
      <w:r w:rsidR="006C1F59">
        <w:t xml:space="preserve"> 2</w:t>
      </w:r>
      <w:r w:rsidRPr="0093156D">
        <w:t xml:space="preserve"> and </w:t>
      </w:r>
      <w:r w:rsidR="006C1F59">
        <w:t>3</w:t>
      </w:r>
      <w:r w:rsidRPr="0093156D">
        <w:t xml:space="preserve"> present the indicators on occupational mismatch in Georgia for persons in age 15-59 not being in education</w:t>
      </w:r>
      <w:r w:rsidR="007F1411" w:rsidRPr="0093156D">
        <w:t xml:space="preserve">. </w:t>
      </w:r>
      <w:r w:rsidRPr="0093156D">
        <w:t xml:space="preserve"> </w:t>
      </w:r>
      <w:r w:rsidR="007F1411" w:rsidRPr="0093156D">
        <w:t>F</w:t>
      </w:r>
      <w:r w:rsidRPr="0093156D">
        <w:t>or those with upper secondary education a corresponding indicator measures proportion of employed on elementary occupations (manual skills level) and for those with tertiary education- in semi-skilled occupations</w:t>
      </w:r>
      <w:r w:rsidR="007F1411" w:rsidRPr="0093156D">
        <w:t>. I</w:t>
      </w:r>
      <w:r w:rsidRPr="0093156D">
        <w:t xml:space="preserve">n both cases this approach shows </w:t>
      </w:r>
      <w:r w:rsidR="007F1411" w:rsidRPr="0093156D">
        <w:t>indications</w:t>
      </w:r>
      <w:r w:rsidRPr="0093156D">
        <w:t xml:space="preserve"> of skill mismatch. </w:t>
      </w:r>
    </w:p>
    <w:p w14:paraId="0E2B8318" w14:textId="77777777" w:rsidR="00BF60CD" w:rsidRPr="0093156D" w:rsidRDefault="00BF60CD" w:rsidP="00BF60CD">
      <w:pPr>
        <w:spacing w:line="276" w:lineRule="auto"/>
        <w:jc w:val="both"/>
      </w:pPr>
      <w:r w:rsidRPr="0093156D">
        <w:t>The higher the educational level of employed in Georgia, the higher is its mismatch with occupation of employees. This is in line with findings of previous studies of Georgia (for example STEP survey by World Bank): while only 8.5% of lower educated people are engaged in elementary occupations, more than one third (38.2%) of employed with tertiary education work on semi-skilled jobs. Prevalence of overqualification is higher for males than for females irrespective of their educational attainment.  Moreover, the gender gap in this indicator is higher for tertiary educated people.</w:t>
      </w:r>
    </w:p>
    <w:p w14:paraId="0BA963A6" w14:textId="658B72E2" w:rsidR="0033474A" w:rsidRPr="0093156D" w:rsidRDefault="0033474A" w:rsidP="0033474A">
      <w:pPr>
        <w:pStyle w:val="Caption"/>
        <w:keepNext/>
        <w:spacing w:after="0"/>
        <w:ind w:left="1410" w:hanging="1410"/>
        <w:rPr>
          <w:b/>
          <w:i w:val="0"/>
          <w:color w:val="auto"/>
          <w:sz w:val="22"/>
          <w:szCs w:val="22"/>
          <w:lang w:val="en-GB"/>
        </w:rPr>
      </w:pPr>
      <w:bookmarkStart w:id="25" w:name="_Toc497904302"/>
      <w:r w:rsidRPr="0093156D">
        <w:rPr>
          <w:b/>
          <w:i w:val="0"/>
          <w:color w:val="auto"/>
          <w:sz w:val="22"/>
          <w:szCs w:val="22"/>
          <w:lang w:val="en-GB"/>
        </w:rPr>
        <w:t xml:space="preserve">Table </w:t>
      </w:r>
      <w:r w:rsidRPr="0093156D">
        <w:rPr>
          <w:lang w:val="en-GB"/>
        </w:rPr>
        <w:fldChar w:fldCharType="begin"/>
      </w:r>
      <w:r w:rsidRPr="0093156D">
        <w:rPr>
          <w:b/>
          <w:i w:val="0"/>
          <w:color w:val="auto"/>
          <w:sz w:val="22"/>
          <w:szCs w:val="22"/>
          <w:lang w:val="en-GB"/>
        </w:rPr>
        <w:instrText xml:space="preserve"> SEQ Table \* ARABIC </w:instrText>
      </w:r>
      <w:r w:rsidRPr="0093156D">
        <w:rPr>
          <w:lang w:val="en-GB"/>
        </w:rPr>
        <w:fldChar w:fldCharType="separate"/>
      </w:r>
      <w:r w:rsidR="00C50D04">
        <w:rPr>
          <w:b/>
          <w:i w:val="0"/>
          <w:noProof/>
          <w:color w:val="auto"/>
          <w:sz w:val="22"/>
          <w:szCs w:val="22"/>
          <w:lang w:val="en-GB"/>
        </w:rPr>
        <w:t>2</w:t>
      </w:r>
      <w:r w:rsidRPr="0093156D">
        <w:rPr>
          <w:lang w:val="en-GB"/>
        </w:rPr>
        <w:fldChar w:fldCharType="end"/>
      </w:r>
      <w:r w:rsidRPr="0093156D">
        <w:rPr>
          <w:b/>
          <w:i w:val="0"/>
          <w:color w:val="auto"/>
          <w:sz w:val="22"/>
          <w:szCs w:val="22"/>
          <w:lang w:val="en-GB"/>
        </w:rPr>
        <w:tab/>
        <w:t>Occupational mismatch in Georgia: Persons not in education, medium level, 2012-2016</w:t>
      </w:r>
      <w:bookmarkEnd w:id="25"/>
      <w:r w:rsidRPr="0093156D">
        <w:rPr>
          <w:b/>
          <w:i w:val="0"/>
          <w:color w:val="auto"/>
          <w:sz w:val="22"/>
          <w:szCs w:val="22"/>
          <w:lang w:val="en-GB"/>
        </w:rPr>
        <w:t xml:space="preserve"> </w:t>
      </w:r>
    </w:p>
    <w:tbl>
      <w:tblPr>
        <w:tblW w:w="5000" w:type="pct"/>
        <w:tblCellMar>
          <w:left w:w="70" w:type="dxa"/>
          <w:right w:w="70" w:type="dxa"/>
        </w:tblCellMar>
        <w:tblLook w:val="04A0" w:firstRow="1" w:lastRow="0" w:firstColumn="1" w:lastColumn="0" w:noHBand="0" w:noVBand="1"/>
      </w:tblPr>
      <w:tblGrid>
        <w:gridCol w:w="2558"/>
        <w:gridCol w:w="1301"/>
        <w:gridCol w:w="1301"/>
        <w:gridCol w:w="1301"/>
        <w:gridCol w:w="1301"/>
        <w:gridCol w:w="1299"/>
      </w:tblGrid>
      <w:tr w:rsidR="00B877EA" w:rsidRPr="0093156D" w14:paraId="6BFF79E1" w14:textId="77777777" w:rsidTr="00B877EA">
        <w:trPr>
          <w:trHeight w:val="300"/>
        </w:trPr>
        <w:tc>
          <w:tcPr>
            <w:tcW w:w="1411" w:type="pct"/>
            <w:vMerge w:val="restart"/>
            <w:tcBorders>
              <w:top w:val="single" w:sz="4" w:space="0" w:color="auto"/>
              <w:left w:val="single" w:sz="4" w:space="0" w:color="auto"/>
              <w:bottom w:val="nil"/>
              <w:right w:val="nil"/>
            </w:tcBorders>
            <w:shd w:val="clear" w:color="auto" w:fill="auto"/>
            <w:noWrap/>
            <w:vAlign w:val="center"/>
            <w:hideMark/>
          </w:tcPr>
          <w:p w14:paraId="7C609E09"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Gender</w:t>
            </w:r>
          </w:p>
        </w:tc>
        <w:tc>
          <w:tcPr>
            <w:tcW w:w="3589" w:type="pct"/>
            <w:gridSpan w:val="5"/>
            <w:tcBorders>
              <w:top w:val="single" w:sz="4" w:space="0" w:color="auto"/>
              <w:left w:val="single" w:sz="4" w:space="0" w:color="auto"/>
              <w:bottom w:val="nil"/>
              <w:right w:val="single" w:sz="4" w:space="0" w:color="000000"/>
            </w:tcBorders>
            <w:shd w:val="clear" w:color="auto" w:fill="auto"/>
            <w:noWrap/>
            <w:vAlign w:val="bottom"/>
            <w:hideMark/>
          </w:tcPr>
          <w:p w14:paraId="219BAB18"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Georgia</w:t>
            </w:r>
          </w:p>
        </w:tc>
      </w:tr>
      <w:tr w:rsidR="00B877EA" w:rsidRPr="0093156D" w14:paraId="36928B10" w14:textId="77777777" w:rsidTr="00B877EA">
        <w:trPr>
          <w:trHeight w:val="600"/>
        </w:trPr>
        <w:tc>
          <w:tcPr>
            <w:tcW w:w="1411" w:type="pct"/>
            <w:vMerge/>
            <w:tcBorders>
              <w:top w:val="single" w:sz="4" w:space="0" w:color="auto"/>
              <w:left w:val="single" w:sz="4" w:space="0" w:color="auto"/>
              <w:bottom w:val="nil"/>
              <w:right w:val="nil"/>
            </w:tcBorders>
            <w:vAlign w:val="center"/>
            <w:hideMark/>
          </w:tcPr>
          <w:p w14:paraId="42F3957D" w14:textId="77777777" w:rsidR="00B877EA" w:rsidRPr="0093156D" w:rsidRDefault="00B877EA" w:rsidP="00B877EA">
            <w:pPr>
              <w:spacing w:after="0"/>
              <w:rPr>
                <w:rFonts w:ascii="Calibri" w:eastAsia="Times New Roman" w:hAnsi="Calibri" w:cs="Times New Roman"/>
                <w:sz w:val="18"/>
                <w:szCs w:val="18"/>
                <w:lang w:eastAsia="de-DE"/>
              </w:rPr>
            </w:pPr>
          </w:p>
        </w:tc>
        <w:tc>
          <w:tcPr>
            <w:tcW w:w="3589" w:type="pct"/>
            <w:gridSpan w:val="5"/>
            <w:tcBorders>
              <w:top w:val="nil"/>
              <w:left w:val="single" w:sz="4" w:space="0" w:color="auto"/>
              <w:bottom w:val="nil"/>
              <w:right w:val="single" w:sz="4" w:space="0" w:color="000000"/>
            </w:tcBorders>
            <w:shd w:val="clear" w:color="auto" w:fill="auto"/>
            <w:vAlign w:val="center"/>
            <w:hideMark/>
          </w:tcPr>
          <w:p w14:paraId="15BAB3DB"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Persons with upper secondary education working in elementary occupations, age 15-64</w:t>
            </w:r>
          </w:p>
        </w:tc>
      </w:tr>
      <w:tr w:rsidR="00B877EA" w:rsidRPr="0093156D" w14:paraId="10FBED25" w14:textId="77777777" w:rsidTr="00B877EA">
        <w:trPr>
          <w:trHeight w:val="300"/>
        </w:trPr>
        <w:tc>
          <w:tcPr>
            <w:tcW w:w="1411" w:type="pct"/>
            <w:vMerge/>
            <w:tcBorders>
              <w:top w:val="single" w:sz="4" w:space="0" w:color="auto"/>
              <w:left w:val="single" w:sz="4" w:space="0" w:color="auto"/>
              <w:bottom w:val="nil"/>
              <w:right w:val="nil"/>
            </w:tcBorders>
            <w:vAlign w:val="center"/>
            <w:hideMark/>
          </w:tcPr>
          <w:p w14:paraId="2EEDA8A0" w14:textId="77777777" w:rsidR="00B877EA" w:rsidRPr="0093156D" w:rsidRDefault="00B877EA" w:rsidP="00B877EA">
            <w:pPr>
              <w:spacing w:after="0"/>
              <w:rPr>
                <w:rFonts w:ascii="Calibri" w:eastAsia="Times New Roman" w:hAnsi="Calibri" w:cs="Times New Roman"/>
                <w:sz w:val="18"/>
                <w:szCs w:val="18"/>
                <w:lang w:eastAsia="de-DE"/>
              </w:rPr>
            </w:pPr>
          </w:p>
        </w:tc>
        <w:tc>
          <w:tcPr>
            <w:tcW w:w="3589" w:type="pct"/>
            <w:gridSpan w:val="5"/>
            <w:tcBorders>
              <w:top w:val="nil"/>
              <w:left w:val="single" w:sz="4" w:space="0" w:color="auto"/>
              <w:bottom w:val="nil"/>
              <w:right w:val="single" w:sz="4" w:space="0" w:color="000000"/>
            </w:tcBorders>
            <w:shd w:val="clear" w:color="auto" w:fill="auto"/>
            <w:noWrap/>
            <w:vAlign w:val="center"/>
            <w:hideMark/>
          </w:tcPr>
          <w:p w14:paraId="6E6AC45C"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 on all persons with upper secondary education (15-64)</w:t>
            </w:r>
          </w:p>
        </w:tc>
      </w:tr>
      <w:tr w:rsidR="00B877EA" w:rsidRPr="0093156D" w14:paraId="6B7C80C0" w14:textId="77777777" w:rsidTr="00B877EA">
        <w:trPr>
          <w:trHeight w:val="300"/>
        </w:trPr>
        <w:tc>
          <w:tcPr>
            <w:tcW w:w="1411" w:type="pct"/>
            <w:vMerge/>
            <w:tcBorders>
              <w:top w:val="single" w:sz="4" w:space="0" w:color="auto"/>
              <w:left w:val="single" w:sz="4" w:space="0" w:color="auto"/>
              <w:bottom w:val="nil"/>
              <w:right w:val="nil"/>
            </w:tcBorders>
            <w:vAlign w:val="center"/>
            <w:hideMark/>
          </w:tcPr>
          <w:p w14:paraId="2BC55153" w14:textId="77777777" w:rsidR="00B877EA" w:rsidRPr="0093156D" w:rsidRDefault="00B877EA" w:rsidP="00B877EA">
            <w:pPr>
              <w:spacing w:after="0"/>
              <w:rPr>
                <w:rFonts w:ascii="Calibri" w:eastAsia="Times New Roman" w:hAnsi="Calibri" w:cs="Times New Roman"/>
                <w:sz w:val="18"/>
                <w:szCs w:val="18"/>
                <w:lang w:eastAsia="de-DE"/>
              </w:rPr>
            </w:pPr>
          </w:p>
        </w:tc>
        <w:tc>
          <w:tcPr>
            <w:tcW w:w="718" w:type="pct"/>
            <w:tcBorders>
              <w:top w:val="nil"/>
              <w:left w:val="single" w:sz="4" w:space="0" w:color="auto"/>
              <w:bottom w:val="nil"/>
              <w:right w:val="nil"/>
            </w:tcBorders>
            <w:shd w:val="clear" w:color="auto" w:fill="auto"/>
            <w:noWrap/>
            <w:vAlign w:val="center"/>
            <w:hideMark/>
          </w:tcPr>
          <w:p w14:paraId="4BCDAF6C"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2012</w:t>
            </w:r>
          </w:p>
        </w:tc>
        <w:tc>
          <w:tcPr>
            <w:tcW w:w="718" w:type="pct"/>
            <w:tcBorders>
              <w:top w:val="nil"/>
              <w:left w:val="nil"/>
              <w:bottom w:val="nil"/>
              <w:right w:val="nil"/>
            </w:tcBorders>
            <w:shd w:val="clear" w:color="auto" w:fill="auto"/>
            <w:noWrap/>
            <w:vAlign w:val="center"/>
            <w:hideMark/>
          </w:tcPr>
          <w:p w14:paraId="2CCFAD02"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2013</w:t>
            </w:r>
          </w:p>
        </w:tc>
        <w:tc>
          <w:tcPr>
            <w:tcW w:w="718" w:type="pct"/>
            <w:tcBorders>
              <w:top w:val="nil"/>
              <w:left w:val="nil"/>
              <w:bottom w:val="nil"/>
              <w:right w:val="nil"/>
            </w:tcBorders>
            <w:shd w:val="clear" w:color="auto" w:fill="auto"/>
            <w:noWrap/>
            <w:vAlign w:val="center"/>
            <w:hideMark/>
          </w:tcPr>
          <w:p w14:paraId="362CF959"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2014</w:t>
            </w:r>
          </w:p>
        </w:tc>
        <w:tc>
          <w:tcPr>
            <w:tcW w:w="718" w:type="pct"/>
            <w:tcBorders>
              <w:top w:val="nil"/>
              <w:left w:val="nil"/>
              <w:bottom w:val="nil"/>
              <w:right w:val="nil"/>
            </w:tcBorders>
            <w:shd w:val="clear" w:color="auto" w:fill="auto"/>
            <w:noWrap/>
            <w:vAlign w:val="center"/>
            <w:hideMark/>
          </w:tcPr>
          <w:p w14:paraId="76669A14"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2015</w:t>
            </w:r>
          </w:p>
        </w:tc>
        <w:tc>
          <w:tcPr>
            <w:tcW w:w="718" w:type="pct"/>
            <w:tcBorders>
              <w:top w:val="nil"/>
              <w:left w:val="nil"/>
              <w:bottom w:val="nil"/>
              <w:right w:val="single" w:sz="4" w:space="0" w:color="auto"/>
            </w:tcBorders>
            <w:shd w:val="clear" w:color="auto" w:fill="auto"/>
            <w:noWrap/>
            <w:vAlign w:val="center"/>
            <w:hideMark/>
          </w:tcPr>
          <w:p w14:paraId="5931EDCC"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2016</w:t>
            </w:r>
          </w:p>
        </w:tc>
      </w:tr>
      <w:tr w:rsidR="00B877EA" w:rsidRPr="0093156D" w14:paraId="16EBCEC2" w14:textId="77777777" w:rsidTr="00B877EA">
        <w:trPr>
          <w:trHeight w:val="300"/>
        </w:trPr>
        <w:tc>
          <w:tcPr>
            <w:tcW w:w="1411" w:type="pct"/>
            <w:tcBorders>
              <w:top w:val="single" w:sz="4" w:space="0" w:color="auto"/>
              <w:left w:val="single" w:sz="4" w:space="0" w:color="auto"/>
              <w:bottom w:val="nil"/>
              <w:right w:val="nil"/>
            </w:tcBorders>
            <w:shd w:val="clear" w:color="auto" w:fill="auto"/>
            <w:noWrap/>
            <w:vAlign w:val="center"/>
            <w:hideMark/>
          </w:tcPr>
          <w:p w14:paraId="22643732" w14:textId="31BC7B5B" w:rsidR="00B877EA" w:rsidRPr="0093156D" w:rsidRDefault="00B877EA" w:rsidP="00B877EA">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total</w:t>
            </w:r>
          </w:p>
        </w:tc>
        <w:tc>
          <w:tcPr>
            <w:tcW w:w="718" w:type="pct"/>
            <w:tcBorders>
              <w:top w:val="single" w:sz="4" w:space="0" w:color="auto"/>
              <w:left w:val="single" w:sz="4" w:space="0" w:color="auto"/>
              <w:bottom w:val="nil"/>
              <w:right w:val="nil"/>
            </w:tcBorders>
            <w:shd w:val="clear" w:color="auto" w:fill="auto"/>
            <w:noWrap/>
            <w:vAlign w:val="center"/>
            <w:hideMark/>
          </w:tcPr>
          <w:p w14:paraId="79A62CF0"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8,3</w:t>
            </w:r>
          </w:p>
        </w:tc>
        <w:tc>
          <w:tcPr>
            <w:tcW w:w="718" w:type="pct"/>
            <w:tcBorders>
              <w:top w:val="single" w:sz="4" w:space="0" w:color="auto"/>
              <w:left w:val="nil"/>
              <w:bottom w:val="nil"/>
              <w:right w:val="nil"/>
            </w:tcBorders>
            <w:shd w:val="clear" w:color="auto" w:fill="auto"/>
            <w:noWrap/>
            <w:vAlign w:val="center"/>
            <w:hideMark/>
          </w:tcPr>
          <w:p w14:paraId="7716E0BB"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7,3</w:t>
            </w:r>
          </w:p>
        </w:tc>
        <w:tc>
          <w:tcPr>
            <w:tcW w:w="718" w:type="pct"/>
            <w:tcBorders>
              <w:top w:val="single" w:sz="4" w:space="0" w:color="auto"/>
              <w:left w:val="nil"/>
              <w:bottom w:val="nil"/>
              <w:right w:val="nil"/>
            </w:tcBorders>
            <w:shd w:val="clear" w:color="auto" w:fill="auto"/>
            <w:noWrap/>
            <w:vAlign w:val="center"/>
            <w:hideMark/>
          </w:tcPr>
          <w:p w14:paraId="43B8555A"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6,9</w:t>
            </w:r>
          </w:p>
        </w:tc>
        <w:tc>
          <w:tcPr>
            <w:tcW w:w="718" w:type="pct"/>
            <w:tcBorders>
              <w:top w:val="single" w:sz="4" w:space="0" w:color="auto"/>
              <w:left w:val="nil"/>
              <w:bottom w:val="nil"/>
              <w:right w:val="nil"/>
            </w:tcBorders>
            <w:shd w:val="clear" w:color="auto" w:fill="auto"/>
            <w:noWrap/>
            <w:vAlign w:val="center"/>
            <w:hideMark/>
          </w:tcPr>
          <w:p w14:paraId="11AF3B6F"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9,3</w:t>
            </w:r>
          </w:p>
        </w:tc>
        <w:tc>
          <w:tcPr>
            <w:tcW w:w="718" w:type="pct"/>
            <w:tcBorders>
              <w:top w:val="single" w:sz="4" w:space="0" w:color="auto"/>
              <w:left w:val="nil"/>
              <w:bottom w:val="nil"/>
              <w:right w:val="single" w:sz="4" w:space="0" w:color="auto"/>
            </w:tcBorders>
            <w:shd w:val="clear" w:color="auto" w:fill="auto"/>
            <w:noWrap/>
            <w:vAlign w:val="bottom"/>
            <w:hideMark/>
          </w:tcPr>
          <w:p w14:paraId="0A87CDB8"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8,5</w:t>
            </w:r>
          </w:p>
        </w:tc>
      </w:tr>
      <w:tr w:rsidR="00B877EA" w:rsidRPr="0093156D" w14:paraId="36DB7ADD" w14:textId="77777777" w:rsidTr="00B877EA">
        <w:trPr>
          <w:trHeight w:val="300"/>
        </w:trPr>
        <w:tc>
          <w:tcPr>
            <w:tcW w:w="1411" w:type="pct"/>
            <w:tcBorders>
              <w:top w:val="nil"/>
              <w:left w:val="single" w:sz="4" w:space="0" w:color="auto"/>
              <w:bottom w:val="nil"/>
              <w:right w:val="nil"/>
            </w:tcBorders>
            <w:shd w:val="clear" w:color="auto" w:fill="auto"/>
            <w:noWrap/>
            <w:vAlign w:val="center"/>
            <w:hideMark/>
          </w:tcPr>
          <w:p w14:paraId="6F67A3D1" w14:textId="77777777" w:rsidR="00B877EA" w:rsidRPr="0093156D" w:rsidRDefault="00B877EA" w:rsidP="00B877EA">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male</w:t>
            </w:r>
          </w:p>
        </w:tc>
        <w:tc>
          <w:tcPr>
            <w:tcW w:w="718" w:type="pct"/>
            <w:tcBorders>
              <w:top w:val="nil"/>
              <w:left w:val="single" w:sz="4" w:space="0" w:color="auto"/>
              <w:bottom w:val="nil"/>
              <w:right w:val="nil"/>
            </w:tcBorders>
            <w:shd w:val="clear" w:color="auto" w:fill="auto"/>
            <w:noWrap/>
            <w:vAlign w:val="center"/>
            <w:hideMark/>
          </w:tcPr>
          <w:p w14:paraId="760483BB"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10,6</w:t>
            </w:r>
          </w:p>
        </w:tc>
        <w:tc>
          <w:tcPr>
            <w:tcW w:w="718" w:type="pct"/>
            <w:tcBorders>
              <w:top w:val="nil"/>
              <w:left w:val="nil"/>
              <w:bottom w:val="nil"/>
              <w:right w:val="nil"/>
            </w:tcBorders>
            <w:shd w:val="clear" w:color="auto" w:fill="auto"/>
            <w:noWrap/>
            <w:vAlign w:val="center"/>
            <w:hideMark/>
          </w:tcPr>
          <w:p w14:paraId="263E920C"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8,9</w:t>
            </w:r>
          </w:p>
        </w:tc>
        <w:tc>
          <w:tcPr>
            <w:tcW w:w="718" w:type="pct"/>
            <w:tcBorders>
              <w:top w:val="nil"/>
              <w:left w:val="nil"/>
              <w:bottom w:val="nil"/>
              <w:right w:val="nil"/>
            </w:tcBorders>
            <w:shd w:val="clear" w:color="auto" w:fill="auto"/>
            <w:noWrap/>
            <w:vAlign w:val="center"/>
            <w:hideMark/>
          </w:tcPr>
          <w:p w14:paraId="4975AC9A"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7,8</w:t>
            </w:r>
          </w:p>
        </w:tc>
        <w:tc>
          <w:tcPr>
            <w:tcW w:w="718" w:type="pct"/>
            <w:tcBorders>
              <w:top w:val="nil"/>
              <w:left w:val="nil"/>
              <w:bottom w:val="nil"/>
              <w:right w:val="nil"/>
            </w:tcBorders>
            <w:shd w:val="clear" w:color="auto" w:fill="auto"/>
            <w:noWrap/>
            <w:vAlign w:val="center"/>
            <w:hideMark/>
          </w:tcPr>
          <w:p w14:paraId="426B6C68"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10,8</w:t>
            </w:r>
          </w:p>
        </w:tc>
        <w:tc>
          <w:tcPr>
            <w:tcW w:w="718" w:type="pct"/>
            <w:tcBorders>
              <w:top w:val="nil"/>
              <w:left w:val="nil"/>
              <w:bottom w:val="nil"/>
              <w:right w:val="single" w:sz="4" w:space="0" w:color="auto"/>
            </w:tcBorders>
            <w:shd w:val="clear" w:color="auto" w:fill="auto"/>
            <w:noWrap/>
            <w:vAlign w:val="bottom"/>
            <w:hideMark/>
          </w:tcPr>
          <w:p w14:paraId="2E2AB12B"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9,6</w:t>
            </w:r>
          </w:p>
        </w:tc>
      </w:tr>
      <w:tr w:rsidR="00B877EA" w:rsidRPr="0093156D" w14:paraId="711C98A9" w14:textId="77777777" w:rsidTr="00B877EA">
        <w:trPr>
          <w:trHeight w:val="300"/>
        </w:trPr>
        <w:tc>
          <w:tcPr>
            <w:tcW w:w="1411" w:type="pct"/>
            <w:tcBorders>
              <w:top w:val="nil"/>
              <w:left w:val="single" w:sz="4" w:space="0" w:color="auto"/>
              <w:bottom w:val="single" w:sz="4" w:space="0" w:color="auto"/>
              <w:right w:val="nil"/>
            </w:tcBorders>
            <w:shd w:val="clear" w:color="auto" w:fill="auto"/>
            <w:noWrap/>
            <w:vAlign w:val="center"/>
            <w:hideMark/>
          </w:tcPr>
          <w:p w14:paraId="1D054BA0" w14:textId="0144F43C" w:rsidR="00B877EA" w:rsidRPr="0093156D" w:rsidRDefault="00B877EA" w:rsidP="00B877EA">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female</w:t>
            </w:r>
          </w:p>
        </w:tc>
        <w:tc>
          <w:tcPr>
            <w:tcW w:w="718" w:type="pct"/>
            <w:tcBorders>
              <w:top w:val="nil"/>
              <w:left w:val="single" w:sz="4" w:space="0" w:color="auto"/>
              <w:bottom w:val="single" w:sz="4" w:space="0" w:color="auto"/>
              <w:right w:val="nil"/>
            </w:tcBorders>
            <w:shd w:val="clear" w:color="auto" w:fill="auto"/>
            <w:noWrap/>
            <w:vAlign w:val="center"/>
            <w:hideMark/>
          </w:tcPr>
          <w:p w14:paraId="6F32FCB5"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5,4</w:t>
            </w:r>
          </w:p>
        </w:tc>
        <w:tc>
          <w:tcPr>
            <w:tcW w:w="718" w:type="pct"/>
            <w:tcBorders>
              <w:top w:val="nil"/>
              <w:left w:val="nil"/>
              <w:bottom w:val="single" w:sz="4" w:space="0" w:color="auto"/>
              <w:right w:val="nil"/>
            </w:tcBorders>
            <w:shd w:val="clear" w:color="auto" w:fill="auto"/>
            <w:noWrap/>
            <w:vAlign w:val="center"/>
            <w:hideMark/>
          </w:tcPr>
          <w:p w14:paraId="1215A5D1"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5,2</w:t>
            </w:r>
          </w:p>
        </w:tc>
        <w:tc>
          <w:tcPr>
            <w:tcW w:w="718" w:type="pct"/>
            <w:tcBorders>
              <w:top w:val="nil"/>
              <w:left w:val="nil"/>
              <w:bottom w:val="single" w:sz="4" w:space="0" w:color="auto"/>
              <w:right w:val="nil"/>
            </w:tcBorders>
            <w:shd w:val="clear" w:color="auto" w:fill="auto"/>
            <w:noWrap/>
            <w:vAlign w:val="center"/>
            <w:hideMark/>
          </w:tcPr>
          <w:p w14:paraId="6386F25B"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5,6</w:t>
            </w:r>
          </w:p>
        </w:tc>
        <w:tc>
          <w:tcPr>
            <w:tcW w:w="718" w:type="pct"/>
            <w:tcBorders>
              <w:top w:val="nil"/>
              <w:left w:val="nil"/>
              <w:bottom w:val="single" w:sz="4" w:space="0" w:color="auto"/>
              <w:right w:val="nil"/>
            </w:tcBorders>
            <w:shd w:val="clear" w:color="auto" w:fill="auto"/>
            <w:noWrap/>
            <w:vAlign w:val="center"/>
            <w:hideMark/>
          </w:tcPr>
          <w:p w14:paraId="4B0C6613"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7,1</w:t>
            </w:r>
          </w:p>
        </w:tc>
        <w:tc>
          <w:tcPr>
            <w:tcW w:w="718" w:type="pct"/>
            <w:tcBorders>
              <w:top w:val="nil"/>
              <w:left w:val="nil"/>
              <w:bottom w:val="single" w:sz="4" w:space="0" w:color="auto"/>
              <w:right w:val="single" w:sz="4" w:space="0" w:color="auto"/>
            </w:tcBorders>
            <w:shd w:val="clear" w:color="auto" w:fill="auto"/>
            <w:noWrap/>
            <w:vAlign w:val="bottom"/>
            <w:hideMark/>
          </w:tcPr>
          <w:p w14:paraId="35B4B8A6"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7,0</w:t>
            </w:r>
          </w:p>
        </w:tc>
      </w:tr>
    </w:tbl>
    <w:p w14:paraId="71197BDC" w14:textId="6CDB5BCD" w:rsidR="00AC7F97" w:rsidRPr="0093156D" w:rsidRDefault="00AC7F97" w:rsidP="00AC7F97">
      <w:pPr>
        <w:rPr>
          <w:sz w:val="18"/>
        </w:rPr>
      </w:pPr>
      <w:r w:rsidRPr="0093156D">
        <w:rPr>
          <w:sz w:val="18"/>
        </w:rPr>
        <w:t>Note: Occupational classification: ISCO 88</w:t>
      </w:r>
      <w:r w:rsidRPr="0093156D">
        <w:rPr>
          <w:rFonts w:eastAsia="Times New Roman"/>
          <w:sz w:val="18"/>
          <w:lang w:eastAsia="de-DE"/>
        </w:rPr>
        <w:t xml:space="preserve">; </w:t>
      </w:r>
      <w:r w:rsidRPr="0093156D">
        <w:rPr>
          <w:sz w:val="18"/>
        </w:rPr>
        <w:t xml:space="preserve">Compare </w:t>
      </w:r>
      <w:hyperlink r:id="rId37" w:history="1">
        <w:r w:rsidRPr="0093156D">
          <w:rPr>
            <w:rStyle w:val="Hyperlink"/>
            <w:rFonts w:asciiTheme="minorHAnsi" w:hAnsiTheme="minorHAnsi"/>
            <w:szCs w:val="22"/>
          </w:rPr>
          <w:t>http://www.oecd-ilibrary.org/education/education-at-a-glance-2010/education-and-occupational-mismatches-for-young-individuals-2003-2007_eag-2010-table175-en</w:t>
        </w:r>
      </w:hyperlink>
      <w:r w:rsidRPr="0093156D">
        <w:rPr>
          <w:rFonts w:eastAsia="Times New Roman"/>
          <w:sz w:val="18"/>
          <w:lang w:eastAsia="de-DE"/>
        </w:rPr>
        <w:br/>
      </w:r>
      <w:r w:rsidRPr="0093156D">
        <w:rPr>
          <w:sz w:val="18"/>
        </w:rPr>
        <w:t>Source:</w:t>
      </w:r>
      <w:r w:rsidR="00FE7A74">
        <w:rPr>
          <w:sz w:val="18"/>
        </w:rPr>
        <w:t xml:space="preserve"> </w:t>
      </w:r>
      <w:r w:rsidR="00DB2B4E">
        <w:rPr>
          <w:sz w:val="18"/>
        </w:rPr>
        <w:t xml:space="preserve">Own calculations using </w:t>
      </w:r>
      <w:r w:rsidR="00FE7A74">
        <w:rPr>
          <w:sz w:val="18"/>
        </w:rPr>
        <w:t xml:space="preserve">LFS </w:t>
      </w:r>
      <w:r w:rsidR="00DB2B4E">
        <w:rPr>
          <w:sz w:val="18"/>
        </w:rPr>
        <w:t>2012-2016</w:t>
      </w:r>
    </w:p>
    <w:p w14:paraId="7586FCD7" w14:textId="4C66C191" w:rsidR="0033474A" w:rsidRPr="0093156D" w:rsidRDefault="0033474A" w:rsidP="0033474A">
      <w:pPr>
        <w:pStyle w:val="Caption"/>
        <w:keepNext/>
        <w:spacing w:after="0"/>
        <w:ind w:left="1410" w:hanging="1410"/>
        <w:rPr>
          <w:b/>
          <w:i w:val="0"/>
          <w:color w:val="auto"/>
          <w:sz w:val="22"/>
          <w:szCs w:val="22"/>
          <w:lang w:val="en-GB"/>
        </w:rPr>
      </w:pPr>
      <w:bookmarkStart w:id="26" w:name="_Toc497904303"/>
      <w:r w:rsidRPr="0093156D">
        <w:rPr>
          <w:b/>
          <w:i w:val="0"/>
          <w:color w:val="auto"/>
          <w:sz w:val="22"/>
          <w:szCs w:val="22"/>
          <w:lang w:val="en-GB"/>
        </w:rPr>
        <w:t xml:space="preserve">Table </w:t>
      </w:r>
      <w:r w:rsidRPr="0093156D">
        <w:rPr>
          <w:lang w:val="en-GB"/>
        </w:rPr>
        <w:fldChar w:fldCharType="begin"/>
      </w:r>
      <w:r w:rsidRPr="0093156D">
        <w:rPr>
          <w:b/>
          <w:i w:val="0"/>
          <w:color w:val="auto"/>
          <w:sz w:val="22"/>
          <w:szCs w:val="22"/>
          <w:lang w:val="en-GB"/>
        </w:rPr>
        <w:instrText xml:space="preserve"> SEQ Table \* ARABIC </w:instrText>
      </w:r>
      <w:r w:rsidRPr="0093156D">
        <w:rPr>
          <w:lang w:val="en-GB"/>
        </w:rPr>
        <w:fldChar w:fldCharType="separate"/>
      </w:r>
      <w:r w:rsidR="00C50D04">
        <w:rPr>
          <w:b/>
          <w:i w:val="0"/>
          <w:noProof/>
          <w:color w:val="auto"/>
          <w:sz w:val="22"/>
          <w:szCs w:val="22"/>
          <w:lang w:val="en-GB"/>
        </w:rPr>
        <w:t>3</w:t>
      </w:r>
      <w:r w:rsidRPr="0093156D">
        <w:rPr>
          <w:lang w:val="en-GB"/>
        </w:rPr>
        <w:fldChar w:fldCharType="end"/>
      </w:r>
      <w:r w:rsidRPr="0093156D">
        <w:rPr>
          <w:b/>
          <w:i w:val="0"/>
          <w:color w:val="auto"/>
          <w:sz w:val="22"/>
          <w:szCs w:val="22"/>
          <w:lang w:val="en-GB"/>
        </w:rPr>
        <w:tab/>
        <w:t>Occupational mismatch in Georgia: Persons not in education, higher level, 2012-2016</w:t>
      </w:r>
      <w:bookmarkEnd w:id="26"/>
    </w:p>
    <w:tbl>
      <w:tblPr>
        <w:tblW w:w="5000" w:type="pct"/>
        <w:tblCellMar>
          <w:left w:w="70" w:type="dxa"/>
          <w:right w:w="70" w:type="dxa"/>
        </w:tblCellMar>
        <w:tblLook w:val="04A0" w:firstRow="1" w:lastRow="0" w:firstColumn="1" w:lastColumn="0" w:noHBand="0" w:noVBand="1"/>
      </w:tblPr>
      <w:tblGrid>
        <w:gridCol w:w="2558"/>
        <w:gridCol w:w="1301"/>
        <w:gridCol w:w="1301"/>
        <w:gridCol w:w="1301"/>
        <w:gridCol w:w="1301"/>
        <w:gridCol w:w="1299"/>
      </w:tblGrid>
      <w:tr w:rsidR="00B877EA" w:rsidRPr="0093156D" w14:paraId="4688C43B" w14:textId="77777777" w:rsidTr="00B877EA">
        <w:trPr>
          <w:trHeight w:val="300"/>
        </w:trPr>
        <w:tc>
          <w:tcPr>
            <w:tcW w:w="1411" w:type="pct"/>
            <w:vMerge w:val="restart"/>
            <w:tcBorders>
              <w:top w:val="single" w:sz="4" w:space="0" w:color="auto"/>
              <w:left w:val="single" w:sz="4" w:space="0" w:color="auto"/>
              <w:bottom w:val="nil"/>
              <w:right w:val="nil"/>
            </w:tcBorders>
            <w:shd w:val="clear" w:color="auto" w:fill="auto"/>
            <w:noWrap/>
            <w:vAlign w:val="center"/>
            <w:hideMark/>
          </w:tcPr>
          <w:p w14:paraId="569EC415"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Gender</w:t>
            </w:r>
          </w:p>
        </w:tc>
        <w:tc>
          <w:tcPr>
            <w:tcW w:w="3589" w:type="pct"/>
            <w:gridSpan w:val="5"/>
            <w:tcBorders>
              <w:top w:val="single" w:sz="4" w:space="0" w:color="auto"/>
              <w:left w:val="single" w:sz="4" w:space="0" w:color="auto"/>
              <w:bottom w:val="nil"/>
              <w:right w:val="single" w:sz="4" w:space="0" w:color="000000"/>
            </w:tcBorders>
            <w:shd w:val="clear" w:color="auto" w:fill="auto"/>
            <w:noWrap/>
            <w:vAlign w:val="bottom"/>
            <w:hideMark/>
          </w:tcPr>
          <w:p w14:paraId="23D53CC3"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Georgia</w:t>
            </w:r>
          </w:p>
        </w:tc>
      </w:tr>
      <w:tr w:rsidR="00B877EA" w:rsidRPr="0093156D" w14:paraId="4A00ED6C" w14:textId="77777777" w:rsidTr="00B877EA">
        <w:trPr>
          <w:trHeight w:val="435"/>
        </w:trPr>
        <w:tc>
          <w:tcPr>
            <w:tcW w:w="1411" w:type="pct"/>
            <w:vMerge/>
            <w:tcBorders>
              <w:top w:val="single" w:sz="4" w:space="0" w:color="auto"/>
              <w:left w:val="single" w:sz="4" w:space="0" w:color="auto"/>
              <w:bottom w:val="nil"/>
              <w:right w:val="nil"/>
            </w:tcBorders>
            <w:vAlign w:val="center"/>
            <w:hideMark/>
          </w:tcPr>
          <w:p w14:paraId="07DCD88A" w14:textId="77777777" w:rsidR="00B877EA" w:rsidRPr="0093156D" w:rsidRDefault="00B877EA" w:rsidP="00B877EA">
            <w:pPr>
              <w:spacing w:after="0"/>
              <w:rPr>
                <w:rFonts w:ascii="Calibri" w:eastAsia="Times New Roman" w:hAnsi="Calibri" w:cs="Times New Roman"/>
                <w:sz w:val="18"/>
                <w:szCs w:val="18"/>
                <w:lang w:eastAsia="de-DE"/>
              </w:rPr>
            </w:pPr>
          </w:p>
        </w:tc>
        <w:tc>
          <w:tcPr>
            <w:tcW w:w="3589" w:type="pct"/>
            <w:gridSpan w:val="5"/>
            <w:tcBorders>
              <w:top w:val="nil"/>
              <w:left w:val="single" w:sz="4" w:space="0" w:color="auto"/>
              <w:bottom w:val="nil"/>
              <w:right w:val="single" w:sz="4" w:space="0" w:color="000000"/>
            </w:tcBorders>
            <w:shd w:val="clear" w:color="auto" w:fill="auto"/>
            <w:vAlign w:val="center"/>
            <w:hideMark/>
          </w:tcPr>
          <w:p w14:paraId="3E6BD616"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Persons with tertiary education working in semi-skilled occupations, age 15-64</w:t>
            </w:r>
          </w:p>
        </w:tc>
      </w:tr>
      <w:tr w:rsidR="00B877EA" w:rsidRPr="0093156D" w14:paraId="64E730B6" w14:textId="77777777" w:rsidTr="00B877EA">
        <w:trPr>
          <w:trHeight w:val="300"/>
        </w:trPr>
        <w:tc>
          <w:tcPr>
            <w:tcW w:w="1411" w:type="pct"/>
            <w:vMerge/>
            <w:tcBorders>
              <w:top w:val="single" w:sz="4" w:space="0" w:color="auto"/>
              <w:left w:val="single" w:sz="4" w:space="0" w:color="auto"/>
              <w:bottom w:val="nil"/>
              <w:right w:val="nil"/>
            </w:tcBorders>
            <w:vAlign w:val="center"/>
            <w:hideMark/>
          </w:tcPr>
          <w:p w14:paraId="20A12380" w14:textId="77777777" w:rsidR="00B877EA" w:rsidRPr="0093156D" w:rsidRDefault="00B877EA" w:rsidP="00B877EA">
            <w:pPr>
              <w:spacing w:after="0"/>
              <w:rPr>
                <w:rFonts w:ascii="Calibri" w:eastAsia="Times New Roman" w:hAnsi="Calibri" w:cs="Times New Roman"/>
                <w:sz w:val="18"/>
                <w:szCs w:val="18"/>
                <w:lang w:eastAsia="de-DE"/>
              </w:rPr>
            </w:pPr>
          </w:p>
        </w:tc>
        <w:tc>
          <w:tcPr>
            <w:tcW w:w="3589" w:type="pct"/>
            <w:gridSpan w:val="5"/>
            <w:tcBorders>
              <w:top w:val="nil"/>
              <w:left w:val="single" w:sz="4" w:space="0" w:color="auto"/>
              <w:bottom w:val="nil"/>
              <w:right w:val="single" w:sz="4" w:space="0" w:color="000000"/>
            </w:tcBorders>
            <w:shd w:val="clear" w:color="auto" w:fill="auto"/>
            <w:noWrap/>
            <w:vAlign w:val="center"/>
            <w:hideMark/>
          </w:tcPr>
          <w:p w14:paraId="60DBA21E"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 on all persons with tertiary education (15-64)</w:t>
            </w:r>
          </w:p>
        </w:tc>
      </w:tr>
      <w:tr w:rsidR="00B877EA" w:rsidRPr="0093156D" w14:paraId="32686CFD" w14:textId="77777777" w:rsidTr="00B877EA">
        <w:trPr>
          <w:trHeight w:val="300"/>
        </w:trPr>
        <w:tc>
          <w:tcPr>
            <w:tcW w:w="1411" w:type="pct"/>
            <w:vMerge/>
            <w:tcBorders>
              <w:top w:val="single" w:sz="4" w:space="0" w:color="auto"/>
              <w:left w:val="single" w:sz="4" w:space="0" w:color="auto"/>
              <w:bottom w:val="nil"/>
              <w:right w:val="nil"/>
            </w:tcBorders>
            <w:vAlign w:val="center"/>
            <w:hideMark/>
          </w:tcPr>
          <w:p w14:paraId="1444B1D4" w14:textId="77777777" w:rsidR="00B877EA" w:rsidRPr="0093156D" w:rsidRDefault="00B877EA" w:rsidP="00B877EA">
            <w:pPr>
              <w:spacing w:after="0"/>
              <w:rPr>
                <w:rFonts w:ascii="Calibri" w:eastAsia="Times New Roman" w:hAnsi="Calibri" w:cs="Times New Roman"/>
                <w:sz w:val="18"/>
                <w:szCs w:val="18"/>
                <w:lang w:eastAsia="de-DE"/>
              </w:rPr>
            </w:pPr>
          </w:p>
        </w:tc>
        <w:tc>
          <w:tcPr>
            <w:tcW w:w="718" w:type="pct"/>
            <w:tcBorders>
              <w:top w:val="nil"/>
              <w:left w:val="single" w:sz="4" w:space="0" w:color="auto"/>
              <w:bottom w:val="nil"/>
              <w:right w:val="nil"/>
            </w:tcBorders>
            <w:shd w:val="clear" w:color="auto" w:fill="auto"/>
            <w:noWrap/>
            <w:vAlign w:val="center"/>
            <w:hideMark/>
          </w:tcPr>
          <w:p w14:paraId="2A66C139"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2012</w:t>
            </w:r>
          </w:p>
        </w:tc>
        <w:tc>
          <w:tcPr>
            <w:tcW w:w="718" w:type="pct"/>
            <w:tcBorders>
              <w:top w:val="nil"/>
              <w:left w:val="nil"/>
              <w:bottom w:val="nil"/>
              <w:right w:val="nil"/>
            </w:tcBorders>
            <w:shd w:val="clear" w:color="auto" w:fill="auto"/>
            <w:noWrap/>
            <w:vAlign w:val="center"/>
            <w:hideMark/>
          </w:tcPr>
          <w:p w14:paraId="430F6BD1"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2013</w:t>
            </w:r>
          </w:p>
        </w:tc>
        <w:tc>
          <w:tcPr>
            <w:tcW w:w="718" w:type="pct"/>
            <w:tcBorders>
              <w:top w:val="nil"/>
              <w:left w:val="nil"/>
              <w:bottom w:val="nil"/>
              <w:right w:val="nil"/>
            </w:tcBorders>
            <w:shd w:val="clear" w:color="auto" w:fill="auto"/>
            <w:noWrap/>
            <w:vAlign w:val="center"/>
            <w:hideMark/>
          </w:tcPr>
          <w:p w14:paraId="41A80F09"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2014</w:t>
            </w:r>
          </w:p>
        </w:tc>
        <w:tc>
          <w:tcPr>
            <w:tcW w:w="718" w:type="pct"/>
            <w:tcBorders>
              <w:top w:val="nil"/>
              <w:left w:val="nil"/>
              <w:bottom w:val="nil"/>
              <w:right w:val="nil"/>
            </w:tcBorders>
            <w:shd w:val="clear" w:color="auto" w:fill="auto"/>
            <w:noWrap/>
            <w:vAlign w:val="center"/>
            <w:hideMark/>
          </w:tcPr>
          <w:p w14:paraId="6755AB80"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2015</w:t>
            </w:r>
          </w:p>
        </w:tc>
        <w:tc>
          <w:tcPr>
            <w:tcW w:w="718" w:type="pct"/>
            <w:tcBorders>
              <w:top w:val="nil"/>
              <w:left w:val="nil"/>
              <w:bottom w:val="nil"/>
              <w:right w:val="single" w:sz="4" w:space="0" w:color="auto"/>
            </w:tcBorders>
            <w:shd w:val="clear" w:color="auto" w:fill="auto"/>
            <w:noWrap/>
            <w:vAlign w:val="center"/>
            <w:hideMark/>
          </w:tcPr>
          <w:p w14:paraId="5CA14888" w14:textId="77777777" w:rsidR="00B877EA" w:rsidRPr="0093156D" w:rsidRDefault="00B877EA" w:rsidP="00B877EA">
            <w:pPr>
              <w:spacing w:after="0"/>
              <w:jc w:val="center"/>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2016</w:t>
            </w:r>
          </w:p>
        </w:tc>
      </w:tr>
      <w:tr w:rsidR="00B877EA" w:rsidRPr="0093156D" w14:paraId="0E3769F3" w14:textId="77777777" w:rsidTr="00B877EA">
        <w:trPr>
          <w:trHeight w:val="300"/>
        </w:trPr>
        <w:tc>
          <w:tcPr>
            <w:tcW w:w="1411" w:type="pct"/>
            <w:tcBorders>
              <w:top w:val="single" w:sz="4" w:space="0" w:color="auto"/>
              <w:left w:val="single" w:sz="4" w:space="0" w:color="auto"/>
              <w:bottom w:val="nil"/>
              <w:right w:val="nil"/>
            </w:tcBorders>
            <w:shd w:val="clear" w:color="auto" w:fill="auto"/>
            <w:noWrap/>
            <w:vAlign w:val="center"/>
            <w:hideMark/>
          </w:tcPr>
          <w:p w14:paraId="6B29E8BE" w14:textId="77777777" w:rsidR="00B877EA" w:rsidRPr="0093156D" w:rsidRDefault="00B877EA" w:rsidP="00B877EA">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total</w:t>
            </w:r>
          </w:p>
        </w:tc>
        <w:tc>
          <w:tcPr>
            <w:tcW w:w="718" w:type="pct"/>
            <w:tcBorders>
              <w:top w:val="single" w:sz="4" w:space="0" w:color="auto"/>
              <w:left w:val="single" w:sz="4" w:space="0" w:color="auto"/>
              <w:bottom w:val="nil"/>
              <w:right w:val="nil"/>
            </w:tcBorders>
            <w:shd w:val="clear" w:color="auto" w:fill="auto"/>
            <w:noWrap/>
            <w:vAlign w:val="center"/>
            <w:hideMark/>
          </w:tcPr>
          <w:p w14:paraId="41D2C220"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38,2</w:t>
            </w:r>
          </w:p>
        </w:tc>
        <w:tc>
          <w:tcPr>
            <w:tcW w:w="718" w:type="pct"/>
            <w:tcBorders>
              <w:top w:val="single" w:sz="4" w:space="0" w:color="auto"/>
              <w:left w:val="nil"/>
              <w:bottom w:val="nil"/>
              <w:right w:val="nil"/>
            </w:tcBorders>
            <w:shd w:val="clear" w:color="auto" w:fill="auto"/>
            <w:noWrap/>
            <w:vAlign w:val="center"/>
            <w:hideMark/>
          </w:tcPr>
          <w:p w14:paraId="4D6E1E44"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37,3</w:t>
            </w:r>
          </w:p>
        </w:tc>
        <w:tc>
          <w:tcPr>
            <w:tcW w:w="718" w:type="pct"/>
            <w:tcBorders>
              <w:top w:val="single" w:sz="4" w:space="0" w:color="auto"/>
              <w:left w:val="nil"/>
              <w:bottom w:val="nil"/>
              <w:right w:val="nil"/>
            </w:tcBorders>
            <w:shd w:val="clear" w:color="auto" w:fill="auto"/>
            <w:noWrap/>
            <w:vAlign w:val="center"/>
            <w:hideMark/>
          </w:tcPr>
          <w:p w14:paraId="148BEBF9"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35,6</w:t>
            </w:r>
          </w:p>
        </w:tc>
        <w:tc>
          <w:tcPr>
            <w:tcW w:w="718" w:type="pct"/>
            <w:tcBorders>
              <w:top w:val="single" w:sz="4" w:space="0" w:color="auto"/>
              <w:left w:val="nil"/>
              <w:bottom w:val="nil"/>
              <w:right w:val="nil"/>
            </w:tcBorders>
            <w:shd w:val="clear" w:color="auto" w:fill="auto"/>
            <w:noWrap/>
            <w:vAlign w:val="center"/>
            <w:hideMark/>
          </w:tcPr>
          <w:p w14:paraId="56E87E0E"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36,5</w:t>
            </w:r>
          </w:p>
        </w:tc>
        <w:tc>
          <w:tcPr>
            <w:tcW w:w="718" w:type="pct"/>
            <w:tcBorders>
              <w:top w:val="single" w:sz="4" w:space="0" w:color="auto"/>
              <w:left w:val="nil"/>
              <w:bottom w:val="nil"/>
              <w:right w:val="single" w:sz="4" w:space="0" w:color="auto"/>
            </w:tcBorders>
            <w:shd w:val="clear" w:color="auto" w:fill="auto"/>
            <w:noWrap/>
            <w:vAlign w:val="bottom"/>
            <w:hideMark/>
          </w:tcPr>
          <w:p w14:paraId="3038CDAE"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38,2</w:t>
            </w:r>
          </w:p>
        </w:tc>
      </w:tr>
      <w:tr w:rsidR="00B877EA" w:rsidRPr="0093156D" w14:paraId="7E4986D7" w14:textId="77777777" w:rsidTr="00B877EA">
        <w:trPr>
          <w:trHeight w:val="300"/>
        </w:trPr>
        <w:tc>
          <w:tcPr>
            <w:tcW w:w="1411" w:type="pct"/>
            <w:tcBorders>
              <w:top w:val="nil"/>
              <w:left w:val="single" w:sz="4" w:space="0" w:color="auto"/>
              <w:bottom w:val="nil"/>
              <w:right w:val="nil"/>
            </w:tcBorders>
            <w:shd w:val="clear" w:color="auto" w:fill="auto"/>
            <w:noWrap/>
            <w:vAlign w:val="center"/>
            <w:hideMark/>
          </w:tcPr>
          <w:p w14:paraId="7EE84BAB" w14:textId="77777777" w:rsidR="00B877EA" w:rsidRPr="0093156D" w:rsidRDefault="00B877EA" w:rsidP="00B877EA">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male</w:t>
            </w:r>
          </w:p>
        </w:tc>
        <w:tc>
          <w:tcPr>
            <w:tcW w:w="718" w:type="pct"/>
            <w:tcBorders>
              <w:top w:val="nil"/>
              <w:left w:val="single" w:sz="4" w:space="0" w:color="auto"/>
              <w:bottom w:val="nil"/>
              <w:right w:val="nil"/>
            </w:tcBorders>
            <w:shd w:val="clear" w:color="auto" w:fill="auto"/>
            <w:noWrap/>
            <w:vAlign w:val="center"/>
            <w:hideMark/>
          </w:tcPr>
          <w:p w14:paraId="30ABC866"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44,8</w:t>
            </w:r>
          </w:p>
        </w:tc>
        <w:tc>
          <w:tcPr>
            <w:tcW w:w="718" w:type="pct"/>
            <w:tcBorders>
              <w:top w:val="nil"/>
              <w:left w:val="nil"/>
              <w:bottom w:val="nil"/>
              <w:right w:val="nil"/>
            </w:tcBorders>
            <w:shd w:val="clear" w:color="auto" w:fill="auto"/>
            <w:noWrap/>
            <w:vAlign w:val="center"/>
            <w:hideMark/>
          </w:tcPr>
          <w:p w14:paraId="4933AC79"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46,8</w:t>
            </w:r>
          </w:p>
        </w:tc>
        <w:tc>
          <w:tcPr>
            <w:tcW w:w="718" w:type="pct"/>
            <w:tcBorders>
              <w:top w:val="nil"/>
              <w:left w:val="nil"/>
              <w:bottom w:val="nil"/>
              <w:right w:val="nil"/>
            </w:tcBorders>
            <w:shd w:val="clear" w:color="auto" w:fill="auto"/>
            <w:noWrap/>
            <w:vAlign w:val="center"/>
            <w:hideMark/>
          </w:tcPr>
          <w:p w14:paraId="5E6C795E"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44,8</w:t>
            </w:r>
          </w:p>
        </w:tc>
        <w:tc>
          <w:tcPr>
            <w:tcW w:w="718" w:type="pct"/>
            <w:tcBorders>
              <w:top w:val="nil"/>
              <w:left w:val="nil"/>
              <w:bottom w:val="nil"/>
              <w:right w:val="nil"/>
            </w:tcBorders>
            <w:shd w:val="clear" w:color="auto" w:fill="auto"/>
            <w:noWrap/>
            <w:vAlign w:val="center"/>
            <w:hideMark/>
          </w:tcPr>
          <w:p w14:paraId="0278FC12"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43,9</w:t>
            </w:r>
          </w:p>
        </w:tc>
        <w:tc>
          <w:tcPr>
            <w:tcW w:w="718" w:type="pct"/>
            <w:tcBorders>
              <w:top w:val="nil"/>
              <w:left w:val="nil"/>
              <w:bottom w:val="nil"/>
              <w:right w:val="single" w:sz="4" w:space="0" w:color="auto"/>
            </w:tcBorders>
            <w:shd w:val="clear" w:color="auto" w:fill="auto"/>
            <w:noWrap/>
            <w:vAlign w:val="bottom"/>
            <w:hideMark/>
          </w:tcPr>
          <w:p w14:paraId="766AE7BF"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48,7</w:t>
            </w:r>
          </w:p>
        </w:tc>
      </w:tr>
      <w:tr w:rsidR="00B877EA" w:rsidRPr="0093156D" w14:paraId="1B7610F7" w14:textId="77777777" w:rsidTr="00B877EA">
        <w:trPr>
          <w:trHeight w:val="300"/>
        </w:trPr>
        <w:tc>
          <w:tcPr>
            <w:tcW w:w="1411" w:type="pct"/>
            <w:tcBorders>
              <w:top w:val="nil"/>
              <w:left w:val="single" w:sz="4" w:space="0" w:color="auto"/>
              <w:bottom w:val="single" w:sz="4" w:space="0" w:color="auto"/>
              <w:right w:val="nil"/>
            </w:tcBorders>
            <w:shd w:val="clear" w:color="auto" w:fill="auto"/>
            <w:noWrap/>
            <w:vAlign w:val="center"/>
            <w:hideMark/>
          </w:tcPr>
          <w:p w14:paraId="65C6F1FF" w14:textId="77777777" w:rsidR="00B877EA" w:rsidRPr="0093156D" w:rsidRDefault="00B877EA" w:rsidP="00B877EA">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female</w:t>
            </w:r>
          </w:p>
        </w:tc>
        <w:tc>
          <w:tcPr>
            <w:tcW w:w="718" w:type="pct"/>
            <w:tcBorders>
              <w:top w:val="nil"/>
              <w:left w:val="single" w:sz="4" w:space="0" w:color="auto"/>
              <w:bottom w:val="single" w:sz="4" w:space="0" w:color="auto"/>
              <w:right w:val="nil"/>
            </w:tcBorders>
            <w:shd w:val="clear" w:color="auto" w:fill="auto"/>
            <w:noWrap/>
            <w:vAlign w:val="center"/>
            <w:hideMark/>
          </w:tcPr>
          <w:p w14:paraId="1C3EA246"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31,1</w:t>
            </w:r>
          </w:p>
        </w:tc>
        <w:tc>
          <w:tcPr>
            <w:tcW w:w="718" w:type="pct"/>
            <w:tcBorders>
              <w:top w:val="nil"/>
              <w:left w:val="nil"/>
              <w:bottom w:val="single" w:sz="4" w:space="0" w:color="auto"/>
              <w:right w:val="nil"/>
            </w:tcBorders>
            <w:shd w:val="clear" w:color="auto" w:fill="auto"/>
            <w:noWrap/>
            <w:vAlign w:val="center"/>
            <w:hideMark/>
          </w:tcPr>
          <w:p w14:paraId="29E41AB8"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27,6</w:t>
            </w:r>
          </w:p>
        </w:tc>
        <w:tc>
          <w:tcPr>
            <w:tcW w:w="718" w:type="pct"/>
            <w:tcBorders>
              <w:top w:val="nil"/>
              <w:left w:val="nil"/>
              <w:bottom w:val="single" w:sz="4" w:space="0" w:color="auto"/>
              <w:right w:val="nil"/>
            </w:tcBorders>
            <w:shd w:val="clear" w:color="auto" w:fill="auto"/>
            <w:noWrap/>
            <w:vAlign w:val="center"/>
            <w:hideMark/>
          </w:tcPr>
          <w:p w14:paraId="2EE1BCAB"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26,2</w:t>
            </w:r>
          </w:p>
        </w:tc>
        <w:tc>
          <w:tcPr>
            <w:tcW w:w="718" w:type="pct"/>
            <w:tcBorders>
              <w:top w:val="nil"/>
              <w:left w:val="nil"/>
              <w:bottom w:val="single" w:sz="4" w:space="0" w:color="auto"/>
              <w:right w:val="nil"/>
            </w:tcBorders>
            <w:shd w:val="clear" w:color="auto" w:fill="auto"/>
            <w:noWrap/>
            <w:vAlign w:val="center"/>
            <w:hideMark/>
          </w:tcPr>
          <w:p w14:paraId="250FABF6"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28,8</w:t>
            </w:r>
          </w:p>
        </w:tc>
        <w:tc>
          <w:tcPr>
            <w:tcW w:w="718" w:type="pct"/>
            <w:tcBorders>
              <w:top w:val="nil"/>
              <w:left w:val="nil"/>
              <w:bottom w:val="single" w:sz="4" w:space="0" w:color="auto"/>
              <w:right w:val="single" w:sz="4" w:space="0" w:color="auto"/>
            </w:tcBorders>
            <w:shd w:val="clear" w:color="auto" w:fill="auto"/>
            <w:noWrap/>
            <w:vAlign w:val="bottom"/>
            <w:hideMark/>
          </w:tcPr>
          <w:p w14:paraId="6544CCEA" w14:textId="77777777" w:rsidR="00B877EA" w:rsidRPr="0093156D" w:rsidRDefault="00B877EA" w:rsidP="00B877EA">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28,2</w:t>
            </w:r>
          </w:p>
        </w:tc>
      </w:tr>
    </w:tbl>
    <w:p w14:paraId="4417AEA9" w14:textId="7E118956" w:rsidR="00DB2B4E" w:rsidRPr="0093156D" w:rsidRDefault="00AC7F97" w:rsidP="00DB2B4E">
      <w:pPr>
        <w:rPr>
          <w:sz w:val="18"/>
        </w:rPr>
      </w:pPr>
      <w:r w:rsidRPr="0093156D">
        <w:rPr>
          <w:sz w:val="18"/>
        </w:rPr>
        <w:t>Note: Occupational classification: ISCO 88</w:t>
      </w:r>
      <w:r w:rsidRPr="0093156D">
        <w:rPr>
          <w:rFonts w:eastAsia="Times New Roman"/>
          <w:sz w:val="18"/>
          <w:lang w:eastAsia="de-DE"/>
        </w:rPr>
        <w:t xml:space="preserve">; </w:t>
      </w:r>
      <w:r w:rsidRPr="0093156D">
        <w:rPr>
          <w:sz w:val="18"/>
        </w:rPr>
        <w:t xml:space="preserve">Compare </w:t>
      </w:r>
      <w:hyperlink r:id="rId38" w:history="1">
        <w:r w:rsidRPr="0093156D">
          <w:rPr>
            <w:rStyle w:val="Hyperlink"/>
            <w:rFonts w:asciiTheme="minorHAnsi" w:hAnsiTheme="minorHAnsi"/>
            <w:szCs w:val="22"/>
          </w:rPr>
          <w:t>http://www.oecd-ilibrary.org/education/education-at-a-glance-2010/education-and-occupational-mismatches-for-young-individuals-2003-2007_eag-2010-table175-en</w:t>
        </w:r>
      </w:hyperlink>
      <w:r w:rsidRPr="0093156D">
        <w:rPr>
          <w:rFonts w:eastAsia="Times New Roman"/>
          <w:sz w:val="18"/>
          <w:lang w:eastAsia="de-DE"/>
        </w:rPr>
        <w:br/>
      </w:r>
      <w:r w:rsidR="00DB2B4E" w:rsidRPr="0093156D">
        <w:rPr>
          <w:sz w:val="18"/>
        </w:rPr>
        <w:t>Source:</w:t>
      </w:r>
      <w:r w:rsidR="00DB2B4E">
        <w:rPr>
          <w:sz w:val="18"/>
        </w:rPr>
        <w:t xml:space="preserve"> Own calculations using LFS 2012-2016 </w:t>
      </w:r>
    </w:p>
    <w:p w14:paraId="7D3714A7" w14:textId="77777777" w:rsidR="00004349" w:rsidRPr="00AC7F97" w:rsidRDefault="00004349" w:rsidP="00004349">
      <w:pPr>
        <w:pStyle w:val="Tablefirstcolumn"/>
        <w:pBdr>
          <w:top w:val="single" w:sz="4" w:space="1" w:color="auto"/>
          <w:left w:val="single" w:sz="4" w:space="4" w:color="auto"/>
          <w:bottom w:val="single" w:sz="4" w:space="1" w:color="auto"/>
          <w:right w:val="single" w:sz="4" w:space="4" w:color="auto"/>
        </w:pBdr>
        <w:shd w:val="clear" w:color="auto" w:fill="BFC0C1" w:themeFill="text2" w:themeFillTint="66"/>
        <w:jc w:val="both"/>
        <w:rPr>
          <w:b/>
          <w:sz w:val="20"/>
          <w:lang w:val="en-US"/>
        </w:rPr>
      </w:pPr>
      <w:r>
        <w:rPr>
          <w:b/>
          <w:sz w:val="20"/>
          <w:lang w:val="en-US"/>
        </w:rPr>
        <w:t xml:space="preserve">7. </w:t>
      </w:r>
      <w:r w:rsidRPr="00AC7F97">
        <w:rPr>
          <w:b/>
          <w:sz w:val="20"/>
          <w:lang w:val="en-US"/>
        </w:rPr>
        <w:t>Indicator of Skill Mismatch: O</w:t>
      </w:r>
      <w:r>
        <w:rPr>
          <w:b/>
          <w:sz w:val="20"/>
          <w:lang w:val="en-US"/>
        </w:rPr>
        <w:t>vereducation</w:t>
      </w:r>
    </w:p>
    <w:p w14:paraId="1646B60B" w14:textId="3ED16146" w:rsidR="00004349" w:rsidRDefault="00004349" w:rsidP="00004349">
      <w:pPr>
        <w:pBdr>
          <w:top w:val="single" w:sz="4" w:space="1" w:color="auto"/>
          <w:left w:val="single" w:sz="4" w:space="4" w:color="auto"/>
          <w:bottom w:val="single" w:sz="4" w:space="1" w:color="auto"/>
          <w:right w:val="single" w:sz="4" w:space="4" w:color="auto"/>
        </w:pBdr>
        <w:shd w:val="clear" w:color="auto" w:fill="BFC0C1" w:themeFill="text2" w:themeFillTint="66"/>
        <w:jc w:val="both"/>
      </w:pPr>
      <w:r w:rsidRPr="00AC7F97">
        <w:rPr>
          <w:szCs w:val="22"/>
        </w:rPr>
        <w:t>This method can be used in cases where data sets do not include specific questions on over-education or over-skilling; it is nevertheless quite a simplistic measurement and must be interpreted as a proxy. The empirical method is a purely statistical measure where the distribution of education is calculated for each occupation; over-education is defined as existing when the level of education is more than one standard deviation above the mean (Bauer, 2002) or above the mode (Mendes de Oliveira et al., 2000) for the education level for a given occupation. The educational mean and/or mode for each occupation is thus assumed to be a match for that occupation, but this may very well be a false assumption. In theory everybody employed in a given occupation could be mismatched.” (ETF 2012: 12)</w:t>
      </w:r>
      <w:r>
        <w:rPr>
          <w:szCs w:val="22"/>
        </w:rPr>
        <w:t xml:space="preserve"> </w:t>
      </w:r>
      <w:r w:rsidRPr="00AC7F97">
        <w:rPr>
          <w:szCs w:val="22"/>
        </w:rPr>
        <w:t>The distribution of education is calculated for each occupation; over-education is defined as existing when the level of education is more than one standard deviation above the mean</w:t>
      </w:r>
      <w:r>
        <w:rPr>
          <w:szCs w:val="22"/>
        </w:rPr>
        <w:t xml:space="preserve">. </w:t>
      </w:r>
      <w:r w:rsidRPr="00AC7F97">
        <w:rPr>
          <w:szCs w:val="22"/>
        </w:rPr>
        <w:t>Model calculation (level of education measured by national classification of education</w:t>
      </w:r>
      <w:r>
        <w:rPr>
          <w:szCs w:val="22"/>
        </w:rPr>
        <w:t>)</w:t>
      </w:r>
    </w:p>
    <w:p w14:paraId="26E2C7AD" w14:textId="0F3DBCF3" w:rsidR="00473880" w:rsidRPr="0093156D" w:rsidRDefault="00E84D9A" w:rsidP="00C25E11">
      <w:pPr>
        <w:spacing w:line="276" w:lineRule="auto"/>
        <w:jc w:val="both"/>
      </w:pPr>
      <w:r w:rsidRPr="0093156D">
        <w:t xml:space="preserve">Overqualification in Georgia is a direct consequence of overeducation. This </w:t>
      </w:r>
      <w:r w:rsidR="00473880" w:rsidRPr="0093156D">
        <w:t>follows from data</w:t>
      </w:r>
      <w:r w:rsidRPr="0093156D">
        <w:t xml:space="preserve"> presented </w:t>
      </w:r>
      <w:r w:rsidR="00473880" w:rsidRPr="0093156D">
        <w:t>in</w:t>
      </w:r>
      <w:r w:rsidRPr="0093156D">
        <w:t xml:space="preserve"> Table </w:t>
      </w:r>
      <w:r w:rsidR="00DF340E">
        <w:t>4</w:t>
      </w:r>
      <w:r w:rsidRPr="0093156D">
        <w:t xml:space="preserve"> </w:t>
      </w:r>
      <w:r w:rsidR="00473880" w:rsidRPr="0093156D">
        <w:t xml:space="preserve">providing the proportion of employed that is overeducated using the empirical method. The table shows </w:t>
      </w:r>
      <w:r w:rsidRPr="0093156D">
        <w:t xml:space="preserve">that highest incidence of overskilling in Georgia is observed among semi-skilled professions (clerks, service and sales workers, operators and technicians). This is because a large proportion of workers with tertiary education works in Georgia in occupations that do not require a tertiary degree and take less skilled jobs. Highly educated workers are compelled to take less skilled jobs as there are not enough jobs in Georgia requiring high skills. Some studies show that only one in two workers with a tertiary education works as a professional or a manager; the rest work in occupations that do not require a university diploma (ETF, 2015, p.21). </w:t>
      </w:r>
    </w:p>
    <w:p w14:paraId="1F04A745" w14:textId="77777777" w:rsidR="00D049F9" w:rsidRPr="0093156D" w:rsidRDefault="00D049F9" w:rsidP="00D049F9">
      <w:pPr>
        <w:spacing w:line="276" w:lineRule="auto"/>
        <w:jc w:val="both"/>
      </w:pPr>
      <w:bookmarkStart w:id="27" w:name="_Toc497904304"/>
      <w:bookmarkStart w:id="28" w:name="_Toc494972660"/>
      <w:r w:rsidRPr="0093156D">
        <w:t xml:space="preserve">At the same time the degree of undereducation in occupations following the empirical method, presented in Table </w:t>
      </w:r>
      <w:r>
        <w:t>5</w:t>
      </w:r>
      <w:r w:rsidRPr="0093156D">
        <w:t>, shows that undereducation also takes place among above mentioned occupations. Irrespective of methodological difficulties to identify over- and undereducation with the empirical method precisely enough, some reasonable economic explanation for these findings also might be given in the case of Georgia: due to a lack of VET institutions providing comprehensive teaching curricula for technicians and associate professionals, especially in specific industries, there might sometimes be a case of undereducation for some semi-skilled jobs’ positions including those of qualified clerks. The distinct feature of the Georgian labour market is the shortage of workers with technical skills: the labour market surveys conducted by GTZ have identified a number of industries demanding the occupations that are not provided by Georgian VET centres (see above).</w:t>
      </w:r>
    </w:p>
    <w:p w14:paraId="497FE4D3" w14:textId="1091BE50" w:rsidR="0033474A" w:rsidRPr="0093156D" w:rsidRDefault="0033474A" w:rsidP="0033474A">
      <w:pPr>
        <w:pStyle w:val="Caption"/>
        <w:keepNext/>
        <w:spacing w:after="0"/>
        <w:ind w:left="1410" w:hanging="1410"/>
        <w:rPr>
          <w:b/>
          <w:i w:val="0"/>
          <w:color w:val="auto"/>
          <w:sz w:val="22"/>
          <w:szCs w:val="22"/>
          <w:lang w:val="en-GB"/>
        </w:rPr>
      </w:pPr>
      <w:r w:rsidRPr="0093156D">
        <w:rPr>
          <w:b/>
          <w:i w:val="0"/>
          <w:color w:val="auto"/>
          <w:sz w:val="22"/>
          <w:szCs w:val="22"/>
          <w:lang w:val="en-GB"/>
        </w:rPr>
        <w:t xml:space="preserve">Table </w:t>
      </w:r>
      <w:r w:rsidRPr="0093156D">
        <w:rPr>
          <w:lang w:val="en-GB"/>
        </w:rPr>
        <w:fldChar w:fldCharType="begin"/>
      </w:r>
      <w:r w:rsidRPr="0093156D">
        <w:rPr>
          <w:b/>
          <w:i w:val="0"/>
          <w:color w:val="auto"/>
          <w:sz w:val="22"/>
          <w:szCs w:val="22"/>
          <w:lang w:val="en-GB"/>
        </w:rPr>
        <w:instrText xml:space="preserve"> SEQ Table \* ARABIC </w:instrText>
      </w:r>
      <w:r w:rsidRPr="0093156D">
        <w:rPr>
          <w:lang w:val="en-GB"/>
        </w:rPr>
        <w:fldChar w:fldCharType="separate"/>
      </w:r>
      <w:r w:rsidR="00C50D04">
        <w:rPr>
          <w:b/>
          <w:i w:val="0"/>
          <w:noProof/>
          <w:color w:val="auto"/>
          <w:sz w:val="22"/>
          <w:szCs w:val="22"/>
          <w:lang w:val="en-GB"/>
        </w:rPr>
        <w:t>4</w:t>
      </w:r>
      <w:r w:rsidRPr="0093156D">
        <w:rPr>
          <w:lang w:val="en-GB"/>
        </w:rPr>
        <w:fldChar w:fldCharType="end"/>
      </w:r>
      <w:r w:rsidRPr="0093156D">
        <w:rPr>
          <w:b/>
          <w:i w:val="0"/>
          <w:color w:val="auto"/>
          <w:sz w:val="22"/>
          <w:szCs w:val="22"/>
          <w:lang w:val="en-GB"/>
        </w:rPr>
        <w:tab/>
        <w:t>Empirical method (Georgia): Over-e</w:t>
      </w:r>
      <w:r w:rsidR="00CF0EAD" w:rsidRPr="0093156D">
        <w:rPr>
          <w:b/>
          <w:i w:val="0"/>
          <w:color w:val="auto"/>
          <w:sz w:val="22"/>
          <w:szCs w:val="22"/>
          <w:lang w:val="en-GB"/>
        </w:rPr>
        <w:t>ducation by occupation (age 15-64</w:t>
      </w:r>
      <w:r w:rsidRPr="0093156D">
        <w:rPr>
          <w:b/>
          <w:i w:val="0"/>
          <w:color w:val="auto"/>
          <w:sz w:val="22"/>
          <w:szCs w:val="22"/>
          <w:lang w:val="en-GB"/>
        </w:rPr>
        <w:t>), 2011-2016</w:t>
      </w:r>
      <w:bookmarkEnd w:id="27"/>
      <w:bookmarkEnd w:id="28"/>
    </w:p>
    <w:tbl>
      <w:tblPr>
        <w:tblW w:w="5000" w:type="pct"/>
        <w:tblCellMar>
          <w:left w:w="70" w:type="dxa"/>
          <w:right w:w="70" w:type="dxa"/>
        </w:tblCellMar>
        <w:tblLook w:val="04A0" w:firstRow="1" w:lastRow="0" w:firstColumn="1" w:lastColumn="0" w:noHBand="0" w:noVBand="1"/>
      </w:tblPr>
      <w:tblGrid>
        <w:gridCol w:w="4144"/>
        <w:gridCol w:w="820"/>
        <w:gridCol w:w="819"/>
        <w:gridCol w:w="819"/>
        <w:gridCol w:w="819"/>
        <w:gridCol w:w="821"/>
        <w:gridCol w:w="819"/>
      </w:tblGrid>
      <w:tr w:rsidR="00CF0EAD" w:rsidRPr="0093156D" w14:paraId="704A8B48" w14:textId="77777777" w:rsidTr="00565155">
        <w:trPr>
          <w:trHeight w:val="300"/>
        </w:trPr>
        <w:tc>
          <w:tcPr>
            <w:tcW w:w="2285" w:type="pct"/>
            <w:tcBorders>
              <w:top w:val="single" w:sz="4" w:space="0" w:color="auto"/>
              <w:left w:val="single" w:sz="4" w:space="0" w:color="auto"/>
              <w:bottom w:val="nil"/>
              <w:right w:val="nil"/>
            </w:tcBorders>
            <w:shd w:val="clear" w:color="auto" w:fill="auto"/>
            <w:noWrap/>
            <w:vAlign w:val="center"/>
            <w:hideMark/>
          </w:tcPr>
          <w:p w14:paraId="4A7A599A"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ISCO 88</w:t>
            </w:r>
          </w:p>
        </w:tc>
        <w:tc>
          <w:tcPr>
            <w:tcW w:w="452" w:type="pct"/>
            <w:tcBorders>
              <w:top w:val="single" w:sz="4" w:space="0" w:color="auto"/>
              <w:left w:val="single" w:sz="4" w:space="0" w:color="auto"/>
              <w:bottom w:val="nil"/>
              <w:right w:val="nil"/>
            </w:tcBorders>
            <w:shd w:val="clear" w:color="auto" w:fill="auto"/>
            <w:noWrap/>
            <w:vAlign w:val="center"/>
            <w:hideMark/>
          </w:tcPr>
          <w:p w14:paraId="52CC58D0"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2011</w:t>
            </w:r>
          </w:p>
        </w:tc>
        <w:tc>
          <w:tcPr>
            <w:tcW w:w="452" w:type="pct"/>
            <w:tcBorders>
              <w:top w:val="single" w:sz="4" w:space="0" w:color="auto"/>
              <w:left w:val="nil"/>
              <w:bottom w:val="nil"/>
              <w:right w:val="nil"/>
            </w:tcBorders>
            <w:shd w:val="clear" w:color="auto" w:fill="auto"/>
            <w:noWrap/>
            <w:vAlign w:val="center"/>
            <w:hideMark/>
          </w:tcPr>
          <w:p w14:paraId="047804AC"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2012</w:t>
            </w:r>
          </w:p>
        </w:tc>
        <w:tc>
          <w:tcPr>
            <w:tcW w:w="452" w:type="pct"/>
            <w:tcBorders>
              <w:top w:val="single" w:sz="4" w:space="0" w:color="auto"/>
              <w:left w:val="nil"/>
              <w:bottom w:val="nil"/>
              <w:right w:val="nil"/>
            </w:tcBorders>
            <w:shd w:val="clear" w:color="auto" w:fill="auto"/>
            <w:noWrap/>
            <w:vAlign w:val="center"/>
            <w:hideMark/>
          </w:tcPr>
          <w:p w14:paraId="0B57FD8C"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2013</w:t>
            </w:r>
          </w:p>
        </w:tc>
        <w:tc>
          <w:tcPr>
            <w:tcW w:w="452" w:type="pct"/>
            <w:tcBorders>
              <w:top w:val="single" w:sz="4" w:space="0" w:color="auto"/>
              <w:left w:val="nil"/>
              <w:bottom w:val="nil"/>
              <w:right w:val="nil"/>
            </w:tcBorders>
            <w:shd w:val="clear" w:color="auto" w:fill="auto"/>
            <w:noWrap/>
            <w:vAlign w:val="center"/>
            <w:hideMark/>
          </w:tcPr>
          <w:p w14:paraId="49A6AD24"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2014</w:t>
            </w:r>
          </w:p>
        </w:tc>
        <w:tc>
          <w:tcPr>
            <w:tcW w:w="453" w:type="pct"/>
            <w:tcBorders>
              <w:top w:val="single" w:sz="4" w:space="0" w:color="auto"/>
              <w:left w:val="nil"/>
              <w:bottom w:val="nil"/>
              <w:right w:val="nil"/>
            </w:tcBorders>
            <w:shd w:val="clear" w:color="auto" w:fill="auto"/>
            <w:noWrap/>
            <w:vAlign w:val="center"/>
            <w:hideMark/>
          </w:tcPr>
          <w:p w14:paraId="1A4D0A48"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2015</w:t>
            </w:r>
          </w:p>
        </w:tc>
        <w:tc>
          <w:tcPr>
            <w:tcW w:w="452" w:type="pct"/>
            <w:tcBorders>
              <w:top w:val="single" w:sz="4" w:space="0" w:color="auto"/>
              <w:left w:val="nil"/>
              <w:bottom w:val="nil"/>
              <w:right w:val="single" w:sz="4" w:space="0" w:color="auto"/>
            </w:tcBorders>
            <w:shd w:val="clear" w:color="auto" w:fill="auto"/>
            <w:noWrap/>
            <w:vAlign w:val="center"/>
            <w:hideMark/>
          </w:tcPr>
          <w:p w14:paraId="18903B95"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2016</w:t>
            </w:r>
          </w:p>
        </w:tc>
      </w:tr>
      <w:tr w:rsidR="00CF0EAD" w:rsidRPr="0093156D" w14:paraId="52D5F115" w14:textId="77777777" w:rsidTr="00565155">
        <w:trPr>
          <w:trHeight w:val="300"/>
        </w:trPr>
        <w:tc>
          <w:tcPr>
            <w:tcW w:w="2285" w:type="pct"/>
            <w:tcBorders>
              <w:top w:val="single" w:sz="4" w:space="0" w:color="auto"/>
              <w:left w:val="single" w:sz="4" w:space="0" w:color="auto"/>
              <w:bottom w:val="nil"/>
              <w:right w:val="nil"/>
            </w:tcBorders>
            <w:shd w:val="clear" w:color="auto" w:fill="auto"/>
            <w:noWrap/>
            <w:vAlign w:val="center"/>
            <w:hideMark/>
          </w:tcPr>
          <w:p w14:paraId="76CE4649"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01 Legislators, senior officials and managers</w:t>
            </w:r>
          </w:p>
        </w:tc>
        <w:tc>
          <w:tcPr>
            <w:tcW w:w="452" w:type="pct"/>
            <w:tcBorders>
              <w:top w:val="single" w:sz="4" w:space="0" w:color="auto"/>
              <w:left w:val="single" w:sz="4" w:space="0" w:color="auto"/>
              <w:bottom w:val="nil"/>
              <w:right w:val="nil"/>
            </w:tcBorders>
            <w:shd w:val="clear" w:color="auto" w:fill="auto"/>
            <w:noWrap/>
            <w:vAlign w:val="center"/>
            <w:hideMark/>
          </w:tcPr>
          <w:p w14:paraId="626B458B"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0,5</w:t>
            </w:r>
          </w:p>
        </w:tc>
        <w:tc>
          <w:tcPr>
            <w:tcW w:w="452" w:type="pct"/>
            <w:tcBorders>
              <w:top w:val="single" w:sz="4" w:space="0" w:color="auto"/>
              <w:left w:val="nil"/>
              <w:bottom w:val="nil"/>
              <w:right w:val="nil"/>
            </w:tcBorders>
            <w:shd w:val="clear" w:color="auto" w:fill="auto"/>
            <w:noWrap/>
            <w:vAlign w:val="center"/>
            <w:hideMark/>
          </w:tcPr>
          <w:p w14:paraId="4857DC68"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0,5</w:t>
            </w:r>
          </w:p>
        </w:tc>
        <w:tc>
          <w:tcPr>
            <w:tcW w:w="452" w:type="pct"/>
            <w:tcBorders>
              <w:top w:val="single" w:sz="4" w:space="0" w:color="auto"/>
              <w:left w:val="nil"/>
              <w:bottom w:val="nil"/>
              <w:right w:val="nil"/>
            </w:tcBorders>
            <w:shd w:val="clear" w:color="auto" w:fill="auto"/>
            <w:noWrap/>
            <w:vAlign w:val="center"/>
            <w:hideMark/>
          </w:tcPr>
          <w:p w14:paraId="6DAF65BC"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0,5</w:t>
            </w:r>
          </w:p>
        </w:tc>
        <w:tc>
          <w:tcPr>
            <w:tcW w:w="452" w:type="pct"/>
            <w:tcBorders>
              <w:top w:val="single" w:sz="4" w:space="0" w:color="auto"/>
              <w:left w:val="nil"/>
              <w:bottom w:val="nil"/>
              <w:right w:val="nil"/>
            </w:tcBorders>
            <w:shd w:val="clear" w:color="auto" w:fill="auto"/>
            <w:noWrap/>
            <w:vAlign w:val="center"/>
            <w:hideMark/>
          </w:tcPr>
          <w:p w14:paraId="7CDEC2F9"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0,7</w:t>
            </w:r>
          </w:p>
        </w:tc>
        <w:tc>
          <w:tcPr>
            <w:tcW w:w="453" w:type="pct"/>
            <w:tcBorders>
              <w:top w:val="single" w:sz="4" w:space="0" w:color="auto"/>
              <w:left w:val="nil"/>
              <w:bottom w:val="nil"/>
              <w:right w:val="nil"/>
            </w:tcBorders>
            <w:shd w:val="clear" w:color="auto" w:fill="auto"/>
            <w:noWrap/>
            <w:vAlign w:val="center"/>
            <w:hideMark/>
          </w:tcPr>
          <w:p w14:paraId="08EAB708"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3,3</w:t>
            </w:r>
          </w:p>
        </w:tc>
        <w:tc>
          <w:tcPr>
            <w:tcW w:w="452" w:type="pct"/>
            <w:tcBorders>
              <w:top w:val="single" w:sz="4" w:space="0" w:color="auto"/>
              <w:left w:val="nil"/>
              <w:bottom w:val="nil"/>
              <w:right w:val="single" w:sz="4" w:space="0" w:color="auto"/>
            </w:tcBorders>
            <w:shd w:val="clear" w:color="auto" w:fill="auto"/>
            <w:noWrap/>
            <w:vAlign w:val="center"/>
            <w:hideMark/>
          </w:tcPr>
          <w:p w14:paraId="2F7C6907"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1,7</w:t>
            </w:r>
          </w:p>
        </w:tc>
      </w:tr>
      <w:tr w:rsidR="00CF0EAD" w:rsidRPr="0093156D" w14:paraId="1CC20FE9"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748E8DAA"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02 Professionals</w:t>
            </w:r>
          </w:p>
        </w:tc>
        <w:tc>
          <w:tcPr>
            <w:tcW w:w="452" w:type="pct"/>
            <w:tcBorders>
              <w:top w:val="nil"/>
              <w:left w:val="single" w:sz="4" w:space="0" w:color="auto"/>
              <w:bottom w:val="nil"/>
              <w:right w:val="nil"/>
            </w:tcBorders>
            <w:shd w:val="clear" w:color="auto" w:fill="auto"/>
            <w:noWrap/>
            <w:vAlign w:val="center"/>
            <w:hideMark/>
          </w:tcPr>
          <w:p w14:paraId="1BDDA733"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2,1</w:t>
            </w:r>
          </w:p>
        </w:tc>
        <w:tc>
          <w:tcPr>
            <w:tcW w:w="452" w:type="pct"/>
            <w:tcBorders>
              <w:top w:val="nil"/>
              <w:left w:val="nil"/>
              <w:bottom w:val="nil"/>
              <w:right w:val="nil"/>
            </w:tcBorders>
            <w:shd w:val="clear" w:color="auto" w:fill="auto"/>
            <w:noWrap/>
            <w:vAlign w:val="center"/>
            <w:hideMark/>
          </w:tcPr>
          <w:p w14:paraId="21640D7F"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1,6</w:t>
            </w:r>
          </w:p>
        </w:tc>
        <w:tc>
          <w:tcPr>
            <w:tcW w:w="452" w:type="pct"/>
            <w:tcBorders>
              <w:top w:val="nil"/>
              <w:left w:val="nil"/>
              <w:bottom w:val="nil"/>
              <w:right w:val="nil"/>
            </w:tcBorders>
            <w:shd w:val="clear" w:color="auto" w:fill="auto"/>
            <w:noWrap/>
            <w:vAlign w:val="center"/>
            <w:hideMark/>
          </w:tcPr>
          <w:p w14:paraId="16667CEF"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1,0</w:t>
            </w:r>
          </w:p>
        </w:tc>
        <w:tc>
          <w:tcPr>
            <w:tcW w:w="452" w:type="pct"/>
            <w:tcBorders>
              <w:top w:val="nil"/>
              <w:left w:val="nil"/>
              <w:bottom w:val="nil"/>
              <w:right w:val="nil"/>
            </w:tcBorders>
            <w:shd w:val="clear" w:color="auto" w:fill="auto"/>
            <w:noWrap/>
            <w:vAlign w:val="center"/>
            <w:hideMark/>
          </w:tcPr>
          <w:p w14:paraId="74D38E59"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0,9</w:t>
            </w:r>
          </w:p>
        </w:tc>
        <w:tc>
          <w:tcPr>
            <w:tcW w:w="453" w:type="pct"/>
            <w:tcBorders>
              <w:top w:val="nil"/>
              <w:left w:val="nil"/>
              <w:bottom w:val="nil"/>
              <w:right w:val="nil"/>
            </w:tcBorders>
            <w:shd w:val="clear" w:color="auto" w:fill="auto"/>
            <w:noWrap/>
            <w:vAlign w:val="center"/>
            <w:hideMark/>
          </w:tcPr>
          <w:p w14:paraId="7308EF01"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1,2</w:t>
            </w:r>
          </w:p>
        </w:tc>
        <w:tc>
          <w:tcPr>
            <w:tcW w:w="452" w:type="pct"/>
            <w:tcBorders>
              <w:top w:val="nil"/>
              <w:left w:val="nil"/>
              <w:bottom w:val="nil"/>
              <w:right w:val="single" w:sz="4" w:space="0" w:color="auto"/>
            </w:tcBorders>
            <w:shd w:val="clear" w:color="auto" w:fill="auto"/>
            <w:noWrap/>
            <w:vAlign w:val="center"/>
            <w:hideMark/>
          </w:tcPr>
          <w:p w14:paraId="38C5F12D"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1,4</w:t>
            </w:r>
          </w:p>
        </w:tc>
      </w:tr>
      <w:tr w:rsidR="00CF0EAD" w:rsidRPr="0093156D" w14:paraId="0A25B908"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5BE918D6"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03 Technicians and associate professionals</w:t>
            </w:r>
          </w:p>
        </w:tc>
        <w:tc>
          <w:tcPr>
            <w:tcW w:w="452" w:type="pct"/>
            <w:tcBorders>
              <w:top w:val="nil"/>
              <w:left w:val="single" w:sz="4" w:space="0" w:color="auto"/>
              <w:bottom w:val="nil"/>
              <w:right w:val="nil"/>
            </w:tcBorders>
            <w:shd w:val="clear" w:color="auto" w:fill="auto"/>
            <w:noWrap/>
            <w:vAlign w:val="center"/>
            <w:hideMark/>
          </w:tcPr>
          <w:p w14:paraId="186AB69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41,6</w:t>
            </w:r>
          </w:p>
        </w:tc>
        <w:tc>
          <w:tcPr>
            <w:tcW w:w="452" w:type="pct"/>
            <w:tcBorders>
              <w:top w:val="nil"/>
              <w:left w:val="nil"/>
              <w:bottom w:val="nil"/>
              <w:right w:val="nil"/>
            </w:tcBorders>
            <w:shd w:val="clear" w:color="auto" w:fill="auto"/>
            <w:noWrap/>
            <w:vAlign w:val="center"/>
            <w:hideMark/>
          </w:tcPr>
          <w:p w14:paraId="50EC7BF4"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38,8</w:t>
            </w:r>
          </w:p>
        </w:tc>
        <w:tc>
          <w:tcPr>
            <w:tcW w:w="452" w:type="pct"/>
            <w:tcBorders>
              <w:top w:val="nil"/>
              <w:left w:val="nil"/>
              <w:bottom w:val="nil"/>
              <w:right w:val="nil"/>
            </w:tcBorders>
            <w:shd w:val="clear" w:color="auto" w:fill="auto"/>
            <w:noWrap/>
            <w:vAlign w:val="center"/>
            <w:hideMark/>
          </w:tcPr>
          <w:p w14:paraId="1B5C0E18"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40,2</w:t>
            </w:r>
          </w:p>
        </w:tc>
        <w:tc>
          <w:tcPr>
            <w:tcW w:w="452" w:type="pct"/>
            <w:tcBorders>
              <w:top w:val="nil"/>
              <w:left w:val="nil"/>
              <w:bottom w:val="nil"/>
              <w:right w:val="nil"/>
            </w:tcBorders>
            <w:shd w:val="clear" w:color="auto" w:fill="auto"/>
            <w:noWrap/>
            <w:vAlign w:val="center"/>
            <w:hideMark/>
          </w:tcPr>
          <w:p w14:paraId="35956904"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38,0</w:t>
            </w:r>
          </w:p>
        </w:tc>
        <w:tc>
          <w:tcPr>
            <w:tcW w:w="453" w:type="pct"/>
            <w:tcBorders>
              <w:top w:val="nil"/>
              <w:left w:val="nil"/>
              <w:bottom w:val="nil"/>
              <w:right w:val="nil"/>
            </w:tcBorders>
            <w:shd w:val="clear" w:color="auto" w:fill="auto"/>
            <w:noWrap/>
            <w:vAlign w:val="center"/>
            <w:hideMark/>
          </w:tcPr>
          <w:p w14:paraId="3FEA7E11"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39,3</w:t>
            </w:r>
          </w:p>
        </w:tc>
        <w:tc>
          <w:tcPr>
            <w:tcW w:w="452" w:type="pct"/>
            <w:tcBorders>
              <w:top w:val="nil"/>
              <w:left w:val="nil"/>
              <w:bottom w:val="nil"/>
              <w:right w:val="single" w:sz="4" w:space="0" w:color="auto"/>
            </w:tcBorders>
            <w:shd w:val="clear" w:color="auto" w:fill="auto"/>
            <w:noWrap/>
            <w:vAlign w:val="center"/>
            <w:hideMark/>
          </w:tcPr>
          <w:p w14:paraId="21F3342F"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0,0</w:t>
            </w:r>
          </w:p>
        </w:tc>
      </w:tr>
      <w:tr w:rsidR="00CF0EAD" w:rsidRPr="0093156D" w14:paraId="33BF4273"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64382618"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04 Clerks</w:t>
            </w:r>
          </w:p>
        </w:tc>
        <w:tc>
          <w:tcPr>
            <w:tcW w:w="452" w:type="pct"/>
            <w:tcBorders>
              <w:top w:val="nil"/>
              <w:left w:val="single" w:sz="4" w:space="0" w:color="auto"/>
              <w:bottom w:val="nil"/>
              <w:right w:val="nil"/>
            </w:tcBorders>
            <w:shd w:val="clear" w:color="auto" w:fill="auto"/>
            <w:noWrap/>
            <w:vAlign w:val="center"/>
            <w:hideMark/>
          </w:tcPr>
          <w:p w14:paraId="591A5DC7"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0,0</w:t>
            </w:r>
          </w:p>
        </w:tc>
        <w:tc>
          <w:tcPr>
            <w:tcW w:w="452" w:type="pct"/>
            <w:tcBorders>
              <w:top w:val="nil"/>
              <w:left w:val="nil"/>
              <w:bottom w:val="nil"/>
              <w:right w:val="nil"/>
            </w:tcBorders>
            <w:shd w:val="clear" w:color="auto" w:fill="auto"/>
            <w:noWrap/>
            <w:vAlign w:val="center"/>
            <w:hideMark/>
          </w:tcPr>
          <w:p w14:paraId="638C8D2F"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0,0</w:t>
            </w:r>
          </w:p>
        </w:tc>
        <w:tc>
          <w:tcPr>
            <w:tcW w:w="452" w:type="pct"/>
            <w:tcBorders>
              <w:top w:val="nil"/>
              <w:left w:val="nil"/>
              <w:bottom w:val="nil"/>
              <w:right w:val="nil"/>
            </w:tcBorders>
            <w:shd w:val="clear" w:color="auto" w:fill="auto"/>
            <w:noWrap/>
            <w:vAlign w:val="center"/>
            <w:hideMark/>
          </w:tcPr>
          <w:p w14:paraId="22112183"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32,1</w:t>
            </w:r>
          </w:p>
        </w:tc>
        <w:tc>
          <w:tcPr>
            <w:tcW w:w="452" w:type="pct"/>
            <w:tcBorders>
              <w:top w:val="nil"/>
              <w:left w:val="nil"/>
              <w:bottom w:val="nil"/>
              <w:right w:val="nil"/>
            </w:tcBorders>
            <w:shd w:val="clear" w:color="auto" w:fill="auto"/>
            <w:noWrap/>
            <w:vAlign w:val="center"/>
            <w:hideMark/>
          </w:tcPr>
          <w:p w14:paraId="063F657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38,4</w:t>
            </w:r>
          </w:p>
        </w:tc>
        <w:tc>
          <w:tcPr>
            <w:tcW w:w="453" w:type="pct"/>
            <w:tcBorders>
              <w:top w:val="nil"/>
              <w:left w:val="nil"/>
              <w:bottom w:val="nil"/>
              <w:right w:val="nil"/>
            </w:tcBorders>
            <w:shd w:val="clear" w:color="auto" w:fill="auto"/>
            <w:noWrap/>
            <w:vAlign w:val="center"/>
            <w:hideMark/>
          </w:tcPr>
          <w:p w14:paraId="4924A65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0,0</w:t>
            </w:r>
          </w:p>
        </w:tc>
        <w:tc>
          <w:tcPr>
            <w:tcW w:w="452" w:type="pct"/>
            <w:tcBorders>
              <w:top w:val="nil"/>
              <w:left w:val="nil"/>
              <w:bottom w:val="nil"/>
              <w:right w:val="single" w:sz="4" w:space="0" w:color="auto"/>
            </w:tcBorders>
            <w:shd w:val="clear" w:color="auto" w:fill="auto"/>
            <w:noWrap/>
            <w:vAlign w:val="center"/>
            <w:hideMark/>
          </w:tcPr>
          <w:p w14:paraId="1E0EAAE8"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0,0</w:t>
            </w:r>
          </w:p>
        </w:tc>
      </w:tr>
      <w:tr w:rsidR="00CF0EAD" w:rsidRPr="0093156D" w14:paraId="71E03841"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4B650A25"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05 Service workers and shop and market sales workers</w:t>
            </w:r>
          </w:p>
        </w:tc>
        <w:tc>
          <w:tcPr>
            <w:tcW w:w="452" w:type="pct"/>
            <w:tcBorders>
              <w:top w:val="nil"/>
              <w:left w:val="single" w:sz="4" w:space="0" w:color="auto"/>
              <w:bottom w:val="nil"/>
              <w:right w:val="nil"/>
            </w:tcBorders>
            <w:shd w:val="clear" w:color="auto" w:fill="auto"/>
            <w:noWrap/>
            <w:vAlign w:val="center"/>
            <w:hideMark/>
          </w:tcPr>
          <w:p w14:paraId="7E431B82"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26,6</w:t>
            </w:r>
          </w:p>
        </w:tc>
        <w:tc>
          <w:tcPr>
            <w:tcW w:w="452" w:type="pct"/>
            <w:tcBorders>
              <w:top w:val="nil"/>
              <w:left w:val="nil"/>
              <w:bottom w:val="nil"/>
              <w:right w:val="nil"/>
            </w:tcBorders>
            <w:shd w:val="clear" w:color="auto" w:fill="auto"/>
            <w:noWrap/>
            <w:vAlign w:val="center"/>
            <w:hideMark/>
          </w:tcPr>
          <w:p w14:paraId="6F8343E8"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27,8</w:t>
            </w:r>
          </w:p>
        </w:tc>
        <w:tc>
          <w:tcPr>
            <w:tcW w:w="452" w:type="pct"/>
            <w:tcBorders>
              <w:top w:val="nil"/>
              <w:left w:val="nil"/>
              <w:bottom w:val="nil"/>
              <w:right w:val="nil"/>
            </w:tcBorders>
            <w:shd w:val="clear" w:color="auto" w:fill="auto"/>
            <w:noWrap/>
            <w:vAlign w:val="center"/>
            <w:hideMark/>
          </w:tcPr>
          <w:p w14:paraId="19D11AE3"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29,3</w:t>
            </w:r>
          </w:p>
        </w:tc>
        <w:tc>
          <w:tcPr>
            <w:tcW w:w="452" w:type="pct"/>
            <w:tcBorders>
              <w:top w:val="nil"/>
              <w:left w:val="nil"/>
              <w:bottom w:val="nil"/>
              <w:right w:val="nil"/>
            </w:tcBorders>
            <w:shd w:val="clear" w:color="auto" w:fill="auto"/>
            <w:noWrap/>
            <w:vAlign w:val="center"/>
            <w:hideMark/>
          </w:tcPr>
          <w:p w14:paraId="060136D5"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27,4</w:t>
            </w:r>
          </w:p>
        </w:tc>
        <w:tc>
          <w:tcPr>
            <w:tcW w:w="453" w:type="pct"/>
            <w:tcBorders>
              <w:top w:val="nil"/>
              <w:left w:val="nil"/>
              <w:bottom w:val="nil"/>
              <w:right w:val="nil"/>
            </w:tcBorders>
            <w:shd w:val="clear" w:color="auto" w:fill="auto"/>
            <w:noWrap/>
            <w:vAlign w:val="center"/>
            <w:hideMark/>
          </w:tcPr>
          <w:p w14:paraId="77A13DF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27,6</w:t>
            </w:r>
          </w:p>
        </w:tc>
        <w:tc>
          <w:tcPr>
            <w:tcW w:w="452" w:type="pct"/>
            <w:tcBorders>
              <w:top w:val="nil"/>
              <w:left w:val="nil"/>
              <w:bottom w:val="nil"/>
              <w:right w:val="single" w:sz="4" w:space="0" w:color="auto"/>
            </w:tcBorders>
            <w:shd w:val="clear" w:color="auto" w:fill="auto"/>
            <w:noWrap/>
            <w:vAlign w:val="center"/>
            <w:hideMark/>
          </w:tcPr>
          <w:p w14:paraId="7FD38D49"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30,0</w:t>
            </w:r>
          </w:p>
        </w:tc>
      </w:tr>
      <w:tr w:rsidR="00CF0EAD" w:rsidRPr="0093156D" w14:paraId="5414ABA1"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41DB16DD"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06 Skilled agricultural and fishery workers</w:t>
            </w:r>
          </w:p>
        </w:tc>
        <w:tc>
          <w:tcPr>
            <w:tcW w:w="452" w:type="pct"/>
            <w:tcBorders>
              <w:top w:val="nil"/>
              <w:left w:val="single" w:sz="4" w:space="0" w:color="auto"/>
              <w:bottom w:val="nil"/>
              <w:right w:val="nil"/>
            </w:tcBorders>
            <w:shd w:val="clear" w:color="auto" w:fill="auto"/>
            <w:noWrap/>
            <w:vAlign w:val="center"/>
            <w:hideMark/>
          </w:tcPr>
          <w:p w14:paraId="0D0902D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9,3</w:t>
            </w:r>
          </w:p>
        </w:tc>
        <w:tc>
          <w:tcPr>
            <w:tcW w:w="452" w:type="pct"/>
            <w:tcBorders>
              <w:top w:val="nil"/>
              <w:left w:val="nil"/>
              <w:bottom w:val="nil"/>
              <w:right w:val="nil"/>
            </w:tcBorders>
            <w:shd w:val="clear" w:color="auto" w:fill="auto"/>
            <w:noWrap/>
            <w:vAlign w:val="center"/>
            <w:hideMark/>
          </w:tcPr>
          <w:p w14:paraId="2DBFA550"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9,8</w:t>
            </w:r>
          </w:p>
        </w:tc>
        <w:tc>
          <w:tcPr>
            <w:tcW w:w="452" w:type="pct"/>
            <w:tcBorders>
              <w:top w:val="nil"/>
              <w:left w:val="nil"/>
              <w:bottom w:val="nil"/>
              <w:right w:val="nil"/>
            </w:tcBorders>
            <w:shd w:val="clear" w:color="auto" w:fill="auto"/>
            <w:noWrap/>
            <w:vAlign w:val="center"/>
            <w:hideMark/>
          </w:tcPr>
          <w:p w14:paraId="2C35BD6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10,4</w:t>
            </w:r>
          </w:p>
        </w:tc>
        <w:tc>
          <w:tcPr>
            <w:tcW w:w="452" w:type="pct"/>
            <w:tcBorders>
              <w:top w:val="nil"/>
              <w:left w:val="nil"/>
              <w:bottom w:val="nil"/>
              <w:right w:val="nil"/>
            </w:tcBorders>
            <w:shd w:val="clear" w:color="auto" w:fill="auto"/>
            <w:noWrap/>
            <w:vAlign w:val="center"/>
            <w:hideMark/>
          </w:tcPr>
          <w:p w14:paraId="24B04CB3"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10,0</w:t>
            </w:r>
          </w:p>
        </w:tc>
        <w:tc>
          <w:tcPr>
            <w:tcW w:w="453" w:type="pct"/>
            <w:tcBorders>
              <w:top w:val="nil"/>
              <w:left w:val="nil"/>
              <w:bottom w:val="nil"/>
              <w:right w:val="nil"/>
            </w:tcBorders>
            <w:shd w:val="clear" w:color="auto" w:fill="auto"/>
            <w:noWrap/>
            <w:vAlign w:val="center"/>
            <w:hideMark/>
          </w:tcPr>
          <w:p w14:paraId="1A7B238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9,2</w:t>
            </w:r>
          </w:p>
        </w:tc>
        <w:tc>
          <w:tcPr>
            <w:tcW w:w="452" w:type="pct"/>
            <w:tcBorders>
              <w:top w:val="nil"/>
              <w:left w:val="nil"/>
              <w:bottom w:val="nil"/>
              <w:right w:val="single" w:sz="4" w:space="0" w:color="auto"/>
            </w:tcBorders>
            <w:shd w:val="clear" w:color="auto" w:fill="auto"/>
            <w:noWrap/>
            <w:vAlign w:val="center"/>
            <w:hideMark/>
          </w:tcPr>
          <w:p w14:paraId="010FBEBB"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11,2</w:t>
            </w:r>
          </w:p>
        </w:tc>
      </w:tr>
      <w:tr w:rsidR="00CF0EAD" w:rsidRPr="0093156D" w14:paraId="02B2B179"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380912F6"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07 Craft and related trades workers</w:t>
            </w:r>
          </w:p>
        </w:tc>
        <w:tc>
          <w:tcPr>
            <w:tcW w:w="452" w:type="pct"/>
            <w:tcBorders>
              <w:top w:val="nil"/>
              <w:left w:val="single" w:sz="4" w:space="0" w:color="auto"/>
              <w:bottom w:val="nil"/>
              <w:right w:val="nil"/>
            </w:tcBorders>
            <w:shd w:val="clear" w:color="auto" w:fill="auto"/>
            <w:noWrap/>
            <w:vAlign w:val="center"/>
            <w:hideMark/>
          </w:tcPr>
          <w:p w14:paraId="4F2933A5"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18,2</w:t>
            </w:r>
          </w:p>
        </w:tc>
        <w:tc>
          <w:tcPr>
            <w:tcW w:w="452" w:type="pct"/>
            <w:tcBorders>
              <w:top w:val="nil"/>
              <w:left w:val="nil"/>
              <w:bottom w:val="nil"/>
              <w:right w:val="nil"/>
            </w:tcBorders>
            <w:shd w:val="clear" w:color="auto" w:fill="auto"/>
            <w:noWrap/>
            <w:vAlign w:val="center"/>
            <w:hideMark/>
          </w:tcPr>
          <w:p w14:paraId="7AAF1755"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17,6</w:t>
            </w:r>
          </w:p>
        </w:tc>
        <w:tc>
          <w:tcPr>
            <w:tcW w:w="452" w:type="pct"/>
            <w:tcBorders>
              <w:top w:val="nil"/>
              <w:left w:val="nil"/>
              <w:bottom w:val="nil"/>
              <w:right w:val="nil"/>
            </w:tcBorders>
            <w:shd w:val="clear" w:color="auto" w:fill="auto"/>
            <w:noWrap/>
            <w:vAlign w:val="center"/>
            <w:hideMark/>
          </w:tcPr>
          <w:p w14:paraId="2A1F0247"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15,5</w:t>
            </w:r>
          </w:p>
        </w:tc>
        <w:tc>
          <w:tcPr>
            <w:tcW w:w="452" w:type="pct"/>
            <w:tcBorders>
              <w:top w:val="nil"/>
              <w:left w:val="nil"/>
              <w:bottom w:val="nil"/>
              <w:right w:val="nil"/>
            </w:tcBorders>
            <w:shd w:val="clear" w:color="auto" w:fill="auto"/>
            <w:noWrap/>
            <w:vAlign w:val="center"/>
            <w:hideMark/>
          </w:tcPr>
          <w:p w14:paraId="02A734F0"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14,3</w:t>
            </w:r>
          </w:p>
        </w:tc>
        <w:tc>
          <w:tcPr>
            <w:tcW w:w="453" w:type="pct"/>
            <w:tcBorders>
              <w:top w:val="nil"/>
              <w:left w:val="nil"/>
              <w:bottom w:val="nil"/>
              <w:right w:val="nil"/>
            </w:tcBorders>
            <w:shd w:val="clear" w:color="auto" w:fill="auto"/>
            <w:noWrap/>
            <w:vAlign w:val="center"/>
            <w:hideMark/>
          </w:tcPr>
          <w:p w14:paraId="63A6982D"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15,8</w:t>
            </w:r>
          </w:p>
        </w:tc>
        <w:tc>
          <w:tcPr>
            <w:tcW w:w="452" w:type="pct"/>
            <w:tcBorders>
              <w:top w:val="nil"/>
              <w:left w:val="nil"/>
              <w:bottom w:val="nil"/>
              <w:right w:val="single" w:sz="4" w:space="0" w:color="auto"/>
            </w:tcBorders>
            <w:shd w:val="clear" w:color="auto" w:fill="auto"/>
            <w:noWrap/>
            <w:vAlign w:val="center"/>
            <w:hideMark/>
          </w:tcPr>
          <w:p w14:paraId="0928F103"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15,8</w:t>
            </w:r>
          </w:p>
        </w:tc>
      </w:tr>
      <w:tr w:rsidR="00CF0EAD" w:rsidRPr="0093156D" w14:paraId="136AC50A"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1C4F16F9"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08 Plant and machine operators and assemblers</w:t>
            </w:r>
          </w:p>
        </w:tc>
        <w:tc>
          <w:tcPr>
            <w:tcW w:w="452" w:type="pct"/>
            <w:tcBorders>
              <w:top w:val="nil"/>
              <w:left w:val="single" w:sz="4" w:space="0" w:color="auto"/>
              <w:bottom w:val="nil"/>
              <w:right w:val="nil"/>
            </w:tcBorders>
            <w:shd w:val="clear" w:color="auto" w:fill="auto"/>
            <w:noWrap/>
            <w:vAlign w:val="center"/>
            <w:hideMark/>
          </w:tcPr>
          <w:p w14:paraId="213101C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16,5</w:t>
            </w:r>
          </w:p>
        </w:tc>
        <w:tc>
          <w:tcPr>
            <w:tcW w:w="452" w:type="pct"/>
            <w:tcBorders>
              <w:top w:val="nil"/>
              <w:left w:val="nil"/>
              <w:bottom w:val="nil"/>
              <w:right w:val="nil"/>
            </w:tcBorders>
            <w:shd w:val="clear" w:color="auto" w:fill="auto"/>
            <w:noWrap/>
            <w:vAlign w:val="center"/>
            <w:hideMark/>
          </w:tcPr>
          <w:p w14:paraId="701E56C1"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19,3</w:t>
            </w:r>
          </w:p>
        </w:tc>
        <w:tc>
          <w:tcPr>
            <w:tcW w:w="452" w:type="pct"/>
            <w:tcBorders>
              <w:top w:val="nil"/>
              <w:left w:val="nil"/>
              <w:bottom w:val="nil"/>
              <w:right w:val="nil"/>
            </w:tcBorders>
            <w:shd w:val="clear" w:color="auto" w:fill="auto"/>
            <w:noWrap/>
            <w:vAlign w:val="center"/>
            <w:hideMark/>
          </w:tcPr>
          <w:p w14:paraId="56F3290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18,8</w:t>
            </w:r>
          </w:p>
        </w:tc>
        <w:tc>
          <w:tcPr>
            <w:tcW w:w="452" w:type="pct"/>
            <w:tcBorders>
              <w:top w:val="nil"/>
              <w:left w:val="nil"/>
              <w:bottom w:val="nil"/>
              <w:right w:val="nil"/>
            </w:tcBorders>
            <w:shd w:val="clear" w:color="auto" w:fill="auto"/>
            <w:noWrap/>
            <w:vAlign w:val="center"/>
            <w:hideMark/>
          </w:tcPr>
          <w:p w14:paraId="497A5972"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19,6</w:t>
            </w:r>
          </w:p>
        </w:tc>
        <w:tc>
          <w:tcPr>
            <w:tcW w:w="453" w:type="pct"/>
            <w:tcBorders>
              <w:top w:val="nil"/>
              <w:left w:val="nil"/>
              <w:bottom w:val="nil"/>
              <w:right w:val="nil"/>
            </w:tcBorders>
            <w:shd w:val="clear" w:color="auto" w:fill="auto"/>
            <w:noWrap/>
            <w:vAlign w:val="center"/>
            <w:hideMark/>
          </w:tcPr>
          <w:p w14:paraId="75C64B12"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25,9</w:t>
            </w:r>
          </w:p>
        </w:tc>
        <w:tc>
          <w:tcPr>
            <w:tcW w:w="452" w:type="pct"/>
            <w:tcBorders>
              <w:top w:val="nil"/>
              <w:left w:val="nil"/>
              <w:bottom w:val="nil"/>
              <w:right w:val="single" w:sz="4" w:space="0" w:color="auto"/>
            </w:tcBorders>
            <w:shd w:val="clear" w:color="auto" w:fill="auto"/>
            <w:noWrap/>
            <w:vAlign w:val="center"/>
            <w:hideMark/>
          </w:tcPr>
          <w:p w14:paraId="533AD784"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24,1</w:t>
            </w:r>
          </w:p>
        </w:tc>
      </w:tr>
      <w:tr w:rsidR="00CF0EAD" w:rsidRPr="0093156D" w14:paraId="55D6CC22" w14:textId="77777777" w:rsidTr="00565155">
        <w:trPr>
          <w:trHeight w:val="300"/>
        </w:trPr>
        <w:tc>
          <w:tcPr>
            <w:tcW w:w="2285" w:type="pct"/>
            <w:tcBorders>
              <w:top w:val="nil"/>
              <w:left w:val="single" w:sz="4" w:space="0" w:color="auto"/>
              <w:bottom w:val="single" w:sz="4" w:space="0" w:color="auto"/>
              <w:right w:val="nil"/>
            </w:tcBorders>
            <w:shd w:val="clear" w:color="auto" w:fill="auto"/>
            <w:noWrap/>
            <w:vAlign w:val="center"/>
            <w:hideMark/>
          </w:tcPr>
          <w:p w14:paraId="0215BB32"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09 Elementary occupations</w:t>
            </w:r>
          </w:p>
        </w:tc>
        <w:tc>
          <w:tcPr>
            <w:tcW w:w="452" w:type="pct"/>
            <w:tcBorders>
              <w:top w:val="nil"/>
              <w:left w:val="single" w:sz="4" w:space="0" w:color="auto"/>
              <w:bottom w:val="single" w:sz="4" w:space="0" w:color="auto"/>
              <w:right w:val="nil"/>
            </w:tcBorders>
            <w:shd w:val="clear" w:color="auto" w:fill="auto"/>
            <w:noWrap/>
            <w:vAlign w:val="center"/>
            <w:hideMark/>
          </w:tcPr>
          <w:p w14:paraId="16BB273D"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19,1</w:t>
            </w:r>
          </w:p>
        </w:tc>
        <w:tc>
          <w:tcPr>
            <w:tcW w:w="452" w:type="pct"/>
            <w:tcBorders>
              <w:top w:val="nil"/>
              <w:left w:val="nil"/>
              <w:bottom w:val="single" w:sz="4" w:space="0" w:color="auto"/>
              <w:right w:val="nil"/>
            </w:tcBorders>
            <w:shd w:val="clear" w:color="auto" w:fill="auto"/>
            <w:noWrap/>
            <w:vAlign w:val="center"/>
            <w:hideMark/>
          </w:tcPr>
          <w:p w14:paraId="24DCF9E0"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20,1</w:t>
            </w:r>
          </w:p>
        </w:tc>
        <w:tc>
          <w:tcPr>
            <w:tcW w:w="452" w:type="pct"/>
            <w:tcBorders>
              <w:top w:val="nil"/>
              <w:left w:val="nil"/>
              <w:bottom w:val="single" w:sz="4" w:space="0" w:color="auto"/>
              <w:right w:val="nil"/>
            </w:tcBorders>
            <w:shd w:val="clear" w:color="auto" w:fill="auto"/>
            <w:noWrap/>
            <w:vAlign w:val="center"/>
            <w:hideMark/>
          </w:tcPr>
          <w:p w14:paraId="4C6ABF05"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18,8</w:t>
            </w:r>
          </w:p>
        </w:tc>
        <w:tc>
          <w:tcPr>
            <w:tcW w:w="452" w:type="pct"/>
            <w:tcBorders>
              <w:top w:val="nil"/>
              <w:left w:val="nil"/>
              <w:bottom w:val="single" w:sz="4" w:space="0" w:color="auto"/>
              <w:right w:val="nil"/>
            </w:tcBorders>
            <w:shd w:val="clear" w:color="auto" w:fill="auto"/>
            <w:noWrap/>
            <w:vAlign w:val="center"/>
            <w:hideMark/>
          </w:tcPr>
          <w:p w14:paraId="362F08F2"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18,4</w:t>
            </w:r>
          </w:p>
        </w:tc>
        <w:tc>
          <w:tcPr>
            <w:tcW w:w="453" w:type="pct"/>
            <w:tcBorders>
              <w:top w:val="nil"/>
              <w:left w:val="nil"/>
              <w:bottom w:val="single" w:sz="4" w:space="0" w:color="auto"/>
              <w:right w:val="nil"/>
            </w:tcBorders>
            <w:shd w:val="clear" w:color="auto" w:fill="auto"/>
            <w:noWrap/>
            <w:vAlign w:val="center"/>
            <w:hideMark/>
          </w:tcPr>
          <w:p w14:paraId="4576F57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15,0</w:t>
            </w:r>
          </w:p>
        </w:tc>
        <w:tc>
          <w:tcPr>
            <w:tcW w:w="452" w:type="pct"/>
            <w:tcBorders>
              <w:top w:val="nil"/>
              <w:left w:val="nil"/>
              <w:bottom w:val="single" w:sz="4" w:space="0" w:color="auto"/>
              <w:right w:val="single" w:sz="4" w:space="0" w:color="auto"/>
            </w:tcBorders>
            <w:shd w:val="clear" w:color="auto" w:fill="auto"/>
            <w:noWrap/>
            <w:vAlign w:val="center"/>
            <w:hideMark/>
          </w:tcPr>
          <w:p w14:paraId="7FB4CAD8"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17,5</w:t>
            </w:r>
          </w:p>
        </w:tc>
      </w:tr>
    </w:tbl>
    <w:p w14:paraId="01CE9917" w14:textId="77777777" w:rsidR="00565155" w:rsidRPr="0093156D" w:rsidRDefault="00565155" w:rsidP="00565155">
      <w:pPr>
        <w:rPr>
          <w:sz w:val="18"/>
        </w:rPr>
      </w:pPr>
      <w:bookmarkStart w:id="29" w:name="_Toc497904305"/>
      <w:bookmarkStart w:id="30" w:name="_Toc494972661"/>
      <w:r w:rsidRPr="0093156D">
        <w:rPr>
          <w:sz w:val="18"/>
        </w:rPr>
        <w:t>Source:</w:t>
      </w:r>
      <w:r>
        <w:rPr>
          <w:sz w:val="18"/>
        </w:rPr>
        <w:t xml:space="preserve"> Own calculations using LFS 2012-2016 </w:t>
      </w:r>
    </w:p>
    <w:p w14:paraId="20454DFC" w14:textId="41A37E09" w:rsidR="0033474A" w:rsidRPr="0093156D" w:rsidRDefault="0033474A" w:rsidP="0033474A">
      <w:pPr>
        <w:pStyle w:val="Caption"/>
        <w:keepNext/>
        <w:spacing w:after="0"/>
        <w:ind w:left="1410" w:hanging="1410"/>
        <w:rPr>
          <w:b/>
          <w:i w:val="0"/>
          <w:color w:val="auto"/>
          <w:sz w:val="22"/>
          <w:szCs w:val="22"/>
          <w:lang w:val="en-GB"/>
        </w:rPr>
      </w:pPr>
      <w:r w:rsidRPr="0093156D">
        <w:rPr>
          <w:b/>
          <w:i w:val="0"/>
          <w:color w:val="auto"/>
          <w:sz w:val="22"/>
          <w:szCs w:val="22"/>
          <w:lang w:val="en-GB"/>
        </w:rPr>
        <w:t xml:space="preserve">Table </w:t>
      </w:r>
      <w:r w:rsidRPr="0093156D">
        <w:rPr>
          <w:lang w:val="en-GB"/>
        </w:rPr>
        <w:fldChar w:fldCharType="begin"/>
      </w:r>
      <w:r w:rsidRPr="0093156D">
        <w:rPr>
          <w:b/>
          <w:i w:val="0"/>
          <w:color w:val="auto"/>
          <w:sz w:val="22"/>
          <w:szCs w:val="22"/>
          <w:lang w:val="en-GB"/>
        </w:rPr>
        <w:instrText xml:space="preserve"> SEQ Table \* ARABIC </w:instrText>
      </w:r>
      <w:r w:rsidRPr="0093156D">
        <w:rPr>
          <w:lang w:val="en-GB"/>
        </w:rPr>
        <w:fldChar w:fldCharType="separate"/>
      </w:r>
      <w:r w:rsidR="00C50D04">
        <w:rPr>
          <w:b/>
          <w:i w:val="0"/>
          <w:noProof/>
          <w:color w:val="auto"/>
          <w:sz w:val="22"/>
          <w:szCs w:val="22"/>
          <w:lang w:val="en-GB"/>
        </w:rPr>
        <w:t>5</w:t>
      </w:r>
      <w:r w:rsidRPr="0093156D">
        <w:rPr>
          <w:lang w:val="en-GB"/>
        </w:rPr>
        <w:fldChar w:fldCharType="end"/>
      </w:r>
      <w:r w:rsidRPr="0093156D">
        <w:rPr>
          <w:b/>
          <w:i w:val="0"/>
          <w:color w:val="auto"/>
          <w:sz w:val="22"/>
          <w:szCs w:val="22"/>
          <w:lang w:val="en-GB"/>
        </w:rPr>
        <w:tab/>
        <w:t>Empirical method (Georgia): Under-education by occupation (age 15-</w:t>
      </w:r>
      <w:r w:rsidR="00CF0EAD" w:rsidRPr="0093156D">
        <w:rPr>
          <w:b/>
          <w:i w:val="0"/>
          <w:color w:val="auto"/>
          <w:sz w:val="22"/>
          <w:szCs w:val="22"/>
          <w:lang w:val="en-GB"/>
        </w:rPr>
        <w:t>64</w:t>
      </w:r>
      <w:r w:rsidRPr="0093156D">
        <w:rPr>
          <w:b/>
          <w:i w:val="0"/>
          <w:color w:val="auto"/>
          <w:sz w:val="22"/>
          <w:szCs w:val="22"/>
          <w:lang w:val="en-GB"/>
        </w:rPr>
        <w:t>), 2011-2016</w:t>
      </w:r>
      <w:bookmarkEnd w:id="29"/>
      <w:bookmarkEnd w:id="30"/>
    </w:p>
    <w:tbl>
      <w:tblPr>
        <w:tblW w:w="5000" w:type="pct"/>
        <w:tblCellMar>
          <w:left w:w="70" w:type="dxa"/>
          <w:right w:w="70" w:type="dxa"/>
        </w:tblCellMar>
        <w:tblLook w:val="04A0" w:firstRow="1" w:lastRow="0" w:firstColumn="1" w:lastColumn="0" w:noHBand="0" w:noVBand="1"/>
      </w:tblPr>
      <w:tblGrid>
        <w:gridCol w:w="4144"/>
        <w:gridCol w:w="820"/>
        <w:gridCol w:w="819"/>
        <w:gridCol w:w="819"/>
        <w:gridCol w:w="819"/>
        <w:gridCol w:w="821"/>
        <w:gridCol w:w="819"/>
      </w:tblGrid>
      <w:tr w:rsidR="00CF0EAD" w:rsidRPr="0093156D" w14:paraId="790F186F" w14:textId="77777777" w:rsidTr="00565155">
        <w:trPr>
          <w:trHeight w:val="300"/>
        </w:trPr>
        <w:tc>
          <w:tcPr>
            <w:tcW w:w="2285" w:type="pct"/>
            <w:tcBorders>
              <w:top w:val="single" w:sz="4" w:space="0" w:color="auto"/>
              <w:left w:val="single" w:sz="4" w:space="0" w:color="auto"/>
              <w:bottom w:val="nil"/>
              <w:right w:val="nil"/>
            </w:tcBorders>
            <w:shd w:val="clear" w:color="auto" w:fill="auto"/>
            <w:noWrap/>
            <w:vAlign w:val="center"/>
            <w:hideMark/>
          </w:tcPr>
          <w:p w14:paraId="1DCD8694"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ISCO 88</w:t>
            </w:r>
          </w:p>
        </w:tc>
        <w:tc>
          <w:tcPr>
            <w:tcW w:w="452" w:type="pct"/>
            <w:tcBorders>
              <w:top w:val="single" w:sz="4" w:space="0" w:color="auto"/>
              <w:left w:val="single" w:sz="4" w:space="0" w:color="auto"/>
              <w:bottom w:val="nil"/>
              <w:right w:val="nil"/>
            </w:tcBorders>
            <w:shd w:val="clear" w:color="auto" w:fill="auto"/>
            <w:noWrap/>
            <w:vAlign w:val="center"/>
            <w:hideMark/>
          </w:tcPr>
          <w:p w14:paraId="70B0A0EC"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2011</w:t>
            </w:r>
          </w:p>
        </w:tc>
        <w:tc>
          <w:tcPr>
            <w:tcW w:w="452" w:type="pct"/>
            <w:tcBorders>
              <w:top w:val="single" w:sz="4" w:space="0" w:color="auto"/>
              <w:left w:val="nil"/>
              <w:bottom w:val="nil"/>
              <w:right w:val="nil"/>
            </w:tcBorders>
            <w:shd w:val="clear" w:color="auto" w:fill="auto"/>
            <w:noWrap/>
            <w:vAlign w:val="center"/>
            <w:hideMark/>
          </w:tcPr>
          <w:p w14:paraId="431A70AD"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2012</w:t>
            </w:r>
          </w:p>
        </w:tc>
        <w:tc>
          <w:tcPr>
            <w:tcW w:w="452" w:type="pct"/>
            <w:tcBorders>
              <w:top w:val="single" w:sz="4" w:space="0" w:color="auto"/>
              <w:left w:val="nil"/>
              <w:bottom w:val="nil"/>
              <w:right w:val="nil"/>
            </w:tcBorders>
            <w:shd w:val="clear" w:color="auto" w:fill="auto"/>
            <w:noWrap/>
            <w:vAlign w:val="center"/>
            <w:hideMark/>
          </w:tcPr>
          <w:p w14:paraId="686168E6"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2013</w:t>
            </w:r>
          </w:p>
        </w:tc>
        <w:tc>
          <w:tcPr>
            <w:tcW w:w="452" w:type="pct"/>
            <w:tcBorders>
              <w:top w:val="single" w:sz="4" w:space="0" w:color="auto"/>
              <w:left w:val="nil"/>
              <w:bottom w:val="nil"/>
              <w:right w:val="nil"/>
            </w:tcBorders>
            <w:shd w:val="clear" w:color="auto" w:fill="auto"/>
            <w:noWrap/>
            <w:vAlign w:val="center"/>
            <w:hideMark/>
          </w:tcPr>
          <w:p w14:paraId="7C022767"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2014</w:t>
            </w:r>
          </w:p>
        </w:tc>
        <w:tc>
          <w:tcPr>
            <w:tcW w:w="453" w:type="pct"/>
            <w:tcBorders>
              <w:top w:val="single" w:sz="4" w:space="0" w:color="auto"/>
              <w:left w:val="nil"/>
              <w:bottom w:val="nil"/>
              <w:right w:val="nil"/>
            </w:tcBorders>
            <w:shd w:val="clear" w:color="auto" w:fill="auto"/>
            <w:noWrap/>
            <w:vAlign w:val="center"/>
            <w:hideMark/>
          </w:tcPr>
          <w:p w14:paraId="79AE912D"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2015</w:t>
            </w:r>
          </w:p>
        </w:tc>
        <w:tc>
          <w:tcPr>
            <w:tcW w:w="452" w:type="pct"/>
            <w:tcBorders>
              <w:top w:val="single" w:sz="4" w:space="0" w:color="auto"/>
              <w:left w:val="nil"/>
              <w:bottom w:val="nil"/>
              <w:right w:val="single" w:sz="4" w:space="0" w:color="auto"/>
            </w:tcBorders>
            <w:shd w:val="clear" w:color="auto" w:fill="auto"/>
            <w:noWrap/>
            <w:vAlign w:val="center"/>
            <w:hideMark/>
          </w:tcPr>
          <w:p w14:paraId="390467CE" w14:textId="77777777" w:rsidR="00CF0EAD" w:rsidRPr="0093156D" w:rsidRDefault="00CF0EAD" w:rsidP="00CF0EAD">
            <w:pPr>
              <w:spacing w:after="0"/>
              <w:jc w:val="center"/>
              <w:rPr>
                <w:rFonts w:ascii="Calibri" w:eastAsia="Times New Roman" w:hAnsi="Calibri" w:cs="Times New Roman"/>
                <w:b/>
                <w:bCs/>
                <w:sz w:val="18"/>
                <w:szCs w:val="18"/>
                <w:lang w:eastAsia="de-DE"/>
              </w:rPr>
            </w:pPr>
            <w:r w:rsidRPr="0093156D">
              <w:rPr>
                <w:rFonts w:ascii="Calibri" w:eastAsia="Times New Roman" w:hAnsi="Calibri" w:cs="Times New Roman"/>
                <w:b/>
                <w:bCs/>
                <w:sz w:val="18"/>
                <w:szCs w:val="18"/>
                <w:lang w:eastAsia="de-DE"/>
              </w:rPr>
              <w:t>2016</w:t>
            </w:r>
          </w:p>
        </w:tc>
      </w:tr>
      <w:tr w:rsidR="00CF0EAD" w:rsidRPr="0093156D" w14:paraId="77A23549" w14:textId="77777777" w:rsidTr="00565155">
        <w:trPr>
          <w:trHeight w:val="300"/>
        </w:trPr>
        <w:tc>
          <w:tcPr>
            <w:tcW w:w="2285" w:type="pct"/>
            <w:tcBorders>
              <w:top w:val="single" w:sz="4" w:space="0" w:color="auto"/>
              <w:left w:val="single" w:sz="4" w:space="0" w:color="auto"/>
              <w:bottom w:val="nil"/>
              <w:right w:val="nil"/>
            </w:tcBorders>
            <w:shd w:val="clear" w:color="auto" w:fill="auto"/>
            <w:noWrap/>
            <w:vAlign w:val="center"/>
            <w:hideMark/>
          </w:tcPr>
          <w:p w14:paraId="532948EB"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01 Legislators, senior officials and managers</w:t>
            </w:r>
          </w:p>
        </w:tc>
        <w:tc>
          <w:tcPr>
            <w:tcW w:w="452" w:type="pct"/>
            <w:tcBorders>
              <w:top w:val="single" w:sz="4" w:space="0" w:color="auto"/>
              <w:left w:val="single" w:sz="4" w:space="0" w:color="auto"/>
              <w:bottom w:val="nil"/>
              <w:right w:val="nil"/>
            </w:tcBorders>
            <w:shd w:val="clear" w:color="auto" w:fill="auto"/>
            <w:noWrap/>
            <w:vAlign w:val="center"/>
            <w:hideMark/>
          </w:tcPr>
          <w:p w14:paraId="71DF3D1B"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18,0</w:t>
            </w:r>
          </w:p>
        </w:tc>
        <w:tc>
          <w:tcPr>
            <w:tcW w:w="452" w:type="pct"/>
            <w:tcBorders>
              <w:top w:val="single" w:sz="4" w:space="0" w:color="auto"/>
              <w:left w:val="nil"/>
              <w:bottom w:val="nil"/>
              <w:right w:val="nil"/>
            </w:tcBorders>
            <w:shd w:val="clear" w:color="auto" w:fill="auto"/>
            <w:noWrap/>
            <w:vAlign w:val="center"/>
            <w:hideMark/>
          </w:tcPr>
          <w:p w14:paraId="1C381791"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17,6</w:t>
            </w:r>
          </w:p>
        </w:tc>
        <w:tc>
          <w:tcPr>
            <w:tcW w:w="452" w:type="pct"/>
            <w:tcBorders>
              <w:top w:val="single" w:sz="4" w:space="0" w:color="auto"/>
              <w:left w:val="nil"/>
              <w:bottom w:val="nil"/>
              <w:right w:val="nil"/>
            </w:tcBorders>
            <w:shd w:val="clear" w:color="auto" w:fill="auto"/>
            <w:noWrap/>
            <w:vAlign w:val="center"/>
            <w:hideMark/>
          </w:tcPr>
          <w:p w14:paraId="2EECD8BD"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16,7</w:t>
            </w:r>
          </w:p>
        </w:tc>
        <w:tc>
          <w:tcPr>
            <w:tcW w:w="452" w:type="pct"/>
            <w:tcBorders>
              <w:top w:val="single" w:sz="4" w:space="0" w:color="auto"/>
              <w:left w:val="nil"/>
              <w:bottom w:val="nil"/>
              <w:right w:val="nil"/>
            </w:tcBorders>
            <w:shd w:val="clear" w:color="auto" w:fill="auto"/>
            <w:noWrap/>
            <w:vAlign w:val="center"/>
            <w:hideMark/>
          </w:tcPr>
          <w:p w14:paraId="4F4393F0"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16,6</w:t>
            </w:r>
          </w:p>
        </w:tc>
        <w:tc>
          <w:tcPr>
            <w:tcW w:w="453" w:type="pct"/>
            <w:tcBorders>
              <w:top w:val="single" w:sz="4" w:space="0" w:color="auto"/>
              <w:left w:val="nil"/>
              <w:bottom w:val="nil"/>
              <w:right w:val="nil"/>
            </w:tcBorders>
            <w:shd w:val="clear" w:color="auto" w:fill="auto"/>
            <w:noWrap/>
            <w:vAlign w:val="center"/>
            <w:hideMark/>
          </w:tcPr>
          <w:p w14:paraId="6E8F50C0"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11,9</w:t>
            </w:r>
          </w:p>
        </w:tc>
        <w:tc>
          <w:tcPr>
            <w:tcW w:w="452" w:type="pct"/>
            <w:tcBorders>
              <w:top w:val="single" w:sz="4" w:space="0" w:color="auto"/>
              <w:left w:val="nil"/>
              <w:bottom w:val="nil"/>
              <w:right w:val="single" w:sz="4" w:space="0" w:color="auto"/>
            </w:tcBorders>
            <w:shd w:val="clear" w:color="auto" w:fill="auto"/>
            <w:noWrap/>
            <w:vAlign w:val="center"/>
            <w:hideMark/>
          </w:tcPr>
          <w:p w14:paraId="0B19CB8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9,5</w:t>
            </w:r>
          </w:p>
        </w:tc>
      </w:tr>
      <w:tr w:rsidR="00CF0EAD" w:rsidRPr="0093156D" w14:paraId="6B12270A"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24E32EA7"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02 Professionals</w:t>
            </w:r>
          </w:p>
        </w:tc>
        <w:tc>
          <w:tcPr>
            <w:tcW w:w="452" w:type="pct"/>
            <w:tcBorders>
              <w:top w:val="nil"/>
              <w:left w:val="single" w:sz="4" w:space="0" w:color="auto"/>
              <w:bottom w:val="nil"/>
              <w:right w:val="nil"/>
            </w:tcBorders>
            <w:shd w:val="clear" w:color="auto" w:fill="auto"/>
            <w:noWrap/>
            <w:vAlign w:val="center"/>
            <w:hideMark/>
          </w:tcPr>
          <w:p w14:paraId="3A817D55"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4,0</w:t>
            </w:r>
          </w:p>
        </w:tc>
        <w:tc>
          <w:tcPr>
            <w:tcW w:w="452" w:type="pct"/>
            <w:tcBorders>
              <w:top w:val="nil"/>
              <w:left w:val="nil"/>
              <w:bottom w:val="nil"/>
              <w:right w:val="nil"/>
            </w:tcBorders>
            <w:shd w:val="clear" w:color="auto" w:fill="auto"/>
            <w:noWrap/>
            <w:vAlign w:val="center"/>
            <w:hideMark/>
          </w:tcPr>
          <w:p w14:paraId="14B1F65B"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14,0</w:t>
            </w:r>
          </w:p>
        </w:tc>
        <w:tc>
          <w:tcPr>
            <w:tcW w:w="452" w:type="pct"/>
            <w:tcBorders>
              <w:top w:val="nil"/>
              <w:left w:val="nil"/>
              <w:bottom w:val="nil"/>
              <w:right w:val="nil"/>
            </w:tcBorders>
            <w:shd w:val="clear" w:color="auto" w:fill="auto"/>
            <w:noWrap/>
            <w:vAlign w:val="center"/>
            <w:hideMark/>
          </w:tcPr>
          <w:p w14:paraId="0A44B7AF"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12,1</w:t>
            </w:r>
          </w:p>
        </w:tc>
        <w:tc>
          <w:tcPr>
            <w:tcW w:w="452" w:type="pct"/>
            <w:tcBorders>
              <w:top w:val="nil"/>
              <w:left w:val="nil"/>
              <w:bottom w:val="nil"/>
              <w:right w:val="nil"/>
            </w:tcBorders>
            <w:shd w:val="clear" w:color="auto" w:fill="auto"/>
            <w:noWrap/>
            <w:vAlign w:val="center"/>
            <w:hideMark/>
          </w:tcPr>
          <w:p w14:paraId="09477803"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4,2</w:t>
            </w:r>
          </w:p>
        </w:tc>
        <w:tc>
          <w:tcPr>
            <w:tcW w:w="453" w:type="pct"/>
            <w:tcBorders>
              <w:top w:val="nil"/>
              <w:left w:val="nil"/>
              <w:bottom w:val="nil"/>
              <w:right w:val="nil"/>
            </w:tcBorders>
            <w:shd w:val="clear" w:color="auto" w:fill="auto"/>
            <w:noWrap/>
            <w:vAlign w:val="center"/>
            <w:hideMark/>
          </w:tcPr>
          <w:p w14:paraId="15D3D0D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3,1</w:t>
            </w:r>
          </w:p>
        </w:tc>
        <w:tc>
          <w:tcPr>
            <w:tcW w:w="452" w:type="pct"/>
            <w:tcBorders>
              <w:top w:val="nil"/>
              <w:left w:val="nil"/>
              <w:bottom w:val="nil"/>
              <w:right w:val="single" w:sz="4" w:space="0" w:color="auto"/>
            </w:tcBorders>
            <w:shd w:val="clear" w:color="auto" w:fill="auto"/>
            <w:noWrap/>
            <w:vAlign w:val="center"/>
            <w:hideMark/>
          </w:tcPr>
          <w:p w14:paraId="79FFF2C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3,2</w:t>
            </w:r>
          </w:p>
        </w:tc>
      </w:tr>
      <w:tr w:rsidR="00CF0EAD" w:rsidRPr="0093156D" w14:paraId="3E8D59E3"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3270ADFC"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03 Technicians and associate professionals</w:t>
            </w:r>
          </w:p>
        </w:tc>
        <w:tc>
          <w:tcPr>
            <w:tcW w:w="452" w:type="pct"/>
            <w:tcBorders>
              <w:top w:val="nil"/>
              <w:left w:val="single" w:sz="4" w:space="0" w:color="auto"/>
              <w:bottom w:val="nil"/>
              <w:right w:val="nil"/>
            </w:tcBorders>
            <w:shd w:val="clear" w:color="auto" w:fill="auto"/>
            <w:noWrap/>
            <w:vAlign w:val="center"/>
            <w:hideMark/>
          </w:tcPr>
          <w:p w14:paraId="27CF600F"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9,5</w:t>
            </w:r>
          </w:p>
        </w:tc>
        <w:tc>
          <w:tcPr>
            <w:tcW w:w="452" w:type="pct"/>
            <w:tcBorders>
              <w:top w:val="nil"/>
              <w:left w:val="nil"/>
              <w:bottom w:val="nil"/>
              <w:right w:val="nil"/>
            </w:tcBorders>
            <w:shd w:val="clear" w:color="auto" w:fill="auto"/>
            <w:noWrap/>
            <w:vAlign w:val="center"/>
            <w:hideMark/>
          </w:tcPr>
          <w:p w14:paraId="59A4EC2D"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12,8</w:t>
            </w:r>
          </w:p>
        </w:tc>
        <w:tc>
          <w:tcPr>
            <w:tcW w:w="452" w:type="pct"/>
            <w:tcBorders>
              <w:top w:val="nil"/>
              <w:left w:val="nil"/>
              <w:bottom w:val="nil"/>
              <w:right w:val="nil"/>
            </w:tcBorders>
            <w:shd w:val="clear" w:color="auto" w:fill="auto"/>
            <w:noWrap/>
            <w:vAlign w:val="center"/>
            <w:hideMark/>
          </w:tcPr>
          <w:p w14:paraId="27055430"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14,4</w:t>
            </w:r>
          </w:p>
        </w:tc>
        <w:tc>
          <w:tcPr>
            <w:tcW w:w="452" w:type="pct"/>
            <w:tcBorders>
              <w:top w:val="nil"/>
              <w:left w:val="nil"/>
              <w:bottom w:val="nil"/>
              <w:right w:val="nil"/>
            </w:tcBorders>
            <w:shd w:val="clear" w:color="auto" w:fill="auto"/>
            <w:noWrap/>
            <w:vAlign w:val="center"/>
            <w:hideMark/>
          </w:tcPr>
          <w:p w14:paraId="127B871D"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16,2</w:t>
            </w:r>
          </w:p>
        </w:tc>
        <w:tc>
          <w:tcPr>
            <w:tcW w:w="453" w:type="pct"/>
            <w:tcBorders>
              <w:top w:val="nil"/>
              <w:left w:val="nil"/>
              <w:bottom w:val="nil"/>
              <w:right w:val="nil"/>
            </w:tcBorders>
            <w:shd w:val="clear" w:color="auto" w:fill="auto"/>
            <w:noWrap/>
            <w:vAlign w:val="center"/>
            <w:hideMark/>
          </w:tcPr>
          <w:p w14:paraId="27FB1690"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15,0</w:t>
            </w:r>
          </w:p>
        </w:tc>
        <w:tc>
          <w:tcPr>
            <w:tcW w:w="452" w:type="pct"/>
            <w:tcBorders>
              <w:top w:val="nil"/>
              <w:left w:val="nil"/>
              <w:bottom w:val="nil"/>
              <w:right w:val="single" w:sz="4" w:space="0" w:color="auto"/>
            </w:tcBorders>
            <w:shd w:val="clear" w:color="auto" w:fill="auto"/>
            <w:noWrap/>
            <w:vAlign w:val="center"/>
            <w:hideMark/>
          </w:tcPr>
          <w:p w14:paraId="669D6089"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12,9</w:t>
            </w:r>
          </w:p>
        </w:tc>
      </w:tr>
      <w:tr w:rsidR="00CF0EAD" w:rsidRPr="0093156D" w14:paraId="0057CE3D"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4FBE2571"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04 Clerks</w:t>
            </w:r>
          </w:p>
        </w:tc>
        <w:tc>
          <w:tcPr>
            <w:tcW w:w="452" w:type="pct"/>
            <w:tcBorders>
              <w:top w:val="nil"/>
              <w:left w:val="single" w:sz="4" w:space="0" w:color="auto"/>
              <w:bottom w:val="nil"/>
              <w:right w:val="nil"/>
            </w:tcBorders>
            <w:shd w:val="clear" w:color="auto" w:fill="auto"/>
            <w:noWrap/>
            <w:vAlign w:val="center"/>
            <w:hideMark/>
          </w:tcPr>
          <w:p w14:paraId="4CAF40EF"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16,3</w:t>
            </w:r>
          </w:p>
        </w:tc>
        <w:tc>
          <w:tcPr>
            <w:tcW w:w="452" w:type="pct"/>
            <w:tcBorders>
              <w:top w:val="nil"/>
              <w:left w:val="nil"/>
              <w:bottom w:val="nil"/>
              <w:right w:val="nil"/>
            </w:tcBorders>
            <w:shd w:val="clear" w:color="auto" w:fill="auto"/>
            <w:noWrap/>
            <w:vAlign w:val="center"/>
            <w:hideMark/>
          </w:tcPr>
          <w:p w14:paraId="7A5AE557"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19,6</w:t>
            </w:r>
          </w:p>
        </w:tc>
        <w:tc>
          <w:tcPr>
            <w:tcW w:w="452" w:type="pct"/>
            <w:tcBorders>
              <w:top w:val="nil"/>
              <w:left w:val="nil"/>
              <w:bottom w:val="nil"/>
              <w:right w:val="nil"/>
            </w:tcBorders>
            <w:shd w:val="clear" w:color="auto" w:fill="auto"/>
            <w:noWrap/>
            <w:vAlign w:val="center"/>
            <w:hideMark/>
          </w:tcPr>
          <w:p w14:paraId="0C1D369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16,0</w:t>
            </w:r>
          </w:p>
        </w:tc>
        <w:tc>
          <w:tcPr>
            <w:tcW w:w="452" w:type="pct"/>
            <w:tcBorders>
              <w:top w:val="nil"/>
              <w:left w:val="nil"/>
              <w:bottom w:val="nil"/>
              <w:right w:val="nil"/>
            </w:tcBorders>
            <w:shd w:val="clear" w:color="auto" w:fill="auto"/>
            <w:noWrap/>
            <w:vAlign w:val="center"/>
            <w:hideMark/>
          </w:tcPr>
          <w:p w14:paraId="57C4F030"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26,3</w:t>
            </w:r>
          </w:p>
        </w:tc>
        <w:tc>
          <w:tcPr>
            <w:tcW w:w="453" w:type="pct"/>
            <w:tcBorders>
              <w:top w:val="nil"/>
              <w:left w:val="nil"/>
              <w:bottom w:val="nil"/>
              <w:right w:val="nil"/>
            </w:tcBorders>
            <w:shd w:val="clear" w:color="auto" w:fill="auto"/>
            <w:noWrap/>
            <w:vAlign w:val="center"/>
            <w:hideMark/>
          </w:tcPr>
          <w:p w14:paraId="393F4265"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21,1</w:t>
            </w:r>
          </w:p>
        </w:tc>
        <w:tc>
          <w:tcPr>
            <w:tcW w:w="452" w:type="pct"/>
            <w:tcBorders>
              <w:top w:val="nil"/>
              <w:left w:val="nil"/>
              <w:bottom w:val="nil"/>
              <w:right w:val="single" w:sz="4" w:space="0" w:color="auto"/>
            </w:tcBorders>
            <w:shd w:val="clear" w:color="auto" w:fill="auto"/>
            <w:noWrap/>
            <w:vAlign w:val="center"/>
            <w:hideMark/>
          </w:tcPr>
          <w:p w14:paraId="4AE2F82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23,7</w:t>
            </w:r>
          </w:p>
        </w:tc>
      </w:tr>
      <w:tr w:rsidR="00CF0EAD" w:rsidRPr="0093156D" w14:paraId="32AC5D3A"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438F9F40"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05 Service workers and shop and market sales workers</w:t>
            </w:r>
          </w:p>
        </w:tc>
        <w:tc>
          <w:tcPr>
            <w:tcW w:w="452" w:type="pct"/>
            <w:tcBorders>
              <w:top w:val="nil"/>
              <w:left w:val="single" w:sz="4" w:space="0" w:color="auto"/>
              <w:bottom w:val="nil"/>
              <w:right w:val="nil"/>
            </w:tcBorders>
            <w:shd w:val="clear" w:color="auto" w:fill="auto"/>
            <w:noWrap/>
            <w:vAlign w:val="center"/>
            <w:hideMark/>
          </w:tcPr>
          <w:p w14:paraId="77DD30B7"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1,3</w:t>
            </w:r>
          </w:p>
        </w:tc>
        <w:tc>
          <w:tcPr>
            <w:tcW w:w="452" w:type="pct"/>
            <w:tcBorders>
              <w:top w:val="nil"/>
              <w:left w:val="nil"/>
              <w:bottom w:val="nil"/>
              <w:right w:val="nil"/>
            </w:tcBorders>
            <w:shd w:val="clear" w:color="auto" w:fill="auto"/>
            <w:noWrap/>
            <w:vAlign w:val="center"/>
            <w:hideMark/>
          </w:tcPr>
          <w:p w14:paraId="7BA2DC3B"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1,2</w:t>
            </w:r>
          </w:p>
        </w:tc>
        <w:tc>
          <w:tcPr>
            <w:tcW w:w="452" w:type="pct"/>
            <w:tcBorders>
              <w:top w:val="nil"/>
              <w:left w:val="nil"/>
              <w:bottom w:val="nil"/>
              <w:right w:val="nil"/>
            </w:tcBorders>
            <w:shd w:val="clear" w:color="auto" w:fill="auto"/>
            <w:noWrap/>
            <w:vAlign w:val="center"/>
            <w:hideMark/>
          </w:tcPr>
          <w:p w14:paraId="31E7B819"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2,2</w:t>
            </w:r>
          </w:p>
        </w:tc>
        <w:tc>
          <w:tcPr>
            <w:tcW w:w="452" w:type="pct"/>
            <w:tcBorders>
              <w:top w:val="nil"/>
              <w:left w:val="nil"/>
              <w:bottom w:val="nil"/>
              <w:right w:val="nil"/>
            </w:tcBorders>
            <w:shd w:val="clear" w:color="auto" w:fill="auto"/>
            <w:noWrap/>
            <w:vAlign w:val="center"/>
            <w:hideMark/>
          </w:tcPr>
          <w:p w14:paraId="218E69E1"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1,9</w:t>
            </w:r>
          </w:p>
        </w:tc>
        <w:tc>
          <w:tcPr>
            <w:tcW w:w="453" w:type="pct"/>
            <w:tcBorders>
              <w:top w:val="nil"/>
              <w:left w:val="nil"/>
              <w:bottom w:val="nil"/>
              <w:right w:val="nil"/>
            </w:tcBorders>
            <w:shd w:val="clear" w:color="auto" w:fill="auto"/>
            <w:noWrap/>
            <w:vAlign w:val="center"/>
            <w:hideMark/>
          </w:tcPr>
          <w:p w14:paraId="6F80AB8F"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2,2</w:t>
            </w:r>
          </w:p>
        </w:tc>
        <w:tc>
          <w:tcPr>
            <w:tcW w:w="452" w:type="pct"/>
            <w:tcBorders>
              <w:top w:val="nil"/>
              <w:left w:val="nil"/>
              <w:bottom w:val="nil"/>
              <w:right w:val="single" w:sz="4" w:space="0" w:color="auto"/>
            </w:tcBorders>
            <w:shd w:val="clear" w:color="auto" w:fill="auto"/>
            <w:noWrap/>
            <w:vAlign w:val="center"/>
            <w:hideMark/>
          </w:tcPr>
          <w:p w14:paraId="36429073"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1,8</w:t>
            </w:r>
          </w:p>
        </w:tc>
      </w:tr>
      <w:tr w:rsidR="00CF0EAD" w:rsidRPr="0093156D" w14:paraId="0F7D7370"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19813E8F"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06 Skilled agricultural and fishery workers</w:t>
            </w:r>
          </w:p>
        </w:tc>
        <w:tc>
          <w:tcPr>
            <w:tcW w:w="452" w:type="pct"/>
            <w:tcBorders>
              <w:top w:val="nil"/>
              <w:left w:val="single" w:sz="4" w:space="0" w:color="auto"/>
              <w:bottom w:val="nil"/>
              <w:right w:val="nil"/>
            </w:tcBorders>
            <w:shd w:val="clear" w:color="auto" w:fill="auto"/>
            <w:noWrap/>
            <w:vAlign w:val="center"/>
            <w:hideMark/>
          </w:tcPr>
          <w:p w14:paraId="0E49A82D"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3,9</w:t>
            </w:r>
          </w:p>
        </w:tc>
        <w:tc>
          <w:tcPr>
            <w:tcW w:w="452" w:type="pct"/>
            <w:tcBorders>
              <w:top w:val="nil"/>
              <w:left w:val="nil"/>
              <w:bottom w:val="nil"/>
              <w:right w:val="nil"/>
            </w:tcBorders>
            <w:shd w:val="clear" w:color="auto" w:fill="auto"/>
            <w:noWrap/>
            <w:vAlign w:val="center"/>
            <w:hideMark/>
          </w:tcPr>
          <w:p w14:paraId="3AC590F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3,0</w:t>
            </w:r>
          </w:p>
        </w:tc>
        <w:tc>
          <w:tcPr>
            <w:tcW w:w="452" w:type="pct"/>
            <w:tcBorders>
              <w:top w:val="nil"/>
              <w:left w:val="nil"/>
              <w:bottom w:val="nil"/>
              <w:right w:val="nil"/>
            </w:tcBorders>
            <w:shd w:val="clear" w:color="auto" w:fill="auto"/>
            <w:noWrap/>
            <w:vAlign w:val="center"/>
            <w:hideMark/>
          </w:tcPr>
          <w:p w14:paraId="48579D5D"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9,5</w:t>
            </w:r>
          </w:p>
        </w:tc>
        <w:tc>
          <w:tcPr>
            <w:tcW w:w="452" w:type="pct"/>
            <w:tcBorders>
              <w:top w:val="nil"/>
              <w:left w:val="nil"/>
              <w:bottom w:val="nil"/>
              <w:right w:val="nil"/>
            </w:tcBorders>
            <w:shd w:val="clear" w:color="auto" w:fill="auto"/>
            <w:noWrap/>
            <w:vAlign w:val="center"/>
            <w:hideMark/>
          </w:tcPr>
          <w:p w14:paraId="643CCAC1"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9,3</w:t>
            </w:r>
          </w:p>
        </w:tc>
        <w:tc>
          <w:tcPr>
            <w:tcW w:w="453" w:type="pct"/>
            <w:tcBorders>
              <w:top w:val="nil"/>
              <w:left w:val="nil"/>
              <w:bottom w:val="nil"/>
              <w:right w:val="nil"/>
            </w:tcBorders>
            <w:shd w:val="clear" w:color="auto" w:fill="auto"/>
            <w:noWrap/>
            <w:vAlign w:val="center"/>
            <w:hideMark/>
          </w:tcPr>
          <w:p w14:paraId="0B3B4361"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8,5</w:t>
            </w:r>
          </w:p>
        </w:tc>
        <w:tc>
          <w:tcPr>
            <w:tcW w:w="452" w:type="pct"/>
            <w:tcBorders>
              <w:top w:val="nil"/>
              <w:left w:val="nil"/>
              <w:bottom w:val="nil"/>
              <w:right w:val="single" w:sz="4" w:space="0" w:color="auto"/>
            </w:tcBorders>
            <w:shd w:val="clear" w:color="auto" w:fill="auto"/>
            <w:noWrap/>
            <w:vAlign w:val="center"/>
            <w:hideMark/>
          </w:tcPr>
          <w:p w14:paraId="7B949DF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8,0</w:t>
            </w:r>
          </w:p>
        </w:tc>
      </w:tr>
      <w:tr w:rsidR="00CF0EAD" w:rsidRPr="0093156D" w14:paraId="243F86C1"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5AC24DA7"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07 Craft and related trades workers</w:t>
            </w:r>
          </w:p>
        </w:tc>
        <w:tc>
          <w:tcPr>
            <w:tcW w:w="452" w:type="pct"/>
            <w:tcBorders>
              <w:top w:val="nil"/>
              <w:left w:val="single" w:sz="4" w:space="0" w:color="auto"/>
              <w:bottom w:val="nil"/>
              <w:right w:val="nil"/>
            </w:tcBorders>
            <w:shd w:val="clear" w:color="auto" w:fill="auto"/>
            <w:noWrap/>
            <w:vAlign w:val="center"/>
            <w:hideMark/>
          </w:tcPr>
          <w:p w14:paraId="6B29E1D2"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3,5</w:t>
            </w:r>
          </w:p>
        </w:tc>
        <w:tc>
          <w:tcPr>
            <w:tcW w:w="452" w:type="pct"/>
            <w:tcBorders>
              <w:top w:val="nil"/>
              <w:left w:val="nil"/>
              <w:bottom w:val="nil"/>
              <w:right w:val="nil"/>
            </w:tcBorders>
            <w:shd w:val="clear" w:color="auto" w:fill="auto"/>
            <w:noWrap/>
            <w:vAlign w:val="center"/>
            <w:hideMark/>
          </w:tcPr>
          <w:p w14:paraId="40C9338B"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3,3</w:t>
            </w:r>
          </w:p>
        </w:tc>
        <w:tc>
          <w:tcPr>
            <w:tcW w:w="452" w:type="pct"/>
            <w:tcBorders>
              <w:top w:val="nil"/>
              <w:left w:val="nil"/>
              <w:bottom w:val="nil"/>
              <w:right w:val="nil"/>
            </w:tcBorders>
            <w:shd w:val="clear" w:color="auto" w:fill="auto"/>
            <w:noWrap/>
            <w:vAlign w:val="center"/>
            <w:hideMark/>
          </w:tcPr>
          <w:p w14:paraId="01CB37E3"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2,6</w:t>
            </w:r>
          </w:p>
        </w:tc>
        <w:tc>
          <w:tcPr>
            <w:tcW w:w="452" w:type="pct"/>
            <w:tcBorders>
              <w:top w:val="nil"/>
              <w:left w:val="nil"/>
              <w:bottom w:val="nil"/>
              <w:right w:val="nil"/>
            </w:tcBorders>
            <w:shd w:val="clear" w:color="auto" w:fill="auto"/>
            <w:noWrap/>
            <w:vAlign w:val="center"/>
            <w:hideMark/>
          </w:tcPr>
          <w:p w14:paraId="6C2BB184"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3,2</w:t>
            </w:r>
          </w:p>
        </w:tc>
        <w:tc>
          <w:tcPr>
            <w:tcW w:w="453" w:type="pct"/>
            <w:tcBorders>
              <w:top w:val="nil"/>
              <w:left w:val="nil"/>
              <w:bottom w:val="nil"/>
              <w:right w:val="nil"/>
            </w:tcBorders>
            <w:shd w:val="clear" w:color="auto" w:fill="auto"/>
            <w:noWrap/>
            <w:vAlign w:val="center"/>
            <w:hideMark/>
          </w:tcPr>
          <w:p w14:paraId="6345FBA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2,4</w:t>
            </w:r>
          </w:p>
        </w:tc>
        <w:tc>
          <w:tcPr>
            <w:tcW w:w="452" w:type="pct"/>
            <w:tcBorders>
              <w:top w:val="nil"/>
              <w:left w:val="nil"/>
              <w:bottom w:val="nil"/>
              <w:right w:val="single" w:sz="4" w:space="0" w:color="auto"/>
            </w:tcBorders>
            <w:shd w:val="clear" w:color="auto" w:fill="auto"/>
            <w:noWrap/>
            <w:vAlign w:val="center"/>
            <w:hideMark/>
          </w:tcPr>
          <w:p w14:paraId="0ED5342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3,5</w:t>
            </w:r>
          </w:p>
        </w:tc>
      </w:tr>
      <w:tr w:rsidR="00CF0EAD" w:rsidRPr="0093156D" w14:paraId="393BC77A" w14:textId="77777777" w:rsidTr="00565155">
        <w:trPr>
          <w:trHeight w:val="300"/>
        </w:trPr>
        <w:tc>
          <w:tcPr>
            <w:tcW w:w="2285" w:type="pct"/>
            <w:tcBorders>
              <w:top w:val="nil"/>
              <w:left w:val="single" w:sz="4" w:space="0" w:color="auto"/>
              <w:bottom w:val="nil"/>
              <w:right w:val="nil"/>
            </w:tcBorders>
            <w:shd w:val="clear" w:color="auto" w:fill="auto"/>
            <w:noWrap/>
            <w:vAlign w:val="center"/>
            <w:hideMark/>
          </w:tcPr>
          <w:p w14:paraId="34215CE0"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08 Plant and machine operators and assemblers</w:t>
            </w:r>
          </w:p>
        </w:tc>
        <w:tc>
          <w:tcPr>
            <w:tcW w:w="452" w:type="pct"/>
            <w:tcBorders>
              <w:top w:val="nil"/>
              <w:left w:val="single" w:sz="4" w:space="0" w:color="auto"/>
              <w:bottom w:val="nil"/>
              <w:right w:val="nil"/>
            </w:tcBorders>
            <w:shd w:val="clear" w:color="auto" w:fill="auto"/>
            <w:noWrap/>
            <w:vAlign w:val="center"/>
            <w:hideMark/>
          </w:tcPr>
          <w:p w14:paraId="7EF4D124"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0,9</w:t>
            </w:r>
          </w:p>
        </w:tc>
        <w:tc>
          <w:tcPr>
            <w:tcW w:w="452" w:type="pct"/>
            <w:tcBorders>
              <w:top w:val="nil"/>
              <w:left w:val="nil"/>
              <w:bottom w:val="nil"/>
              <w:right w:val="nil"/>
            </w:tcBorders>
            <w:shd w:val="clear" w:color="auto" w:fill="auto"/>
            <w:noWrap/>
            <w:vAlign w:val="center"/>
            <w:hideMark/>
          </w:tcPr>
          <w:p w14:paraId="11085522"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0,0</w:t>
            </w:r>
          </w:p>
        </w:tc>
        <w:tc>
          <w:tcPr>
            <w:tcW w:w="452" w:type="pct"/>
            <w:tcBorders>
              <w:top w:val="nil"/>
              <w:left w:val="nil"/>
              <w:bottom w:val="nil"/>
              <w:right w:val="nil"/>
            </w:tcBorders>
            <w:shd w:val="clear" w:color="auto" w:fill="auto"/>
            <w:noWrap/>
            <w:vAlign w:val="center"/>
            <w:hideMark/>
          </w:tcPr>
          <w:p w14:paraId="07B6A0F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2,5</w:t>
            </w:r>
          </w:p>
        </w:tc>
        <w:tc>
          <w:tcPr>
            <w:tcW w:w="452" w:type="pct"/>
            <w:tcBorders>
              <w:top w:val="nil"/>
              <w:left w:val="nil"/>
              <w:bottom w:val="nil"/>
              <w:right w:val="nil"/>
            </w:tcBorders>
            <w:shd w:val="clear" w:color="auto" w:fill="auto"/>
            <w:noWrap/>
            <w:vAlign w:val="center"/>
            <w:hideMark/>
          </w:tcPr>
          <w:p w14:paraId="044AE720"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1,6</w:t>
            </w:r>
          </w:p>
        </w:tc>
        <w:tc>
          <w:tcPr>
            <w:tcW w:w="453" w:type="pct"/>
            <w:tcBorders>
              <w:top w:val="nil"/>
              <w:left w:val="nil"/>
              <w:bottom w:val="nil"/>
              <w:right w:val="nil"/>
            </w:tcBorders>
            <w:shd w:val="clear" w:color="auto" w:fill="auto"/>
            <w:noWrap/>
            <w:vAlign w:val="center"/>
            <w:hideMark/>
          </w:tcPr>
          <w:p w14:paraId="4891689A"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1,6</w:t>
            </w:r>
          </w:p>
        </w:tc>
        <w:tc>
          <w:tcPr>
            <w:tcW w:w="452" w:type="pct"/>
            <w:tcBorders>
              <w:top w:val="nil"/>
              <w:left w:val="nil"/>
              <w:bottom w:val="nil"/>
              <w:right w:val="single" w:sz="4" w:space="0" w:color="auto"/>
            </w:tcBorders>
            <w:shd w:val="clear" w:color="auto" w:fill="auto"/>
            <w:noWrap/>
            <w:vAlign w:val="center"/>
            <w:hideMark/>
          </w:tcPr>
          <w:p w14:paraId="0D66BBB5"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1,9</w:t>
            </w:r>
          </w:p>
        </w:tc>
      </w:tr>
      <w:tr w:rsidR="00CF0EAD" w:rsidRPr="0093156D" w14:paraId="2D6B8961" w14:textId="77777777" w:rsidTr="00565155">
        <w:trPr>
          <w:trHeight w:val="300"/>
        </w:trPr>
        <w:tc>
          <w:tcPr>
            <w:tcW w:w="2285" w:type="pct"/>
            <w:tcBorders>
              <w:top w:val="nil"/>
              <w:left w:val="single" w:sz="4" w:space="0" w:color="auto"/>
              <w:bottom w:val="single" w:sz="4" w:space="0" w:color="auto"/>
              <w:right w:val="nil"/>
            </w:tcBorders>
            <w:shd w:val="clear" w:color="auto" w:fill="auto"/>
            <w:noWrap/>
            <w:vAlign w:val="center"/>
            <w:hideMark/>
          </w:tcPr>
          <w:p w14:paraId="45605A0D" w14:textId="77777777" w:rsidR="00CF0EAD" w:rsidRPr="0093156D" w:rsidRDefault="00CF0EAD" w:rsidP="00CF0EAD">
            <w:pPr>
              <w:spacing w:after="0"/>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09 Elementary occupations</w:t>
            </w:r>
          </w:p>
        </w:tc>
        <w:tc>
          <w:tcPr>
            <w:tcW w:w="452" w:type="pct"/>
            <w:tcBorders>
              <w:top w:val="nil"/>
              <w:left w:val="single" w:sz="4" w:space="0" w:color="auto"/>
              <w:bottom w:val="single" w:sz="4" w:space="0" w:color="auto"/>
              <w:right w:val="nil"/>
            </w:tcBorders>
            <w:shd w:val="clear" w:color="auto" w:fill="auto"/>
            <w:noWrap/>
            <w:vAlign w:val="center"/>
            <w:hideMark/>
          </w:tcPr>
          <w:p w14:paraId="1C6B908C"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5,6</w:t>
            </w:r>
          </w:p>
        </w:tc>
        <w:tc>
          <w:tcPr>
            <w:tcW w:w="452" w:type="pct"/>
            <w:tcBorders>
              <w:top w:val="nil"/>
              <w:left w:val="nil"/>
              <w:bottom w:val="single" w:sz="4" w:space="0" w:color="auto"/>
              <w:right w:val="nil"/>
            </w:tcBorders>
            <w:shd w:val="clear" w:color="auto" w:fill="auto"/>
            <w:noWrap/>
            <w:vAlign w:val="center"/>
            <w:hideMark/>
          </w:tcPr>
          <w:p w14:paraId="65950CF2"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8,3</w:t>
            </w:r>
          </w:p>
        </w:tc>
        <w:tc>
          <w:tcPr>
            <w:tcW w:w="452" w:type="pct"/>
            <w:tcBorders>
              <w:top w:val="nil"/>
              <w:left w:val="nil"/>
              <w:bottom w:val="single" w:sz="4" w:space="0" w:color="auto"/>
              <w:right w:val="nil"/>
            </w:tcBorders>
            <w:shd w:val="clear" w:color="auto" w:fill="auto"/>
            <w:noWrap/>
            <w:vAlign w:val="center"/>
            <w:hideMark/>
          </w:tcPr>
          <w:p w14:paraId="221E81B3"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6,5</w:t>
            </w:r>
          </w:p>
        </w:tc>
        <w:tc>
          <w:tcPr>
            <w:tcW w:w="452" w:type="pct"/>
            <w:tcBorders>
              <w:top w:val="nil"/>
              <w:left w:val="nil"/>
              <w:bottom w:val="single" w:sz="4" w:space="0" w:color="auto"/>
              <w:right w:val="nil"/>
            </w:tcBorders>
            <w:shd w:val="clear" w:color="auto" w:fill="auto"/>
            <w:noWrap/>
            <w:vAlign w:val="center"/>
            <w:hideMark/>
          </w:tcPr>
          <w:p w14:paraId="07626515"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6,5</w:t>
            </w:r>
          </w:p>
        </w:tc>
        <w:tc>
          <w:tcPr>
            <w:tcW w:w="453" w:type="pct"/>
            <w:tcBorders>
              <w:top w:val="nil"/>
              <w:left w:val="nil"/>
              <w:bottom w:val="single" w:sz="4" w:space="0" w:color="auto"/>
              <w:right w:val="nil"/>
            </w:tcBorders>
            <w:shd w:val="clear" w:color="auto" w:fill="auto"/>
            <w:noWrap/>
            <w:vAlign w:val="center"/>
            <w:hideMark/>
          </w:tcPr>
          <w:p w14:paraId="64CC7AD1"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7,4</w:t>
            </w:r>
          </w:p>
        </w:tc>
        <w:tc>
          <w:tcPr>
            <w:tcW w:w="452" w:type="pct"/>
            <w:tcBorders>
              <w:top w:val="nil"/>
              <w:left w:val="nil"/>
              <w:bottom w:val="single" w:sz="4" w:space="0" w:color="auto"/>
              <w:right w:val="single" w:sz="4" w:space="0" w:color="auto"/>
            </w:tcBorders>
            <w:shd w:val="clear" w:color="auto" w:fill="auto"/>
            <w:noWrap/>
            <w:vAlign w:val="center"/>
            <w:hideMark/>
          </w:tcPr>
          <w:p w14:paraId="139099DE" w14:textId="77777777" w:rsidR="00CF0EAD" w:rsidRPr="0093156D" w:rsidRDefault="00CF0EAD" w:rsidP="00CF0EAD">
            <w:pPr>
              <w:spacing w:after="0"/>
              <w:jc w:val="right"/>
              <w:rPr>
                <w:rFonts w:ascii="Calibri" w:eastAsia="Times New Roman" w:hAnsi="Calibri" w:cs="Times New Roman"/>
                <w:sz w:val="18"/>
                <w:szCs w:val="18"/>
                <w:lang w:eastAsia="de-DE"/>
              </w:rPr>
            </w:pPr>
            <w:r w:rsidRPr="0093156D">
              <w:rPr>
                <w:rFonts w:ascii="Calibri" w:eastAsia="Times New Roman" w:hAnsi="Calibri" w:cs="Times New Roman"/>
                <w:sz w:val="18"/>
                <w:szCs w:val="18"/>
                <w:lang w:eastAsia="de-DE"/>
              </w:rPr>
              <w:t>6,7</w:t>
            </w:r>
          </w:p>
        </w:tc>
      </w:tr>
    </w:tbl>
    <w:p w14:paraId="7CF5FFA7" w14:textId="77777777" w:rsidR="00565155" w:rsidRPr="0093156D" w:rsidRDefault="00565155" w:rsidP="00565155">
      <w:pPr>
        <w:rPr>
          <w:sz w:val="18"/>
        </w:rPr>
      </w:pPr>
      <w:r w:rsidRPr="0093156D">
        <w:rPr>
          <w:sz w:val="18"/>
        </w:rPr>
        <w:t>Source:</w:t>
      </w:r>
      <w:r>
        <w:rPr>
          <w:sz w:val="18"/>
        </w:rPr>
        <w:t xml:space="preserve"> Own calculations using LFS 2012-2016 </w:t>
      </w:r>
    </w:p>
    <w:p w14:paraId="47964C77" w14:textId="7B271B37" w:rsidR="00E84D9A" w:rsidRDefault="00473880" w:rsidP="00DF340E">
      <w:pPr>
        <w:spacing w:line="276" w:lineRule="auto"/>
        <w:jc w:val="both"/>
      </w:pPr>
      <w:r w:rsidRPr="0093156D">
        <w:t>S</w:t>
      </w:r>
      <w:r w:rsidR="00E84D9A" w:rsidRPr="0093156D">
        <w:t>kills mismatch is a</w:t>
      </w:r>
      <w:r w:rsidRPr="0093156D">
        <w:t xml:space="preserve">n important </w:t>
      </w:r>
      <w:r w:rsidR="00E84D9A" w:rsidRPr="0093156D">
        <w:t xml:space="preserve">issue on Georgian labour market. </w:t>
      </w:r>
      <w:r w:rsidRPr="0093156D">
        <w:t>Several other</w:t>
      </w:r>
      <w:r w:rsidR="00E84D9A" w:rsidRPr="0093156D">
        <w:t xml:space="preserve"> studies </w:t>
      </w:r>
      <w:r w:rsidRPr="0093156D">
        <w:t>support these findings</w:t>
      </w:r>
      <w:r w:rsidR="00E84D9A" w:rsidRPr="0093156D">
        <w:t>. For example</w:t>
      </w:r>
      <w:r w:rsidRPr="0093156D">
        <w:t>, the</w:t>
      </w:r>
      <w:r w:rsidR="00E84D9A" w:rsidRPr="0093156D">
        <w:rPr>
          <w:b/>
        </w:rPr>
        <w:t xml:space="preserve"> </w:t>
      </w:r>
      <w:r w:rsidR="00E84D9A" w:rsidRPr="0093156D">
        <w:t>Georgian Labour</w:t>
      </w:r>
      <w:r w:rsidR="00E84D9A" w:rsidRPr="0093156D">
        <w:rPr>
          <w:b/>
        </w:rPr>
        <w:t xml:space="preserve"> </w:t>
      </w:r>
      <w:r w:rsidR="00E84D9A" w:rsidRPr="0093156D">
        <w:t xml:space="preserve">Market Demand Survey commissioned by MoLHSA in 2015 asked the companies </w:t>
      </w:r>
      <w:r w:rsidRPr="0093156D">
        <w:t>to report</w:t>
      </w:r>
      <w:r w:rsidR="00E84D9A" w:rsidRPr="0093156D">
        <w:t xml:space="preserve"> difficulties in hiring of personnel </w:t>
      </w:r>
      <w:r w:rsidRPr="0093156D">
        <w:t xml:space="preserve">in order </w:t>
      </w:r>
      <w:r w:rsidR="00E84D9A" w:rsidRPr="0093156D">
        <w:t xml:space="preserve">to evaluate the </w:t>
      </w:r>
      <w:r w:rsidRPr="0093156D">
        <w:t xml:space="preserve">underlying </w:t>
      </w:r>
      <w:r w:rsidR="00E84D9A" w:rsidRPr="0093156D">
        <w:t>reasons</w:t>
      </w:r>
      <w:r w:rsidRPr="0093156D">
        <w:t xml:space="preserve">. </w:t>
      </w:r>
      <w:r w:rsidR="00E84D9A" w:rsidRPr="0093156D">
        <w:t xml:space="preserve">72.5% of </w:t>
      </w:r>
      <w:r w:rsidRPr="0093156D">
        <w:t>the companies mentioned</w:t>
      </w:r>
      <w:r w:rsidR="00E84D9A" w:rsidRPr="0093156D">
        <w:t xml:space="preserve"> that applicants have lack of necessary skills; 42.9% of companies employing foreigners </w:t>
      </w:r>
      <w:r w:rsidR="00F56308" w:rsidRPr="0093156D">
        <w:t xml:space="preserve">explained the use of foreigners by a lack of </w:t>
      </w:r>
      <w:r w:rsidR="00E84D9A" w:rsidRPr="0093156D">
        <w:t xml:space="preserve">domestic workers with required skills (see Table </w:t>
      </w:r>
      <w:r w:rsidR="00852FC3" w:rsidRPr="0093156D">
        <w:t>6</w:t>
      </w:r>
      <w:r w:rsidR="00E84D9A" w:rsidRPr="0093156D">
        <w:t>). Despite relatively high formal education levels in Georgia, a personal performance and professional skills’ gap is rather pronounced problem in Georgia</w:t>
      </w:r>
      <w:r w:rsidR="00F56308" w:rsidRPr="0093156D">
        <w:t>. G</w:t>
      </w:r>
      <w:r w:rsidR="00E84D9A" w:rsidRPr="0093156D">
        <w:t xml:space="preserve">eneral education of workers </w:t>
      </w:r>
      <w:r w:rsidR="00F56308" w:rsidRPr="0093156D">
        <w:t>is one of the main</w:t>
      </w:r>
      <w:r w:rsidR="00E84D9A" w:rsidRPr="0093156D">
        <w:t xml:space="preserve"> problems in</w:t>
      </w:r>
      <w:r w:rsidR="00F56308" w:rsidRPr="0093156D">
        <w:t xml:space="preserve"> the</w:t>
      </w:r>
      <w:r w:rsidR="00E84D9A" w:rsidRPr="0093156D">
        <w:t xml:space="preserve"> assessment of </w:t>
      </w:r>
      <w:r w:rsidR="00F56308" w:rsidRPr="0093156D">
        <w:t xml:space="preserve">the </w:t>
      </w:r>
      <w:r w:rsidR="00E84D9A" w:rsidRPr="0093156D">
        <w:t xml:space="preserve">Georgian labour market </w:t>
      </w:r>
      <w:r w:rsidR="00F56308" w:rsidRPr="0093156D">
        <w:t>of the</w:t>
      </w:r>
      <w:r w:rsidR="00E84D9A" w:rsidRPr="0093156D">
        <w:t xml:space="preserve"> STEP survey </w:t>
      </w:r>
      <w:r w:rsidR="00F56308" w:rsidRPr="0093156D">
        <w:t>in</w:t>
      </w:r>
      <w:r w:rsidR="00E84D9A" w:rsidRPr="0093156D">
        <w:t xml:space="preserve"> 2012</w:t>
      </w:r>
      <w:r w:rsidR="00F56308" w:rsidRPr="0093156D">
        <w:t>. F</w:t>
      </w:r>
      <w:r w:rsidR="00E84D9A" w:rsidRPr="0093156D">
        <w:t>inding of workers with previous experience was identified as a most severe problem by 354 companies interviewed during this survey and technical and vocational training was placed on the second place among the experienced problems by companies.</w:t>
      </w:r>
    </w:p>
    <w:p w14:paraId="364EF3B3" w14:textId="77777777" w:rsidR="00004349" w:rsidRDefault="00004349" w:rsidP="00DF340E">
      <w:pPr>
        <w:spacing w:line="276" w:lineRule="auto"/>
        <w:jc w:val="both"/>
      </w:pPr>
    </w:p>
    <w:p w14:paraId="15472B8D" w14:textId="77777777" w:rsidR="00004349" w:rsidRDefault="00004349">
      <w:pPr>
        <w:spacing w:line="276" w:lineRule="auto"/>
      </w:pPr>
      <w:r>
        <w:br w:type="page"/>
      </w:r>
    </w:p>
    <w:p w14:paraId="4F540FBC" w14:textId="0DE7EBA1" w:rsidR="00004349" w:rsidRPr="0093156D" w:rsidRDefault="00004349" w:rsidP="00DF340E">
      <w:pPr>
        <w:spacing w:line="276" w:lineRule="auto"/>
        <w:jc w:val="both"/>
      </w:pPr>
    </w:p>
    <w:p w14:paraId="735ED08B" w14:textId="7A861C1D" w:rsidR="00840770" w:rsidRPr="0093156D" w:rsidRDefault="00840770" w:rsidP="00840770">
      <w:pPr>
        <w:pStyle w:val="Caption"/>
        <w:keepNext/>
        <w:spacing w:after="0"/>
        <w:ind w:left="1410" w:hanging="1410"/>
        <w:rPr>
          <w:b/>
          <w:i w:val="0"/>
          <w:color w:val="auto"/>
          <w:sz w:val="22"/>
          <w:szCs w:val="22"/>
          <w:lang w:val="en-GB"/>
        </w:rPr>
      </w:pPr>
      <w:bookmarkStart w:id="31" w:name="_Toc494972662"/>
      <w:bookmarkStart w:id="32" w:name="_Toc497904306"/>
      <w:r w:rsidRPr="0093156D">
        <w:rPr>
          <w:b/>
          <w:i w:val="0"/>
          <w:color w:val="auto"/>
          <w:sz w:val="22"/>
          <w:szCs w:val="22"/>
          <w:lang w:val="en-GB"/>
        </w:rPr>
        <w:t xml:space="preserve">Table </w:t>
      </w:r>
      <w:r w:rsidRPr="0093156D">
        <w:rPr>
          <w:b/>
          <w:i w:val="0"/>
          <w:color w:val="auto"/>
          <w:sz w:val="22"/>
          <w:szCs w:val="22"/>
          <w:lang w:val="en-GB"/>
        </w:rPr>
        <w:fldChar w:fldCharType="begin"/>
      </w:r>
      <w:r w:rsidRPr="0093156D">
        <w:rPr>
          <w:b/>
          <w:i w:val="0"/>
          <w:color w:val="auto"/>
          <w:sz w:val="22"/>
          <w:szCs w:val="22"/>
          <w:lang w:val="en-GB"/>
        </w:rPr>
        <w:instrText xml:space="preserve"> SEQ Table \* ARABIC </w:instrText>
      </w:r>
      <w:r w:rsidRPr="0093156D">
        <w:rPr>
          <w:b/>
          <w:i w:val="0"/>
          <w:color w:val="auto"/>
          <w:sz w:val="22"/>
          <w:szCs w:val="22"/>
          <w:lang w:val="en-GB"/>
        </w:rPr>
        <w:fldChar w:fldCharType="separate"/>
      </w:r>
      <w:r w:rsidR="00C50D04">
        <w:rPr>
          <w:b/>
          <w:i w:val="0"/>
          <w:noProof/>
          <w:color w:val="auto"/>
          <w:sz w:val="22"/>
          <w:szCs w:val="22"/>
          <w:lang w:val="en-GB"/>
        </w:rPr>
        <w:t>6</w:t>
      </w:r>
      <w:r w:rsidRPr="0093156D">
        <w:rPr>
          <w:b/>
          <w:i w:val="0"/>
          <w:color w:val="auto"/>
          <w:sz w:val="22"/>
          <w:szCs w:val="22"/>
          <w:lang w:val="en-GB"/>
        </w:rPr>
        <w:fldChar w:fldCharType="end"/>
      </w:r>
      <w:r w:rsidRPr="0093156D">
        <w:rPr>
          <w:b/>
          <w:i w:val="0"/>
          <w:color w:val="auto"/>
          <w:sz w:val="22"/>
          <w:szCs w:val="22"/>
          <w:lang w:val="en-GB"/>
        </w:rPr>
        <w:tab/>
        <w:t>Mismatch-related indicators from the Georgian Labour Market Demand Survey</w:t>
      </w:r>
      <w:bookmarkEnd w:id="31"/>
      <w:bookmarkEnd w:id="32"/>
    </w:p>
    <w:tbl>
      <w:tblPr>
        <w:tblW w:w="8928" w:type="dxa"/>
        <w:tblCellMar>
          <w:left w:w="70" w:type="dxa"/>
          <w:right w:w="70" w:type="dxa"/>
        </w:tblCellMar>
        <w:tblLook w:val="04A0" w:firstRow="1" w:lastRow="0" w:firstColumn="1" w:lastColumn="0" w:noHBand="0" w:noVBand="1"/>
      </w:tblPr>
      <w:tblGrid>
        <w:gridCol w:w="700"/>
        <w:gridCol w:w="5028"/>
        <w:gridCol w:w="3200"/>
      </w:tblGrid>
      <w:tr w:rsidR="00840770" w:rsidRPr="00565155" w14:paraId="43E974FD" w14:textId="77777777" w:rsidTr="00646738">
        <w:trPr>
          <w:trHeight w:val="300"/>
        </w:trPr>
        <w:tc>
          <w:tcPr>
            <w:tcW w:w="700" w:type="dxa"/>
            <w:tcBorders>
              <w:top w:val="single" w:sz="4" w:space="0" w:color="auto"/>
              <w:left w:val="single" w:sz="4" w:space="0" w:color="auto"/>
              <w:bottom w:val="nil"/>
              <w:right w:val="nil"/>
            </w:tcBorders>
            <w:shd w:val="clear" w:color="auto" w:fill="auto"/>
            <w:noWrap/>
            <w:vAlign w:val="bottom"/>
            <w:hideMark/>
          </w:tcPr>
          <w:p w14:paraId="177364B4" w14:textId="77777777" w:rsidR="00840770" w:rsidRPr="00565155" w:rsidRDefault="00840770" w:rsidP="00646738">
            <w:pPr>
              <w:rPr>
                <w:sz w:val="18"/>
              </w:rPr>
            </w:pPr>
            <w:r w:rsidRPr="00565155">
              <w:rPr>
                <w:sz w:val="18"/>
              </w:rPr>
              <w:t> </w:t>
            </w:r>
          </w:p>
        </w:tc>
        <w:tc>
          <w:tcPr>
            <w:tcW w:w="5028" w:type="dxa"/>
            <w:tcBorders>
              <w:top w:val="single" w:sz="4" w:space="0" w:color="auto"/>
              <w:left w:val="nil"/>
              <w:bottom w:val="nil"/>
              <w:right w:val="nil"/>
            </w:tcBorders>
            <w:shd w:val="clear" w:color="auto" w:fill="auto"/>
            <w:noWrap/>
            <w:vAlign w:val="bottom"/>
            <w:hideMark/>
          </w:tcPr>
          <w:p w14:paraId="40EAF8C6" w14:textId="77777777" w:rsidR="00840770" w:rsidRPr="00565155" w:rsidRDefault="00840770" w:rsidP="00646738">
            <w:pPr>
              <w:rPr>
                <w:sz w:val="18"/>
              </w:rPr>
            </w:pPr>
            <w:r w:rsidRPr="00565155">
              <w:rPr>
                <w:sz w:val="18"/>
              </w:rPr>
              <w:t> </w:t>
            </w:r>
          </w:p>
        </w:tc>
        <w:tc>
          <w:tcPr>
            <w:tcW w:w="3200" w:type="dxa"/>
            <w:tcBorders>
              <w:top w:val="single" w:sz="4" w:space="0" w:color="auto"/>
              <w:left w:val="single" w:sz="4" w:space="0" w:color="auto"/>
              <w:bottom w:val="nil"/>
              <w:right w:val="single" w:sz="4" w:space="0" w:color="auto"/>
            </w:tcBorders>
            <w:shd w:val="clear" w:color="auto" w:fill="auto"/>
            <w:noWrap/>
            <w:vAlign w:val="center"/>
            <w:hideMark/>
          </w:tcPr>
          <w:p w14:paraId="1156A44A" w14:textId="77777777" w:rsidR="00840770" w:rsidRPr="00565155" w:rsidRDefault="00840770" w:rsidP="00646738">
            <w:pPr>
              <w:jc w:val="center"/>
              <w:rPr>
                <w:sz w:val="18"/>
              </w:rPr>
            </w:pPr>
            <w:r w:rsidRPr="00565155">
              <w:rPr>
                <w:sz w:val="18"/>
              </w:rPr>
              <w:t>share on companies (weighted)</w:t>
            </w:r>
          </w:p>
        </w:tc>
      </w:tr>
      <w:tr w:rsidR="00840770" w:rsidRPr="00565155" w14:paraId="754E90B4" w14:textId="77777777" w:rsidTr="00646738">
        <w:trPr>
          <w:trHeight w:val="300"/>
        </w:trPr>
        <w:tc>
          <w:tcPr>
            <w:tcW w:w="5728" w:type="dxa"/>
            <w:gridSpan w:val="2"/>
            <w:tcBorders>
              <w:top w:val="single" w:sz="4" w:space="0" w:color="auto"/>
              <w:left w:val="single" w:sz="4" w:space="0" w:color="auto"/>
              <w:bottom w:val="nil"/>
              <w:right w:val="nil"/>
            </w:tcBorders>
            <w:shd w:val="clear" w:color="auto" w:fill="auto"/>
            <w:noWrap/>
            <w:vAlign w:val="center"/>
            <w:hideMark/>
          </w:tcPr>
          <w:p w14:paraId="6E39DA09" w14:textId="77777777" w:rsidR="00840770" w:rsidRPr="00565155" w:rsidRDefault="00840770" w:rsidP="00646738">
            <w:pPr>
              <w:rPr>
                <w:sz w:val="18"/>
              </w:rPr>
            </w:pPr>
            <w:r w:rsidRPr="00565155">
              <w:rPr>
                <w:sz w:val="18"/>
              </w:rPr>
              <w:t>Companies employing foreigners</w:t>
            </w:r>
          </w:p>
        </w:tc>
        <w:tc>
          <w:tcPr>
            <w:tcW w:w="3200" w:type="dxa"/>
            <w:tcBorders>
              <w:top w:val="single" w:sz="4" w:space="0" w:color="auto"/>
              <w:left w:val="single" w:sz="4" w:space="0" w:color="auto"/>
              <w:bottom w:val="nil"/>
              <w:right w:val="single" w:sz="4" w:space="0" w:color="auto"/>
            </w:tcBorders>
            <w:shd w:val="clear" w:color="auto" w:fill="auto"/>
            <w:noWrap/>
            <w:vAlign w:val="center"/>
            <w:hideMark/>
          </w:tcPr>
          <w:p w14:paraId="3C6E7A17" w14:textId="77777777" w:rsidR="00840770" w:rsidRPr="00565155" w:rsidRDefault="00840770" w:rsidP="00646738">
            <w:pPr>
              <w:jc w:val="right"/>
              <w:rPr>
                <w:sz w:val="18"/>
              </w:rPr>
            </w:pPr>
            <w:r w:rsidRPr="00565155">
              <w:rPr>
                <w:sz w:val="18"/>
              </w:rPr>
              <w:t>1,6</w:t>
            </w:r>
          </w:p>
        </w:tc>
      </w:tr>
      <w:tr w:rsidR="00840770" w:rsidRPr="00565155" w14:paraId="49DEF908" w14:textId="77777777" w:rsidTr="00646738">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62124D1D" w14:textId="77777777" w:rsidR="00840770" w:rsidRPr="00565155" w:rsidRDefault="00840770" w:rsidP="00646738">
            <w:pPr>
              <w:rPr>
                <w:sz w:val="18"/>
              </w:rPr>
            </w:pPr>
            <w:r w:rsidRPr="00565155">
              <w:rPr>
                <w:sz w:val="18"/>
              </w:rPr>
              <w:t> </w:t>
            </w:r>
          </w:p>
        </w:tc>
        <w:tc>
          <w:tcPr>
            <w:tcW w:w="5028" w:type="dxa"/>
            <w:tcBorders>
              <w:top w:val="nil"/>
              <w:left w:val="nil"/>
              <w:bottom w:val="single" w:sz="4" w:space="0" w:color="auto"/>
              <w:right w:val="nil"/>
            </w:tcBorders>
            <w:shd w:val="clear" w:color="auto" w:fill="auto"/>
            <w:noWrap/>
            <w:vAlign w:val="center"/>
            <w:hideMark/>
          </w:tcPr>
          <w:p w14:paraId="732537F6" w14:textId="77777777" w:rsidR="00840770" w:rsidRPr="00565155" w:rsidRDefault="00840770" w:rsidP="00646738">
            <w:pPr>
              <w:rPr>
                <w:sz w:val="18"/>
              </w:rPr>
            </w:pPr>
            <w:r w:rsidRPr="00565155">
              <w:rPr>
                <w:sz w:val="18"/>
              </w:rPr>
              <w:t>of these: because there are no domestic workers with required skills</w:t>
            </w: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75E0BDD1" w14:textId="77777777" w:rsidR="00840770" w:rsidRPr="00565155" w:rsidRDefault="00840770" w:rsidP="00646738">
            <w:pPr>
              <w:jc w:val="right"/>
              <w:rPr>
                <w:sz w:val="18"/>
              </w:rPr>
            </w:pPr>
            <w:r w:rsidRPr="00565155">
              <w:rPr>
                <w:sz w:val="18"/>
              </w:rPr>
              <w:t>42,9</w:t>
            </w:r>
          </w:p>
        </w:tc>
      </w:tr>
      <w:tr w:rsidR="00840770" w:rsidRPr="00565155" w14:paraId="15DA8F76" w14:textId="77777777" w:rsidTr="00646738">
        <w:trPr>
          <w:trHeight w:val="300"/>
        </w:trPr>
        <w:tc>
          <w:tcPr>
            <w:tcW w:w="5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0A04765C" w14:textId="77777777" w:rsidR="00840770" w:rsidRPr="00565155" w:rsidRDefault="00840770" w:rsidP="00646738">
            <w:pPr>
              <w:rPr>
                <w:sz w:val="18"/>
              </w:rPr>
            </w:pPr>
            <w:r w:rsidRPr="00565155">
              <w:rPr>
                <w:sz w:val="18"/>
              </w:rPr>
              <w:t>Companies reporting skill shortage</w:t>
            </w: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683D61B7" w14:textId="77777777" w:rsidR="00840770" w:rsidRPr="00565155" w:rsidRDefault="00840770" w:rsidP="00646738">
            <w:pPr>
              <w:jc w:val="right"/>
              <w:rPr>
                <w:sz w:val="18"/>
              </w:rPr>
            </w:pPr>
            <w:r w:rsidRPr="00565155">
              <w:rPr>
                <w:sz w:val="18"/>
              </w:rPr>
              <w:t>3,9</w:t>
            </w:r>
          </w:p>
        </w:tc>
      </w:tr>
      <w:tr w:rsidR="00840770" w:rsidRPr="00565155" w14:paraId="24EA9D20" w14:textId="77777777" w:rsidTr="00646738">
        <w:trPr>
          <w:trHeight w:val="300"/>
        </w:trPr>
        <w:tc>
          <w:tcPr>
            <w:tcW w:w="5728" w:type="dxa"/>
            <w:gridSpan w:val="2"/>
            <w:tcBorders>
              <w:top w:val="nil"/>
              <w:left w:val="single" w:sz="4" w:space="0" w:color="auto"/>
              <w:bottom w:val="nil"/>
              <w:right w:val="nil"/>
            </w:tcBorders>
            <w:shd w:val="clear" w:color="auto" w:fill="auto"/>
            <w:noWrap/>
            <w:vAlign w:val="center"/>
            <w:hideMark/>
          </w:tcPr>
          <w:p w14:paraId="7CBE5D82" w14:textId="77777777" w:rsidR="00840770" w:rsidRPr="00565155" w:rsidRDefault="00840770" w:rsidP="00646738">
            <w:pPr>
              <w:rPr>
                <w:sz w:val="18"/>
              </w:rPr>
            </w:pPr>
            <w:r w:rsidRPr="00565155">
              <w:rPr>
                <w:sz w:val="18"/>
              </w:rPr>
              <w:t>Companies reporting difficulties in hiring</w:t>
            </w:r>
          </w:p>
        </w:tc>
        <w:tc>
          <w:tcPr>
            <w:tcW w:w="3200" w:type="dxa"/>
            <w:tcBorders>
              <w:top w:val="nil"/>
              <w:left w:val="single" w:sz="4" w:space="0" w:color="auto"/>
              <w:bottom w:val="nil"/>
              <w:right w:val="single" w:sz="4" w:space="0" w:color="auto"/>
            </w:tcBorders>
            <w:shd w:val="clear" w:color="auto" w:fill="auto"/>
            <w:noWrap/>
            <w:vAlign w:val="center"/>
            <w:hideMark/>
          </w:tcPr>
          <w:p w14:paraId="2E16348C" w14:textId="77777777" w:rsidR="00840770" w:rsidRPr="00565155" w:rsidRDefault="00840770" w:rsidP="00646738">
            <w:pPr>
              <w:jc w:val="right"/>
              <w:rPr>
                <w:sz w:val="18"/>
              </w:rPr>
            </w:pPr>
            <w:r w:rsidRPr="00565155">
              <w:rPr>
                <w:sz w:val="18"/>
              </w:rPr>
              <w:t>4,1</w:t>
            </w:r>
          </w:p>
        </w:tc>
      </w:tr>
      <w:tr w:rsidR="00840770" w:rsidRPr="00565155" w14:paraId="64EF860B" w14:textId="77777777" w:rsidTr="00646738">
        <w:trPr>
          <w:trHeight w:val="300"/>
        </w:trPr>
        <w:tc>
          <w:tcPr>
            <w:tcW w:w="700" w:type="dxa"/>
            <w:tcBorders>
              <w:top w:val="nil"/>
              <w:left w:val="single" w:sz="4" w:space="0" w:color="auto"/>
              <w:bottom w:val="nil"/>
              <w:right w:val="nil"/>
            </w:tcBorders>
            <w:shd w:val="clear" w:color="auto" w:fill="auto"/>
            <w:noWrap/>
            <w:vAlign w:val="center"/>
            <w:hideMark/>
          </w:tcPr>
          <w:p w14:paraId="579AAC4A" w14:textId="77777777" w:rsidR="00840770" w:rsidRPr="00565155" w:rsidRDefault="00840770" w:rsidP="00646738">
            <w:pPr>
              <w:rPr>
                <w:sz w:val="18"/>
              </w:rPr>
            </w:pPr>
            <w:r w:rsidRPr="00565155">
              <w:rPr>
                <w:sz w:val="18"/>
              </w:rPr>
              <w:t> </w:t>
            </w:r>
          </w:p>
        </w:tc>
        <w:tc>
          <w:tcPr>
            <w:tcW w:w="5028" w:type="dxa"/>
            <w:tcBorders>
              <w:top w:val="nil"/>
              <w:left w:val="nil"/>
              <w:bottom w:val="nil"/>
              <w:right w:val="nil"/>
            </w:tcBorders>
            <w:shd w:val="clear" w:color="auto" w:fill="auto"/>
            <w:noWrap/>
            <w:vAlign w:val="center"/>
            <w:hideMark/>
          </w:tcPr>
          <w:p w14:paraId="63D080A7" w14:textId="77777777" w:rsidR="00840770" w:rsidRPr="00565155" w:rsidRDefault="00840770" w:rsidP="00646738">
            <w:pPr>
              <w:rPr>
                <w:sz w:val="18"/>
              </w:rPr>
            </w:pPr>
            <w:r w:rsidRPr="00565155">
              <w:rPr>
                <w:sz w:val="18"/>
              </w:rPr>
              <w:t>of these: few applicants</w:t>
            </w:r>
          </w:p>
        </w:tc>
        <w:tc>
          <w:tcPr>
            <w:tcW w:w="3200" w:type="dxa"/>
            <w:tcBorders>
              <w:top w:val="nil"/>
              <w:left w:val="single" w:sz="4" w:space="0" w:color="auto"/>
              <w:bottom w:val="nil"/>
              <w:right w:val="single" w:sz="4" w:space="0" w:color="auto"/>
            </w:tcBorders>
            <w:shd w:val="clear" w:color="auto" w:fill="auto"/>
            <w:noWrap/>
            <w:vAlign w:val="center"/>
            <w:hideMark/>
          </w:tcPr>
          <w:p w14:paraId="50E4647A" w14:textId="77777777" w:rsidR="00840770" w:rsidRPr="00565155" w:rsidRDefault="00840770" w:rsidP="00646738">
            <w:pPr>
              <w:jc w:val="right"/>
              <w:rPr>
                <w:sz w:val="18"/>
              </w:rPr>
            </w:pPr>
            <w:r w:rsidRPr="00565155">
              <w:rPr>
                <w:sz w:val="18"/>
              </w:rPr>
              <w:t>14,1</w:t>
            </w:r>
          </w:p>
        </w:tc>
      </w:tr>
      <w:tr w:rsidR="00840770" w:rsidRPr="00565155" w14:paraId="0F309F67" w14:textId="77777777" w:rsidTr="00646738">
        <w:trPr>
          <w:trHeight w:val="300"/>
        </w:trPr>
        <w:tc>
          <w:tcPr>
            <w:tcW w:w="700" w:type="dxa"/>
            <w:tcBorders>
              <w:top w:val="nil"/>
              <w:left w:val="single" w:sz="4" w:space="0" w:color="auto"/>
              <w:bottom w:val="nil"/>
              <w:right w:val="nil"/>
            </w:tcBorders>
            <w:shd w:val="clear" w:color="auto" w:fill="auto"/>
            <w:noWrap/>
            <w:vAlign w:val="center"/>
            <w:hideMark/>
          </w:tcPr>
          <w:p w14:paraId="53F63926" w14:textId="77777777" w:rsidR="00840770" w:rsidRPr="00565155" w:rsidRDefault="00840770" w:rsidP="00646738">
            <w:pPr>
              <w:rPr>
                <w:sz w:val="18"/>
              </w:rPr>
            </w:pPr>
            <w:r w:rsidRPr="00565155">
              <w:rPr>
                <w:sz w:val="18"/>
              </w:rPr>
              <w:t> </w:t>
            </w:r>
          </w:p>
        </w:tc>
        <w:tc>
          <w:tcPr>
            <w:tcW w:w="5028" w:type="dxa"/>
            <w:tcBorders>
              <w:top w:val="nil"/>
              <w:left w:val="nil"/>
              <w:bottom w:val="nil"/>
              <w:right w:val="nil"/>
            </w:tcBorders>
            <w:shd w:val="clear" w:color="auto" w:fill="auto"/>
            <w:noWrap/>
            <w:vAlign w:val="center"/>
            <w:hideMark/>
          </w:tcPr>
          <w:p w14:paraId="27FB48E3" w14:textId="77777777" w:rsidR="00840770" w:rsidRPr="00565155" w:rsidRDefault="00840770" w:rsidP="00646738">
            <w:pPr>
              <w:rPr>
                <w:sz w:val="18"/>
              </w:rPr>
            </w:pPr>
            <w:r w:rsidRPr="00565155">
              <w:rPr>
                <w:sz w:val="18"/>
              </w:rPr>
              <w:t>of these: applicants' lack of skills</w:t>
            </w:r>
          </w:p>
        </w:tc>
        <w:tc>
          <w:tcPr>
            <w:tcW w:w="3200" w:type="dxa"/>
            <w:tcBorders>
              <w:top w:val="nil"/>
              <w:left w:val="single" w:sz="4" w:space="0" w:color="auto"/>
              <w:bottom w:val="nil"/>
              <w:right w:val="single" w:sz="4" w:space="0" w:color="auto"/>
            </w:tcBorders>
            <w:shd w:val="clear" w:color="auto" w:fill="auto"/>
            <w:noWrap/>
            <w:vAlign w:val="center"/>
            <w:hideMark/>
          </w:tcPr>
          <w:p w14:paraId="6E27FD63" w14:textId="77777777" w:rsidR="00840770" w:rsidRPr="00565155" w:rsidRDefault="00840770" w:rsidP="00646738">
            <w:pPr>
              <w:jc w:val="right"/>
              <w:rPr>
                <w:sz w:val="18"/>
              </w:rPr>
            </w:pPr>
            <w:r w:rsidRPr="00565155">
              <w:rPr>
                <w:sz w:val="18"/>
              </w:rPr>
              <w:t>72,5</w:t>
            </w:r>
          </w:p>
        </w:tc>
      </w:tr>
      <w:tr w:rsidR="00840770" w:rsidRPr="00565155" w14:paraId="2FD2498E" w14:textId="77777777" w:rsidTr="00646738">
        <w:trPr>
          <w:trHeight w:val="300"/>
        </w:trPr>
        <w:tc>
          <w:tcPr>
            <w:tcW w:w="700" w:type="dxa"/>
            <w:tcBorders>
              <w:top w:val="nil"/>
              <w:left w:val="single" w:sz="4" w:space="0" w:color="auto"/>
              <w:bottom w:val="nil"/>
              <w:right w:val="nil"/>
            </w:tcBorders>
            <w:shd w:val="clear" w:color="auto" w:fill="auto"/>
            <w:noWrap/>
            <w:vAlign w:val="center"/>
            <w:hideMark/>
          </w:tcPr>
          <w:p w14:paraId="575FDD33" w14:textId="77777777" w:rsidR="00840770" w:rsidRPr="00565155" w:rsidRDefault="00840770" w:rsidP="00646738">
            <w:pPr>
              <w:rPr>
                <w:sz w:val="18"/>
              </w:rPr>
            </w:pPr>
            <w:r w:rsidRPr="00565155">
              <w:rPr>
                <w:sz w:val="18"/>
              </w:rPr>
              <w:t> </w:t>
            </w:r>
          </w:p>
        </w:tc>
        <w:tc>
          <w:tcPr>
            <w:tcW w:w="5028" w:type="dxa"/>
            <w:tcBorders>
              <w:top w:val="nil"/>
              <w:left w:val="nil"/>
              <w:bottom w:val="nil"/>
              <w:right w:val="nil"/>
            </w:tcBorders>
            <w:shd w:val="clear" w:color="auto" w:fill="auto"/>
            <w:noWrap/>
            <w:vAlign w:val="center"/>
            <w:hideMark/>
          </w:tcPr>
          <w:p w14:paraId="13B5E2DE" w14:textId="77777777" w:rsidR="00840770" w:rsidRPr="00565155" w:rsidRDefault="00840770" w:rsidP="00646738">
            <w:pPr>
              <w:rPr>
                <w:sz w:val="18"/>
              </w:rPr>
            </w:pPr>
            <w:r w:rsidRPr="00565155">
              <w:rPr>
                <w:sz w:val="18"/>
              </w:rPr>
              <w:t>of these: wage disagreements</w:t>
            </w:r>
          </w:p>
        </w:tc>
        <w:tc>
          <w:tcPr>
            <w:tcW w:w="3200" w:type="dxa"/>
            <w:tcBorders>
              <w:top w:val="nil"/>
              <w:left w:val="single" w:sz="4" w:space="0" w:color="auto"/>
              <w:bottom w:val="nil"/>
              <w:right w:val="single" w:sz="4" w:space="0" w:color="auto"/>
            </w:tcBorders>
            <w:shd w:val="clear" w:color="auto" w:fill="auto"/>
            <w:noWrap/>
            <w:vAlign w:val="center"/>
            <w:hideMark/>
          </w:tcPr>
          <w:p w14:paraId="43CD235C" w14:textId="77777777" w:rsidR="00840770" w:rsidRPr="00565155" w:rsidRDefault="00840770" w:rsidP="00646738">
            <w:pPr>
              <w:jc w:val="right"/>
              <w:rPr>
                <w:sz w:val="18"/>
              </w:rPr>
            </w:pPr>
            <w:r w:rsidRPr="00565155">
              <w:rPr>
                <w:sz w:val="18"/>
              </w:rPr>
              <w:t>8,4</w:t>
            </w:r>
          </w:p>
        </w:tc>
      </w:tr>
      <w:tr w:rsidR="00840770" w:rsidRPr="00565155" w14:paraId="3925591D" w14:textId="77777777" w:rsidTr="00646738">
        <w:trPr>
          <w:trHeight w:val="300"/>
        </w:trPr>
        <w:tc>
          <w:tcPr>
            <w:tcW w:w="700" w:type="dxa"/>
            <w:tcBorders>
              <w:top w:val="nil"/>
              <w:left w:val="single" w:sz="4" w:space="0" w:color="auto"/>
              <w:bottom w:val="single" w:sz="4" w:space="0" w:color="auto"/>
              <w:right w:val="nil"/>
            </w:tcBorders>
            <w:shd w:val="clear" w:color="auto" w:fill="auto"/>
            <w:noWrap/>
            <w:vAlign w:val="center"/>
            <w:hideMark/>
          </w:tcPr>
          <w:p w14:paraId="315C8ADA" w14:textId="77777777" w:rsidR="00840770" w:rsidRPr="00565155" w:rsidRDefault="00840770" w:rsidP="00646738">
            <w:pPr>
              <w:rPr>
                <w:sz w:val="18"/>
              </w:rPr>
            </w:pPr>
            <w:r w:rsidRPr="00565155">
              <w:rPr>
                <w:sz w:val="18"/>
              </w:rPr>
              <w:t> </w:t>
            </w:r>
          </w:p>
        </w:tc>
        <w:tc>
          <w:tcPr>
            <w:tcW w:w="5028" w:type="dxa"/>
            <w:tcBorders>
              <w:top w:val="nil"/>
              <w:left w:val="nil"/>
              <w:bottom w:val="single" w:sz="4" w:space="0" w:color="auto"/>
              <w:right w:val="nil"/>
            </w:tcBorders>
            <w:shd w:val="clear" w:color="auto" w:fill="auto"/>
            <w:noWrap/>
            <w:vAlign w:val="center"/>
            <w:hideMark/>
          </w:tcPr>
          <w:p w14:paraId="4647A4DD" w14:textId="21FBC000" w:rsidR="00840770" w:rsidRPr="00565155" w:rsidRDefault="00840770" w:rsidP="00646738">
            <w:pPr>
              <w:rPr>
                <w:sz w:val="18"/>
              </w:rPr>
            </w:pPr>
            <w:r w:rsidRPr="00565155">
              <w:rPr>
                <w:sz w:val="18"/>
              </w:rPr>
              <w:t xml:space="preserve">of these: </w:t>
            </w:r>
            <w:r w:rsidR="00565155" w:rsidRPr="00565155">
              <w:rPr>
                <w:sz w:val="18"/>
              </w:rPr>
              <w:t>disagreements</w:t>
            </w:r>
            <w:r w:rsidRPr="00565155">
              <w:rPr>
                <w:sz w:val="18"/>
              </w:rPr>
              <w:t xml:space="preserve"> on working conditions</w:t>
            </w:r>
          </w:p>
        </w:tc>
        <w:tc>
          <w:tcPr>
            <w:tcW w:w="3200" w:type="dxa"/>
            <w:tcBorders>
              <w:top w:val="nil"/>
              <w:left w:val="single" w:sz="4" w:space="0" w:color="auto"/>
              <w:bottom w:val="single" w:sz="4" w:space="0" w:color="auto"/>
              <w:right w:val="single" w:sz="4" w:space="0" w:color="auto"/>
            </w:tcBorders>
            <w:shd w:val="clear" w:color="auto" w:fill="auto"/>
            <w:noWrap/>
            <w:vAlign w:val="center"/>
            <w:hideMark/>
          </w:tcPr>
          <w:p w14:paraId="458C79B1" w14:textId="77777777" w:rsidR="00840770" w:rsidRPr="00565155" w:rsidRDefault="00840770" w:rsidP="00646738">
            <w:pPr>
              <w:jc w:val="right"/>
              <w:rPr>
                <w:sz w:val="18"/>
              </w:rPr>
            </w:pPr>
            <w:r w:rsidRPr="00565155">
              <w:rPr>
                <w:sz w:val="18"/>
              </w:rPr>
              <w:t>3,4</w:t>
            </w:r>
          </w:p>
        </w:tc>
      </w:tr>
    </w:tbl>
    <w:p w14:paraId="68D870E5" w14:textId="77777777" w:rsidR="00840770" w:rsidRPr="00565155" w:rsidRDefault="00840770" w:rsidP="00840770">
      <w:pPr>
        <w:rPr>
          <w:sz w:val="18"/>
          <w:szCs w:val="22"/>
        </w:rPr>
      </w:pPr>
      <w:r w:rsidRPr="00565155">
        <w:rPr>
          <w:sz w:val="18"/>
          <w:szCs w:val="22"/>
        </w:rPr>
        <w:t>Source: Georgian Labour Market Demand Survey (ADD_GEO_1) –answers weighted</w:t>
      </w:r>
    </w:p>
    <w:p w14:paraId="526FE658" w14:textId="77777777" w:rsidR="00840770" w:rsidRPr="0093156D" w:rsidRDefault="00840770" w:rsidP="00840770">
      <w:pPr>
        <w:rPr>
          <w:rFonts w:asciiTheme="minorHAnsi" w:hAnsiTheme="minorHAnsi"/>
          <w:sz w:val="22"/>
          <w:szCs w:val="22"/>
        </w:rPr>
      </w:pPr>
    </w:p>
    <w:p w14:paraId="21A7A7AA" w14:textId="1F337249" w:rsidR="00DF340E" w:rsidRDefault="00DF340E">
      <w:pPr>
        <w:spacing w:line="276" w:lineRule="auto"/>
      </w:pPr>
      <w:r>
        <w:br w:type="page"/>
      </w:r>
    </w:p>
    <w:p w14:paraId="091F102C" w14:textId="77777777" w:rsidR="0005728B" w:rsidRPr="0093156D" w:rsidRDefault="0005728B" w:rsidP="0005728B">
      <w:pPr>
        <w:pStyle w:val="Heading1"/>
      </w:pPr>
      <w:bookmarkStart w:id="33" w:name="_Toc512826758"/>
      <w:r w:rsidRPr="0093156D">
        <w:t>Conclusions</w:t>
      </w:r>
      <w:bookmarkEnd w:id="33"/>
    </w:p>
    <w:p w14:paraId="1A9E45D2" w14:textId="249E3702" w:rsidR="00E02592" w:rsidRDefault="00E02592" w:rsidP="00E02592">
      <w:pPr>
        <w:autoSpaceDE w:val="0"/>
        <w:autoSpaceDN w:val="0"/>
        <w:adjustRightInd w:val="0"/>
        <w:spacing w:after="120" w:line="276" w:lineRule="auto"/>
        <w:jc w:val="both"/>
      </w:pPr>
      <w:r>
        <w:t>Skill mismatch can be identified and analysed using the proposed mismatch indicators. The Georgian LFS allows the general calculation, broken down by several dimensions. The specific characteristics of the labour market, supplying a large supply of higher educated workers, while the structure of the demand is less directed towards this type of supply can be identified using the indicators.</w:t>
      </w:r>
      <w:r w:rsidR="00153C75">
        <w:t xml:space="preserve"> </w:t>
      </w:r>
      <w:r>
        <w:t xml:space="preserve"> </w:t>
      </w:r>
    </w:p>
    <w:p w14:paraId="3E16B5CD" w14:textId="77777777" w:rsidR="000F6685" w:rsidRDefault="000F6685" w:rsidP="000F6685">
      <w:pPr>
        <w:autoSpaceDE w:val="0"/>
        <w:autoSpaceDN w:val="0"/>
        <w:adjustRightInd w:val="0"/>
        <w:spacing w:after="120" w:line="276" w:lineRule="auto"/>
        <w:jc w:val="both"/>
      </w:pPr>
      <w:r>
        <w:t>Unemployment has been persistently high, and employment, especially in regional areas is dominated with agricultural employment, mainly substance farming. M</w:t>
      </w:r>
      <w:r w:rsidR="00E02592" w:rsidRPr="0093156D">
        <w:t>odern business and financial services still play a minor role and majority of jobs in Georgia are located in the traditional, low-productivity sectors, while only a minority is in modern, high-productivity sectors.</w:t>
      </w:r>
      <w:r w:rsidR="00E02592">
        <w:t xml:space="preserve"> </w:t>
      </w:r>
      <w:r w:rsidR="00E02592" w:rsidRPr="0093156D">
        <w:t>Employment rate in Georgia is low</w:t>
      </w:r>
      <w:r>
        <w:t xml:space="preserve">. </w:t>
      </w:r>
    </w:p>
    <w:p w14:paraId="4BB3F3D0" w14:textId="77777777" w:rsidR="00D11DFB" w:rsidRDefault="00153C75" w:rsidP="000F6685">
      <w:pPr>
        <w:autoSpaceDE w:val="0"/>
        <w:autoSpaceDN w:val="0"/>
        <w:adjustRightInd w:val="0"/>
        <w:spacing w:after="120" w:line="276" w:lineRule="auto"/>
        <w:jc w:val="both"/>
      </w:pPr>
      <w:r>
        <w:t xml:space="preserve">In summary, </w:t>
      </w:r>
      <w:r w:rsidR="00F60990">
        <w:t xml:space="preserve">there is a good and available data (even at micro level) for labour market analyses in Georgia, particularly the Labour force Survey, regularly implemented by the Statistical Office. Recent </w:t>
      </w:r>
      <w:r w:rsidR="00D11DFB">
        <w:t xml:space="preserve">change in </w:t>
      </w:r>
      <w:r w:rsidR="00F60990">
        <w:t>LFS implementation (increased sample, revised methodology, definitions) would further ensure international comparability and increased relevance of results within Georgian specific context. Other survey (e.g. company surveys) and administrative type of data (education, labour market) are also available in Georgia</w:t>
      </w:r>
      <w:r w:rsidR="00D11DFB">
        <w:t>.</w:t>
      </w:r>
    </w:p>
    <w:p w14:paraId="64B111D4" w14:textId="47F353DB" w:rsidR="00153C75" w:rsidRDefault="00D11DFB" w:rsidP="000F6685">
      <w:pPr>
        <w:autoSpaceDE w:val="0"/>
        <w:autoSpaceDN w:val="0"/>
        <w:adjustRightInd w:val="0"/>
        <w:spacing w:after="120" w:line="276" w:lineRule="auto"/>
        <w:jc w:val="both"/>
      </w:pPr>
      <w:r>
        <w:t>This report explored the feasibility of calculating skills mismatch using data from existing and reliable sources. This led to identification of a number of clusters (of indicators) that provide insights to key aspects of skills mismatches, as follows:</w:t>
      </w:r>
    </w:p>
    <w:p w14:paraId="60E716AD" w14:textId="2E427BEA" w:rsidR="00D11DFB" w:rsidRDefault="00D11DFB" w:rsidP="00D11DFB">
      <w:pPr>
        <w:pStyle w:val="ListParagraph"/>
        <w:numPr>
          <w:ilvl w:val="0"/>
          <w:numId w:val="22"/>
        </w:numPr>
        <w:autoSpaceDE w:val="0"/>
        <w:autoSpaceDN w:val="0"/>
        <w:adjustRightInd w:val="0"/>
        <w:spacing w:after="120" w:line="276" w:lineRule="auto"/>
        <w:jc w:val="both"/>
      </w:pPr>
      <w:r>
        <w:t>Unemployment rates and ratio between unemployed and employed.</w:t>
      </w:r>
    </w:p>
    <w:p w14:paraId="0FEA6572" w14:textId="2BD69AF3" w:rsidR="00D11DFB" w:rsidRDefault="00D11DFB" w:rsidP="00D11DFB">
      <w:pPr>
        <w:pStyle w:val="ListParagraph"/>
        <w:numPr>
          <w:ilvl w:val="0"/>
          <w:numId w:val="22"/>
        </w:numPr>
        <w:autoSpaceDE w:val="0"/>
        <w:autoSpaceDN w:val="0"/>
        <w:adjustRightInd w:val="0"/>
        <w:spacing w:after="120" w:line="276" w:lineRule="auto"/>
        <w:jc w:val="both"/>
      </w:pPr>
      <w:r>
        <w:t>Magnitude of jobless youth phenomenon, ie incidence of young people not in employment, education or training.</w:t>
      </w:r>
    </w:p>
    <w:p w14:paraId="53E5A422" w14:textId="3737D2FC" w:rsidR="00D11DFB" w:rsidRDefault="00D11DFB" w:rsidP="00D11DFB">
      <w:pPr>
        <w:pStyle w:val="ListParagraph"/>
        <w:numPr>
          <w:ilvl w:val="0"/>
          <w:numId w:val="22"/>
        </w:numPr>
        <w:autoSpaceDE w:val="0"/>
        <w:autoSpaceDN w:val="0"/>
        <w:adjustRightInd w:val="0"/>
        <w:spacing w:after="120" w:line="276" w:lineRule="auto"/>
        <w:jc w:val="both"/>
      </w:pPr>
      <w:r>
        <w:t>Overeducation and undereducation</w:t>
      </w:r>
      <w:r w:rsidR="00966527">
        <w:t>, including particular groups affected.</w:t>
      </w:r>
    </w:p>
    <w:p w14:paraId="519F0245" w14:textId="4A673DC1" w:rsidR="00D11DFB" w:rsidRDefault="00D11DFB" w:rsidP="00D11DFB">
      <w:pPr>
        <w:pStyle w:val="ListParagraph"/>
        <w:numPr>
          <w:ilvl w:val="0"/>
          <w:numId w:val="22"/>
        </w:numPr>
        <w:autoSpaceDE w:val="0"/>
        <w:autoSpaceDN w:val="0"/>
        <w:adjustRightInd w:val="0"/>
        <w:spacing w:after="120" w:line="276" w:lineRule="auto"/>
        <w:jc w:val="both"/>
      </w:pPr>
      <w:r>
        <w:t>Coefficient</w:t>
      </w:r>
      <w:r w:rsidR="00082A0A">
        <w:t xml:space="preserve"> of variation from various angles, e.g. labour market status, age etc. (e.g. comparison on differences in education level among employed to unemployed)</w:t>
      </w:r>
    </w:p>
    <w:p w14:paraId="5F870DE6" w14:textId="73A5E895" w:rsidR="00082A0A" w:rsidRDefault="00082A0A" w:rsidP="00D11DFB">
      <w:pPr>
        <w:pStyle w:val="ListParagraph"/>
        <w:numPr>
          <w:ilvl w:val="0"/>
          <w:numId w:val="22"/>
        </w:numPr>
        <w:autoSpaceDE w:val="0"/>
        <w:autoSpaceDN w:val="0"/>
        <w:adjustRightInd w:val="0"/>
        <w:spacing w:after="120" w:line="276" w:lineRule="auto"/>
        <w:jc w:val="both"/>
      </w:pPr>
      <w:r>
        <w:t>Wage aspects in measuring mismatches</w:t>
      </w:r>
      <w:r w:rsidR="00966527">
        <w:t>.</w:t>
      </w:r>
    </w:p>
    <w:p w14:paraId="0F5E644D" w14:textId="226A23A5" w:rsidR="00E02592" w:rsidRDefault="00E02592" w:rsidP="000F6685">
      <w:pPr>
        <w:autoSpaceDE w:val="0"/>
        <w:autoSpaceDN w:val="0"/>
        <w:adjustRightInd w:val="0"/>
        <w:spacing w:after="120" w:line="276" w:lineRule="auto"/>
        <w:jc w:val="both"/>
      </w:pPr>
      <w:r>
        <w:t xml:space="preserve">The mismatch indicators suggest a problem on the Georgian labour market in the school-to-work transition, which is confirmed by qualitative evidence as well as by other studies using alternative data sources. The VET training seems to provide </w:t>
      </w:r>
      <w:r w:rsidR="005871EE">
        <w:t xml:space="preserve">equal chances with university education, if not </w:t>
      </w:r>
      <w:r>
        <w:t>better chances for a good match</w:t>
      </w:r>
      <w:r w:rsidR="005871EE">
        <w:t>, particularly compared to the performance of secondary general education graduates</w:t>
      </w:r>
      <w:r>
        <w:t xml:space="preserve">. Additional studies and policies to improve the transition process are warranted. </w:t>
      </w:r>
      <w:r w:rsidRPr="0093156D">
        <w:t xml:space="preserve">The educational attainment level of the labour force remains relatively high. However, the quality of education remains an issue in Georgia. The participation of the students in the VET education as well as its relevance for the labour market’s demands are also an important </w:t>
      </w:r>
      <w:r>
        <w:t xml:space="preserve">challenges </w:t>
      </w:r>
      <w:r w:rsidRPr="0093156D">
        <w:t>in Georgia.</w:t>
      </w:r>
    </w:p>
    <w:p w14:paraId="481D6598" w14:textId="215E64D2" w:rsidR="000F6685" w:rsidRPr="0093156D" w:rsidRDefault="000F6685" w:rsidP="000F6685">
      <w:pPr>
        <w:autoSpaceDE w:val="0"/>
        <w:autoSpaceDN w:val="0"/>
        <w:adjustRightInd w:val="0"/>
        <w:spacing w:after="120" w:line="276" w:lineRule="auto"/>
        <w:jc w:val="both"/>
      </w:pPr>
      <w:r>
        <w:t xml:space="preserve">Relative wages show that there is a strong disparity of pay by education level. This is likely linked to some of the better paid occupations for specific qualifications. On the other hand, qualifications that lead towards the agricultural, but also towards the elementary occupation might be analysed with respect towards the relevance of the skills for the labour market. </w:t>
      </w:r>
    </w:p>
    <w:p w14:paraId="4EDCF5E7" w14:textId="2F742E5A" w:rsidR="00E02592" w:rsidRDefault="00E02592" w:rsidP="008165FC">
      <w:pPr>
        <w:autoSpaceDE w:val="0"/>
        <w:autoSpaceDN w:val="0"/>
        <w:adjustRightInd w:val="0"/>
        <w:spacing w:after="120" w:line="276" w:lineRule="auto"/>
        <w:jc w:val="both"/>
      </w:pPr>
      <w:r>
        <w:t>The dynamics of the skill mismatch seems to suggest that the mismatch is decreasing, yet is not clear whether this is the result of increased measured mismatch in the years following the global economic</w:t>
      </w:r>
      <w:r w:rsidR="00E50432">
        <w:t xml:space="preserve"> crisis</w:t>
      </w:r>
      <w:r>
        <w:t xml:space="preserve">, or whether it suggest a structural improvement in the matching on the labour market. </w:t>
      </w:r>
      <w:bookmarkStart w:id="34" w:name="_Hlk509312939"/>
    </w:p>
    <w:p w14:paraId="389508A6" w14:textId="3C023467" w:rsidR="00D217A1" w:rsidRDefault="00D217A1" w:rsidP="008165FC">
      <w:pPr>
        <w:autoSpaceDE w:val="0"/>
        <w:autoSpaceDN w:val="0"/>
        <w:adjustRightInd w:val="0"/>
        <w:spacing w:after="120" w:line="276" w:lineRule="auto"/>
        <w:jc w:val="both"/>
      </w:pPr>
      <w:r>
        <w:t xml:space="preserve">In Georgia, a wealth of additional data is available. However, as this data is not collected on a regular basis, in this project the data was mainly used to confirm and reflect upon the results from the LFS based indicators. </w:t>
      </w:r>
      <w:r w:rsidR="000F6685">
        <w:t xml:space="preserve">However, given the degree to which the school to work transition seems to be problematic, the tracer studies that have been developed in the past should also be analysed in how far a structural tracer study, covering final degrees qualifying for the labour markets should be held on a regular basis. </w:t>
      </w:r>
    </w:p>
    <w:p w14:paraId="3BA13905" w14:textId="5F28A475" w:rsidR="000F6685" w:rsidRDefault="000F6685" w:rsidP="008165FC">
      <w:pPr>
        <w:autoSpaceDE w:val="0"/>
        <w:autoSpaceDN w:val="0"/>
        <w:adjustRightInd w:val="0"/>
        <w:spacing w:after="120" w:line="276" w:lineRule="auto"/>
        <w:jc w:val="both"/>
      </w:pPr>
      <w:r>
        <w:t>Other analyses that seem necessary are also in the real</w:t>
      </w:r>
      <w:r w:rsidR="00E50432">
        <w:t>m</w:t>
      </w:r>
      <w:r>
        <w:t xml:space="preserve"> of constraints towards labour demand. There seems to be al</w:t>
      </w:r>
      <w:r w:rsidR="005D574D">
        <w:t xml:space="preserve">so a structural lack of </w:t>
      </w:r>
      <w:r w:rsidR="00F60990">
        <w:t>demand that</w:t>
      </w:r>
      <w:r>
        <w:t xml:space="preserve"> needs to be overcome to provide adequate employment.</w:t>
      </w:r>
      <w:r w:rsidR="00153C75">
        <w:t xml:space="preserve"> </w:t>
      </w:r>
      <w:r w:rsidR="00F60990">
        <w:t>Further analyses and discussions on tackling skills mismatches should factor in, for example, the h</w:t>
      </w:r>
      <w:r w:rsidR="00153C75">
        <w:t xml:space="preserve">igh proportions of </w:t>
      </w:r>
      <w:r w:rsidR="00F60990">
        <w:t>persons employed in agriculture sector (most often subsistence activities) and in (non-agriculture) informal sector.</w:t>
      </w:r>
      <w:r w:rsidR="006A1D05">
        <w:t xml:space="preserve"> </w:t>
      </w:r>
    </w:p>
    <w:p w14:paraId="75C2E86F" w14:textId="0CE8916B" w:rsidR="006A1D05" w:rsidRDefault="006A1D05" w:rsidP="008165FC">
      <w:pPr>
        <w:autoSpaceDE w:val="0"/>
        <w:autoSpaceDN w:val="0"/>
        <w:adjustRightInd w:val="0"/>
        <w:spacing w:after="120" w:line="276" w:lineRule="auto"/>
        <w:jc w:val="both"/>
        <w:rPr>
          <w:color w:val="0D0D0D" w:themeColor="text1" w:themeTint="F2"/>
        </w:rPr>
      </w:pPr>
      <w:r>
        <w:t xml:space="preserve">Overall, the </w:t>
      </w:r>
      <w:r>
        <w:rPr>
          <w:color w:val="0D0D0D" w:themeColor="text1" w:themeTint="F2"/>
        </w:rPr>
        <w:t>LFS provided detailed and sufficient data for calculating most skills mismatch indicators. This is positive, since LFS is the most regular data collection process in the country and provides good ground for comparability over time. More non-LFS based data would have been useful in assessing more specialized measures of skill mismatch. Since in Georgia, the school-to-work transition seems to be especially challenging, a more structural and regular practice of investigating transition from school to work (such as transition surveys, tracer studies) would provide more detailed insights into the potential short-comings of the education process in providing adequate and practical skills, or in providing an adequate number of graduates within fields.</w:t>
      </w:r>
    </w:p>
    <w:p w14:paraId="3539FE96" w14:textId="0A58F8A3" w:rsidR="006A1D05" w:rsidRDefault="006A1D05" w:rsidP="008165FC">
      <w:pPr>
        <w:autoSpaceDE w:val="0"/>
        <w:autoSpaceDN w:val="0"/>
        <w:adjustRightInd w:val="0"/>
        <w:spacing w:after="120" w:line="276" w:lineRule="auto"/>
        <w:jc w:val="both"/>
      </w:pPr>
      <w:r>
        <w:t>Discussing skills mismatches in Georgia should definitely look into gender dimension and territorial aspects (urban vs. rural). Outmigration may distort the picture, as well. Therefore, it is recommendable to further expand and make regular analyses into skills mis</w:t>
      </w:r>
      <w:r w:rsidR="007B2826">
        <w:t>matches dimensions and impacts. Use of</w:t>
      </w:r>
      <w:r>
        <w:t xml:space="preserve"> </w:t>
      </w:r>
      <w:r w:rsidR="007B2826">
        <w:t>currently available</w:t>
      </w:r>
      <w:r>
        <w:t xml:space="preserve"> wealth of information and data </w:t>
      </w:r>
      <w:r w:rsidR="007B2826">
        <w:t>could be complemented by</w:t>
      </w:r>
      <w:r>
        <w:t xml:space="preserve"> </w:t>
      </w:r>
      <w:r w:rsidR="007B2826">
        <w:t>additional</w:t>
      </w:r>
      <w:r>
        <w:t xml:space="preserve"> evidence collection practices, such as tracer studies, to capture a fuller outlook of skills mismatch incidence in Georgia</w:t>
      </w:r>
      <w:r w:rsidR="007B2826">
        <w:t>. This in turn would help tailoring policy responses to tackle proactively skills supply and demand mismatches.</w:t>
      </w:r>
    </w:p>
    <w:bookmarkEnd w:id="34"/>
    <w:p w14:paraId="48798B37" w14:textId="77777777" w:rsidR="00D217A1" w:rsidRPr="0093156D" w:rsidRDefault="00D217A1" w:rsidP="008165FC">
      <w:pPr>
        <w:autoSpaceDE w:val="0"/>
        <w:autoSpaceDN w:val="0"/>
        <w:adjustRightInd w:val="0"/>
        <w:spacing w:after="120" w:line="276" w:lineRule="auto"/>
        <w:jc w:val="both"/>
      </w:pPr>
    </w:p>
    <w:p w14:paraId="79DE9EAF" w14:textId="77777777" w:rsidR="007165ED" w:rsidRPr="0093156D" w:rsidRDefault="007165ED" w:rsidP="008165FC">
      <w:pPr>
        <w:spacing w:after="120" w:line="276" w:lineRule="auto"/>
        <w:jc w:val="both"/>
      </w:pPr>
    </w:p>
    <w:p w14:paraId="6C7A9A61" w14:textId="77777777" w:rsidR="00E84D9A" w:rsidRPr="0093156D" w:rsidRDefault="00E84D9A" w:rsidP="00E84D9A">
      <w:pPr>
        <w:spacing w:after="120"/>
        <w:jc w:val="both"/>
      </w:pPr>
    </w:p>
    <w:p w14:paraId="3681705A" w14:textId="77777777" w:rsidR="00D04930" w:rsidRPr="0093156D" w:rsidRDefault="00D04930">
      <w:pPr>
        <w:spacing w:line="276" w:lineRule="auto"/>
        <w:rPr>
          <w:i/>
          <w:color w:val="616264"/>
        </w:rPr>
      </w:pPr>
      <w:r w:rsidRPr="0093156D">
        <w:rPr>
          <w:i/>
          <w:color w:val="616264"/>
        </w:rPr>
        <w:br w:type="page"/>
      </w:r>
    </w:p>
    <w:p w14:paraId="1EC002F1" w14:textId="77777777" w:rsidR="00DA42BC" w:rsidRPr="0093156D" w:rsidRDefault="00FD6034" w:rsidP="006F65EB">
      <w:pPr>
        <w:pStyle w:val="Heading1"/>
      </w:pPr>
      <w:bookmarkStart w:id="35" w:name="_Toc512826759"/>
      <w:r w:rsidRPr="0093156D">
        <w:t>Literature</w:t>
      </w:r>
      <w:bookmarkEnd w:id="35"/>
    </w:p>
    <w:p w14:paraId="473D8DA6" w14:textId="77777777" w:rsidR="004F68C5" w:rsidRPr="0093156D" w:rsidRDefault="004F68C5" w:rsidP="00C52585">
      <w:r w:rsidRPr="0093156D">
        <w:t xml:space="preserve">Ambroladze, T., 2012, Georgia: Updating and Improving the Social Protection Index. Technical Assistance Consultant’s Report prepared for Asian Development Bank (ADB), no date of release, available at: </w:t>
      </w:r>
    </w:p>
    <w:p w14:paraId="1F6FF8B1" w14:textId="77777777" w:rsidR="004F68C5" w:rsidRPr="0093156D" w:rsidRDefault="00F57FA9" w:rsidP="00C52585">
      <w:hyperlink r:id="rId39" w:history="1">
        <w:r w:rsidR="004F68C5" w:rsidRPr="0093156D">
          <w:rPr>
            <w:rStyle w:val="Hyperlink"/>
          </w:rPr>
          <w:t>http://www.adb.org/sites/default/files/project-document/76055/44152-012-reg-tacr-06.pdf</w:t>
        </w:r>
      </w:hyperlink>
    </w:p>
    <w:p w14:paraId="25A45A8C" w14:textId="77777777" w:rsidR="004F68C5" w:rsidRPr="0093156D" w:rsidRDefault="004F68C5" w:rsidP="00C52585">
      <w:pPr>
        <w:rPr>
          <w:rStyle w:val="Hyperlink"/>
          <w:b/>
          <w:bCs/>
          <w:color w:val="auto"/>
        </w:rPr>
      </w:pPr>
      <w:bookmarkStart w:id="36" w:name="_Toc494659898"/>
      <w:bookmarkStart w:id="37" w:name="_Toc494805099"/>
      <w:r w:rsidRPr="0093156D">
        <w:t xml:space="preserve">Badurashvili, I., Nadareishvili, M., 2012, Social Impact of Emigration and Rural-Urban Migration in Central and Eastern Europe. Final Country Report. European Commission and GVG, available at: </w:t>
      </w:r>
      <w:r w:rsidRPr="0093156D">
        <w:rPr>
          <w:rStyle w:val="Hyperlink"/>
        </w:rPr>
        <w:t>http://ec.europa.eu/social/keyDocuments.jsp?pager.offset=20&amp;langId=en&amp;mode=advancedSubmit&amp;policyArea=0&amp;subCategory=0&amp;year=0&amp;country=0&amp;type=0&amp;advSearchKey=EmigrationMigrationCentralEasternEurope&amp;orderBy=docOrder</w:t>
      </w:r>
      <w:bookmarkEnd w:id="36"/>
      <w:bookmarkEnd w:id="37"/>
    </w:p>
    <w:p w14:paraId="2D3261D6" w14:textId="77777777" w:rsidR="004F68C5" w:rsidRPr="0093156D" w:rsidRDefault="004F68C5" w:rsidP="00C52585">
      <w:pPr>
        <w:rPr>
          <w:color w:val="000000"/>
        </w:rPr>
      </w:pPr>
      <w:r w:rsidRPr="0093156D">
        <w:rPr>
          <w:color w:val="000000"/>
        </w:rPr>
        <w:t>Badurashvili, I., Kapanadze, E., Tsiklauri, Sh., (2010): Generations and Gender Survey in Georgia. II Wave Report. Georgian Centre of Population Research (GCPR)/ United Nations Population Fund (UNFPA), Tbilisi.</w:t>
      </w:r>
    </w:p>
    <w:p w14:paraId="00E01255" w14:textId="77777777" w:rsidR="004F68C5" w:rsidRPr="0093156D" w:rsidRDefault="004F68C5" w:rsidP="00C52585">
      <w:r w:rsidRPr="0093156D">
        <w:t>Bagnardi, F, (2015): The Changing Pattern of Social Dialogue in Europe and the Influence of ILO and EU in Georgian Tripartism, In: Caucasus Social Science Review, Vol.2, Issue 1.</w:t>
      </w:r>
    </w:p>
    <w:p w14:paraId="2F2BF436" w14:textId="77777777" w:rsidR="004F68C5" w:rsidRPr="0093156D" w:rsidRDefault="004F68C5" w:rsidP="00C52585">
      <w:pPr>
        <w:rPr>
          <w:rStyle w:val="Hyperlink"/>
          <w:b/>
          <w:bCs/>
        </w:rPr>
      </w:pPr>
      <w:bookmarkStart w:id="38" w:name="_Toc494659899"/>
      <w:bookmarkStart w:id="39" w:name="_Toc494805100"/>
      <w:r w:rsidRPr="0093156D">
        <w:t xml:space="preserve">Caucasus Research Resource Centres (CRRC), Caucasus Barometer 2015 Georgia dataset, available at: </w:t>
      </w:r>
      <w:r w:rsidRPr="0093156D">
        <w:rPr>
          <w:color w:val="333333"/>
        </w:rPr>
        <w:t xml:space="preserve"> </w:t>
      </w:r>
      <w:hyperlink r:id="rId40" w:history="1">
        <w:r w:rsidRPr="0093156D">
          <w:rPr>
            <w:rStyle w:val="Hyperlink"/>
          </w:rPr>
          <w:t>http://caucasusbarometer.org</w:t>
        </w:r>
      </w:hyperlink>
      <w:r w:rsidRPr="0093156D">
        <w:rPr>
          <w:rStyle w:val="Hyperlink"/>
        </w:rPr>
        <w:t>.</w:t>
      </w:r>
      <w:bookmarkEnd w:id="38"/>
      <w:bookmarkEnd w:id="39"/>
    </w:p>
    <w:p w14:paraId="44449156" w14:textId="77777777" w:rsidR="004F68C5" w:rsidRPr="0093156D" w:rsidRDefault="006F65EB" w:rsidP="00C52585">
      <w:pPr>
        <w:rPr>
          <w:b/>
          <w:bCs/>
        </w:rPr>
      </w:pPr>
      <w:bookmarkStart w:id="40" w:name="_Toc494659900"/>
      <w:bookmarkStart w:id="41" w:name="_Toc494805101"/>
      <w:r w:rsidRPr="0093156D">
        <w:t xml:space="preserve"> </w:t>
      </w:r>
      <w:r w:rsidR="004F68C5" w:rsidRPr="0093156D">
        <w:t>Caucasus Research Resource Centres/International School of Economic</w:t>
      </w:r>
      <w:r w:rsidRPr="0093156D">
        <w:t xml:space="preserve">s at Tbilisi State University (CRRC/ISET), </w:t>
      </w:r>
      <w:r w:rsidR="004F68C5" w:rsidRPr="0093156D">
        <w:t>2010, Development on the move: measuring and optimising migration’s economic and social impacts in Georgia, Tbilisi</w:t>
      </w:r>
      <w:bookmarkEnd w:id="40"/>
      <w:bookmarkEnd w:id="41"/>
    </w:p>
    <w:p w14:paraId="2DE8C2F0" w14:textId="5BC66470" w:rsidR="004F68C5" w:rsidRPr="0093156D" w:rsidRDefault="000B734D" w:rsidP="00C52585">
      <w:bookmarkStart w:id="42" w:name="_Toc494659901"/>
      <w:bookmarkStart w:id="43" w:name="_Toc494805102"/>
      <w:r w:rsidRPr="000B734D">
        <w:t>Cedefop (2015). Skills, qualifications and jobs in the EU: the making of a perfect match? http://www.cedefop.europa.eu/en/publications-and-resources/publications/3072</w:t>
      </w:r>
      <w:r w:rsidR="004F68C5" w:rsidRPr="0093156D">
        <w:t>Government of Georgia, Social-economic Development Strategy of Georgia - Georgia 2020, available at:</w:t>
      </w:r>
      <w:bookmarkEnd w:id="42"/>
      <w:bookmarkEnd w:id="43"/>
      <w:r w:rsidR="00FD5BA4">
        <w:t xml:space="preserve"> </w:t>
      </w:r>
      <w:hyperlink r:id="rId41" w:history="1">
        <w:bookmarkStart w:id="44" w:name="_Toc494659902"/>
        <w:bookmarkStart w:id="45" w:name="_Toc494805103"/>
        <w:r w:rsidR="004F68C5" w:rsidRPr="00AF3871">
          <w:rPr>
            <w:rStyle w:val="Hyperlink"/>
            <w:rFonts w:ascii="Arial Narrow" w:hAnsi="Arial Narrow"/>
          </w:rPr>
          <w:t>http://www.mrdi.gov.ge/sites/default/files/social-economic_development_strategy_of_georgia_georgia_2020.pdf</w:t>
        </w:r>
        <w:bookmarkEnd w:id="44"/>
        <w:bookmarkEnd w:id="45"/>
      </w:hyperlink>
    </w:p>
    <w:p w14:paraId="558B41E2" w14:textId="77777777" w:rsidR="004F68C5" w:rsidRPr="00555E41" w:rsidRDefault="004F68C5" w:rsidP="00C52585">
      <w:pPr>
        <w:rPr>
          <w:b/>
          <w:bCs/>
          <w:lang w:val="de-DE"/>
        </w:rPr>
      </w:pPr>
      <w:bookmarkStart w:id="46" w:name="_Toc494659903"/>
      <w:bookmarkStart w:id="47" w:name="_Toc494805104"/>
      <w:r w:rsidRPr="00555E41">
        <w:rPr>
          <w:lang w:val="de-DE"/>
        </w:rPr>
        <w:t>Deutsche Gesellschaft für Technische Zusammenarbeit (GTZ) GmbH, 2010, Matching Vocational Education in Georgia with Labour Market Needs, GTZ</w:t>
      </w:r>
      <w:bookmarkEnd w:id="46"/>
      <w:bookmarkEnd w:id="47"/>
    </w:p>
    <w:p w14:paraId="5A6B6CFE" w14:textId="7880D976" w:rsidR="004F68C5" w:rsidRPr="00AF3871" w:rsidRDefault="004F68C5" w:rsidP="00C52585">
      <w:pPr>
        <w:rPr>
          <w:rFonts w:ascii="Arial Narrow" w:hAnsi="Arial Narrow"/>
          <w:color w:val="0000FF"/>
          <w:u w:val="single"/>
        </w:rPr>
      </w:pPr>
      <w:r w:rsidRPr="0093156D">
        <w:t xml:space="preserve">Economic Policy Research Center (EPRC), 2011, Employment and Unemployment Trends in Georgia, Tbilisi, available at: </w:t>
      </w:r>
      <w:r w:rsidRPr="00AF3871">
        <w:rPr>
          <w:rFonts w:ascii="Arial Narrow" w:hAnsi="Arial Narrow"/>
          <w:color w:val="0000FF"/>
          <w:u w:val="single"/>
        </w:rPr>
        <w:t>https://www.osgf.ge/files/publications/2011/EPRC_Georgian_Economic_Outlook_II,_Nov_2011_ENG.pdf</w:t>
      </w:r>
    </w:p>
    <w:p w14:paraId="664129B5" w14:textId="77777777" w:rsidR="004F68C5" w:rsidRPr="00AF3871" w:rsidRDefault="004F68C5" w:rsidP="00C52585">
      <w:pPr>
        <w:rPr>
          <w:rFonts w:ascii="Arial Narrow" w:hAnsi="Arial Narrow"/>
        </w:rPr>
      </w:pPr>
      <w:r w:rsidRPr="0093156D">
        <w:rPr>
          <w:color w:val="000000"/>
        </w:rPr>
        <w:t xml:space="preserve">European Training Foundation (ETF) and BCG-Research, 2013, </w:t>
      </w:r>
      <w:r w:rsidRPr="0093156D">
        <w:rPr>
          <w:iCs/>
          <w:color w:val="000000"/>
        </w:rPr>
        <w:t>Migration and Skills in Georgia. Results of the 2011/12 Migration survey on the Relationship between Skills, Migration and Development</w:t>
      </w:r>
      <w:r w:rsidRPr="0093156D">
        <w:rPr>
          <w:color w:val="000000"/>
        </w:rPr>
        <w:t xml:space="preserve">, available at: </w:t>
      </w:r>
      <w:hyperlink r:id="rId42" w:history="1">
        <w:r w:rsidRPr="00AF3871">
          <w:rPr>
            <w:rFonts w:ascii="Arial Narrow" w:hAnsi="Arial Narrow"/>
            <w:color w:val="0000FF"/>
            <w:u w:val="single"/>
          </w:rPr>
          <w:t>http://www.etf.europa.eu/webatt.nsf/0/226927FBAE4DA4E2C1257B4D0043A93E/$file/Migration</w:t>
        </w:r>
        <w:r w:rsidRPr="00AF3871">
          <w:rPr>
            <w:rFonts w:ascii="Arial Narrow" w:hAnsi="Arial Narrow"/>
            <w:vanish/>
            <w:color w:val="0000FF"/>
            <w:u w:val="single"/>
          </w:rPr>
          <w:t>HYPERLINK "http://www.etf.europa.eu/webatt.nsf/0/226927FBAE4DA4E2C1257B4D0043A93E/$file/Migration&amp;skills_Georgia.pdf"</w:t>
        </w:r>
        <w:r w:rsidRPr="00AF3871">
          <w:rPr>
            <w:rFonts w:ascii="Arial Narrow" w:hAnsi="Arial Narrow"/>
            <w:color w:val="0000FF"/>
            <w:u w:val="single"/>
          </w:rPr>
          <w:t>&amp;</w:t>
        </w:r>
        <w:r w:rsidRPr="00AF3871">
          <w:rPr>
            <w:rFonts w:ascii="Arial Narrow" w:hAnsi="Arial Narrow"/>
            <w:vanish/>
            <w:color w:val="0000FF"/>
            <w:u w:val="single"/>
          </w:rPr>
          <w:t>HYPERLINK "http://www.etf.europa.eu/webatt.nsf/0/226927FBAE4DA4E2C1257B4D0043A93E/$file/Migration&amp;skills_Georgia.pdf"</w:t>
        </w:r>
        <w:r w:rsidRPr="00AF3871">
          <w:rPr>
            <w:rFonts w:ascii="Arial Narrow" w:hAnsi="Arial Narrow"/>
            <w:color w:val="0000FF"/>
            <w:u w:val="single"/>
          </w:rPr>
          <w:t>skills_Georgia.pdf</w:t>
        </w:r>
      </w:hyperlink>
    </w:p>
    <w:p w14:paraId="6CE9F1FF" w14:textId="77777777" w:rsidR="004F68C5" w:rsidRPr="0093156D" w:rsidRDefault="004F68C5" w:rsidP="00C52585">
      <w:pPr>
        <w:rPr>
          <w:color w:val="000000"/>
        </w:rPr>
      </w:pPr>
      <w:r w:rsidRPr="0093156D">
        <w:rPr>
          <w:color w:val="000000"/>
        </w:rPr>
        <w:t>European Training Foundation (ETF), 2015, Young people not in Employment, Education or Training (NEET), available at:</w:t>
      </w:r>
      <w:r w:rsidRPr="0093156D">
        <w:t xml:space="preserve"> </w:t>
      </w:r>
      <w:r w:rsidRPr="00AF3871">
        <w:rPr>
          <w:rFonts w:ascii="Arial Narrow" w:hAnsi="Arial Narrow"/>
          <w:color w:val="0000FF"/>
          <w:u w:val="single"/>
        </w:rPr>
        <w:t>http://www.etf.europa.eu/web.nsf/pages/NEET_ETF_partner_countries</w:t>
      </w:r>
    </w:p>
    <w:p w14:paraId="65F5BD65" w14:textId="77777777" w:rsidR="004F68C5" w:rsidRPr="0093156D" w:rsidRDefault="004F68C5" w:rsidP="00C52585">
      <w:r w:rsidRPr="0093156D">
        <w:t>European Training Foundation (ETF), 2016, Torino Process 2016-17. Georgia</w:t>
      </w:r>
    </w:p>
    <w:p w14:paraId="1F6FABFA" w14:textId="77777777" w:rsidR="004F68C5" w:rsidRPr="0093156D" w:rsidRDefault="004F68C5" w:rsidP="00C52585">
      <w:r w:rsidRPr="0093156D">
        <w:t xml:space="preserve">European Training Foundation (ETF), 2017, Education, Training and Employment Development 2016, available at: </w:t>
      </w:r>
      <w:hyperlink r:id="rId43" w:history="1">
        <w:r w:rsidRPr="0093156D">
          <w:rPr>
            <w:rStyle w:val="Hyperlink"/>
          </w:rPr>
          <w:t>http://www.etf.europa.eu/webatt.nsf/0/233AD94A2CEBED50C12580E60051DF39/$file/Georgia%202016.pdf</w:t>
        </w:r>
      </w:hyperlink>
    </w:p>
    <w:p w14:paraId="3EC11B51" w14:textId="4978A962" w:rsidR="008C4FDF" w:rsidRDefault="008C4FDF" w:rsidP="008C4FDF">
      <w:pPr>
        <w:pStyle w:val="CommentText"/>
      </w:pPr>
      <w:bookmarkStart w:id="48" w:name="_Toc494659904"/>
      <w:bookmarkStart w:id="49" w:name="_Toc494805105"/>
      <w:r>
        <w:t>ETF (2018), Mapping youth transitions to work in the Eastern Partnership countries – Georgia country report</w:t>
      </w:r>
      <w:r w:rsidR="008E7175">
        <w:t>, drafted by Ana Diakonidze and Ummuhan Bardak</w:t>
      </w:r>
      <w:r>
        <w:t xml:space="preserve"> (forthcoming).  </w:t>
      </w:r>
    </w:p>
    <w:p w14:paraId="1A2558F5" w14:textId="528D5E2D" w:rsidR="004F68C5" w:rsidRPr="00AF3871" w:rsidRDefault="004F68C5" w:rsidP="00C52585">
      <w:pPr>
        <w:rPr>
          <w:rFonts w:ascii="Arial Narrow" w:hAnsi="Arial Narrow"/>
        </w:rPr>
      </w:pPr>
      <w:r w:rsidRPr="0093156D">
        <w:t>European Initiative - Liberal Academy, 2012, Econo</w:t>
      </w:r>
      <w:r w:rsidR="006F65EB" w:rsidRPr="0093156D">
        <w:t>mical transformation of Georgia</w:t>
      </w:r>
      <w:r w:rsidRPr="0093156D">
        <w:t>: 20 years of independence (saqartvelos ekonomikuri transformacia: damoukideblobis 20 tseli), USAID- Georgia and East-West Management Institute, Tbilisi, in Georgian, available a</w:t>
      </w:r>
      <w:bookmarkEnd w:id="48"/>
      <w:bookmarkEnd w:id="49"/>
      <w:r w:rsidR="00C52585" w:rsidRPr="0093156D">
        <w:t>t</w:t>
      </w:r>
      <w:r w:rsidR="00C52585" w:rsidRPr="00AF3871">
        <w:rPr>
          <w:rFonts w:ascii="Arial Narrow" w:hAnsi="Arial Narrow"/>
        </w:rPr>
        <w:t xml:space="preserve">: </w:t>
      </w:r>
      <w:r w:rsidR="00C52585" w:rsidRPr="00AF3871">
        <w:rPr>
          <w:rStyle w:val="Hyperlink"/>
          <w:u w:val="none"/>
        </w:rPr>
        <w:t>h</w:t>
      </w:r>
      <w:r w:rsidR="00C52585" w:rsidRPr="00AF3871">
        <w:rPr>
          <w:rStyle w:val="Hyperlink"/>
          <w:rFonts w:ascii="Arial Narrow" w:hAnsi="Arial Narrow"/>
          <w:u w:val="none"/>
        </w:rPr>
        <w:t xml:space="preserve">ttp://www.ei-lat.ge/images/stories/The_Economic_Transformation_of_Georgia_-_20_Years_of_Independence_Interim_Report_geo.pdf </w:t>
      </w:r>
    </w:p>
    <w:p w14:paraId="25D27F41" w14:textId="77777777" w:rsidR="004F68C5" w:rsidRPr="00AF3871" w:rsidRDefault="004F68C5" w:rsidP="00C52585">
      <w:pPr>
        <w:rPr>
          <w:rStyle w:val="Hyperlink"/>
          <w:rFonts w:ascii="Arial Narrow" w:hAnsi="Arial Narrow"/>
        </w:rPr>
      </w:pPr>
      <w:r w:rsidRPr="0093156D">
        <w:t xml:space="preserve">European Commission, 2011, Social Protection </w:t>
      </w:r>
      <w:r w:rsidR="006F65EB" w:rsidRPr="0093156D">
        <w:t>and Social Inclusion in Georgia</w:t>
      </w:r>
      <w:r w:rsidRPr="0093156D">
        <w:t xml:space="preserve"> available at: </w:t>
      </w:r>
      <w:hyperlink r:id="rId44" w:history="1">
        <w:r w:rsidRPr="00AF3871">
          <w:rPr>
            <w:rStyle w:val="Hyperlink"/>
            <w:rFonts w:ascii="Arial Narrow" w:hAnsi="Arial Narrow"/>
          </w:rPr>
          <w:t>http://ec.europa.eu/social/main.jsp?catId=89&amp;langId=en&amp;newsId=1045&amp;moreDocuments=yes&amp;tableName=news</w:t>
        </w:r>
      </w:hyperlink>
      <w:r w:rsidRPr="00AF3871">
        <w:rPr>
          <w:rFonts w:ascii="Arial Narrow" w:hAnsi="Arial Narrow"/>
        </w:rPr>
        <w:t xml:space="preserve"> </w:t>
      </w:r>
    </w:p>
    <w:p w14:paraId="64D55AC5" w14:textId="39A1C903" w:rsidR="000B734D" w:rsidRDefault="000B734D" w:rsidP="00C52585">
      <w:bookmarkStart w:id="50" w:name="_Toc494659906"/>
      <w:bookmarkStart w:id="51" w:name="_Toc494805107"/>
      <w:r w:rsidRPr="000B734D">
        <w:t xml:space="preserve">European Commission (2015). Analytical Web Note 07/2015 Measuring skills mismatch, </w:t>
      </w:r>
      <w:hyperlink r:id="rId45" w:history="1">
        <w:r w:rsidRPr="0052085C">
          <w:rPr>
            <w:rStyle w:val="Hyperlink"/>
          </w:rPr>
          <w:t>http://ec.europa.eu/social/main.jsp?catId=738&amp;langId=en&amp;pubId=7860</w:t>
        </w:r>
      </w:hyperlink>
    </w:p>
    <w:p w14:paraId="6C3B4618" w14:textId="73E2F4C7" w:rsidR="000B734D" w:rsidRDefault="000B734D" w:rsidP="00C52585">
      <w:r w:rsidRPr="000B734D">
        <w:t xml:space="preserve">Eurostat (2016), Statistical approaches to the measurement of skills, </w:t>
      </w:r>
      <w:hyperlink r:id="rId46" w:history="1">
        <w:r w:rsidRPr="0052085C">
          <w:rPr>
            <w:rStyle w:val="Hyperlink"/>
          </w:rPr>
          <w:t>http://ec.europa.eu/eurostat/documents/3888793/7753369/KS-TC-16-023-EN-N.pdf/438b69b5-2fcb-4923-b9e2-fa7b59906438</w:t>
        </w:r>
      </w:hyperlink>
    </w:p>
    <w:p w14:paraId="712287FD" w14:textId="7419AE88" w:rsidR="00C50D04" w:rsidRDefault="00C50D04" w:rsidP="00C52585">
      <w:r w:rsidRPr="00C50D04">
        <w:t>Gamkrelidze, Georg</w:t>
      </w:r>
      <w:r w:rsidR="008E7175">
        <w:t>e</w:t>
      </w:r>
      <w:r w:rsidRPr="00C50D04">
        <w:t xml:space="preserve"> (2016): Active Labour Market Policy Measures, PPP of The Ministry of Labour, Health and Social Affairs of Georgia,  </w:t>
      </w:r>
    </w:p>
    <w:p w14:paraId="1768A8B2" w14:textId="222B45D4" w:rsidR="004F68C5" w:rsidRPr="00AF3871" w:rsidRDefault="004F68C5" w:rsidP="00C52585">
      <w:pPr>
        <w:rPr>
          <w:rFonts w:ascii="Arial Narrow" w:hAnsi="Arial Narrow"/>
          <w:color w:val="0000FF"/>
          <w:u w:val="single"/>
        </w:rPr>
      </w:pPr>
      <w:r w:rsidRPr="0093156D">
        <w:t xml:space="preserve">International Bank for Reconstruction and Development/ The World Bank, 2014, Georgia Public Expenditure Review, available at: </w:t>
      </w:r>
      <w:hyperlink r:id="rId47" w:history="1">
        <w:r w:rsidRPr="00AF3871">
          <w:rPr>
            <w:rStyle w:val="Hyperlink"/>
            <w:rFonts w:ascii="Arial Narrow" w:hAnsi="Arial Narrow"/>
          </w:rPr>
          <w:t>http://documents.worldbank.org/curated/en/779561468275119198/pdf/781430GE0v10RE0Box0385291B00PUBLIC0.pdf</w:t>
        </w:r>
        <w:bookmarkEnd w:id="50"/>
        <w:bookmarkEnd w:id="51"/>
      </w:hyperlink>
    </w:p>
    <w:p w14:paraId="7CC5F381" w14:textId="440EB92F" w:rsidR="000B734D" w:rsidRDefault="000B734D" w:rsidP="00C52585">
      <w:bookmarkStart w:id="52" w:name="_Toc494659907"/>
      <w:bookmarkStart w:id="53" w:name="_Toc494805108"/>
      <w:r w:rsidRPr="000B734D">
        <w:t xml:space="preserve">JRC (2014), Occupational mismatch in Europe: understanding overeducation and overskilling for policy making, </w:t>
      </w:r>
      <w:hyperlink r:id="rId48" w:history="1">
        <w:r w:rsidRPr="0052085C">
          <w:rPr>
            <w:rStyle w:val="Hyperlink"/>
          </w:rPr>
          <w:t>http://publications.jrc.ec.europa.eu/repository/bitstream/JRC89712/occupational%20mismatch%20in%20europe.pdf</w:t>
        </w:r>
      </w:hyperlink>
    </w:p>
    <w:p w14:paraId="251C8477" w14:textId="6507F16E" w:rsidR="004F68C5" w:rsidRPr="00AF3871" w:rsidRDefault="004F68C5" w:rsidP="00C52585">
      <w:pPr>
        <w:rPr>
          <w:rStyle w:val="Hyperlink"/>
          <w:rFonts w:ascii="Arial Narrow" w:hAnsi="Arial Narrow"/>
        </w:rPr>
      </w:pPr>
      <w:r w:rsidRPr="0093156D">
        <w:t>Labadze, L., Tukhashvili, M., 2013, Mobility Between the EU and the Eastern Partnership Partner Countries.</w:t>
      </w:r>
      <w:r w:rsidR="006F65EB" w:rsidRPr="0093156D">
        <w:t xml:space="preserve"> </w:t>
      </w:r>
      <w:r w:rsidRPr="0093156D">
        <w:t>Country Report: Georgia, CASE – Center for Social and Economic Research, Warsaw, available at</w:t>
      </w:r>
      <w:r w:rsidRPr="00AF3871">
        <w:rPr>
          <w:rFonts w:ascii="Arial Narrow" w:hAnsi="Arial Narrow"/>
        </w:rPr>
        <w:t>:</w:t>
      </w:r>
      <w:bookmarkEnd w:id="52"/>
      <w:bookmarkEnd w:id="53"/>
      <w:r w:rsidRPr="00AF3871">
        <w:rPr>
          <w:rFonts w:ascii="Arial Narrow" w:hAnsi="Arial Narrow"/>
        </w:rPr>
        <w:t xml:space="preserve"> </w:t>
      </w:r>
      <w:hyperlink r:id="rId49" w:history="1">
        <w:bookmarkStart w:id="54" w:name="_Toc494659908"/>
        <w:bookmarkStart w:id="55" w:name="_Toc494805109"/>
        <w:r w:rsidRPr="00AF3871">
          <w:rPr>
            <w:rStyle w:val="Hyperlink"/>
            <w:rFonts w:ascii="Arial Narrow" w:hAnsi="Arial Narrow"/>
          </w:rPr>
          <w:t>http://www.case-research.eu/uploads/zalacznik/2017-01-10/CNR_2013_113_0.pdf</w:t>
        </w:r>
        <w:bookmarkEnd w:id="54"/>
        <w:bookmarkEnd w:id="55"/>
      </w:hyperlink>
    </w:p>
    <w:p w14:paraId="6CEE4142" w14:textId="30D66C11" w:rsidR="00C50D04" w:rsidRDefault="00C50D04" w:rsidP="00C52585">
      <w:bookmarkStart w:id="56" w:name="_Toc494659909"/>
      <w:bookmarkStart w:id="57" w:name="_Toc494805110"/>
      <w:r w:rsidRPr="00C50D04">
        <w:t>Ministry of Education and Science</w:t>
      </w:r>
      <w:r w:rsidR="00004349">
        <w:t xml:space="preserve"> (no publication date)</w:t>
      </w:r>
      <w:r w:rsidR="008E7175">
        <w:t>,</w:t>
      </w:r>
      <w:r w:rsidRPr="00C50D04">
        <w:t xml:space="preserve"> Labour market status of VET graduates in Georgia. Analysis of tracer studies VET Department Ministry of Education and Science. Labour Market Studies Series No. 2 Ministry of Education and Science of Georgia. Tbilisi, available at: </w:t>
      </w:r>
      <w:hyperlink r:id="rId50" w:history="1">
        <w:r w:rsidRPr="00664C89">
          <w:rPr>
            <w:rStyle w:val="Hyperlink"/>
          </w:rPr>
          <w:t>http://mes.gov.ge/uploads/tracer%20study_raport%20eng.pdf</w:t>
        </w:r>
      </w:hyperlink>
    </w:p>
    <w:p w14:paraId="52128DDD" w14:textId="0E018F97" w:rsidR="004F68C5" w:rsidRPr="00AF3871" w:rsidRDefault="004F68C5" w:rsidP="00C52585">
      <w:pPr>
        <w:rPr>
          <w:rFonts w:ascii="Arial Narrow" w:hAnsi="Arial Narrow"/>
        </w:rPr>
      </w:pPr>
      <w:r w:rsidRPr="0093156D">
        <w:t xml:space="preserve">Ministry of Labour, Health and Social Affairs (MLHSA), 2015, The Survey Report of Labour Market Demand Component, available at: </w:t>
      </w:r>
      <w:hyperlink r:id="rId51" w:history="1">
        <w:r w:rsidR="00C52585" w:rsidRPr="00AF3871">
          <w:rPr>
            <w:rStyle w:val="Hyperlink"/>
            <w:rFonts w:ascii="Arial Narrow" w:hAnsi="Arial Narrow"/>
          </w:rPr>
          <w:t>http://moh.gov.ge/uploads/files/oldMoh/01_GEO/Shroma/kvleva/4.pdf</w:t>
        </w:r>
      </w:hyperlink>
      <w:bookmarkEnd w:id="56"/>
      <w:bookmarkEnd w:id="57"/>
      <w:r w:rsidRPr="00AF3871">
        <w:rPr>
          <w:rStyle w:val="Hyperlink"/>
          <w:rFonts w:ascii="Arial Narrow" w:hAnsi="Arial Narrow"/>
        </w:rPr>
        <w:t xml:space="preserve"> </w:t>
      </w:r>
    </w:p>
    <w:p w14:paraId="2CD93FD0" w14:textId="77777777" w:rsidR="004F68C5" w:rsidRPr="00AF3871" w:rsidRDefault="004F68C5" w:rsidP="00C52585">
      <w:pPr>
        <w:rPr>
          <w:rFonts w:ascii="Arial Narrow" w:hAnsi="Arial Narrow"/>
        </w:rPr>
      </w:pPr>
      <w:bookmarkStart w:id="58" w:name="_Toc494659910"/>
      <w:bookmarkStart w:id="59" w:name="_Toc494805111"/>
      <w:r w:rsidRPr="0093156D">
        <w:rPr>
          <w:iCs/>
          <w:color w:val="212120"/>
        </w:rPr>
        <w:t>National Statistics Office of Georgia (Geostat), Statistical Yearbook of Georgia: 2016, Tbilisi, 2016, available at:</w:t>
      </w:r>
      <w:bookmarkEnd w:id="58"/>
      <w:bookmarkEnd w:id="59"/>
      <w:r w:rsidRPr="0093156D">
        <w:t xml:space="preserve"> </w:t>
      </w:r>
      <w:bookmarkStart w:id="60" w:name="_Toc494659911"/>
      <w:bookmarkStart w:id="61" w:name="_Toc494805112"/>
      <w:r w:rsidRPr="00AF3871">
        <w:rPr>
          <w:rStyle w:val="Hyperlink"/>
          <w:rFonts w:ascii="Arial Narrow" w:hAnsi="Arial Narrow"/>
        </w:rPr>
        <w:t>http://geostat.ge/index.php?action=wnews&amp;lang=geo&amp;npid=510</w:t>
      </w:r>
      <w:bookmarkEnd w:id="60"/>
      <w:bookmarkEnd w:id="61"/>
    </w:p>
    <w:p w14:paraId="2571D0F3" w14:textId="77777777" w:rsidR="004F68C5" w:rsidRPr="00AF3871" w:rsidRDefault="004F68C5" w:rsidP="00C52585">
      <w:pPr>
        <w:rPr>
          <w:rFonts w:ascii="Arial Narrow" w:hAnsi="Arial Narrow"/>
        </w:rPr>
      </w:pPr>
      <w:bookmarkStart w:id="62" w:name="_Toc494659912"/>
      <w:bookmarkStart w:id="63" w:name="_Toc494805113"/>
      <w:r w:rsidRPr="0093156D">
        <w:t>National Statistics Office of Georgia (Geostat), 2017, Employment and Unemployment in Georgia, available at:</w:t>
      </w:r>
      <w:bookmarkEnd w:id="62"/>
      <w:bookmarkEnd w:id="63"/>
      <w:r w:rsidRPr="0093156D">
        <w:t xml:space="preserve"> </w:t>
      </w:r>
      <w:hyperlink r:id="rId52" w:history="1">
        <w:bookmarkStart w:id="64" w:name="_Toc494659913"/>
        <w:bookmarkStart w:id="65" w:name="_Toc494805114"/>
        <w:r w:rsidRPr="00AF3871">
          <w:rPr>
            <w:rStyle w:val="Hyperlink"/>
            <w:rFonts w:ascii="Arial Narrow" w:hAnsi="Arial Narrow"/>
          </w:rPr>
          <w:t>http://geostat.ge/cms/site_images/_files/georgian/labour/dasaqmeba-umushevroba%202016_GEO.pdf</w:t>
        </w:r>
        <w:bookmarkEnd w:id="64"/>
        <w:bookmarkEnd w:id="65"/>
      </w:hyperlink>
    </w:p>
    <w:p w14:paraId="1A69D192" w14:textId="77777777" w:rsidR="004F68C5" w:rsidRPr="0093156D" w:rsidRDefault="004F68C5" w:rsidP="00C52585">
      <w:pPr>
        <w:rPr>
          <w:rStyle w:val="Hyperlink"/>
        </w:rPr>
      </w:pPr>
      <w:r w:rsidRPr="0093156D">
        <w:t xml:space="preserve">Paichadze, N., Chokheli, ,E., Keshelashvili, G., Kharkheli, M., Tielidze, Sh., Tchuradze, G., 2016, Employment Challenges in Georgia (An Analysis of Public and Private Sector), In: International Journal of Management and Applied Science, Volume-2, Issue-10, available at: </w:t>
      </w:r>
      <w:r w:rsidRPr="00AF3871">
        <w:rPr>
          <w:rStyle w:val="Hyperlink"/>
          <w:rFonts w:ascii="Arial Narrow" w:hAnsi="Arial Narrow"/>
        </w:rPr>
        <w:t>http://www.iraj.in/journal/journal_file/journal_pdf/14-308-148007423199-101.pdf</w:t>
      </w:r>
    </w:p>
    <w:p w14:paraId="689998F7" w14:textId="77777777" w:rsidR="004F68C5" w:rsidRPr="00AF3871" w:rsidRDefault="004F68C5" w:rsidP="00C52585">
      <w:pPr>
        <w:rPr>
          <w:rFonts w:ascii="Arial Narrow" w:hAnsi="Arial Narrow"/>
          <w:b/>
        </w:rPr>
      </w:pPr>
      <w:r w:rsidRPr="0093156D">
        <w:t xml:space="preserve">Popovaite, I., Traditional gender roles cause inequality in </w:t>
      </w:r>
      <w:r w:rsidR="0090402D" w:rsidRPr="0093156D">
        <w:t xml:space="preserve">labour </w:t>
      </w:r>
      <w:r w:rsidRPr="0093156D">
        <w:t>market, In: Democracy &amp; Freedom Watch, March 16, 2015, available at</w:t>
      </w:r>
      <w:r w:rsidRPr="00AF3871">
        <w:rPr>
          <w:rFonts w:ascii="Arial Narrow" w:hAnsi="Arial Narrow"/>
        </w:rPr>
        <w:t>:</w:t>
      </w:r>
      <w:r w:rsidR="00C52585" w:rsidRPr="00AF3871">
        <w:rPr>
          <w:rFonts w:ascii="Arial Narrow" w:hAnsi="Arial Narrow"/>
        </w:rPr>
        <w:t xml:space="preserve"> </w:t>
      </w:r>
      <w:hyperlink r:id="rId53" w:history="1">
        <w:r w:rsidRPr="00AF3871">
          <w:rPr>
            <w:rStyle w:val="Hyperlink"/>
            <w:rFonts w:ascii="Arial Narrow" w:hAnsi="Arial Narrow"/>
          </w:rPr>
          <w:t>http://dfwatch.net/traditional-gender-roles-cause-inequality-in-labor-market-34336</w:t>
        </w:r>
      </w:hyperlink>
    </w:p>
    <w:p w14:paraId="49FC518C" w14:textId="0ECC8ABB" w:rsidR="0078487C" w:rsidRDefault="0078487C" w:rsidP="00C52585">
      <w:pPr>
        <w:rPr>
          <w:color w:val="000000" w:themeColor="text1"/>
        </w:rPr>
      </w:pPr>
      <w:bookmarkStart w:id="66" w:name="_Toc494659914"/>
      <w:bookmarkStart w:id="67" w:name="_Toc494805115"/>
      <w:r w:rsidRPr="0078487C">
        <w:rPr>
          <w:color w:val="000000" w:themeColor="text1"/>
        </w:rPr>
        <w:t>Rutkowski</w:t>
      </w:r>
      <w:r>
        <w:rPr>
          <w:color w:val="000000" w:themeColor="text1"/>
        </w:rPr>
        <w:t xml:space="preserve">, J. </w:t>
      </w:r>
      <w:r w:rsidRPr="0078487C">
        <w:rPr>
          <w:color w:val="000000" w:themeColor="text1"/>
        </w:rPr>
        <w:t>2015</w:t>
      </w:r>
      <w:r>
        <w:rPr>
          <w:color w:val="000000" w:themeColor="text1"/>
        </w:rPr>
        <w:t xml:space="preserve">, </w:t>
      </w:r>
      <w:r w:rsidRPr="0078487C">
        <w:rPr>
          <w:color w:val="000000" w:themeColor="text1"/>
        </w:rPr>
        <w:t>Demand for Skills in Georgia, The World Bank, Jobs Forum, Tbilisi, October 30, 2015</w:t>
      </w:r>
    </w:p>
    <w:p w14:paraId="678E2E25" w14:textId="6FC0940B" w:rsidR="004F68C5" w:rsidRPr="0093156D" w:rsidRDefault="004F68C5" w:rsidP="00C52585">
      <w:r w:rsidRPr="0093156D">
        <w:rPr>
          <w:color w:val="000000" w:themeColor="text1"/>
        </w:rPr>
        <w:t>Shvelidze, Z., 2012, Transition from Soviet to Liberal Labour Law: Labour Standards in Georgia, In: E-Journal of International and Comparative Labour Studies 1, No. 1-2 March-June, pp.</w:t>
      </w:r>
      <w:r w:rsidR="006F65EB" w:rsidRPr="0093156D">
        <w:rPr>
          <w:color w:val="000000" w:themeColor="text1"/>
        </w:rPr>
        <w:t xml:space="preserve"> </w:t>
      </w:r>
      <w:r w:rsidRPr="0093156D">
        <w:rPr>
          <w:color w:val="000000" w:themeColor="text1"/>
        </w:rPr>
        <w:t>213-235</w:t>
      </w:r>
      <w:bookmarkEnd w:id="66"/>
      <w:bookmarkEnd w:id="67"/>
    </w:p>
    <w:p w14:paraId="133F91B3" w14:textId="77777777" w:rsidR="00C50D04" w:rsidRDefault="00C50D04" w:rsidP="00C52585">
      <w:bookmarkStart w:id="68" w:name="_Toc494659915"/>
      <w:bookmarkStart w:id="69" w:name="_Toc494805116"/>
      <w:r w:rsidRPr="00C50D04">
        <w:t>SSA/EES 2016 Annual Report</w:t>
      </w:r>
    </w:p>
    <w:p w14:paraId="548D294B" w14:textId="70B2B7BC" w:rsidR="004F68C5" w:rsidRPr="0093156D" w:rsidRDefault="004F68C5" w:rsidP="00C52585">
      <w:r w:rsidRPr="0093156D">
        <w:t>Terterashvili, M., 2014, The Socio-Economic Dimensions of Gender Inequalities in Rural Areas of Georgia, Tbilisi</w:t>
      </w:r>
      <w:bookmarkEnd w:id="68"/>
      <w:bookmarkEnd w:id="69"/>
    </w:p>
    <w:p w14:paraId="4675F2A5" w14:textId="77777777" w:rsidR="004F68C5" w:rsidRPr="0093156D" w:rsidRDefault="004F68C5" w:rsidP="00C52585">
      <w:bookmarkStart w:id="70" w:name="_Toc494659916"/>
      <w:bookmarkStart w:id="71" w:name="_Toc494805117"/>
      <w:r w:rsidRPr="0093156D">
        <w:t>The International Institute for Education, Planning, Policy and Management (EPPM), 2013, Strategic Development of Higher Education and Science in Georgia Policy Analysis of Higher Education according to Five Strategic Directions. V – Higher Education and Employment, Tbilisi</w:t>
      </w:r>
      <w:bookmarkEnd w:id="70"/>
      <w:bookmarkEnd w:id="71"/>
    </w:p>
    <w:p w14:paraId="35EA79F6" w14:textId="77777777" w:rsidR="004F68C5" w:rsidRPr="0093156D" w:rsidRDefault="004F68C5" w:rsidP="00C52585">
      <w:pPr>
        <w:rPr>
          <w:rStyle w:val="Hyperlink"/>
        </w:rPr>
      </w:pPr>
      <w:r w:rsidRPr="0093156D">
        <w:t xml:space="preserve">UNDP, </w:t>
      </w:r>
      <w:r w:rsidRPr="0093156D">
        <w:rPr>
          <w:rFonts w:eastAsia="Times New Roman"/>
        </w:rPr>
        <w:t>Briefing note for countries on the 2016 Human Development Report, Georgia, available at:</w:t>
      </w:r>
      <w:r w:rsidR="006F65EB" w:rsidRPr="0093156D">
        <w:rPr>
          <w:rFonts w:eastAsia="Times New Roman"/>
        </w:rPr>
        <w:t xml:space="preserve"> </w:t>
      </w:r>
      <w:r w:rsidRPr="0093156D">
        <w:rPr>
          <w:rStyle w:val="Hyperlink"/>
        </w:rPr>
        <w:t xml:space="preserve">http://hdr.undp.org/sites/all/themes/hdr_theme/country-notes/GEO.pdf  </w:t>
      </w:r>
    </w:p>
    <w:p w14:paraId="7F5599EC" w14:textId="77777777" w:rsidR="004F68C5" w:rsidRPr="0093156D" w:rsidRDefault="004F68C5" w:rsidP="00C52585">
      <w:r w:rsidRPr="0093156D">
        <w:t>UNICEF, 2014, Student Performance in Georgia according to the programme for international student assessment (PISA), available at:</w:t>
      </w:r>
      <w:r w:rsidR="00C52585" w:rsidRPr="0093156D">
        <w:t xml:space="preserve"> </w:t>
      </w:r>
      <w:hyperlink r:id="rId54" w:history="1">
        <w:r w:rsidRPr="0093156D">
          <w:rPr>
            <w:rStyle w:val="Hyperlink"/>
          </w:rPr>
          <w:t>http://unicef.ge/uploads/PISA_eng_WEB.pdf</w:t>
        </w:r>
      </w:hyperlink>
    </w:p>
    <w:p w14:paraId="11FEDE7C" w14:textId="77777777" w:rsidR="004F68C5" w:rsidRPr="0093156D" w:rsidRDefault="004F68C5" w:rsidP="00C52585">
      <w:pPr>
        <w:rPr>
          <w:color w:val="0000FF"/>
          <w:u w:val="single"/>
        </w:rPr>
      </w:pPr>
      <w:r w:rsidRPr="0093156D">
        <w:t>United Nations (UN), 2017, World Population Prospects: the 2017 Revision. New York, United Nati</w:t>
      </w:r>
      <w:r w:rsidR="006F65EB" w:rsidRPr="0093156D">
        <w:t>ons Population Division, UNDESA:</w:t>
      </w:r>
      <w:r w:rsidR="006F65EB" w:rsidRPr="0093156D">
        <w:rPr>
          <w:rStyle w:val="Hyperlink"/>
        </w:rPr>
        <w:t xml:space="preserve"> https://esa.un.org/unpd/wpp/Download/Standard/Migration/</w:t>
      </w:r>
    </w:p>
    <w:p w14:paraId="085B4EE8" w14:textId="03E321EF" w:rsidR="004F68C5" w:rsidRPr="0093156D" w:rsidRDefault="004F68C5" w:rsidP="00C52585">
      <w:r w:rsidRPr="0093156D">
        <w:t xml:space="preserve">US Agency for International Development (USAID) &amp; International Organization for Migration (IOM), 2010, </w:t>
      </w:r>
      <w:r w:rsidR="0090402D" w:rsidRPr="0093156D">
        <w:t xml:space="preserve">Labour </w:t>
      </w:r>
      <w:r w:rsidRPr="0093156D">
        <w:t xml:space="preserve">Market in Georgia. Report on June-July 2010 Survey, Tbilisi, available at: </w:t>
      </w:r>
      <w:hyperlink r:id="rId55" w:history="1">
        <w:r w:rsidRPr="0093156D">
          <w:rPr>
            <w:rStyle w:val="Hyperlink"/>
          </w:rPr>
          <w:t>http://iom.ge/1/sites/default/files/pdf/Labour%20Market%20in%20Georgia.pdf</w:t>
        </w:r>
      </w:hyperlink>
    </w:p>
    <w:p w14:paraId="304FE90C" w14:textId="3B9989D8" w:rsidR="004F68C5" w:rsidRPr="000B734D" w:rsidRDefault="004F68C5" w:rsidP="00C52585">
      <w:pPr>
        <w:rPr>
          <w:rStyle w:val="Hyperlink"/>
          <w:color w:val="auto"/>
          <w:u w:val="none"/>
        </w:rPr>
      </w:pPr>
      <w:r w:rsidRPr="0093156D">
        <w:t xml:space="preserve">USAID and IOM, 2011, Supplying Workforce to the Georgian </w:t>
      </w:r>
      <w:r w:rsidR="0090402D" w:rsidRPr="0093156D">
        <w:t xml:space="preserve">Labour </w:t>
      </w:r>
      <w:r w:rsidRPr="0093156D">
        <w:t>Market report for Research Implemented in February-June, 2011, Tbilisi</w:t>
      </w:r>
    </w:p>
    <w:p w14:paraId="600FFDBC" w14:textId="2BE65415" w:rsidR="00165A12" w:rsidRPr="0093156D" w:rsidRDefault="004F68C5" w:rsidP="00C50D04">
      <w:pPr>
        <w:rPr>
          <w:rStyle w:val="Hyperlink"/>
        </w:rPr>
      </w:pPr>
      <w:r w:rsidRPr="0093156D">
        <w:rPr>
          <w:color w:val="000000"/>
          <w:shd w:val="clear" w:color="auto" w:fill="FFFFFF"/>
        </w:rPr>
        <w:t>World Bank (WB), 2013. </w:t>
      </w:r>
      <w:r w:rsidRPr="0093156D">
        <w:rPr>
          <w:iCs/>
          <w:color w:val="000000"/>
          <w:bdr w:val="none" w:sz="0" w:space="0" w:color="auto" w:frame="1"/>
          <w:shd w:val="clear" w:color="auto" w:fill="FFFFFF"/>
        </w:rPr>
        <w:t xml:space="preserve">Georgia - Skills mismatch unemployment </w:t>
      </w:r>
      <w:r w:rsidR="0090402D" w:rsidRPr="0093156D">
        <w:rPr>
          <w:iCs/>
          <w:color w:val="000000"/>
          <w:bdr w:val="none" w:sz="0" w:space="0" w:color="auto" w:frame="1"/>
          <w:shd w:val="clear" w:color="auto" w:fill="FFFFFF"/>
        </w:rPr>
        <w:t xml:space="preserve">labour </w:t>
      </w:r>
      <w:r w:rsidRPr="0093156D">
        <w:rPr>
          <w:iCs/>
          <w:color w:val="000000"/>
          <w:bdr w:val="none" w:sz="0" w:space="0" w:color="auto" w:frame="1"/>
          <w:shd w:val="clear" w:color="auto" w:fill="FFFFFF"/>
        </w:rPr>
        <w:t>market challenges</w:t>
      </w:r>
      <w:r w:rsidRPr="0093156D">
        <w:rPr>
          <w:color w:val="000000"/>
          <w:shd w:val="clear" w:color="auto" w:fill="FFFFFF"/>
        </w:rPr>
        <w:t xml:space="preserve">. Washington DC; World Bank, available at: </w:t>
      </w:r>
      <w:hyperlink r:id="rId56" w:history="1">
        <w:r w:rsidR="00165A12" w:rsidRPr="0093156D">
          <w:rPr>
            <w:rStyle w:val="Hyperlink"/>
          </w:rPr>
          <w:t>http://documents.worldbank.org/curated/en/999371468242985088/Georgia-Skills-mismatch-unemployment-labor-market-challenges</w:t>
        </w:r>
      </w:hyperlink>
    </w:p>
    <w:p w14:paraId="36F05022" w14:textId="2CFCA29E" w:rsidR="00C50D04" w:rsidRDefault="00C50D04" w:rsidP="00C50D04">
      <w:pPr>
        <w:rPr>
          <w:color w:val="000000"/>
          <w:shd w:val="clear" w:color="auto" w:fill="FFFFFF"/>
        </w:rPr>
      </w:pPr>
      <w:r w:rsidRPr="00C50D04">
        <w:rPr>
          <w:color w:val="000000"/>
          <w:shd w:val="clear" w:color="auto" w:fill="FFFFFF"/>
        </w:rPr>
        <w:t>World</w:t>
      </w:r>
      <w:r w:rsidR="008E7175">
        <w:rPr>
          <w:color w:val="000000"/>
          <w:shd w:val="clear" w:color="auto" w:fill="FFFFFF"/>
        </w:rPr>
        <w:t xml:space="preserve"> B</w:t>
      </w:r>
      <w:r w:rsidRPr="00C50D04">
        <w:rPr>
          <w:color w:val="000000"/>
          <w:shd w:val="clear" w:color="auto" w:fill="FFFFFF"/>
        </w:rPr>
        <w:t>ank (2014) ”Generation in Transition: Youth Study Georgia- 2016”</w:t>
      </w:r>
      <w:r>
        <w:rPr>
          <w:color w:val="000000"/>
          <w:shd w:val="clear" w:color="auto" w:fill="FFFFFF"/>
        </w:rPr>
        <w:t>, Washington DC; World Bank.</w:t>
      </w:r>
    </w:p>
    <w:p w14:paraId="1936951B" w14:textId="77777777" w:rsidR="00C50D04" w:rsidRDefault="00C50D04" w:rsidP="00C50D04">
      <w:pPr>
        <w:rPr>
          <w:color w:val="000000"/>
          <w:shd w:val="clear" w:color="auto" w:fill="FFFFFF"/>
        </w:rPr>
      </w:pPr>
    </w:p>
    <w:bookmarkEnd w:id="1"/>
    <w:p w14:paraId="1BC6C1E3" w14:textId="4342AD35" w:rsidR="008165FC" w:rsidRDefault="008165FC">
      <w:pPr>
        <w:spacing w:line="276" w:lineRule="auto"/>
        <w:rPr>
          <w:rFonts w:eastAsiaTheme="majorEastAsia" w:cstheme="majorBidi"/>
          <w:b/>
          <w:bCs/>
          <w:caps/>
          <w:color w:val="0092BB" w:themeColor="accent1"/>
          <w:sz w:val="36"/>
          <w:szCs w:val="36"/>
        </w:rPr>
      </w:pPr>
    </w:p>
    <w:sectPr w:rsidR="008165FC" w:rsidSect="004C7F79">
      <w:headerReference w:type="default" r:id="rId57"/>
      <w:pgSz w:w="11906" w:h="16838"/>
      <w:pgMar w:top="1134" w:right="1021" w:bottom="1440" w:left="181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F2756" w14:textId="77777777" w:rsidR="00F57FA9" w:rsidRDefault="00F57FA9" w:rsidP="0089222B">
      <w:r>
        <w:separator/>
      </w:r>
    </w:p>
  </w:endnote>
  <w:endnote w:type="continuationSeparator" w:id="0">
    <w:p w14:paraId="6EACBFD1" w14:textId="77777777" w:rsidR="00F57FA9" w:rsidRDefault="00F57FA9" w:rsidP="00892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0860F" w14:textId="77777777" w:rsidR="00F57FA9" w:rsidRDefault="00F57FA9" w:rsidP="0089222B">
    <w:pPr>
      <w:pStyle w:val="Footer"/>
    </w:pPr>
    <w:r>
      <w:rPr>
        <w:noProof/>
        <w:lang w:eastAsia="en-GB"/>
      </w:rPr>
      <mc:AlternateContent>
        <mc:Choice Requires="wps">
          <w:drawing>
            <wp:anchor distT="0" distB="0" distL="114300" distR="114300" simplePos="0" relativeHeight="251654139" behindDoc="0" locked="0" layoutInCell="1" allowOverlap="1" wp14:anchorId="58AB62BB" wp14:editId="41F79559">
              <wp:simplePos x="0" y="0"/>
              <wp:positionH relativeFrom="page">
                <wp:posOffset>666115</wp:posOffset>
              </wp:positionH>
              <wp:positionV relativeFrom="paragraph">
                <wp:posOffset>-107950</wp:posOffset>
              </wp:positionV>
              <wp:extent cx="6497955" cy="431800"/>
              <wp:effectExtent l="0" t="0" r="0" b="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50A2E053" w14:textId="77777777" w:rsidR="00F57FA9" w:rsidRPr="00416AC1" w:rsidRDefault="00F57FA9" w:rsidP="00416AC1">
                          <w:r w:rsidRPr="00F505C0">
                            <w:t>Skills mismatch measurement in the ETF Partner Countries</w:t>
                          </w:r>
                        </w:p>
                      </w:txbxContent>
                    </wps:txbx>
                    <wps:bodyPr rot="0" vert="horz" wrap="square" lIns="91440" tIns="45720" rIns="16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B62BB" id="AutoShape 4" o:spid="_x0000_s1026" style="position:absolute;left:0;text-align:left;margin-left:52.45pt;margin-top:-8.5pt;width:511.65pt;height:34pt;z-index:2516541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" fillcolor="#0092bb [3207]" stroked="f" strokecolor="#0393bc" strokeweight="3pt">
              <v:fill color2="#94c2d4 [3208]" rotate="t" angle="90" focus="100%" type="gradient"/>
              <v:shadow color="#336a7f [1608]" opacity=".5" offset="1pt"/>
              <v:textbox inset=",,4.5mm">
                <w:txbxContent>
                  <w:p w14:paraId="50A2E053" w14:textId="77777777" w:rsidR="00F57FA9" w:rsidRPr="00416AC1" w:rsidRDefault="00F57FA9" w:rsidP="00416AC1">
                    <w:r w:rsidRPr="00F505C0">
                      <w:t>Skills mismatch measurement in the ETF Partner Countries</w:t>
                    </w:r>
                  </w:p>
                </w:txbxContent>
              </v:textbox>
              <w10:wrap anchorx="page"/>
            </v:roundrect>
          </w:pict>
        </mc:Fallback>
      </mc:AlternateContent>
    </w:r>
    <w:r>
      <w:rPr>
        <w:noProof/>
        <w:lang w:eastAsia="en-GB"/>
      </w:rPr>
      <mc:AlternateContent>
        <mc:Choice Requires="wps">
          <w:drawing>
            <wp:anchor distT="0" distB="0" distL="114300" distR="114300" simplePos="0" relativeHeight="251653114" behindDoc="0" locked="0" layoutInCell="1" allowOverlap="1" wp14:anchorId="52294302" wp14:editId="13FC8F1A">
              <wp:simplePos x="0" y="0"/>
              <wp:positionH relativeFrom="page">
                <wp:posOffset>666115</wp:posOffset>
              </wp:positionH>
              <wp:positionV relativeFrom="paragraph">
                <wp:posOffset>-107950</wp:posOffset>
              </wp:positionV>
              <wp:extent cx="6296660" cy="26670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BED9F" id="Rectangle 5" o:spid="_x0000_s1026" style="position:absolute;margin-left:52.45pt;margin-top:-8.5pt;width:495.8pt;height:21pt;z-index:2516531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" fillcolor="#0092bb [3207]" stroked="f">
              <v:fill color2="#94c2d4 [3208]" rotate="t" angle="90" focus="100%" type="gradient"/>
              <w10:wrap anchorx="page"/>
            </v:rect>
          </w:pict>
        </mc:Fallback>
      </mc:AlternateContent>
    </w:r>
  </w:p>
  <w:p w14:paraId="30D39550" w14:textId="77777777" w:rsidR="00F57FA9" w:rsidRDefault="00F57FA9" w:rsidP="008922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7A4FD" w14:textId="77777777" w:rsidR="00F57FA9" w:rsidRDefault="00F57FA9" w:rsidP="0089222B">
    <w:pPr>
      <w:pStyle w:val="Footer"/>
    </w:pPr>
    <w:r>
      <w:rPr>
        <w:noProof/>
        <w:lang w:eastAsia="en-GB"/>
      </w:rPr>
      <mc:AlternateContent>
        <mc:Choice Requires="wps">
          <w:drawing>
            <wp:anchor distT="0" distB="0" distL="114300" distR="114300" simplePos="0" relativeHeight="251658239" behindDoc="0" locked="0" layoutInCell="1" allowOverlap="1" wp14:anchorId="4A7946E1" wp14:editId="29A1056C">
              <wp:simplePos x="0" y="0"/>
              <wp:positionH relativeFrom="page">
                <wp:posOffset>666115</wp:posOffset>
              </wp:positionH>
              <wp:positionV relativeFrom="paragraph">
                <wp:posOffset>-450215</wp:posOffset>
              </wp:positionV>
              <wp:extent cx="6334760" cy="2667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2CAD8" id="Rectangle 3" o:spid="_x0000_s1026" style="position:absolute;margin-left:52.45pt;margin-top:-35.45pt;width:498.8pt;height:2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" fillcolor="#0092bb [3207]" stroked="f">
              <v:fill color2="#94c2d4 [3208]" rotate="t" angle="90" focus="100%" type="gradient"/>
              <w10:wrap anchorx="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2159D85A" wp14:editId="0ECDBF8D">
              <wp:simplePos x="0" y="0"/>
              <wp:positionH relativeFrom="page">
                <wp:posOffset>666115</wp:posOffset>
              </wp:positionH>
              <wp:positionV relativeFrom="paragraph">
                <wp:posOffset>-450215</wp:posOffset>
              </wp:positionV>
              <wp:extent cx="6497955" cy="431800"/>
              <wp:effectExtent l="0" t="0" r="0" b="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BC63E" id="AutoShape 1" o:spid="_x0000_s1026" style="position:absolute;margin-left:52.45pt;margin-top:-35.45pt;width:511.65pt;height:3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" fillcolor="#0092bb [3207]" stroked="f" strokecolor="#0393bc" strokeweight="3pt">
              <v:fill color2="#94c2d4 [3208]" rotate="t" angle="90" focus="100%" type="gradient"/>
              <v:shadow color="#336a7f [1608]" opacity=".5" offset="1pt"/>
              <w10:wrap anchorx="page"/>
            </v:round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738B5" w14:textId="77777777" w:rsidR="00F57FA9" w:rsidRDefault="00F57FA9" w:rsidP="0089222B">
    <w:pPr>
      <w:pStyle w:val="Footer"/>
    </w:pPr>
    <w:r>
      <w:rPr>
        <w:noProof/>
        <w:lang w:eastAsia="en-GB"/>
      </w:rPr>
      <mc:AlternateContent>
        <mc:Choice Requires="wps">
          <w:drawing>
            <wp:anchor distT="0" distB="0" distL="114300" distR="114300" simplePos="0" relativeHeight="251667456" behindDoc="0" locked="0" layoutInCell="1" allowOverlap="1" wp14:anchorId="063A494F" wp14:editId="051B2150">
              <wp:simplePos x="0" y="0"/>
              <wp:positionH relativeFrom="page">
                <wp:posOffset>666115</wp:posOffset>
              </wp:positionH>
              <wp:positionV relativeFrom="paragraph">
                <wp:posOffset>-107950</wp:posOffset>
              </wp:positionV>
              <wp:extent cx="6497955" cy="431800"/>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7955" cy="431800"/>
                      </a:xfrm>
                      <a:prstGeom prst="roundRect">
                        <a:avLst>
                          <a:gd name="adj" fmla="val 38676"/>
                        </a:avLst>
                      </a:prstGeom>
                      <a:gradFill rotWithShape="1">
                        <a:gsLst>
                          <a:gs pos="0">
                            <a:schemeClr val="accent4">
                              <a:lumMod val="100000"/>
                              <a:lumOff val="0"/>
                            </a:schemeClr>
                          </a:gs>
                          <a:gs pos="100000">
                            <a:schemeClr val="accent5">
                              <a:lumMod val="100000"/>
                              <a:lumOff val="0"/>
                            </a:schemeClr>
                          </a:gs>
                        </a:gsLst>
                        <a:lin ang="0" scaled="1"/>
                      </a:gradFill>
                      <a:ln>
                        <a:noFill/>
                      </a:ln>
                      <a:effectLst/>
                      <a:extLst>
                        <a:ext uri="{91240B29-F687-4F45-9708-019B960494DF}">
                          <a14:hiddenLine xmlns:a14="http://schemas.microsoft.com/office/drawing/2010/main" w="38100">
                            <a:solidFill>
                              <a:srgbClr val="0393BC"/>
                            </a:solidFill>
                            <a:round/>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6759FA53" w14:textId="77777777" w:rsidR="00F57FA9" w:rsidRPr="0089222B" w:rsidRDefault="00F57FA9" w:rsidP="0089222B">
                          <w:pPr>
                            <w:pStyle w:val="Footer"/>
                          </w:pPr>
                        </w:p>
                      </w:txbxContent>
                    </wps:txbx>
                    <wps:bodyPr rot="0" vert="horz" wrap="square" lIns="91440" tIns="45720" rIns="16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A494F" id="_x0000_s1027" style="position:absolute;left:0;text-align:left;margin-left:52.45pt;margin-top:-8.5pt;width:511.65pt;height: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253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" fillcolor="#0092bb [3207]" stroked="f" strokecolor="#0393bc" strokeweight="3pt">
              <v:fill color2="#94c2d4 [3208]" rotate="t" angle="90" focus="100%" type="gradient"/>
              <v:shadow color="#336a7f [1608]" opacity=".5" offset="1pt"/>
              <v:textbox inset=",,4.5mm">
                <w:txbxContent>
                  <w:p w14:paraId="6759FA53" w14:textId="77777777" w:rsidR="00F57FA9" w:rsidRPr="0089222B" w:rsidRDefault="00F57FA9" w:rsidP="0089222B">
                    <w:pPr>
                      <w:pStyle w:val="Footer"/>
                    </w:pPr>
                  </w:p>
                </w:txbxContent>
              </v:textbox>
              <w10:wrap anchorx="page"/>
            </v:roundrect>
          </w:pict>
        </mc:Fallback>
      </mc:AlternateContent>
    </w:r>
    <w:r>
      <w:rPr>
        <w:noProof/>
        <w:lang w:eastAsia="en-GB"/>
      </w:rPr>
      <mc:AlternateContent>
        <mc:Choice Requires="wps">
          <w:drawing>
            <wp:anchor distT="0" distB="0" distL="114300" distR="114300" simplePos="0" relativeHeight="251666432" behindDoc="0" locked="0" layoutInCell="1" allowOverlap="1" wp14:anchorId="7CD9A3B8" wp14:editId="446AC9BF">
              <wp:simplePos x="0" y="0"/>
              <wp:positionH relativeFrom="page">
                <wp:posOffset>666115</wp:posOffset>
              </wp:positionH>
              <wp:positionV relativeFrom="paragraph">
                <wp:posOffset>-107950</wp:posOffset>
              </wp:positionV>
              <wp:extent cx="6296660" cy="266700"/>
              <wp:effectExtent l="0" t="0" r="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266700"/>
                      </a:xfrm>
                      <a:prstGeom prst="rect">
                        <a:avLst/>
                      </a:prstGeom>
                      <a:gradFill rotWithShape="1">
                        <a:gsLst>
                          <a:gs pos="0">
                            <a:schemeClr val="accent4">
                              <a:lumMod val="100000"/>
                              <a:lumOff val="0"/>
                            </a:schemeClr>
                          </a:gs>
                          <a:gs pos="100000">
                            <a:schemeClr val="accent5">
                              <a:lumMod val="100000"/>
                              <a:lumOff val="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E8C91" id="Rectangle 5" o:spid="_x0000_s1026" style="position:absolute;margin-left:52.45pt;margin-top:-8.5pt;width:495.8pt;height: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" fillcolor="#0092bb [3207]" stroked="f">
              <v:fill color2="#94c2d4 [3208]" rotate="t" angle="90" focus="100%" type="gradient"/>
              <w10:wrap anchorx="page"/>
            </v:rect>
          </w:pict>
        </mc:Fallback>
      </mc:AlternateContent>
    </w:r>
  </w:p>
  <w:p w14:paraId="5B2722E9" w14:textId="77777777" w:rsidR="00F57FA9" w:rsidRDefault="00F57FA9" w:rsidP="0089222B">
    <w:pPr>
      <w:pStyle w:val="Footer"/>
    </w:pPr>
    <w:r>
      <w:rPr>
        <w:noProof/>
        <w:lang w:eastAsia="en-GB"/>
      </w:rPr>
      <w:drawing>
        <wp:anchor distT="0" distB="0" distL="114300" distR="114300" simplePos="0" relativeHeight="251668480" behindDoc="0" locked="0" layoutInCell="1" allowOverlap="1" wp14:anchorId="4FCA809F" wp14:editId="26B5449B">
          <wp:simplePos x="0" y="0"/>
          <wp:positionH relativeFrom="page">
            <wp:posOffset>1149350</wp:posOffset>
          </wp:positionH>
          <wp:positionV relativeFrom="paragraph">
            <wp:posOffset>-241300</wp:posOffset>
          </wp:positionV>
          <wp:extent cx="844550" cy="368300"/>
          <wp:effectExtent l="19050" t="0" r="0" b="0"/>
          <wp:wrapNone/>
          <wp:docPr id="1" name="Picture 1" descr="C:\Users\Article10\Documents\ETF\Whit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icle10\Documents\ETF\White logo.png"/>
                  <pic:cNvPicPr>
                    <a:picLocks noChangeAspect="1" noChangeArrowheads="1"/>
                  </pic:cNvPicPr>
                </pic:nvPicPr>
                <pic:blipFill>
                  <a:blip r:embed="rId1"/>
                  <a:srcRect/>
                  <a:stretch>
                    <a:fillRect/>
                  </a:stretch>
                </pic:blipFill>
                <pic:spPr bwMode="auto">
                  <a:xfrm>
                    <a:off x="0" y="0"/>
                    <a:ext cx="844550" cy="3683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C028F1" w14:textId="77777777" w:rsidR="00F57FA9" w:rsidRPr="00C87A6B" w:rsidRDefault="00F57FA9" w:rsidP="0089222B">
      <w:pPr>
        <w:rPr>
          <w:color w:val="616264"/>
        </w:rPr>
      </w:pPr>
      <w:r w:rsidRPr="00C87A6B">
        <w:rPr>
          <w:color w:val="616264"/>
        </w:rPr>
        <w:separator/>
      </w:r>
    </w:p>
  </w:footnote>
  <w:footnote w:type="continuationSeparator" w:id="0">
    <w:p w14:paraId="085C3A84" w14:textId="77777777" w:rsidR="00F57FA9" w:rsidRDefault="00F57FA9" w:rsidP="0089222B">
      <w:r>
        <w:continuationSeparator/>
      </w:r>
    </w:p>
  </w:footnote>
  <w:footnote w:id="1">
    <w:p w14:paraId="1315B6EB" w14:textId="77777777" w:rsidR="00F57FA9" w:rsidRPr="00470F5B" w:rsidRDefault="00F57FA9" w:rsidP="00B365BB">
      <w:pPr>
        <w:pStyle w:val="FootnoteText"/>
        <w:spacing w:before="0" w:after="0"/>
      </w:pPr>
      <w:r w:rsidRPr="00470F5B">
        <w:rPr>
          <w:rStyle w:val="FootnoteReference"/>
        </w:rPr>
        <w:footnoteRef/>
      </w:r>
      <w:r w:rsidRPr="00470F5B">
        <w:t xml:space="preserve"> https://tradingeconomics.com/georgia/inflation-cpi</w:t>
      </w:r>
    </w:p>
  </w:footnote>
  <w:footnote w:id="2">
    <w:p w14:paraId="43170939" w14:textId="77777777" w:rsidR="00F57FA9" w:rsidRPr="00470F5B" w:rsidRDefault="00F57FA9" w:rsidP="00B365BB">
      <w:pPr>
        <w:pStyle w:val="FootnoteText"/>
        <w:spacing w:before="0" w:after="0"/>
      </w:pPr>
      <w:r w:rsidRPr="00470F5B">
        <w:rPr>
          <w:rStyle w:val="FootnoteReference"/>
        </w:rPr>
        <w:footnoteRef/>
      </w:r>
      <w:r w:rsidRPr="00470F5B">
        <w:t xml:space="preserve"> https://tradingeconomics.com/georgia/ease-of-doing-business</w:t>
      </w:r>
    </w:p>
  </w:footnote>
  <w:footnote w:id="3">
    <w:p w14:paraId="65C99DDB" w14:textId="77777777" w:rsidR="00F57FA9" w:rsidRPr="00470F5B" w:rsidRDefault="00F57FA9" w:rsidP="00B365BB">
      <w:pPr>
        <w:pStyle w:val="FootnoteText"/>
        <w:spacing w:before="0" w:after="0"/>
      </w:pPr>
      <w:r w:rsidRPr="00470F5B">
        <w:rPr>
          <w:rStyle w:val="FootnoteReference"/>
        </w:rPr>
        <w:footnoteRef/>
      </w:r>
      <w:r w:rsidRPr="00470F5B">
        <w:t xml:space="preserve"> https://tradingeconomics.com/georgia/gdp-per-capita-ppp</w:t>
      </w:r>
    </w:p>
  </w:footnote>
  <w:footnote w:id="4">
    <w:p w14:paraId="02B9C5B6" w14:textId="77777777" w:rsidR="00F57FA9" w:rsidRPr="00470F5B" w:rsidRDefault="00F57FA9" w:rsidP="00B365BB">
      <w:pPr>
        <w:pStyle w:val="FootnoteText"/>
        <w:spacing w:before="0" w:after="0"/>
      </w:pPr>
      <w:r w:rsidRPr="00470F5B">
        <w:rPr>
          <w:rStyle w:val="FootnoteReference"/>
        </w:rPr>
        <w:footnoteRef/>
      </w:r>
      <w:r w:rsidRPr="00470F5B">
        <w:t xml:space="preserve"> Preliminary data for 2016 might be found on: http://geostat.ge/cms/site_images/_files/georgian/nad/pres-relizi_2016_GEO.pdf</w:t>
      </w:r>
    </w:p>
  </w:footnote>
  <w:footnote w:id="5">
    <w:p w14:paraId="2BE280DB" w14:textId="77777777" w:rsidR="00F57FA9" w:rsidRPr="00470F5B" w:rsidRDefault="00F57FA9" w:rsidP="00B365BB">
      <w:pPr>
        <w:pStyle w:val="FootnoteText"/>
        <w:spacing w:before="0" w:after="0"/>
      </w:pPr>
      <w:r w:rsidRPr="00470F5B">
        <w:rPr>
          <w:rStyle w:val="FootnoteReference"/>
        </w:rPr>
        <w:footnoteRef/>
      </w:r>
      <w:r w:rsidRPr="00470F5B">
        <w:t xml:space="preserve"> http://census.ge/ge/results/census1/demo</w:t>
      </w:r>
    </w:p>
  </w:footnote>
  <w:footnote w:id="6">
    <w:p w14:paraId="2B760BB5" w14:textId="77777777" w:rsidR="00F57FA9" w:rsidRPr="00470F5B" w:rsidRDefault="00F57FA9" w:rsidP="00B365BB">
      <w:pPr>
        <w:pStyle w:val="FootnoteText"/>
        <w:spacing w:before="0" w:after="0"/>
      </w:pPr>
      <w:r w:rsidRPr="00470F5B">
        <w:rPr>
          <w:rStyle w:val="FootnoteReference"/>
        </w:rPr>
        <w:footnoteRef/>
      </w:r>
      <w:r w:rsidRPr="00470F5B">
        <w:t xml:space="preserve"> http://caucasusbarometer.org/en/cb2015ge/RESPEDU-by-ETHNIC/</w:t>
      </w:r>
    </w:p>
  </w:footnote>
  <w:footnote w:id="7">
    <w:p w14:paraId="6AABE76F" w14:textId="77777777" w:rsidR="00F57FA9" w:rsidRPr="00470F5B" w:rsidRDefault="00F57FA9" w:rsidP="00B365BB">
      <w:pPr>
        <w:pStyle w:val="FootnoteText"/>
        <w:spacing w:before="0" w:after="0"/>
      </w:pPr>
      <w:r w:rsidRPr="00470F5B">
        <w:rPr>
          <w:rStyle w:val="FootnoteReference"/>
        </w:rPr>
        <w:footnoteRef/>
      </w:r>
      <w:r w:rsidRPr="00470F5B">
        <w:t xml:space="preserve"> http://census.ge/ge/results/census1/educationge</w:t>
      </w:r>
    </w:p>
  </w:footnote>
  <w:footnote w:id="8">
    <w:p w14:paraId="57C41822" w14:textId="77777777" w:rsidR="00F57FA9" w:rsidRPr="00470F5B" w:rsidRDefault="00F57FA9" w:rsidP="00B365BB">
      <w:pPr>
        <w:pStyle w:val="FootnoteText"/>
        <w:spacing w:before="0" w:after="0"/>
      </w:pPr>
      <w:r w:rsidRPr="00470F5B">
        <w:rPr>
          <w:rStyle w:val="FootnoteReference"/>
        </w:rPr>
        <w:footnoteRef/>
      </w:r>
      <w:r w:rsidRPr="00470F5B">
        <w:t xml:space="preserve"> http://geostat.ge/?action=page&amp;p_id=145&amp;lang=geo</w:t>
      </w:r>
    </w:p>
  </w:footnote>
  <w:footnote w:id="9">
    <w:p w14:paraId="7B42C53B" w14:textId="6B7AA233" w:rsidR="00F57FA9" w:rsidRPr="00470F5B" w:rsidRDefault="00F57FA9" w:rsidP="00B365BB">
      <w:pPr>
        <w:pStyle w:val="FootnoteText"/>
        <w:spacing w:before="0" w:after="0"/>
      </w:pPr>
      <w:r w:rsidRPr="00470F5B">
        <w:rPr>
          <w:rStyle w:val="FootnoteReference"/>
        </w:rPr>
        <w:footnoteRef/>
      </w:r>
      <w:r w:rsidRPr="00470F5B">
        <w:t xml:space="preserve"> According to a survey conducted by the National Democratic Institute (NDI) in 2011, of a total of 16,161 interviewees, 31% indicated to be unemployed and looking for a job, 5% said not to be looking for work and another 30% made up the non-active labour force, which includes students, retirees, etc.(Labadze and Tukhashvili, 2013, p.20)</w:t>
      </w:r>
    </w:p>
  </w:footnote>
  <w:footnote w:id="10">
    <w:p w14:paraId="78F4BC83" w14:textId="7C6EF06E" w:rsidR="00F57FA9" w:rsidRPr="00470F5B" w:rsidRDefault="00F57FA9" w:rsidP="00B365BB">
      <w:pPr>
        <w:pStyle w:val="FootnoteText"/>
        <w:spacing w:before="0" w:after="0"/>
      </w:pPr>
      <w:r w:rsidRPr="00470F5B">
        <w:rPr>
          <w:rStyle w:val="FootnoteReference"/>
        </w:rPr>
        <w:footnoteRef/>
      </w:r>
      <w:r w:rsidRPr="00470F5B">
        <w:t xml:space="preserve"> This category of unpaid employees in 2008 for example it consisted of 29.2% of the total number of employed (USAID and IOM, 2010, p.8). In addition, a rather broad definition of employment when registering the economically active population is used: it suffices if a person worked even one hour at his/her own plot during the week surveyed or was fishing, hunting, sewing, picking berries, mushrooming, preserving or canning food.</w:t>
      </w:r>
    </w:p>
  </w:footnote>
  <w:footnote w:id="11">
    <w:p w14:paraId="27B0CC64" w14:textId="77777777" w:rsidR="00F57FA9" w:rsidRPr="00470F5B" w:rsidRDefault="00F57FA9" w:rsidP="00B365BB">
      <w:pPr>
        <w:pStyle w:val="FootnoteText"/>
        <w:spacing w:before="0" w:after="0"/>
        <w:rPr>
          <w:rFonts w:ascii="Times New Roman" w:hAnsi="Times New Roman" w:cs="Times New Roman"/>
          <w:szCs w:val="18"/>
        </w:rPr>
      </w:pPr>
      <w:r w:rsidRPr="00470F5B">
        <w:rPr>
          <w:rStyle w:val="FootnoteReference"/>
          <w:rFonts w:ascii="Times New Roman" w:hAnsi="Times New Roman" w:cs="Times New Roman"/>
          <w:szCs w:val="18"/>
        </w:rPr>
        <w:footnoteRef/>
      </w:r>
      <w:r w:rsidRPr="00470F5B">
        <w:t xml:space="preserve"> </w:t>
      </w:r>
      <w:hyperlink r:id="rId1" w:history="1">
        <w:r w:rsidRPr="00470F5B">
          <w:t>http://gtuc.ge/?p=3123</w:t>
        </w:r>
      </w:hyperlink>
    </w:p>
  </w:footnote>
  <w:footnote w:id="12">
    <w:p w14:paraId="0852D8B8" w14:textId="5F571F4F" w:rsidR="00F57FA9" w:rsidRPr="00470F5B" w:rsidRDefault="00F57FA9">
      <w:pPr>
        <w:pStyle w:val="FootnoteText"/>
      </w:pPr>
      <w:r w:rsidRPr="00470F5B">
        <w:rPr>
          <w:rStyle w:val="FootnoteReference"/>
        </w:rPr>
        <w:footnoteRef/>
      </w:r>
      <w:r w:rsidRPr="00470F5B">
        <w:t xml:space="preserve"> See the LMIS web portal, http://www.lmis.gov.ge/Lmis/Lmis.Portal.Web/Default.aspx</w:t>
      </w:r>
    </w:p>
  </w:footnote>
  <w:footnote w:id="13">
    <w:p w14:paraId="6007FEF8" w14:textId="77777777" w:rsidR="00F57FA9" w:rsidRPr="00470F5B" w:rsidRDefault="00F57FA9" w:rsidP="00561D37">
      <w:pPr>
        <w:pStyle w:val="FootnoteText"/>
        <w:rPr>
          <w:rFonts w:cstheme="minorHAnsi"/>
        </w:rPr>
      </w:pPr>
      <w:r w:rsidRPr="00470F5B">
        <w:rPr>
          <w:rStyle w:val="FootnoteReference"/>
          <w:rFonts w:cstheme="minorHAnsi"/>
        </w:rPr>
        <w:footnoteRef/>
      </w:r>
      <w:r w:rsidRPr="00470F5B">
        <w:rPr>
          <w:rFonts w:cstheme="minorHAnsi"/>
        </w:rPr>
        <w:t xml:space="preserve"> Ministerial Order, December 2014: http://moh.gov.ge/uploads/files/oldMoh/01_GEO/Shroma/kanonmdebloba/1.pdf</w:t>
      </w:r>
    </w:p>
  </w:footnote>
  <w:footnote w:id="14">
    <w:p w14:paraId="4908DBDE" w14:textId="77777777" w:rsidR="00F57FA9" w:rsidRPr="00470F5B" w:rsidRDefault="00F57FA9" w:rsidP="00DA42BC">
      <w:pPr>
        <w:pStyle w:val="FootnoteText"/>
        <w:rPr>
          <w:rFonts w:cstheme="minorHAnsi"/>
        </w:rPr>
      </w:pPr>
      <w:r w:rsidRPr="00470F5B">
        <w:rPr>
          <w:rStyle w:val="FootnoteReference"/>
          <w:rFonts w:cstheme="minorHAnsi"/>
        </w:rPr>
        <w:footnoteRef/>
      </w:r>
      <w:r w:rsidRPr="00470F5B">
        <w:rPr>
          <w:rFonts w:cstheme="minorHAnsi"/>
        </w:rPr>
        <w:t xml:space="preserve"> http://mra.gov.ge/eng/static/8769 </w:t>
      </w:r>
    </w:p>
  </w:footnote>
  <w:footnote w:id="15">
    <w:p w14:paraId="1AC65CC6" w14:textId="77777777" w:rsidR="00F57FA9" w:rsidRPr="00470F5B" w:rsidRDefault="00F57FA9" w:rsidP="00DA42BC">
      <w:pPr>
        <w:pStyle w:val="FootnoteText"/>
        <w:rPr>
          <w:rFonts w:ascii="Times New Roman" w:hAnsi="Times New Roman" w:cs="Times New Roman"/>
        </w:rPr>
      </w:pPr>
      <w:r w:rsidRPr="00470F5B">
        <w:rPr>
          <w:rStyle w:val="FootnoteReference"/>
          <w:rFonts w:cstheme="minorHAnsi"/>
        </w:rPr>
        <w:footnoteRef/>
      </w:r>
      <w:r w:rsidRPr="00470F5B">
        <w:t xml:space="preserve"> </w:t>
      </w:r>
      <w:hyperlink r:id="rId2" w:history="1">
        <w:r w:rsidRPr="00470F5B">
          <w:t>http://crrc-caucasus.blogspot.com/2015/06/connections-or-education-on-most.html</w:t>
        </w:r>
      </w:hyperlink>
    </w:p>
  </w:footnote>
  <w:footnote w:id="16">
    <w:p w14:paraId="0023D9F1" w14:textId="51EAB0B2" w:rsidR="00F57FA9" w:rsidRPr="007F4B38" w:rsidRDefault="00F57FA9" w:rsidP="007F4B38">
      <w:pPr>
        <w:pStyle w:val="CommentText"/>
        <w:rPr>
          <w:sz w:val="18"/>
          <w:szCs w:val="18"/>
          <w:lang w:val="ro-RO"/>
        </w:rPr>
      </w:pPr>
      <w:r w:rsidRPr="007F4B38">
        <w:rPr>
          <w:rStyle w:val="FootnoteReference"/>
          <w:sz w:val="18"/>
          <w:szCs w:val="18"/>
        </w:rPr>
        <w:footnoteRef/>
      </w:r>
      <w:r w:rsidRPr="007F4B38">
        <w:rPr>
          <w:sz w:val="18"/>
          <w:szCs w:val="18"/>
        </w:rPr>
        <w:t xml:space="preserve"> The practice of investigating companies needs continued in 2017. </w:t>
      </w:r>
      <w:r w:rsidRPr="007F4B38">
        <w:rPr>
          <w:sz w:val="18"/>
          <w:szCs w:val="18"/>
          <w:lang w:val="en-US"/>
        </w:rPr>
        <w:t xml:space="preserve">Ministry of Economy and Sustainable Development (MoESD) conducted a nationwide Establishment Skills Survey with over 6000 companies (on all sectors).  Results are available at </w:t>
      </w:r>
      <w:hyperlink r:id="rId3" w:tgtFrame="_blank" w:history="1">
        <w:r w:rsidRPr="007F4B38">
          <w:rPr>
            <w:rStyle w:val="Hyperlink"/>
            <w:color w:val="auto"/>
            <w:sz w:val="18"/>
            <w:szCs w:val="18"/>
            <w:lang w:val="en-US"/>
          </w:rPr>
          <w:t>http://www.lmis.gov.ge/Lmis/Lmis.Portal.Web/Pages/User/Surveys.aspx?ID=7a09257c-ac3c-4860-a7b0-b8fb3922405f</w:t>
        </w:r>
      </w:hyperlink>
    </w:p>
  </w:footnote>
  <w:footnote w:id="17">
    <w:p w14:paraId="00CB4091" w14:textId="77777777" w:rsidR="00F57FA9" w:rsidRPr="00470F5B" w:rsidRDefault="00F57FA9" w:rsidP="008E7175">
      <w:pPr>
        <w:pStyle w:val="FootnoteText"/>
        <w:spacing w:before="0" w:after="0"/>
        <w:jc w:val="both"/>
        <w:rPr>
          <w:color w:val="616264" w:themeColor="text2"/>
          <w:szCs w:val="18"/>
        </w:rPr>
      </w:pPr>
      <w:r w:rsidRPr="00470F5B">
        <w:rPr>
          <w:rStyle w:val="FootnoteReference"/>
          <w:color w:val="616264" w:themeColor="text2"/>
          <w:szCs w:val="18"/>
        </w:rPr>
        <w:footnoteRef/>
      </w:r>
      <w:r w:rsidRPr="00470F5B">
        <w:rPr>
          <w:color w:val="616264" w:themeColor="text2"/>
          <w:szCs w:val="18"/>
        </w:rPr>
        <w:t xml:space="preserve"> See </w:t>
      </w:r>
      <w:hyperlink r:id="rId4" w:history="1">
        <w:r w:rsidRPr="00470F5B">
          <w:rPr>
            <w:rStyle w:val="Hyperlink"/>
            <w:bCs/>
            <w:color w:val="616264" w:themeColor="text2"/>
            <w:szCs w:val="18"/>
          </w:rPr>
          <w:t>http://labour.gov.ge/molhsa/lmis/lmis.portal.web/default.aspx</w:t>
        </w:r>
      </w:hyperlink>
    </w:p>
  </w:footnote>
  <w:footnote w:id="18">
    <w:p w14:paraId="1078B8F2" w14:textId="77777777" w:rsidR="00F57FA9" w:rsidRPr="00470F5B" w:rsidRDefault="00F57FA9" w:rsidP="00F76053">
      <w:pPr>
        <w:pStyle w:val="FootnoteText"/>
      </w:pPr>
      <w:r w:rsidRPr="00470F5B">
        <w:rPr>
          <w:rStyle w:val="FootnoteReference"/>
        </w:rPr>
        <w:footnoteRef/>
      </w:r>
      <w:r w:rsidRPr="00470F5B">
        <w:t>All available time-series are presented in PC-AXIS</w:t>
      </w:r>
    </w:p>
  </w:footnote>
  <w:footnote w:id="19">
    <w:p w14:paraId="025BCD39" w14:textId="77777777" w:rsidR="00F57FA9" w:rsidRPr="00470F5B" w:rsidRDefault="00F57FA9" w:rsidP="00F76053">
      <w:pPr>
        <w:pStyle w:val="FootnoteText"/>
      </w:pPr>
      <w:r w:rsidRPr="00470F5B">
        <w:rPr>
          <w:rStyle w:val="FootnoteReference"/>
        </w:rPr>
        <w:footnoteRef/>
      </w:r>
      <w:r w:rsidRPr="00470F5B">
        <w:t>“Labour Force Statistics”- basic definitions: http://www.geostat.ge/index.php?action=page&amp;p_id=143&amp;lang=eng</w:t>
      </w:r>
    </w:p>
  </w:footnote>
  <w:footnote w:id="20">
    <w:p w14:paraId="67DAAB1F" w14:textId="3CA52210" w:rsidR="00F57FA9" w:rsidRPr="00D44D86" w:rsidRDefault="00F57FA9" w:rsidP="00D44D86">
      <w:pPr>
        <w:pStyle w:val="CommentText"/>
        <w:rPr>
          <w:sz w:val="18"/>
          <w:szCs w:val="18"/>
        </w:rPr>
      </w:pPr>
      <w:r w:rsidRPr="00D44D86">
        <w:rPr>
          <w:rStyle w:val="FootnoteReference"/>
          <w:sz w:val="18"/>
          <w:szCs w:val="18"/>
        </w:rPr>
        <w:footnoteRef/>
      </w:r>
      <w:r>
        <w:rPr>
          <w:sz w:val="18"/>
          <w:szCs w:val="18"/>
        </w:rPr>
        <w:t xml:space="preserve"> </w:t>
      </w:r>
      <w:hyperlink r:id="rId5" w:tgtFrame="_blank" w:history="1">
        <w:r w:rsidRPr="00D44D86">
          <w:rPr>
            <w:rStyle w:val="Hyperlink"/>
            <w:color w:val="002060"/>
            <w:sz w:val="18"/>
            <w:szCs w:val="18"/>
            <w:lang w:val="en-US"/>
          </w:rPr>
          <w:t>http://www.lmis.gov.ge/Lmis/Lmis.Portal.Web/Pages/User/Surveys.aspx?ID=7a09257c-ac3c-4860-a7b0-b8fb3922405f</w:t>
        </w:r>
      </w:hyperlink>
    </w:p>
  </w:footnote>
  <w:footnote w:id="21">
    <w:p w14:paraId="0B8EFA16" w14:textId="19A36E67" w:rsidR="00F57FA9" w:rsidRDefault="00F57FA9">
      <w:pPr>
        <w:pStyle w:val="FootnoteText"/>
      </w:pPr>
      <w:r>
        <w:rPr>
          <w:rStyle w:val="FootnoteReference"/>
        </w:rPr>
        <w:footnoteRef/>
      </w:r>
      <w:r>
        <w:t xml:space="preserve"> Microdata is not accessible yet outside the TEW-CCA project team</w:t>
      </w:r>
    </w:p>
  </w:footnote>
  <w:footnote w:id="22">
    <w:p w14:paraId="7E0DCFD6" w14:textId="77777777" w:rsidR="00F57FA9" w:rsidRPr="00470F5B" w:rsidRDefault="00F57FA9" w:rsidP="00646738">
      <w:pPr>
        <w:pStyle w:val="FootnoteText"/>
      </w:pPr>
      <w:r w:rsidRPr="00470F5B">
        <w:rPr>
          <w:rStyle w:val="FootnoteReference"/>
        </w:rPr>
        <w:footnoteRef/>
      </w:r>
      <w:r w:rsidRPr="00470F5B">
        <w:t xml:space="preserve"> The same considerations are relevant to further Figures presenting ratios of different population’s sub-groups, as inactivity to employment, or non-worker to employment etc., as indicators calculated for category of population with no education are always very distinctive from those related to other educational levels</w:t>
      </w:r>
    </w:p>
  </w:footnote>
  <w:footnote w:id="23">
    <w:p w14:paraId="72EB3D26" w14:textId="2AF82637" w:rsidR="00F57FA9" w:rsidRPr="00470F5B" w:rsidRDefault="00F57FA9" w:rsidP="00646738">
      <w:pPr>
        <w:pStyle w:val="FootnoteText"/>
      </w:pPr>
      <w:r w:rsidRPr="00470F5B">
        <w:rPr>
          <w:rStyle w:val="FootnoteReference"/>
        </w:rPr>
        <w:footnoteRef/>
      </w:r>
      <w:r w:rsidRPr="00470F5B">
        <w:t xml:space="preserve"> For example, persons with no education should usually be excluded from the calculation of presented indicators, otherwise it might cause the false results. As it is mentioned in previous sections, education in Georgia is mandatory for all children aged 6–14 years and the country has a high (92%) rate of enrolment in upper secondary education; only 0.4% of youths in age 15-19 do not have any formal educational attainment and this figure stays on the same lowest levels for all Georgians until age of 60 (Data by the last Georgian population census of 2014; Data by population census of 2014: http://census.ge/en/results/census1/educationge)</w:t>
      </w:r>
    </w:p>
  </w:footnote>
  <w:footnote w:id="24">
    <w:p w14:paraId="0C610799" w14:textId="77777777" w:rsidR="00F57FA9" w:rsidRPr="00470F5B" w:rsidRDefault="00F57FA9" w:rsidP="00E167DE">
      <w:pPr>
        <w:pStyle w:val="FootnoteText"/>
      </w:pPr>
      <w:r w:rsidRPr="00470F5B">
        <w:rPr>
          <w:rStyle w:val="FootnoteReference"/>
        </w:rPr>
        <w:footnoteRef/>
      </w:r>
      <w:r w:rsidRPr="00470F5B">
        <w:t xml:space="preserve"> http://geostat.ge/cms/site_images/_files/english/methodology/labour%20force%20statistics%20Eng.pdf</w:t>
      </w:r>
    </w:p>
  </w:footnote>
  <w:footnote w:id="25">
    <w:p w14:paraId="7311F34F" w14:textId="77777777" w:rsidR="00F57FA9" w:rsidRPr="00470F5B" w:rsidRDefault="00F57FA9" w:rsidP="00A54FD9">
      <w:pPr>
        <w:pStyle w:val="FootnoteText"/>
      </w:pPr>
      <w:r w:rsidRPr="00470F5B">
        <w:rPr>
          <w:rStyle w:val="FootnoteReference"/>
        </w:rPr>
        <w:footnoteRef/>
      </w:r>
      <w:r w:rsidRPr="00470F5B">
        <w:t xml:space="preserve"> http://geostat.ge/index.php?action=page&amp;p_id=146&amp;lang=eng</w:t>
      </w:r>
    </w:p>
  </w:footnote>
  <w:footnote w:id="26">
    <w:p w14:paraId="3C15DDA6" w14:textId="77777777" w:rsidR="00F57FA9" w:rsidRPr="00470F5B" w:rsidRDefault="00F57FA9" w:rsidP="001E6915">
      <w:pPr>
        <w:pStyle w:val="FootnoteText"/>
      </w:pPr>
      <w:r w:rsidRPr="00470F5B">
        <w:rPr>
          <w:rStyle w:val="FootnoteReference"/>
        </w:rPr>
        <w:footnoteRef/>
      </w:r>
      <w:r w:rsidRPr="00470F5B">
        <w:t xml:space="preserve"> According to estimates performed by ETF, 27.8% of Georgian youths (person aged 15-24) are not in education, employment and training (NEET). This figure is two or three times higher than in most EU countries where the share of NEET rarely exceeds 15 percent (ETF, 2015). Figure 2 presents the NEET indicator for Georgia disintegrated by 3 age groups: 15-19, 20-24 and 25-29. </w:t>
      </w:r>
    </w:p>
    <w:p w14:paraId="1D129C30" w14:textId="5B0CE70A" w:rsidR="00F57FA9" w:rsidRPr="00470F5B" w:rsidRDefault="00F57FA9">
      <w:pPr>
        <w:pStyle w:val="FootnoteText"/>
      </w:pPr>
    </w:p>
  </w:footnote>
  <w:footnote w:id="27">
    <w:p w14:paraId="5C1C9BA9" w14:textId="77777777" w:rsidR="00F57FA9" w:rsidRPr="00470F5B" w:rsidRDefault="00F57FA9" w:rsidP="00646738">
      <w:pPr>
        <w:pStyle w:val="FootnoteText"/>
      </w:pPr>
      <w:r w:rsidRPr="00470F5B">
        <w:rPr>
          <w:rStyle w:val="FootnoteReference"/>
        </w:rPr>
        <w:footnoteRef/>
      </w:r>
      <w:r w:rsidRPr="00470F5B">
        <w:t xml:space="preserve"> However including not-educated as a separate category would change this indicator. The non-educate dominate the variance as the unemployment rate of that very small category fluctuates a lot over the years (see Figure 19 in the Appendix). </w:t>
      </w:r>
    </w:p>
  </w:footnote>
  <w:footnote w:id="28">
    <w:p w14:paraId="0D51C727" w14:textId="69E2955F" w:rsidR="00F57FA9" w:rsidRPr="008225AF" w:rsidRDefault="00F57FA9">
      <w:pPr>
        <w:pStyle w:val="FootnoteText"/>
        <w:rPr>
          <w:lang w:val="ro-RO"/>
        </w:rPr>
      </w:pPr>
      <w:r>
        <w:rPr>
          <w:rStyle w:val="FootnoteReference"/>
        </w:rPr>
        <w:footnoteRef/>
      </w:r>
      <w:r>
        <w:t xml:space="preserve"> </w:t>
      </w:r>
      <w:r w:rsidRPr="008225AF">
        <w:t xml:space="preserve">Authors applied the following clustering for VET and non-VET categories: (a) </w:t>
      </w:r>
      <w:r w:rsidRPr="008225AF">
        <w:rPr>
          <w:b/>
        </w:rPr>
        <w:t>non-VET</w:t>
      </w:r>
      <w:r w:rsidRPr="008225AF">
        <w:t xml:space="preserve"> includes persons who have graduated</w:t>
      </w:r>
      <w:r>
        <w:rPr>
          <w:lang w:val="ro-RO"/>
        </w:rPr>
        <w:t xml:space="preserve"> </w:t>
      </w:r>
      <w:r w:rsidRPr="008225AF">
        <w:rPr>
          <w:lang w:val="ro-RO"/>
        </w:rPr>
        <w:t xml:space="preserve">Upper secondary education (only persons who do not have/ did not give information on specific profession) and Higher professional program; (b) </w:t>
      </w:r>
      <w:r w:rsidRPr="008225AF">
        <w:rPr>
          <w:b/>
          <w:lang w:val="ro-RO"/>
        </w:rPr>
        <w:t>VET</w:t>
      </w:r>
      <w:r w:rsidRPr="008225AF">
        <w:rPr>
          <w:lang w:val="ro-RO"/>
        </w:rPr>
        <w:t xml:space="preserve"> includes persons with Upper secondary education (only persons who have/ did give information on specific profession), Secondary professional program and Vocational program. </w:t>
      </w:r>
    </w:p>
  </w:footnote>
  <w:footnote w:id="29">
    <w:p w14:paraId="384B3951" w14:textId="77777777" w:rsidR="00F57FA9" w:rsidRPr="00470F5B" w:rsidRDefault="00F57FA9" w:rsidP="0042031B">
      <w:pPr>
        <w:pStyle w:val="FootnoteText"/>
      </w:pPr>
      <w:r w:rsidRPr="00470F5B">
        <w:rPr>
          <w:rStyle w:val="FootnoteReference"/>
        </w:rPr>
        <w:footnoteRef/>
      </w:r>
      <w:r w:rsidRPr="00470F5B">
        <w:t xml:space="preserve"> http://geostat.ge/index.php?action=page&amp;p_id=149&amp;lang=eng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8A770" w14:textId="77777777" w:rsidR="00F57FA9" w:rsidRDefault="00F57FA9">
    <w:pPr>
      <w:pStyle w:val="Header"/>
    </w:pPr>
  </w:p>
  <w:p w14:paraId="7A7C4A4D" w14:textId="77777777" w:rsidR="00F57FA9" w:rsidRDefault="00F57FA9">
    <w:pPr>
      <w:pStyle w:val="Header"/>
    </w:pPr>
  </w:p>
  <w:p w14:paraId="0D3B6B47" w14:textId="77777777" w:rsidR="00F57FA9" w:rsidRDefault="00F57FA9">
    <w:pPr>
      <w:pStyle w:val="Header"/>
    </w:pPr>
  </w:p>
  <w:p w14:paraId="3B8F4DA6" w14:textId="77777777" w:rsidR="00F57FA9" w:rsidRDefault="00F57FA9">
    <w:pPr>
      <w:pStyle w:val="Header"/>
    </w:pPr>
  </w:p>
  <w:p w14:paraId="03A29E65" w14:textId="77777777" w:rsidR="00F57FA9" w:rsidRDefault="00F57FA9">
    <w:pPr>
      <w:pStyle w:val="Header"/>
    </w:pPr>
  </w:p>
  <w:p w14:paraId="10A327F1" w14:textId="77777777" w:rsidR="00F57FA9" w:rsidRDefault="00F57FA9">
    <w:pPr>
      <w:pStyle w:val="Header"/>
    </w:pPr>
  </w:p>
  <w:p w14:paraId="5E3FF236" w14:textId="77777777" w:rsidR="00F57FA9" w:rsidRDefault="00F57FA9">
    <w:pPr>
      <w:pStyle w:val="Header"/>
    </w:pPr>
  </w:p>
  <w:p w14:paraId="563BDB28" w14:textId="77777777" w:rsidR="00F57FA9" w:rsidRDefault="00F57FA9">
    <w:pPr>
      <w:pStyle w:val="Header"/>
    </w:pPr>
  </w:p>
  <w:p w14:paraId="515369B1" w14:textId="77777777" w:rsidR="00F57FA9" w:rsidRDefault="00F57FA9">
    <w:pPr>
      <w:pStyle w:val="Header"/>
    </w:pPr>
  </w:p>
  <w:p w14:paraId="080A952E" w14:textId="77777777" w:rsidR="00F57FA9" w:rsidRDefault="00F57FA9">
    <w:pPr>
      <w:pStyle w:val="Header"/>
    </w:pPr>
  </w:p>
  <w:p w14:paraId="1909AC14" w14:textId="77777777" w:rsidR="00F57FA9" w:rsidRDefault="00F57FA9">
    <w:pPr>
      <w:pStyle w:val="Header"/>
    </w:pPr>
  </w:p>
  <w:p w14:paraId="231B2EBE" w14:textId="77777777" w:rsidR="00F57FA9" w:rsidRDefault="00F57FA9">
    <w:pPr>
      <w:pStyle w:val="Header"/>
    </w:pPr>
    <w:r w:rsidRPr="00416AC1">
      <w:rPr>
        <w:lang w:eastAsia="en-GB"/>
      </w:rPr>
      <w:drawing>
        <wp:anchor distT="0" distB="828040" distL="114300" distR="114300" simplePos="0" relativeHeight="251670528" behindDoc="0" locked="0" layoutInCell="1" allowOverlap="1" wp14:anchorId="016DDFF1" wp14:editId="6F34D3B9">
          <wp:simplePos x="0" y="0"/>
          <wp:positionH relativeFrom="page">
            <wp:posOffset>657225</wp:posOffset>
          </wp:positionH>
          <wp:positionV relativeFrom="page">
            <wp:posOffset>533400</wp:posOffset>
          </wp:positionV>
          <wp:extent cx="2129246" cy="926828"/>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29246" cy="926828"/>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C2E7" w14:textId="77777777" w:rsidR="00F57FA9" w:rsidRDefault="00F57FA9" w:rsidP="0089222B">
    <w:pPr>
      <w:pStyle w:val="Header"/>
    </w:pPr>
    <w:r w:rsidRPr="00690BC2">
      <w:rPr>
        <w:lang w:eastAsia="en-GB"/>
      </w:rPr>
      <w:drawing>
        <wp:anchor distT="0" distB="828040" distL="114300" distR="114300" simplePos="0" relativeHeight="251659264" behindDoc="0" locked="0" layoutInCell="1" allowOverlap="1" wp14:anchorId="5B0A9716" wp14:editId="4052FB23">
          <wp:simplePos x="0" y="0"/>
          <wp:positionH relativeFrom="page">
            <wp:posOffset>651933</wp:posOffset>
          </wp:positionH>
          <wp:positionV relativeFrom="page">
            <wp:posOffset>541961</wp:posOffset>
          </wp:positionV>
          <wp:extent cx="2133600" cy="933262"/>
          <wp:effectExtent l="0" t="0" r="0" b="635"/>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ticle10\Documents\ETF\Header image.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3600" cy="93326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EF786" w14:textId="77777777" w:rsidR="00F57FA9" w:rsidRDefault="00F57F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5015"/>
      <w:docPartObj>
        <w:docPartGallery w:val="Page Numbers (Top of Page)"/>
        <w:docPartUnique/>
      </w:docPartObj>
    </w:sdtPr>
    <w:sdtContent>
      <w:p w14:paraId="69FD2355" w14:textId="1E68DCE5" w:rsidR="00F57FA9" w:rsidRDefault="00F57FA9">
        <w:pPr>
          <w:pStyle w:val="Header"/>
          <w:jc w:val="right"/>
        </w:pPr>
        <w:r>
          <w:fldChar w:fldCharType="begin"/>
        </w:r>
        <w:r>
          <w:instrText xml:space="preserve"> PAGE   \* MERGEFORMAT </w:instrText>
        </w:r>
        <w:r>
          <w:fldChar w:fldCharType="separate"/>
        </w:r>
        <w:r w:rsidR="001968CF">
          <w:t>15</w:t>
        </w:r>
        <w:r>
          <w:fldChar w:fldCharType="end"/>
        </w:r>
      </w:p>
    </w:sdtContent>
  </w:sdt>
  <w:p w14:paraId="2F41653F" w14:textId="77777777" w:rsidR="00F57FA9" w:rsidRDefault="00F57F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5821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CF6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586B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CA45D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2E0A6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2084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30F8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3A44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4D84262"/>
    <w:lvl w:ilvl="0">
      <w:start w:val="1"/>
      <w:numFmt w:val="bullet"/>
      <w:pStyle w:val="ListBullet"/>
      <w:lvlText w:val="■"/>
      <w:lvlJc w:val="left"/>
      <w:pPr>
        <w:tabs>
          <w:tab w:val="num" w:pos="360"/>
        </w:tabs>
        <w:ind w:left="360" w:hanging="360"/>
      </w:pPr>
      <w:rPr>
        <w:b w:val="0"/>
        <w:i w:val="0"/>
        <w:iCs w:val="0"/>
        <w:smallCaps w:val="0"/>
        <w:strike w:val="0"/>
        <w:dstrike w:val="0"/>
        <w:noProof w:val="0"/>
        <w:vanish w:val="0"/>
        <w:color w:val="0092BB" w:themeColor="accent1"/>
        <w:kern w:val="0"/>
        <w:position w:val="0"/>
        <w:u w:val="none"/>
        <w:vertAlign w:val="baseline"/>
        <w:em w:val="none"/>
      </w:rPr>
    </w:lvl>
  </w:abstractNum>
  <w:abstractNum w:abstractNumId="9" w15:restartNumberingAfterBreak="0">
    <w:nsid w:val="04265E59"/>
    <w:multiLevelType w:val="hybridMultilevel"/>
    <w:tmpl w:val="743C838E"/>
    <w:lvl w:ilvl="0" w:tplc="E7D6B62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DF59A3"/>
    <w:multiLevelType w:val="hybridMultilevel"/>
    <w:tmpl w:val="F5846700"/>
    <w:lvl w:ilvl="0" w:tplc="0407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FC6D53"/>
    <w:multiLevelType w:val="hybridMultilevel"/>
    <w:tmpl w:val="3A0C5FF6"/>
    <w:lvl w:ilvl="0" w:tplc="F7D8A1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EF315A"/>
    <w:multiLevelType w:val="hybridMultilevel"/>
    <w:tmpl w:val="22F8F42A"/>
    <w:lvl w:ilvl="0" w:tplc="BFE2EBF2">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06229F"/>
    <w:multiLevelType w:val="hybridMultilevel"/>
    <w:tmpl w:val="BBAEB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B83FDF"/>
    <w:multiLevelType w:val="hybridMultilevel"/>
    <w:tmpl w:val="AE4E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EA02E0"/>
    <w:multiLevelType w:val="hybridMultilevel"/>
    <w:tmpl w:val="A3C2D354"/>
    <w:lvl w:ilvl="0" w:tplc="94EE12DA">
      <w:start w:val="5"/>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95CA6"/>
    <w:multiLevelType w:val="hybridMultilevel"/>
    <w:tmpl w:val="22686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A2040D"/>
    <w:multiLevelType w:val="hybridMultilevel"/>
    <w:tmpl w:val="0F92A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908FA"/>
    <w:multiLevelType w:val="hybridMultilevel"/>
    <w:tmpl w:val="02E67DA6"/>
    <w:lvl w:ilvl="0" w:tplc="3C44911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22F5B"/>
    <w:multiLevelType w:val="hybridMultilevel"/>
    <w:tmpl w:val="C128D3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D7182F"/>
    <w:multiLevelType w:val="hybridMultilevel"/>
    <w:tmpl w:val="1E5034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E4A78DB"/>
    <w:multiLevelType w:val="hybridMultilevel"/>
    <w:tmpl w:val="4D2016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2"/>
  </w:num>
  <w:num w:numId="11">
    <w:abstractNumId w:val="14"/>
  </w:num>
  <w:num w:numId="12">
    <w:abstractNumId w:val="16"/>
  </w:num>
  <w:num w:numId="13">
    <w:abstractNumId w:val="13"/>
  </w:num>
  <w:num w:numId="14">
    <w:abstractNumId w:val="20"/>
  </w:num>
  <w:num w:numId="15">
    <w:abstractNumId w:val="11"/>
  </w:num>
  <w:num w:numId="16">
    <w:abstractNumId w:val="21"/>
  </w:num>
  <w:num w:numId="17">
    <w:abstractNumId w:val="10"/>
  </w:num>
  <w:num w:numId="18">
    <w:abstractNumId w:val="18"/>
  </w:num>
  <w:num w:numId="19">
    <w:abstractNumId w:val="9"/>
  </w:num>
  <w:num w:numId="20">
    <w:abstractNumId w:val="15"/>
  </w:num>
  <w:num w:numId="21">
    <w:abstractNumId w:val="17"/>
  </w:num>
  <w:num w:numId="2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characterSpacingControl w:val="doNotCompress"/>
  <w:hdrShapeDefaults>
    <o:shapedefaults v:ext="edit" spidmax="14337"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0D3"/>
    <w:rsid w:val="00001D0F"/>
    <w:rsid w:val="000042F5"/>
    <w:rsid w:val="00004349"/>
    <w:rsid w:val="00006FA0"/>
    <w:rsid w:val="000112A1"/>
    <w:rsid w:val="00012E2A"/>
    <w:rsid w:val="00026575"/>
    <w:rsid w:val="00027866"/>
    <w:rsid w:val="00032293"/>
    <w:rsid w:val="00034834"/>
    <w:rsid w:val="00034C11"/>
    <w:rsid w:val="00040CE3"/>
    <w:rsid w:val="0004375B"/>
    <w:rsid w:val="00046344"/>
    <w:rsid w:val="00054762"/>
    <w:rsid w:val="000547D7"/>
    <w:rsid w:val="0005728B"/>
    <w:rsid w:val="00061FBC"/>
    <w:rsid w:val="00067713"/>
    <w:rsid w:val="00082A0A"/>
    <w:rsid w:val="0009004C"/>
    <w:rsid w:val="00090434"/>
    <w:rsid w:val="0009284D"/>
    <w:rsid w:val="00094769"/>
    <w:rsid w:val="000A2BE2"/>
    <w:rsid w:val="000B0155"/>
    <w:rsid w:val="000B104F"/>
    <w:rsid w:val="000B1CBD"/>
    <w:rsid w:val="000B2BA9"/>
    <w:rsid w:val="000B49F7"/>
    <w:rsid w:val="000B734D"/>
    <w:rsid w:val="000C2DA2"/>
    <w:rsid w:val="000C68AD"/>
    <w:rsid w:val="000C7E40"/>
    <w:rsid w:val="000D2EF9"/>
    <w:rsid w:val="000D5434"/>
    <w:rsid w:val="000F14A2"/>
    <w:rsid w:val="000F229F"/>
    <w:rsid w:val="000F2DCF"/>
    <w:rsid w:val="000F37E4"/>
    <w:rsid w:val="000F5949"/>
    <w:rsid w:val="000F6685"/>
    <w:rsid w:val="00101CF9"/>
    <w:rsid w:val="001143A7"/>
    <w:rsid w:val="001239FE"/>
    <w:rsid w:val="00127B57"/>
    <w:rsid w:val="00133D49"/>
    <w:rsid w:val="0013658F"/>
    <w:rsid w:val="00141F8A"/>
    <w:rsid w:val="00143F62"/>
    <w:rsid w:val="00145483"/>
    <w:rsid w:val="00146D06"/>
    <w:rsid w:val="00152CD8"/>
    <w:rsid w:val="00153C75"/>
    <w:rsid w:val="00156998"/>
    <w:rsid w:val="00160121"/>
    <w:rsid w:val="00162576"/>
    <w:rsid w:val="001640CE"/>
    <w:rsid w:val="00165A12"/>
    <w:rsid w:val="00175E26"/>
    <w:rsid w:val="001760DB"/>
    <w:rsid w:val="00181473"/>
    <w:rsid w:val="00183CF2"/>
    <w:rsid w:val="0019098C"/>
    <w:rsid w:val="001968CF"/>
    <w:rsid w:val="001A0032"/>
    <w:rsid w:val="001A2C75"/>
    <w:rsid w:val="001A3038"/>
    <w:rsid w:val="001C0C37"/>
    <w:rsid w:val="001C13CF"/>
    <w:rsid w:val="001C2621"/>
    <w:rsid w:val="001C6D53"/>
    <w:rsid w:val="001D787B"/>
    <w:rsid w:val="001E58DB"/>
    <w:rsid w:val="001E6915"/>
    <w:rsid w:val="001E74F9"/>
    <w:rsid w:val="001F38D8"/>
    <w:rsid w:val="001F5243"/>
    <w:rsid w:val="00200249"/>
    <w:rsid w:val="00202791"/>
    <w:rsid w:val="002157F8"/>
    <w:rsid w:val="002203AA"/>
    <w:rsid w:val="00222DCD"/>
    <w:rsid w:val="00222E62"/>
    <w:rsid w:val="002241B3"/>
    <w:rsid w:val="002247A3"/>
    <w:rsid w:val="002260B9"/>
    <w:rsid w:val="002262CB"/>
    <w:rsid w:val="00236A96"/>
    <w:rsid w:val="00237D89"/>
    <w:rsid w:val="00237EC9"/>
    <w:rsid w:val="00237EF9"/>
    <w:rsid w:val="00241A73"/>
    <w:rsid w:val="00244838"/>
    <w:rsid w:val="0025460E"/>
    <w:rsid w:val="00265EB8"/>
    <w:rsid w:val="0027072F"/>
    <w:rsid w:val="00270C09"/>
    <w:rsid w:val="002715C4"/>
    <w:rsid w:val="002719E0"/>
    <w:rsid w:val="00273FED"/>
    <w:rsid w:val="00276BE6"/>
    <w:rsid w:val="002777A9"/>
    <w:rsid w:val="0029232C"/>
    <w:rsid w:val="00296E2F"/>
    <w:rsid w:val="002A034C"/>
    <w:rsid w:val="002A4061"/>
    <w:rsid w:val="002A7743"/>
    <w:rsid w:val="002B0699"/>
    <w:rsid w:val="002B1D0D"/>
    <w:rsid w:val="002B7285"/>
    <w:rsid w:val="002C146F"/>
    <w:rsid w:val="002C2EF5"/>
    <w:rsid w:val="002C7928"/>
    <w:rsid w:val="002D327C"/>
    <w:rsid w:val="002D495A"/>
    <w:rsid w:val="002D5B3F"/>
    <w:rsid w:val="002E3F12"/>
    <w:rsid w:val="002E610F"/>
    <w:rsid w:val="002F0826"/>
    <w:rsid w:val="002F1B5E"/>
    <w:rsid w:val="002F36F9"/>
    <w:rsid w:val="002F5E93"/>
    <w:rsid w:val="00305AD0"/>
    <w:rsid w:val="00305E02"/>
    <w:rsid w:val="00310F37"/>
    <w:rsid w:val="00315E37"/>
    <w:rsid w:val="0031651E"/>
    <w:rsid w:val="00321AC0"/>
    <w:rsid w:val="00322288"/>
    <w:rsid w:val="00322311"/>
    <w:rsid w:val="003225A9"/>
    <w:rsid w:val="00322934"/>
    <w:rsid w:val="0032577B"/>
    <w:rsid w:val="003270FF"/>
    <w:rsid w:val="00327C18"/>
    <w:rsid w:val="0033084A"/>
    <w:rsid w:val="00331334"/>
    <w:rsid w:val="0033474A"/>
    <w:rsid w:val="0033531B"/>
    <w:rsid w:val="00335F69"/>
    <w:rsid w:val="00336D1F"/>
    <w:rsid w:val="003376F1"/>
    <w:rsid w:val="00341326"/>
    <w:rsid w:val="00346FF9"/>
    <w:rsid w:val="0035093A"/>
    <w:rsid w:val="0035168B"/>
    <w:rsid w:val="003537B3"/>
    <w:rsid w:val="0036028B"/>
    <w:rsid w:val="00366262"/>
    <w:rsid w:val="00366370"/>
    <w:rsid w:val="003706EB"/>
    <w:rsid w:val="00372BB3"/>
    <w:rsid w:val="00372ED9"/>
    <w:rsid w:val="003744CE"/>
    <w:rsid w:val="00375900"/>
    <w:rsid w:val="003840D7"/>
    <w:rsid w:val="00384DFC"/>
    <w:rsid w:val="00386BF7"/>
    <w:rsid w:val="0039025F"/>
    <w:rsid w:val="00391151"/>
    <w:rsid w:val="003921D7"/>
    <w:rsid w:val="00395B99"/>
    <w:rsid w:val="003A23C3"/>
    <w:rsid w:val="003A659F"/>
    <w:rsid w:val="003B0F9A"/>
    <w:rsid w:val="003B1739"/>
    <w:rsid w:val="003B28C5"/>
    <w:rsid w:val="003B3EE8"/>
    <w:rsid w:val="003D0FC6"/>
    <w:rsid w:val="003D2CD3"/>
    <w:rsid w:val="003D506A"/>
    <w:rsid w:val="003D61C0"/>
    <w:rsid w:val="003D7B0F"/>
    <w:rsid w:val="003E4A70"/>
    <w:rsid w:val="003E624C"/>
    <w:rsid w:val="003E6DB7"/>
    <w:rsid w:val="003F2DEE"/>
    <w:rsid w:val="003F3259"/>
    <w:rsid w:val="003F68C3"/>
    <w:rsid w:val="00406469"/>
    <w:rsid w:val="00412759"/>
    <w:rsid w:val="00413352"/>
    <w:rsid w:val="00416AC1"/>
    <w:rsid w:val="0042031B"/>
    <w:rsid w:val="00430E3D"/>
    <w:rsid w:val="004440FB"/>
    <w:rsid w:val="004455E2"/>
    <w:rsid w:val="00446EAC"/>
    <w:rsid w:val="00447892"/>
    <w:rsid w:val="00455DC5"/>
    <w:rsid w:val="00461379"/>
    <w:rsid w:val="00470F22"/>
    <w:rsid w:val="00470F5B"/>
    <w:rsid w:val="00473880"/>
    <w:rsid w:val="0049059A"/>
    <w:rsid w:val="00494BE8"/>
    <w:rsid w:val="004A1F67"/>
    <w:rsid w:val="004A6390"/>
    <w:rsid w:val="004B070E"/>
    <w:rsid w:val="004B0E03"/>
    <w:rsid w:val="004B1B7B"/>
    <w:rsid w:val="004B1C74"/>
    <w:rsid w:val="004B38F4"/>
    <w:rsid w:val="004B5787"/>
    <w:rsid w:val="004C0F1D"/>
    <w:rsid w:val="004C2551"/>
    <w:rsid w:val="004C7F79"/>
    <w:rsid w:val="004D2028"/>
    <w:rsid w:val="004D35B5"/>
    <w:rsid w:val="004D55E4"/>
    <w:rsid w:val="004D73F2"/>
    <w:rsid w:val="004D7996"/>
    <w:rsid w:val="004E0EA3"/>
    <w:rsid w:val="004F063E"/>
    <w:rsid w:val="004F0A8B"/>
    <w:rsid w:val="004F102E"/>
    <w:rsid w:val="004F4AF1"/>
    <w:rsid w:val="004F58FC"/>
    <w:rsid w:val="004F68C5"/>
    <w:rsid w:val="004F7BD5"/>
    <w:rsid w:val="0050573E"/>
    <w:rsid w:val="00511CD0"/>
    <w:rsid w:val="00513859"/>
    <w:rsid w:val="00523390"/>
    <w:rsid w:val="0052720E"/>
    <w:rsid w:val="0053068B"/>
    <w:rsid w:val="00537132"/>
    <w:rsid w:val="00537F6D"/>
    <w:rsid w:val="005438FC"/>
    <w:rsid w:val="00547F93"/>
    <w:rsid w:val="005513EB"/>
    <w:rsid w:val="00551A66"/>
    <w:rsid w:val="00555E41"/>
    <w:rsid w:val="005572CE"/>
    <w:rsid w:val="00561D37"/>
    <w:rsid w:val="00564951"/>
    <w:rsid w:val="00565155"/>
    <w:rsid w:val="00566E63"/>
    <w:rsid w:val="0056786B"/>
    <w:rsid w:val="00571D28"/>
    <w:rsid w:val="00571D32"/>
    <w:rsid w:val="00572C45"/>
    <w:rsid w:val="00574008"/>
    <w:rsid w:val="005810A5"/>
    <w:rsid w:val="00585414"/>
    <w:rsid w:val="005871EE"/>
    <w:rsid w:val="00596488"/>
    <w:rsid w:val="0059750E"/>
    <w:rsid w:val="005A0A3A"/>
    <w:rsid w:val="005A616D"/>
    <w:rsid w:val="005A6ABD"/>
    <w:rsid w:val="005B14B7"/>
    <w:rsid w:val="005B69D1"/>
    <w:rsid w:val="005C120E"/>
    <w:rsid w:val="005C5B46"/>
    <w:rsid w:val="005C7444"/>
    <w:rsid w:val="005D02B9"/>
    <w:rsid w:val="005D1482"/>
    <w:rsid w:val="005D3BF2"/>
    <w:rsid w:val="005D574D"/>
    <w:rsid w:val="005D79EA"/>
    <w:rsid w:val="005E1F67"/>
    <w:rsid w:val="005E23A1"/>
    <w:rsid w:val="005E268D"/>
    <w:rsid w:val="005F5663"/>
    <w:rsid w:val="00606A21"/>
    <w:rsid w:val="0061752C"/>
    <w:rsid w:val="00620951"/>
    <w:rsid w:val="00620F00"/>
    <w:rsid w:val="00624FF9"/>
    <w:rsid w:val="006259FF"/>
    <w:rsid w:val="00632BE4"/>
    <w:rsid w:val="00632F72"/>
    <w:rsid w:val="006406AF"/>
    <w:rsid w:val="00640EC2"/>
    <w:rsid w:val="006412E5"/>
    <w:rsid w:val="0064384D"/>
    <w:rsid w:val="00643ED8"/>
    <w:rsid w:val="00646738"/>
    <w:rsid w:val="00653817"/>
    <w:rsid w:val="00653E70"/>
    <w:rsid w:val="00660745"/>
    <w:rsid w:val="0066183D"/>
    <w:rsid w:val="00667291"/>
    <w:rsid w:val="0067124C"/>
    <w:rsid w:val="00673851"/>
    <w:rsid w:val="00675AB2"/>
    <w:rsid w:val="00677A5E"/>
    <w:rsid w:val="00682802"/>
    <w:rsid w:val="00682893"/>
    <w:rsid w:val="006865F7"/>
    <w:rsid w:val="00687CA0"/>
    <w:rsid w:val="00690BC2"/>
    <w:rsid w:val="00696223"/>
    <w:rsid w:val="006A0118"/>
    <w:rsid w:val="006A1D05"/>
    <w:rsid w:val="006A28FB"/>
    <w:rsid w:val="006A4637"/>
    <w:rsid w:val="006B0C8A"/>
    <w:rsid w:val="006B21CD"/>
    <w:rsid w:val="006B2E99"/>
    <w:rsid w:val="006B4120"/>
    <w:rsid w:val="006C08D4"/>
    <w:rsid w:val="006C1F59"/>
    <w:rsid w:val="006C52FA"/>
    <w:rsid w:val="006D34D9"/>
    <w:rsid w:val="006E10D9"/>
    <w:rsid w:val="006E18B9"/>
    <w:rsid w:val="006E7FD7"/>
    <w:rsid w:val="006F3D92"/>
    <w:rsid w:val="006F65EB"/>
    <w:rsid w:val="0070647D"/>
    <w:rsid w:val="00710B79"/>
    <w:rsid w:val="00714458"/>
    <w:rsid w:val="007165ED"/>
    <w:rsid w:val="0072400B"/>
    <w:rsid w:val="00725D01"/>
    <w:rsid w:val="00731269"/>
    <w:rsid w:val="007344AD"/>
    <w:rsid w:val="00735349"/>
    <w:rsid w:val="00740B76"/>
    <w:rsid w:val="00741791"/>
    <w:rsid w:val="00742C4D"/>
    <w:rsid w:val="0075459C"/>
    <w:rsid w:val="007552C6"/>
    <w:rsid w:val="00756981"/>
    <w:rsid w:val="00760E17"/>
    <w:rsid w:val="0076209E"/>
    <w:rsid w:val="00764196"/>
    <w:rsid w:val="00766489"/>
    <w:rsid w:val="00770732"/>
    <w:rsid w:val="007714B0"/>
    <w:rsid w:val="007746B7"/>
    <w:rsid w:val="0078355E"/>
    <w:rsid w:val="00783F7A"/>
    <w:rsid w:val="0078487C"/>
    <w:rsid w:val="0079461C"/>
    <w:rsid w:val="007A00F8"/>
    <w:rsid w:val="007A410D"/>
    <w:rsid w:val="007B1B33"/>
    <w:rsid w:val="007B2826"/>
    <w:rsid w:val="007B7CC9"/>
    <w:rsid w:val="007C6301"/>
    <w:rsid w:val="007D176A"/>
    <w:rsid w:val="007D1D53"/>
    <w:rsid w:val="007D1F87"/>
    <w:rsid w:val="007D320B"/>
    <w:rsid w:val="007E42AA"/>
    <w:rsid w:val="007F041C"/>
    <w:rsid w:val="007F1411"/>
    <w:rsid w:val="007F28F9"/>
    <w:rsid w:val="007F4B38"/>
    <w:rsid w:val="008033CE"/>
    <w:rsid w:val="008033E2"/>
    <w:rsid w:val="008165FC"/>
    <w:rsid w:val="008176B5"/>
    <w:rsid w:val="008225AF"/>
    <w:rsid w:val="00840770"/>
    <w:rsid w:val="008420E2"/>
    <w:rsid w:val="00844CDE"/>
    <w:rsid w:val="008450F6"/>
    <w:rsid w:val="0084594A"/>
    <w:rsid w:val="00845C42"/>
    <w:rsid w:val="008511FA"/>
    <w:rsid w:val="00852726"/>
    <w:rsid w:val="008529AE"/>
    <w:rsid w:val="00852FC3"/>
    <w:rsid w:val="00857CCA"/>
    <w:rsid w:val="00862428"/>
    <w:rsid w:val="008639FD"/>
    <w:rsid w:val="00870193"/>
    <w:rsid w:val="0087055B"/>
    <w:rsid w:val="0087336F"/>
    <w:rsid w:val="00877DA1"/>
    <w:rsid w:val="00880D22"/>
    <w:rsid w:val="008916AB"/>
    <w:rsid w:val="0089222B"/>
    <w:rsid w:val="008A4A77"/>
    <w:rsid w:val="008B74B6"/>
    <w:rsid w:val="008C116B"/>
    <w:rsid w:val="008C11D2"/>
    <w:rsid w:val="008C4FDF"/>
    <w:rsid w:val="008C7CE1"/>
    <w:rsid w:val="008D69D0"/>
    <w:rsid w:val="008D6C21"/>
    <w:rsid w:val="008E3721"/>
    <w:rsid w:val="008E7175"/>
    <w:rsid w:val="008E7353"/>
    <w:rsid w:val="008E7A89"/>
    <w:rsid w:val="008E7E2C"/>
    <w:rsid w:val="008F00C0"/>
    <w:rsid w:val="00903BA4"/>
    <w:rsid w:val="0090402D"/>
    <w:rsid w:val="00904279"/>
    <w:rsid w:val="009143CA"/>
    <w:rsid w:val="00922D13"/>
    <w:rsid w:val="00922E6C"/>
    <w:rsid w:val="0092797E"/>
    <w:rsid w:val="0093156D"/>
    <w:rsid w:val="00932CF3"/>
    <w:rsid w:val="00943DED"/>
    <w:rsid w:val="00950B30"/>
    <w:rsid w:val="00956241"/>
    <w:rsid w:val="00960392"/>
    <w:rsid w:val="009622AA"/>
    <w:rsid w:val="00964316"/>
    <w:rsid w:val="00966527"/>
    <w:rsid w:val="0097566B"/>
    <w:rsid w:val="009774F9"/>
    <w:rsid w:val="0098315F"/>
    <w:rsid w:val="00984A41"/>
    <w:rsid w:val="00992B65"/>
    <w:rsid w:val="009936C7"/>
    <w:rsid w:val="009940D3"/>
    <w:rsid w:val="009A1161"/>
    <w:rsid w:val="009A2BD8"/>
    <w:rsid w:val="009A3993"/>
    <w:rsid w:val="009A43FC"/>
    <w:rsid w:val="009A69D1"/>
    <w:rsid w:val="009B1936"/>
    <w:rsid w:val="009B2519"/>
    <w:rsid w:val="009B5CA7"/>
    <w:rsid w:val="009B71C0"/>
    <w:rsid w:val="009B7456"/>
    <w:rsid w:val="009C3006"/>
    <w:rsid w:val="009C6528"/>
    <w:rsid w:val="009D30DC"/>
    <w:rsid w:val="009E3DA7"/>
    <w:rsid w:val="009F4DC0"/>
    <w:rsid w:val="00A11BF7"/>
    <w:rsid w:val="00A12AE5"/>
    <w:rsid w:val="00A13093"/>
    <w:rsid w:val="00A14387"/>
    <w:rsid w:val="00A15288"/>
    <w:rsid w:val="00A24792"/>
    <w:rsid w:val="00A31CF9"/>
    <w:rsid w:val="00A35E58"/>
    <w:rsid w:val="00A47097"/>
    <w:rsid w:val="00A54F7B"/>
    <w:rsid w:val="00A54FD9"/>
    <w:rsid w:val="00A603B6"/>
    <w:rsid w:val="00A623D6"/>
    <w:rsid w:val="00A62ADB"/>
    <w:rsid w:val="00A632CA"/>
    <w:rsid w:val="00A64808"/>
    <w:rsid w:val="00A67F48"/>
    <w:rsid w:val="00A72989"/>
    <w:rsid w:val="00A72B6C"/>
    <w:rsid w:val="00A76587"/>
    <w:rsid w:val="00A81E6C"/>
    <w:rsid w:val="00A872E5"/>
    <w:rsid w:val="00A87FB3"/>
    <w:rsid w:val="00A9504A"/>
    <w:rsid w:val="00AA2436"/>
    <w:rsid w:val="00AA38CE"/>
    <w:rsid w:val="00AA5D17"/>
    <w:rsid w:val="00AA61AD"/>
    <w:rsid w:val="00AA733C"/>
    <w:rsid w:val="00AA73F5"/>
    <w:rsid w:val="00AB1DAA"/>
    <w:rsid w:val="00AB2B7C"/>
    <w:rsid w:val="00AB3E5A"/>
    <w:rsid w:val="00AC7F97"/>
    <w:rsid w:val="00AD02B3"/>
    <w:rsid w:val="00AD38C1"/>
    <w:rsid w:val="00AD6421"/>
    <w:rsid w:val="00AE1741"/>
    <w:rsid w:val="00AE5152"/>
    <w:rsid w:val="00AF0F4C"/>
    <w:rsid w:val="00AF2E9A"/>
    <w:rsid w:val="00AF2F70"/>
    <w:rsid w:val="00AF3871"/>
    <w:rsid w:val="00AF646B"/>
    <w:rsid w:val="00B10964"/>
    <w:rsid w:val="00B12321"/>
    <w:rsid w:val="00B17606"/>
    <w:rsid w:val="00B24541"/>
    <w:rsid w:val="00B25B9D"/>
    <w:rsid w:val="00B30C09"/>
    <w:rsid w:val="00B34CD5"/>
    <w:rsid w:val="00B365BB"/>
    <w:rsid w:val="00B41A0C"/>
    <w:rsid w:val="00B45532"/>
    <w:rsid w:val="00B47D3C"/>
    <w:rsid w:val="00B5229B"/>
    <w:rsid w:val="00B552E7"/>
    <w:rsid w:val="00B57E2E"/>
    <w:rsid w:val="00B75E22"/>
    <w:rsid w:val="00B83505"/>
    <w:rsid w:val="00B841BE"/>
    <w:rsid w:val="00B84F59"/>
    <w:rsid w:val="00B86BB7"/>
    <w:rsid w:val="00B877EA"/>
    <w:rsid w:val="00B93EB0"/>
    <w:rsid w:val="00B96BDC"/>
    <w:rsid w:val="00B97077"/>
    <w:rsid w:val="00BA74D2"/>
    <w:rsid w:val="00BB66B1"/>
    <w:rsid w:val="00BC282D"/>
    <w:rsid w:val="00BC7E2C"/>
    <w:rsid w:val="00BD0320"/>
    <w:rsid w:val="00BD19B0"/>
    <w:rsid w:val="00BD2E85"/>
    <w:rsid w:val="00BE3425"/>
    <w:rsid w:val="00BE42EA"/>
    <w:rsid w:val="00BE4D7D"/>
    <w:rsid w:val="00BE4DE4"/>
    <w:rsid w:val="00BE77EB"/>
    <w:rsid w:val="00BE7E3C"/>
    <w:rsid w:val="00BF01DE"/>
    <w:rsid w:val="00BF502F"/>
    <w:rsid w:val="00BF60CD"/>
    <w:rsid w:val="00BF69BE"/>
    <w:rsid w:val="00C00B1C"/>
    <w:rsid w:val="00C07E48"/>
    <w:rsid w:val="00C11E40"/>
    <w:rsid w:val="00C16527"/>
    <w:rsid w:val="00C176AC"/>
    <w:rsid w:val="00C25AB9"/>
    <w:rsid w:val="00C25E11"/>
    <w:rsid w:val="00C3165B"/>
    <w:rsid w:val="00C33257"/>
    <w:rsid w:val="00C33546"/>
    <w:rsid w:val="00C437BE"/>
    <w:rsid w:val="00C4410B"/>
    <w:rsid w:val="00C44805"/>
    <w:rsid w:val="00C50D04"/>
    <w:rsid w:val="00C5117C"/>
    <w:rsid w:val="00C52585"/>
    <w:rsid w:val="00C56E6A"/>
    <w:rsid w:val="00C6464E"/>
    <w:rsid w:val="00C65D90"/>
    <w:rsid w:val="00C66731"/>
    <w:rsid w:val="00C70128"/>
    <w:rsid w:val="00C72C02"/>
    <w:rsid w:val="00C829AD"/>
    <w:rsid w:val="00C87A6B"/>
    <w:rsid w:val="00C91503"/>
    <w:rsid w:val="00C92FDB"/>
    <w:rsid w:val="00C95C1D"/>
    <w:rsid w:val="00CA1AAC"/>
    <w:rsid w:val="00CA7156"/>
    <w:rsid w:val="00CB3F67"/>
    <w:rsid w:val="00CC5952"/>
    <w:rsid w:val="00CC7C5B"/>
    <w:rsid w:val="00CD0419"/>
    <w:rsid w:val="00CD224B"/>
    <w:rsid w:val="00CD3967"/>
    <w:rsid w:val="00CD3E4B"/>
    <w:rsid w:val="00CE062F"/>
    <w:rsid w:val="00CE14B5"/>
    <w:rsid w:val="00CE4813"/>
    <w:rsid w:val="00CF0EAD"/>
    <w:rsid w:val="00CF1BCE"/>
    <w:rsid w:val="00D00524"/>
    <w:rsid w:val="00D04930"/>
    <w:rsid w:val="00D049F9"/>
    <w:rsid w:val="00D07091"/>
    <w:rsid w:val="00D11DFB"/>
    <w:rsid w:val="00D1419F"/>
    <w:rsid w:val="00D14B8A"/>
    <w:rsid w:val="00D15812"/>
    <w:rsid w:val="00D217A1"/>
    <w:rsid w:val="00D3163C"/>
    <w:rsid w:val="00D33048"/>
    <w:rsid w:val="00D348E9"/>
    <w:rsid w:val="00D40724"/>
    <w:rsid w:val="00D40B0A"/>
    <w:rsid w:val="00D4110D"/>
    <w:rsid w:val="00D415DF"/>
    <w:rsid w:val="00D437AA"/>
    <w:rsid w:val="00D44D86"/>
    <w:rsid w:val="00D550F6"/>
    <w:rsid w:val="00D556CD"/>
    <w:rsid w:val="00D55D3A"/>
    <w:rsid w:val="00D70330"/>
    <w:rsid w:val="00D712A0"/>
    <w:rsid w:val="00D7358B"/>
    <w:rsid w:val="00D743DF"/>
    <w:rsid w:val="00D82B68"/>
    <w:rsid w:val="00D9247E"/>
    <w:rsid w:val="00D92995"/>
    <w:rsid w:val="00D9325D"/>
    <w:rsid w:val="00DA42BC"/>
    <w:rsid w:val="00DB2B4E"/>
    <w:rsid w:val="00DB6F71"/>
    <w:rsid w:val="00DC539E"/>
    <w:rsid w:val="00DD2AF6"/>
    <w:rsid w:val="00DD5E7B"/>
    <w:rsid w:val="00DD773C"/>
    <w:rsid w:val="00DE1471"/>
    <w:rsid w:val="00DE3B05"/>
    <w:rsid w:val="00DE5B15"/>
    <w:rsid w:val="00DF340E"/>
    <w:rsid w:val="00DF6641"/>
    <w:rsid w:val="00E02592"/>
    <w:rsid w:val="00E0742D"/>
    <w:rsid w:val="00E15224"/>
    <w:rsid w:val="00E167DE"/>
    <w:rsid w:val="00E20362"/>
    <w:rsid w:val="00E227B0"/>
    <w:rsid w:val="00E23D22"/>
    <w:rsid w:val="00E248B1"/>
    <w:rsid w:val="00E37026"/>
    <w:rsid w:val="00E44AC7"/>
    <w:rsid w:val="00E44B36"/>
    <w:rsid w:val="00E44DCE"/>
    <w:rsid w:val="00E50432"/>
    <w:rsid w:val="00E507C4"/>
    <w:rsid w:val="00E566D1"/>
    <w:rsid w:val="00E56F76"/>
    <w:rsid w:val="00E6189F"/>
    <w:rsid w:val="00E6417C"/>
    <w:rsid w:val="00E64622"/>
    <w:rsid w:val="00E733D7"/>
    <w:rsid w:val="00E745C2"/>
    <w:rsid w:val="00E74BD6"/>
    <w:rsid w:val="00E77094"/>
    <w:rsid w:val="00E812CA"/>
    <w:rsid w:val="00E81F6E"/>
    <w:rsid w:val="00E83BB7"/>
    <w:rsid w:val="00E84D9A"/>
    <w:rsid w:val="00E872A1"/>
    <w:rsid w:val="00E873FF"/>
    <w:rsid w:val="00E8773A"/>
    <w:rsid w:val="00EA02FF"/>
    <w:rsid w:val="00EA177C"/>
    <w:rsid w:val="00EA1B02"/>
    <w:rsid w:val="00EA1B79"/>
    <w:rsid w:val="00EA65AD"/>
    <w:rsid w:val="00EB223C"/>
    <w:rsid w:val="00ED4A5D"/>
    <w:rsid w:val="00ED4E34"/>
    <w:rsid w:val="00ED67FD"/>
    <w:rsid w:val="00EE06C2"/>
    <w:rsid w:val="00EE3DAA"/>
    <w:rsid w:val="00EE3F2F"/>
    <w:rsid w:val="00EE5A41"/>
    <w:rsid w:val="00EE60A1"/>
    <w:rsid w:val="00EF162A"/>
    <w:rsid w:val="00EF2D3B"/>
    <w:rsid w:val="00EF3C16"/>
    <w:rsid w:val="00EF7024"/>
    <w:rsid w:val="00F0013D"/>
    <w:rsid w:val="00F06884"/>
    <w:rsid w:val="00F103F8"/>
    <w:rsid w:val="00F22339"/>
    <w:rsid w:val="00F25E90"/>
    <w:rsid w:val="00F26333"/>
    <w:rsid w:val="00F2795D"/>
    <w:rsid w:val="00F3508B"/>
    <w:rsid w:val="00F352B5"/>
    <w:rsid w:val="00F43143"/>
    <w:rsid w:val="00F4725E"/>
    <w:rsid w:val="00F505C0"/>
    <w:rsid w:val="00F50F6C"/>
    <w:rsid w:val="00F52CE8"/>
    <w:rsid w:val="00F56308"/>
    <w:rsid w:val="00F57ACD"/>
    <w:rsid w:val="00F57D1E"/>
    <w:rsid w:val="00F57FA9"/>
    <w:rsid w:val="00F60990"/>
    <w:rsid w:val="00F6108F"/>
    <w:rsid w:val="00F6142A"/>
    <w:rsid w:val="00F62A99"/>
    <w:rsid w:val="00F64A2B"/>
    <w:rsid w:val="00F666F5"/>
    <w:rsid w:val="00F71E3B"/>
    <w:rsid w:val="00F754C4"/>
    <w:rsid w:val="00F76053"/>
    <w:rsid w:val="00F762B4"/>
    <w:rsid w:val="00F905FC"/>
    <w:rsid w:val="00F90CA2"/>
    <w:rsid w:val="00F941E2"/>
    <w:rsid w:val="00F95BCE"/>
    <w:rsid w:val="00F973CC"/>
    <w:rsid w:val="00F97DB2"/>
    <w:rsid w:val="00FA7F3C"/>
    <w:rsid w:val="00FB27D9"/>
    <w:rsid w:val="00FB6D8B"/>
    <w:rsid w:val="00FC19B3"/>
    <w:rsid w:val="00FD5BA4"/>
    <w:rsid w:val="00FD5E42"/>
    <w:rsid w:val="00FD6034"/>
    <w:rsid w:val="00FD6818"/>
    <w:rsid w:val="00FE45D3"/>
    <w:rsid w:val="00FE5A83"/>
    <w:rsid w:val="00FE7A74"/>
    <w:rsid w:val="00FF3439"/>
    <w:rsid w:val="00FF6C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yle="mso-position-horizontal:center;v-text-anchor:bottom" fillcolor="#0393bc" stroke="f" strokecolor="#0393bc">
      <v:fill color="#0393bc" color2="fill" o:opacity2="26214f" rotate="t" angle="-90" method="linear sigma" focus="100%" type="gradient"/>
      <v:stroke color="#0393bc" weight="3pt" on="f"/>
      <v:shadow type="perspective" color="none [1608]" opacity=".5" offset="1pt" offset2="-1pt"/>
    </o:shapedefaults>
    <o:shapelayout v:ext="edit">
      <o:idmap v:ext="edit" data="1"/>
    </o:shapelayout>
  </w:shapeDefaults>
  <w:decimalSymbol w:val="."/>
  <w:listSeparator w:val=","/>
  <w14:docId w14:val="0EE826F8"/>
  <w15:docId w15:val="{6D0B1983-5E9B-4976-ACF4-F968D732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0CE"/>
    <w:pPr>
      <w:spacing w:line="240" w:lineRule="auto"/>
    </w:pPr>
    <w:rPr>
      <w:rFonts w:ascii="Arial" w:hAnsi="Arial" w:cs="Arial"/>
      <w:sz w:val="20"/>
      <w:szCs w:val="20"/>
    </w:rPr>
  </w:style>
  <w:style w:type="paragraph" w:styleId="Heading1">
    <w:name w:val="heading 1"/>
    <w:basedOn w:val="Normal"/>
    <w:next w:val="BodyText"/>
    <w:link w:val="Heading1Char"/>
    <w:uiPriority w:val="9"/>
    <w:qFormat/>
    <w:rsid w:val="003D506A"/>
    <w:pPr>
      <w:keepNext/>
      <w:keepLines/>
      <w:spacing w:before="60" w:after="480"/>
      <w:outlineLvl w:val="0"/>
    </w:pPr>
    <w:rPr>
      <w:rFonts w:eastAsiaTheme="majorEastAsia" w:cstheme="majorBidi"/>
      <w:b/>
      <w:bCs/>
      <w:caps/>
      <w:color w:val="0092BB" w:themeColor="accent1"/>
      <w:sz w:val="36"/>
      <w:szCs w:val="36"/>
    </w:rPr>
  </w:style>
  <w:style w:type="paragraph" w:styleId="Heading2">
    <w:name w:val="heading 2"/>
    <w:basedOn w:val="Normal"/>
    <w:next w:val="BodyText"/>
    <w:link w:val="Heading2Char"/>
    <w:uiPriority w:val="9"/>
    <w:unhideWhenUsed/>
    <w:qFormat/>
    <w:rsid w:val="0036028B"/>
    <w:pPr>
      <w:keepNext/>
      <w:keepLines/>
      <w:spacing w:before="200"/>
      <w:outlineLvl w:val="1"/>
    </w:pPr>
    <w:rPr>
      <w:rFonts w:eastAsiaTheme="majorEastAsia" w:cstheme="majorBidi"/>
      <w:bCs/>
      <w:color w:val="0092BB" w:themeColor="accent1"/>
      <w:sz w:val="28"/>
      <w:szCs w:val="26"/>
    </w:rPr>
  </w:style>
  <w:style w:type="paragraph" w:styleId="Heading3">
    <w:name w:val="heading 3"/>
    <w:basedOn w:val="Normal"/>
    <w:next w:val="BodyText"/>
    <w:link w:val="Heading3Char"/>
    <w:uiPriority w:val="9"/>
    <w:unhideWhenUsed/>
    <w:qFormat/>
    <w:rsid w:val="003D506A"/>
    <w:pPr>
      <w:keepNext/>
      <w:keepLines/>
      <w:spacing w:before="60" w:after="60"/>
      <w:outlineLvl w:val="2"/>
    </w:pPr>
    <w:rPr>
      <w:rFonts w:eastAsiaTheme="majorEastAsia"/>
      <w:bCs/>
      <w:color w:val="0092BB" w:themeColor="accent1"/>
      <w:sz w:val="24"/>
    </w:rPr>
  </w:style>
  <w:style w:type="paragraph" w:styleId="Heading4">
    <w:name w:val="heading 4"/>
    <w:basedOn w:val="Normal"/>
    <w:next w:val="Normal"/>
    <w:link w:val="Heading4Char"/>
    <w:uiPriority w:val="9"/>
    <w:unhideWhenUsed/>
    <w:qFormat/>
    <w:rsid w:val="003D506A"/>
    <w:pPr>
      <w:keepNext/>
      <w:keepLines/>
      <w:spacing w:before="200" w:after="60"/>
      <w:outlineLvl w:val="3"/>
    </w:pPr>
    <w:rPr>
      <w:rFonts w:eastAsiaTheme="majorEastAsia"/>
      <w:b/>
      <w:bCs/>
      <w:iCs/>
      <w:color w:val="0092B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506A"/>
    <w:rPr>
      <w:rFonts w:ascii="Arial" w:eastAsiaTheme="majorEastAsia" w:hAnsi="Arial" w:cs="Arial"/>
      <w:bCs/>
      <w:color w:val="0092BB" w:themeColor="accent1"/>
      <w:sz w:val="24"/>
      <w:szCs w:val="20"/>
    </w:rPr>
  </w:style>
  <w:style w:type="paragraph" w:styleId="BlockText">
    <w:name w:val="Block Text"/>
    <w:basedOn w:val="Normal"/>
    <w:uiPriority w:val="99"/>
    <w:semiHidden/>
    <w:unhideWhenUsed/>
    <w:rsid w:val="001A2C75"/>
    <w:pPr>
      <w:pBdr>
        <w:top w:val="single" w:sz="2" w:space="10" w:color="0092BB" w:themeColor="accent1" w:shadow="1" w:frame="1"/>
        <w:left w:val="single" w:sz="2" w:space="10" w:color="0092BB" w:themeColor="accent1" w:shadow="1" w:frame="1"/>
        <w:bottom w:val="single" w:sz="2" w:space="10" w:color="0092BB" w:themeColor="accent1" w:shadow="1" w:frame="1"/>
        <w:right w:val="single" w:sz="2" w:space="10" w:color="0092BB" w:themeColor="accent1" w:shadow="1" w:frame="1"/>
      </w:pBdr>
      <w:ind w:left="1152" w:right="1152"/>
    </w:pPr>
    <w:rPr>
      <w:rFonts w:eastAsiaTheme="minorEastAsia"/>
      <w:i/>
      <w:iCs/>
      <w:color w:val="0092BB" w:themeColor="accent1"/>
    </w:rPr>
  </w:style>
  <w:style w:type="paragraph" w:styleId="BodyText">
    <w:name w:val="Body Text"/>
    <w:basedOn w:val="Normal"/>
    <w:link w:val="BodyTextChar"/>
    <w:uiPriority w:val="99"/>
    <w:unhideWhenUsed/>
    <w:rsid w:val="004C7F79"/>
    <w:pPr>
      <w:spacing w:line="288" w:lineRule="auto"/>
    </w:pPr>
    <w:rPr>
      <w:color w:val="616264"/>
      <w:lang w:val="fr-FR"/>
    </w:rPr>
  </w:style>
  <w:style w:type="character" w:customStyle="1" w:styleId="BodyTextChar">
    <w:name w:val="Body Text Char"/>
    <w:basedOn w:val="DefaultParagraphFont"/>
    <w:link w:val="BodyText"/>
    <w:uiPriority w:val="99"/>
    <w:rsid w:val="004C7F79"/>
    <w:rPr>
      <w:rFonts w:ascii="Arial" w:hAnsi="Arial" w:cs="Arial"/>
      <w:color w:val="616264"/>
      <w:sz w:val="20"/>
      <w:szCs w:val="20"/>
      <w:lang w:val="fr-FR"/>
    </w:rPr>
  </w:style>
  <w:style w:type="character" w:customStyle="1" w:styleId="Heading1Char">
    <w:name w:val="Heading 1 Char"/>
    <w:basedOn w:val="DefaultParagraphFont"/>
    <w:link w:val="Heading1"/>
    <w:uiPriority w:val="9"/>
    <w:rsid w:val="003D506A"/>
    <w:rPr>
      <w:rFonts w:ascii="Arial" w:eastAsiaTheme="majorEastAsia" w:hAnsi="Arial" w:cstheme="majorBidi"/>
      <w:b/>
      <w:bCs/>
      <w:caps/>
      <w:color w:val="0092BB" w:themeColor="accent1"/>
      <w:sz w:val="36"/>
      <w:szCs w:val="36"/>
    </w:rPr>
  </w:style>
  <w:style w:type="character" w:customStyle="1" w:styleId="Heading2Char">
    <w:name w:val="Heading 2 Char"/>
    <w:basedOn w:val="DefaultParagraphFont"/>
    <w:link w:val="Heading2"/>
    <w:uiPriority w:val="9"/>
    <w:rsid w:val="0036028B"/>
    <w:rPr>
      <w:rFonts w:ascii="Arial" w:eastAsiaTheme="majorEastAsia" w:hAnsi="Arial" w:cstheme="majorBidi"/>
      <w:bCs/>
      <w:color w:val="0092BB" w:themeColor="accent1"/>
      <w:sz w:val="28"/>
      <w:szCs w:val="26"/>
    </w:rPr>
  </w:style>
  <w:style w:type="paragraph" w:styleId="ListParagraph">
    <w:name w:val="List Paragraph"/>
    <w:aliases w:val="List Paragraph1,Lijstalinea,Bullet List Paragraph,Heading 2_sj"/>
    <w:basedOn w:val="Normal"/>
    <w:link w:val="ListParagraphChar"/>
    <w:uiPriority w:val="34"/>
    <w:qFormat/>
    <w:rsid w:val="00175E26"/>
    <w:pPr>
      <w:ind w:left="720"/>
      <w:contextualSpacing/>
    </w:pPr>
  </w:style>
  <w:style w:type="paragraph" w:styleId="BalloonText">
    <w:name w:val="Balloon Text"/>
    <w:basedOn w:val="Normal"/>
    <w:link w:val="BalloonTextChar"/>
    <w:uiPriority w:val="99"/>
    <w:semiHidden/>
    <w:unhideWhenUsed/>
    <w:rsid w:val="00237E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EF9"/>
    <w:rPr>
      <w:rFonts w:ascii="Tahoma" w:hAnsi="Tahoma" w:cs="Tahoma"/>
      <w:color w:val="616264"/>
      <w:sz w:val="16"/>
      <w:szCs w:val="16"/>
    </w:rPr>
  </w:style>
  <w:style w:type="paragraph" w:styleId="Header">
    <w:name w:val="header"/>
    <w:basedOn w:val="Normal"/>
    <w:link w:val="HeaderChar"/>
    <w:uiPriority w:val="99"/>
    <w:unhideWhenUsed/>
    <w:rsid w:val="00764196"/>
    <w:pPr>
      <w:tabs>
        <w:tab w:val="center" w:pos="4513"/>
        <w:tab w:val="right" w:pos="9026"/>
      </w:tabs>
      <w:spacing w:after="0"/>
    </w:pPr>
    <w:rPr>
      <w:noProof/>
    </w:rPr>
  </w:style>
  <w:style w:type="character" w:customStyle="1" w:styleId="HeaderChar">
    <w:name w:val="Header Char"/>
    <w:basedOn w:val="DefaultParagraphFont"/>
    <w:link w:val="Header"/>
    <w:uiPriority w:val="99"/>
    <w:rsid w:val="00764196"/>
    <w:rPr>
      <w:rFonts w:ascii="Arial" w:hAnsi="Arial" w:cs="Arial"/>
      <w:noProof/>
      <w:sz w:val="20"/>
      <w:szCs w:val="20"/>
    </w:rPr>
  </w:style>
  <w:style w:type="paragraph" w:styleId="Footer">
    <w:name w:val="footer"/>
    <w:basedOn w:val="Normal"/>
    <w:link w:val="FooterChar"/>
    <w:uiPriority w:val="99"/>
    <w:unhideWhenUsed/>
    <w:rsid w:val="006406AF"/>
    <w:pPr>
      <w:spacing w:after="0"/>
      <w:jc w:val="right"/>
    </w:pPr>
    <w:rPr>
      <w:caps/>
      <w:color w:val="616264" w:themeColor="text2"/>
      <w:sz w:val="22"/>
      <w:szCs w:val="22"/>
    </w:rPr>
  </w:style>
  <w:style w:type="character" w:customStyle="1" w:styleId="FooterChar">
    <w:name w:val="Footer Char"/>
    <w:basedOn w:val="DefaultParagraphFont"/>
    <w:link w:val="Footer"/>
    <w:uiPriority w:val="99"/>
    <w:rsid w:val="006406AF"/>
    <w:rPr>
      <w:rFonts w:ascii="Arial" w:hAnsi="Arial" w:cs="Arial"/>
      <w:caps/>
      <w:color w:val="616264" w:themeColor="text2"/>
    </w:rPr>
  </w:style>
  <w:style w:type="table" w:styleId="TableGrid">
    <w:name w:val="Table Grid"/>
    <w:basedOn w:val="TableNormal"/>
    <w:uiPriority w:val="39"/>
    <w:rsid w:val="00384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27072F"/>
    <w:rPr>
      <w:rFonts w:ascii="Arial" w:hAnsi="Arial" w:cs="Arial"/>
      <w:color w:val="616264"/>
      <w:sz w:val="16"/>
      <w:szCs w:val="20"/>
    </w:rPr>
  </w:style>
  <w:style w:type="paragraph" w:customStyle="1" w:styleId="Tabletext">
    <w:name w:val="Table text"/>
    <w:basedOn w:val="Normal"/>
    <w:link w:val="TabletextChar"/>
    <w:qFormat/>
    <w:rsid w:val="0027072F"/>
    <w:pPr>
      <w:spacing w:after="0"/>
    </w:pPr>
    <w:rPr>
      <w:color w:val="616264"/>
      <w:sz w:val="16"/>
    </w:rPr>
  </w:style>
  <w:style w:type="paragraph" w:customStyle="1" w:styleId="TableHeader">
    <w:name w:val="Table Header"/>
    <w:basedOn w:val="Tabletext"/>
    <w:link w:val="TableHeaderChar"/>
    <w:qFormat/>
    <w:rsid w:val="0027072F"/>
    <w:rPr>
      <w:color w:val="FFFFFF" w:themeColor="background1"/>
    </w:rPr>
  </w:style>
  <w:style w:type="paragraph" w:customStyle="1" w:styleId="Tablefirstcolumn">
    <w:name w:val="Table first column"/>
    <w:link w:val="TablefirstcolumnChar"/>
    <w:qFormat/>
    <w:rsid w:val="0027072F"/>
    <w:pPr>
      <w:spacing w:after="0" w:line="240" w:lineRule="auto"/>
    </w:pPr>
    <w:rPr>
      <w:rFonts w:ascii="Arial" w:hAnsi="Arial" w:cs="Arial"/>
      <w:color w:val="0092BB" w:themeColor="accent1"/>
      <w:sz w:val="16"/>
      <w:szCs w:val="20"/>
    </w:rPr>
  </w:style>
  <w:style w:type="character" w:customStyle="1" w:styleId="TableHeaderChar">
    <w:name w:val="Table Header Char"/>
    <w:basedOn w:val="TabletextChar"/>
    <w:link w:val="TableHeader"/>
    <w:rsid w:val="0027072F"/>
    <w:rPr>
      <w:rFonts w:ascii="Arial" w:hAnsi="Arial" w:cs="Arial"/>
      <w:color w:val="FFFFFF" w:themeColor="background1"/>
      <w:sz w:val="16"/>
      <w:szCs w:val="20"/>
    </w:rPr>
  </w:style>
  <w:style w:type="character" w:customStyle="1" w:styleId="TablefirstcolumnChar">
    <w:name w:val="Table first column Char"/>
    <w:basedOn w:val="TableHeaderChar"/>
    <w:link w:val="Tablefirstcolumn"/>
    <w:rsid w:val="0027072F"/>
    <w:rPr>
      <w:rFonts w:ascii="Arial" w:hAnsi="Arial" w:cs="Arial"/>
      <w:color w:val="0092BB" w:themeColor="accent1"/>
      <w:sz w:val="16"/>
      <w:szCs w:val="20"/>
    </w:rPr>
  </w:style>
  <w:style w:type="paragraph" w:styleId="ListBullet">
    <w:name w:val="List Bullet"/>
    <w:basedOn w:val="Normal"/>
    <w:link w:val="ListBulletChar"/>
    <w:uiPriority w:val="99"/>
    <w:unhideWhenUsed/>
    <w:rsid w:val="002C7928"/>
    <w:pPr>
      <w:numPr>
        <w:numId w:val="1"/>
      </w:numPr>
      <w:spacing w:line="288" w:lineRule="auto"/>
      <w:ind w:left="357" w:hanging="357"/>
    </w:pPr>
    <w:rPr>
      <w:color w:val="616264"/>
    </w:rPr>
  </w:style>
  <w:style w:type="paragraph" w:styleId="ListNumber">
    <w:name w:val="List Number"/>
    <w:basedOn w:val="Normal"/>
    <w:uiPriority w:val="99"/>
    <w:unhideWhenUsed/>
    <w:rsid w:val="009774F9"/>
    <w:pPr>
      <w:numPr>
        <w:numId w:val="10"/>
      </w:numPr>
      <w:spacing w:line="288" w:lineRule="auto"/>
      <w:ind w:left="505" w:hanging="505"/>
    </w:pPr>
    <w:rPr>
      <w:color w:val="616264"/>
    </w:rPr>
  </w:style>
  <w:style w:type="table" w:customStyle="1" w:styleId="ETFTable">
    <w:name w:val="ETF Table"/>
    <w:basedOn w:val="TableNormal"/>
    <w:uiPriority w:val="99"/>
    <w:qFormat/>
    <w:rsid w:val="0027072F"/>
    <w:pPr>
      <w:spacing w:after="0" w:line="240" w:lineRule="auto"/>
    </w:pPr>
    <w:rPr>
      <w:rFonts w:ascii="Arial" w:hAnsi="Arial"/>
      <w:color w:val="616264"/>
      <w:sz w:val="16"/>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vAlign w:val="center"/>
    </w:tcPr>
    <w:tblStylePr w:type="firstRow">
      <w:rPr>
        <w:rFonts w:ascii="Arial" w:hAnsi="Arial"/>
        <w:b w:val="0"/>
        <w:i w:val="0"/>
        <w:color w:val="FEFEFE"/>
        <w:sz w:val="22"/>
      </w:rPr>
      <w:tblPr/>
      <w:tcPr>
        <w:shd w:val="clear" w:color="auto" w:fill="0092BB" w:themeFill="accent1"/>
      </w:tcPr>
    </w:tblStylePr>
    <w:tblStylePr w:type="firstCol">
      <w:rPr>
        <w:color w:val="0092BB" w:themeColor="accent1"/>
      </w:rPr>
      <w:tblPr/>
      <w:tcPr>
        <w:shd w:val="clear" w:color="auto" w:fill="C9C9C9"/>
      </w:tcPr>
    </w:tblStylePr>
  </w:style>
  <w:style w:type="paragraph" w:styleId="Title">
    <w:name w:val="Title"/>
    <w:basedOn w:val="Normal"/>
    <w:next w:val="Normal"/>
    <w:link w:val="TitleChar"/>
    <w:uiPriority w:val="10"/>
    <w:qFormat/>
    <w:rsid w:val="00EE60A1"/>
    <w:rPr>
      <w:rFonts w:eastAsiaTheme="majorEastAsia" w:cstheme="majorBidi"/>
      <w:b/>
      <w:bCs/>
      <w:caps/>
      <w:color w:val="0092BB" w:themeColor="accent1"/>
      <w:spacing w:val="-40"/>
      <w:sz w:val="86"/>
      <w:szCs w:val="28"/>
    </w:rPr>
  </w:style>
  <w:style w:type="character" w:customStyle="1" w:styleId="TitleChar">
    <w:name w:val="Title Char"/>
    <w:basedOn w:val="DefaultParagraphFont"/>
    <w:link w:val="Title"/>
    <w:uiPriority w:val="10"/>
    <w:rsid w:val="00EE60A1"/>
    <w:rPr>
      <w:rFonts w:ascii="Arial" w:eastAsiaTheme="majorEastAsia" w:hAnsi="Arial" w:cstheme="majorBidi"/>
      <w:b/>
      <w:bCs/>
      <w:caps/>
      <w:color w:val="0092BB" w:themeColor="accent1"/>
      <w:spacing w:val="-40"/>
      <w:sz w:val="86"/>
      <w:szCs w:val="28"/>
    </w:rPr>
  </w:style>
  <w:style w:type="paragraph" w:styleId="ListNumber2">
    <w:name w:val="List Number 2"/>
    <w:basedOn w:val="Normal"/>
    <w:uiPriority w:val="99"/>
    <w:unhideWhenUsed/>
    <w:rsid w:val="00090434"/>
    <w:pPr>
      <w:numPr>
        <w:numId w:val="6"/>
      </w:numPr>
      <w:ind w:left="641" w:hanging="357"/>
    </w:pPr>
    <w:rPr>
      <w:color w:val="6D6E71"/>
    </w:rPr>
  </w:style>
  <w:style w:type="paragraph" w:styleId="ListBullet2">
    <w:name w:val="List Bullet 2"/>
    <w:basedOn w:val="Normal"/>
    <w:uiPriority w:val="99"/>
    <w:unhideWhenUsed/>
    <w:rsid w:val="001640CE"/>
    <w:pPr>
      <w:numPr>
        <w:numId w:val="2"/>
      </w:numPr>
      <w:ind w:left="641" w:hanging="357"/>
    </w:pPr>
    <w:rPr>
      <w:color w:val="6D6E71"/>
    </w:rPr>
  </w:style>
  <w:style w:type="character" w:customStyle="1" w:styleId="ListBulletChar">
    <w:name w:val="List Bullet Char"/>
    <w:basedOn w:val="DefaultParagraphFont"/>
    <w:link w:val="ListBullet"/>
    <w:uiPriority w:val="99"/>
    <w:rsid w:val="002C7928"/>
    <w:rPr>
      <w:rFonts w:ascii="Arial" w:hAnsi="Arial" w:cs="Arial"/>
      <w:color w:val="616264"/>
      <w:sz w:val="20"/>
      <w:szCs w:val="20"/>
    </w:rPr>
  </w:style>
  <w:style w:type="character" w:styleId="SubtleEmphasis">
    <w:name w:val="Subtle Emphasis"/>
    <w:basedOn w:val="DefaultParagraphFont"/>
    <w:uiPriority w:val="19"/>
    <w:qFormat/>
    <w:rsid w:val="005A6ABD"/>
    <w:rPr>
      <w:i/>
      <w:iCs/>
      <w:color w:val="616264"/>
    </w:rPr>
  </w:style>
  <w:style w:type="paragraph" w:styleId="FootnoteText">
    <w:name w:val="footnote text"/>
    <w:aliases w:val="Текст сноски Знак,Текст сноски Знак1 Знак,Текст сноски Знак Знак Знак,Footnote Text Char Знак Знак,Footnote Text Char Знак,F1,Текст сноски-FN,Oaeno niinee-FN,Oaeno niinee Ciae,Table_Footnote_last,single space,FOOTNOTES,fn,ADB,fn Char,ft,f"/>
    <w:basedOn w:val="Normal"/>
    <w:link w:val="FootnoteTextChar"/>
    <w:uiPriority w:val="99"/>
    <w:qFormat/>
    <w:rsid w:val="000D5434"/>
    <w:pPr>
      <w:spacing w:before="60"/>
    </w:pPr>
    <w:rPr>
      <w:color w:val="616264"/>
      <w:sz w:val="18"/>
    </w:rPr>
  </w:style>
  <w:style w:type="character" w:customStyle="1" w:styleId="FootnoteTextChar">
    <w:name w:val="Footnote Text Char"/>
    <w:aliases w:val="Текст сноски Знак Char,Текст сноски Знак1 Знак Char,Текст сноски Знак Знак Знак Char,Footnote Text Char Знак Знак Char,Footnote Text Char Знак Char,F1 Char,Текст сноски-FN Char,Oaeno niinee-FN Char,Oaeno niinee Ciae Char,fn Char1"/>
    <w:basedOn w:val="DefaultParagraphFont"/>
    <w:link w:val="FootnoteText"/>
    <w:uiPriority w:val="99"/>
    <w:rsid w:val="000D5434"/>
    <w:rPr>
      <w:rFonts w:ascii="Arial" w:hAnsi="Arial" w:cs="Arial"/>
      <w:color w:val="616264"/>
      <w:sz w:val="18"/>
      <w:szCs w:val="20"/>
    </w:rPr>
  </w:style>
  <w:style w:type="character" w:customStyle="1" w:styleId="Heading4Char">
    <w:name w:val="Heading 4 Char"/>
    <w:basedOn w:val="DefaultParagraphFont"/>
    <w:link w:val="Heading4"/>
    <w:uiPriority w:val="9"/>
    <w:rsid w:val="003D506A"/>
    <w:rPr>
      <w:rFonts w:ascii="Arial" w:eastAsiaTheme="majorEastAsia" w:hAnsi="Arial" w:cs="Arial"/>
      <w:b/>
      <w:bCs/>
      <w:iCs/>
      <w:color w:val="0092BB" w:themeColor="accent1"/>
      <w:sz w:val="20"/>
      <w:szCs w:val="20"/>
    </w:rPr>
  </w:style>
  <w:style w:type="paragraph" w:styleId="TOCHeading">
    <w:name w:val="TOC Heading"/>
    <w:basedOn w:val="Heading1"/>
    <w:next w:val="Normal"/>
    <w:uiPriority w:val="39"/>
    <w:unhideWhenUsed/>
    <w:qFormat/>
    <w:rsid w:val="00511CD0"/>
    <w:pPr>
      <w:spacing w:before="480" w:after="0" w:line="276" w:lineRule="auto"/>
      <w:outlineLvl w:val="9"/>
    </w:pPr>
    <w:rPr>
      <w:rFonts w:cs="Arial"/>
      <w:caps w:val="0"/>
      <w:sz w:val="60"/>
      <w:szCs w:val="60"/>
      <w:lang w:val="en-US"/>
    </w:rPr>
  </w:style>
  <w:style w:type="paragraph" w:styleId="TOC1">
    <w:name w:val="toc 1"/>
    <w:basedOn w:val="Normal"/>
    <w:next w:val="Normal"/>
    <w:autoRedefine/>
    <w:uiPriority w:val="39"/>
    <w:unhideWhenUsed/>
    <w:rsid w:val="00511CD0"/>
    <w:pPr>
      <w:tabs>
        <w:tab w:val="right" w:leader="dot" w:pos="9091"/>
      </w:tabs>
      <w:spacing w:after="100"/>
    </w:pPr>
    <w:rPr>
      <w:noProof/>
      <w:color w:val="0092BB" w:themeColor="accent1"/>
    </w:rPr>
  </w:style>
  <w:style w:type="paragraph" w:styleId="TOC2">
    <w:name w:val="toc 2"/>
    <w:basedOn w:val="Normal"/>
    <w:next w:val="Normal"/>
    <w:autoRedefine/>
    <w:uiPriority w:val="39"/>
    <w:unhideWhenUsed/>
    <w:rsid w:val="0067124C"/>
    <w:pPr>
      <w:spacing w:after="100"/>
      <w:ind w:left="200"/>
    </w:pPr>
  </w:style>
  <w:style w:type="paragraph" w:styleId="TOC3">
    <w:name w:val="toc 3"/>
    <w:basedOn w:val="Normal"/>
    <w:next w:val="Normal"/>
    <w:autoRedefine/>
    <w:uiPriority w:val="39"/>
    <w:unhideWhenUsed/>
    <w:rsid w:val="0067124C"/>
    <w:pPr>
      <w:spacing w:after="100"/>
      <w:ind w:left="400"/>
    </w:pPr>
  </w:style>
  <w:style w:type="character" w:styleId="Hyperlink">
    <w:name w:val="Hyperlink"/>
    <w:basedOn w:val="DefaultParagraphFont"/>
    <w:uiPriority w:val="99"/>
    <w:unhideWhenUsed/>
    <w:rsid w:val="0067124C"/>
    <w:rPr>
      <w:color w:val="0000FF" w:themeColor="hyperlink"/>
      <w:u w:val="single"/>
    </w:rPr>
  </w:style>
  <w:style w:type="character" w:styleId="FootnoteReference">
    <w:name w:val="footnote reference"/>
    <w:aliases w:val="16 Point,Superscript 6 Point,BVI fnr,nota pié di pagina,Error-Fußnotenzeichen5,Error-Fußnotenzeichen6,Error-Fußnotenzeichen3,ftref,Times 10 Point,Exposant 3 Point,Footnote symbol,Footnote reference number,Footnote Reference 2, BVI fnr"/>
    <w:basedOn w:val="DefaultParagraphFont"/>
    <w:link w:val="RefCharCarCar"/>
    <w:uiPriority w:val="99"/>
    <w:unhideWhenUsed/>
    <w:rsid w:val="00C87A6B"/>
    <w:rPr>
      <w:vertAlign w:val="superscript"/>
    </w:rPr>
  </w:style>
  <w:style w:type="paragraph" w:styleId="ListBullet3">
    <w:name w:val="List Bullet 3"/>
    <w:basedOn w:val="Normal"/>
    <w:uiPriority w:val="99"/>
    <w:semiHidden/>
    <w:unhideWhenUsed/>
    <w:rsid w:val="001640CE"/>
    <w:pPr>
      <w:numPr>
        <w:numId w:val="3"/>
      </w:numPr>
      <w:ind w:left="924" w:hanging="357"/>
    </w:pPr>
  </w:style>
  <w:style w:type="paragraph" w:styleId="ListBullet4">
    <w:name w:val="List Bullet 4"/>
    <w:basedOn w:val="Normal"/>
    <w:uiPriority w:val="99"/>
    <w:semiHidden/>
    <w:unhideWhenUsed/>
    <w:rsid w:val="001640CE"/>
    <w:pPr>
      <w:numPr>
        <w:numId w:val="4"/>
      </w:numPr>
      <w:ind w:left="1208" w:hanging="357"/>
    </w:pPr>
  </w:style>
  <w:style w:type="paragraph" w:styleId="ListBullet5">
    <w:name w:val="List Bullet 5"/>
    <w:basedOn w:val="Normal"/>
    <w:uiPriority w:val="99"/>
    <w:semiHidden/>
    <w:unhideWhenUsed/>
    <w:rsid w:val="001640CE"/>
    <w:pPr>
      <w:numPr>
        <w:numId w:val="5"/>
      </w:numPr>
      <w:ind w:left="1491" w:hanging="357"/>
    </w:pPr>
  </w:style>
  <w:style w:type="paragraph" w:styleId="ListContinue">
    <w:name w:val="List Continue"/>
    <w:basedOn w:val="Normal"/>
    <w:uiPriority w:val="99"/>
    <w:semiHidden/>
    <w:unhideWhenUsed/>
    <w:rsid w:val="002C7928"/>
    <w:pPr>
      <w:ind w:left="284"/>
    </w:pPr>
  </w:style>
  <w:style w:type="paragraph" w:styleId="ListContinue2">
    <w:name w:val="List Continue 2"/>
    <w:basedOn w:val="Normal"/>
    <w:uiPriority w:val="99"/>
    <w:semiHidden/>
    <w:unhideWhenUsed/>
    <w:rsid w:val="002C7928"/>
    <w:pPr>
      <w:ind w:left="567"/>
    </w:pPr>
  </w:style>
  <w:style w:type="paragraph" w:styleId="ListContinue3">
    <w:name w:val="List Continue 3"/>
    <w:basedOn w:val="Normal"/>
    <w:uiPriority w:val="99"/>
    <w:semiHidden/>
    <w:unhideWhenUsed/>
    <w:rsid w:val="002C7928"/>
    <w:pPr>
      <w:ind w:left="851"/>
    </w:pPr>
  </w:style>
  <w:style w:type="paragraph" w:styleId="ListContinue4">
    <w:name w:val="List Continue 4"/>
    <w:basedOn w:val="Normal"/>
    <w:uiPriority w:val="99"/>
    <w:semiHidden/>
    <w:unhideWhenUsed/>
    <w:rsid w:val="002C7928"/>
    <w:pPr>
      <w:ind w:left="1134"/>
    </w:pPr>
  </w:style>
  <w:style w:type="paragraph" w:styleId="ListContinue5">
    <w:name w:val="List Continue 5"/>
    <w:basedOn w:val="Normal"/>
    <w:uiPriority w:val="99"/>
    <w:semiHidden/>
    <w:unhideWhenUsed/>
    <w:rsid w:val="002C7928"/>
    <w:pPr>
      <w:ind w:left="1418"/>
    </w:pPr>
  </w:style>
  <w:style w:type="paragraph" w:styleId="ListNumber3">
    <w:name w:val="List Number 3"/>
    <w:basedOn w:val="Normal"/>
    <w:uiPriority w:val="99"/>
    <w:semiHidden/>
    <w:unhideWhenUsed/>
    <w:rsid w:val="001640CE"/>
    <w:pPr>
      <w:numPr>
        <w:numId w:val="7"/>
      </w:numPr>
      <w:ind w:left="924" w:hanging="357"/>
    </w:pPr>
  </w:style>
  <w:style w:type="paragraph" w:styleId="ListNumber4">
    <w:name w:val="List Number 4"/>
    <w:basedOn w:val="Normal"/>
    <w:uiPriority w:val="99"/>
    <w:semiHidden/>
    <w:unhideWhenUsed/>
    <w:rsid w:val="001640CE"/>
    <w:pPr>
      <w:numPr>
        <w:numId w:val="8"/>
      </w:numPr>
      <w:ind w:left="1208" w:hanging="357"/>
    </w:pPr>
  </w:style>
  <w:style w:type="paragraph" w:styleId="ListNumber5">
    <w:name w:val="List Number 5"/>
    <w:basedOn w:val="Normal"/>
    <w:uiPriority w:val="99"/>
    <w:semiHidden/>
    <w:unhideWhenUsed/>
    <w:rsid w:val="001640CE"/>
    <w:pPr>
      <w:numPr>
        <w:numId w:val="9"/>
      </w:numPr>
      <w:ind w:left="1491" w:hanging="357"/>
    </w:pPr>
  </w:style>
  <w:style w:type="paragraph" w:styleId="Quote">
    <w:name w:val="Quote"/>
    <w:basedOn w:val="Normal"/>
    <w:next w:val="Normal"/>
    <w:link w:val="QuoteChar"/>
    <w:uiPriority w:val="29"/>
    <w:qFormat/>
    <w:rsid w:val="00AF646B"/>
    <w:pPr>
      <w:spacing w:before="200" w:after="160"/>
    </w:pPr>
    <w:rPr>
      <w:i/>
      <w:iCs/>
      <w:color w:val="404040" w:themeColor="text1" w:themeTint="BF"/>
    </w:rPr>
  </w:style>
  <w:style w:type="character" w:customStyle="1" w:styleId="QuoteChar">
    <w:name w:val="Quote Char"/>
    <w:basedOn w:val="DefaultParagraphFont"/>
    <w:link w:val="Quote"/>
    <w:uiPriority w:val="29"/>
    <w:rsid w:val="00AF646B"/>
    <w:rPr>
      <w:rFonts w:ascii="Arial" w:hAnsi="Arial" w:cs="Arial"/>
      <w:i/>
      <w:iCs/>
      <w:color w:val="404040" w:themeColor="text1" w:themeTint="BF"/>
      <w:sz w:val="20"/>
      <w:szCs w:val="20"/>
    </w:rPr>
  </w:style>
  <w:style w:type="character" w:styleId="PlaceholderText">
    <w:name w:val="Placeholder Text"/>
    <w:basedOn w:val="DefaultParagraphFont"/>
    <w:uiPriority w:val="99"/>
    <w:semiHidden/>
    <w:rsid w:val="00156998"/>
    <w:rPr>
      <w:color w:val="808080"/>
    </w:rPr>
  </w:style>
  <w:style w:type="paragraph" w:styleId="NormalWeb">
    <w:name w:val="Normal (Web)"/>
    <w:basedOn w:val="Normal"/>
    <w:uiPriority w:val="99"/>
    <w:semiHidden/>
    <w:unhideWhenUsed/>
    <w:rsid w:val="00F505C0"/>
    <w:rPr>
      <w:rFonts w:ascii="Times New Roman" w:hAnsi="Times New Roman" w:cs="Times New Roman"/>
      <w:sz w:val="24"/>
      <w:szCs w:val="24"/>
    </w:rPr>
  </w:style>
  <w:style w:type="character" w:customStyle="1" w:styleId="ListParagraphChar">
    <w:name w:val="List Paragraph Char"/>
    <w:aliases w:val="List Paragraph1 Char,Lijstalinea Char,Bullet List Paragraph Char,Heading 2_sj Char"/>
    <w:link w:val="ListParagraph"/>
    <w:uiPriority w:val="34"/>
    <w:locked/>
    <w:rsid w:val="00D437AA"/>
    <w:rPr>
      <w:rFonts w:ascii="Arial" w:hAnsi="Arial" w:cs="Arial"/>
      <w:sz w:val="20"/>
      <w:szCs w:val="20"/>
    </w:rPr>
  </w:style>
  <w:style w:type="character" w:styleId="CommentReference">
    <w:name w:val="annotation reference"/>
    <w:basedOn w:val="DefaultParagraphFont"/>
    <w:uiPriority w:val="99"/>
    <w:semiHidden/>
    <w:unhideWhenUsed/>
    <w:rsid w:val="00FD6034"/>
    <w:rPr>
      <w:sz w:val="16"/>
      <w:szCs w:val="16"/>
    </w:rPr>
  </w:style>
  <w:style w:type="paragraph" w:styleId="CommentText">
    <w:name w:val="annotation text"/>
    <w:basedOn w:val="Normal"/>
    <w:link w:val="CommentTextChar"/>
    <w:uiPriority w:val="99"/>
    <w:unhideWhenUsed/>
    <w:rsid w:val="00FD6034"/>
  </w:style>
  <w:style w:type="character" w:customStyle="1" w:styleId="CommentTextChar">
    <w:name w:val="Comment Text Char"/>
    <w:basedOn w:val="DefaultParagraphFont"/>
    <w:link w:val="CommentText"/>
    <w:uiPriority w:val="99"/>
    <w:rsid w:val="00FD603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D6034"/>
    <w:rPr>
      <w:b/>
      <w:bCs/>
    </w:rPr>
  </w:style>
  <w:style w:type="character" w:customStyle="1" w:styleId="CommentSubjectChar">
    <w:name w:val="Comment Subject Char"/>
    <w:basedOn w:val="CommentTextChar"/>
    <w:link w:val="CommentSubject"/>
    <w:uiPriority w:val="99"/>
    <w:semiHidden/>
    <w:rsid w:val="00FD6034"/>
    <w:rPr>
      <w:rFonts w:ascii="Arial" w:hAnsi="Arial" w:cs="Arial"/>
      <w:b/>
      <w:bCs/>
      <w:sz w:val="20"/>
      <w:szCs w:val="20"/>
    </w:rPr>
  </w:style>
  <w:style w:type="paragraph" w:customStyle="1" w:styleId="Default">
    <w:name w:val="Default"/>
    <w:rsid w:val="004F68C5"/>
    <w:pPr>
      <w:autoSpaceDE w:val="0"/>
      <w:autoSpaceDN w:val="0"/>
      <w:adjustRightInd w:val="0"/>
      <w:spacing w:after="0" w:line="240" w:lineRule="auto"/>
    </w:pPr>
    <w:rPr>
      <w:rFonts w:ascii="Arial" w:hAnsi="Arial" w:cs="Arial"/>
      <w:color w:val="000000"/>
      <w:sz w:val="24"/>
      <w:szCs w:val="24"/>
      <w:lang w:val="en-US"/>
    </w:rPr>
  </w:style>
  <w:style w:type="paragraph" w:styleId="Bibliography">
    <w:name w:val="Bibliography"/>
    <w:basedOn w:val="Normal"/>
    <w:next w:val="Normal"/>
    <w:uiPriority w:val="37"/>
    <w:unhideWhenUsed/>
    <w:rsid w:val="004F68C5"/>
    <w:pPr>
      <w:spacing w:line="276" w:lineRule="auto"/>
    </w:pPr>
    <w:rPr>
      <w:rFonts w:asciiTheme="minorHAnsi" w:hAnsiTheme="minorHAnsi" w:cstheme="minorBidi"/>
      <w:sz w:val="22"/>
      <w:szCs w:val="22"/>
      <w:lang w:val="en-US"/>
    </w:rPr>
  </w:style>
  <w:style w:type="paragraph" w:customStyle="1" w:styleId="RefCharCarCar">
    <w:name w:val="Ref Char Car Car"/>
    <w:aliases w:val="de nota al pie Char Car Car,Ref Char Char Car Car,de nota al pie Char Char Car Car,ftref Char Char Char Char Car Car,ftref Car Char Char Char Char Char Car Car"/>
    <w:basedOn w:val="Normal"/>
    <w:link w:val="FootnoteReference"/>
    <w:uiPriority w:val="99"/>
    <w:rsid w:val="00C56E6A"/>
    <w:pPr>
      <w:spacing w:after="160" w:line="240" w:lineRule="exact"/>
    </w:pPr>
    <w:rPr>
      <w:rFonts w:asciiTheme="minorHAnsi" w:hAnsiTheme="minorHAnsi" w:cstheme="minorBidi"/>
      <w:sz w:val="22"/>
      <w:szCs w:val="22"/>
      <w:vertAlign w:val="superscript"/>
    </w:rPr>
  </w:style>
  <w:style w:type="character" w:customStyle="1" w:styleId="A8">
    <w:name w:val="A8"/>
    <w:uiPriority w:val="99"/>
    <w:rsid w:val="00C56E6A"/>
    <w:rPr>
      <w:rFonts w:cs="Myriad Pro"/>
      <w:color w:val="000000"/>
      <w:sz w:val="21"/>
      <w:szCs w:val="21"/>
    </w:rPr>
  </w:style>
  <w:style w:type="character" w:customStyle="1" w:styleId="NichtaufgelsteErwhnung1">
    <w:name w:val="Nicht aufgelöste Erwähnung1"/>
    <w:basedOn w:val="DefaultParagraphFont"/>
    <w:uiPriority w:val="99"/>
    <w:semiHidden/>
    <w:unhideWhenUsed/>
    <w:rsid w:val="00165A12"/>
    <w:rPr>
      <w:color w:val="808080"/>
      <w:shd w:val="clear" w:color="auto" w:fill="E6E6E6"/>
    </w:rPr>
  </w:style>
  <w:style w:type="paragraph" w:styleId="Caption">
    <w:name w:val="caption"/>
    <w:basedOn w:val="Normal"/>
    <w:next w:val="Normal"/>
    <w:uiPriority w:val="35"/>
    <w:unhideWhenUsed/>
    <w:qFormat/>
    <w:rsid w:val="0033474A"/>
    <w:rPr>
      <w:rFonts w:asciiTheme="minorHAnsi" w:hAnsiTheme="minorHAnsi" w:cstheme="minorBidi"/>
      <w:i/>
      <w:iCs/>
      <w:color w:val="616264" w:themeColor="text2"/>
      <w:sz w:val="18"/>
      <w:szCs w:val="18"/>
      <w:lang w:val="de-DE"/>
    </w:rPr>
  </w:style>
  <w:style w:type="paragraph" w:customStyle="1" w:styleId="CharCharCharCharCarCarCharCharCarCarCharChar">
    <w:name w:val="Char Char Char Char Car Car Char Char Car Car Char Char"/>
    <w:basedOn w:val="Normal"/>
    <w:next w:val="Normal"/>
    <w:uiPriority w:val="99"/>
    <w:rsid w:val="003921D7"/>
    <w:pPr>
      <w:spacing w:after="160" w:line="240" w:lineRule="exact"/>
    </w:pPr>
    <w:rPr>
      <w:rFonts w:asciiTheme="minorHAnsi" w:hAnsiTheme="minorHAnsi" w:cstheme="minorBidi"/>
      <w:sz w:val="22"/>
      <w:szCs w:val="22"/>
      <w:vertAlign w:val="superscript"/>
    </w:rPr>
  </w:style>
  <w:style w:type="character" w:styleId="FollowedHyperlink">
    <w:name w:val="FollowedHyperlink"/>
    <w:basedOn w:val="DefaultParagraphFont"/>
    <w:uiPriority w:val="99"/>
    <w:semiHidden/>
    <w:unhideWhenUsed/>
    <w:rsid w:val="00F352B5"/>
    <w:rPr>
      <w:color w:val="800080" w:themeColor="followedHyperlink"/>
      <w:u w:val="single"/>
    </w:rPr>
  </w:style>
  <w:style w:type="paragraph" w:customStyle="1" w:styleId="MediumList2-Accent41">
    <w:name w:val="Medium List 2 - Accent 41"/>
    <w:basedOn w:val="Normal"/>
    <w:uiPriority w:val="34"/>
    <w:qFormat/>
    <w:rsid w:val="00A14387"/>
    <w:pPr>
      <w:spacing w:line="276" w:lineRule="auto"/>
      <w:ind w:left="720"/>
      <w:contextualSpacing/>
    </w:pPr>
    <w:rPr>
      <w:rFonts w:ascii="Calibri" w:eastAsia="Calibri" w:hAnsi="Calibri" w:cs="Times New Roman"/>
      <w:sz w:val="22"/>
      <w:szCs w:val="22"/>
    </w:rPr>
  </w:style>
  <w:style w:type="paragraph" w:customStyle="1" w:styleId="FootnoteReference2CharCharCharCharChar">
    <w:name w:val="Footnote Reference 2 Char Char Char Char Char"/>
    <w:aliases w:val="16 Point Char Char Char Char Char,Superscript 6 Point Char Char Char Char Char,BVI fnr Char Char Char Char Char,nota pié di pagina Char Char Char Char Char"/>
    <w:basedOn w:val="Normal"/>
    <w:uiPriority w:val="99"/>
    <w:rsid w:val="006C1F59"/>
    <w:pPr>
      <w:spacing w:after="160" w:line="240" w:lineRule="exact"/>
    </w:pPr>
    <w:rPr>
      <w:rFonts w:asciiTheme="minorHAnsi" w:hAnsiTheme="minorHAnsi" w:cstheme="minorBidi"/>
      <w:sz w:val="22"/>
      <w:szCs w:val="22"/>
      <w:vertAlign w:val="superscript"/>
    </w:rPr>
  </w:style>
  <w:style w:type="character" w:customStyle="1" w:styleId="NichtaufgelsteErwhnung2">
    <w:name w:val="Nicht aufgelöste Erwähnung2"/>
    <w:basedOn w:val="DefaultParagraphFont"/>
    <w:uiPriority w:val="99"/>
    <w:semiHidden/>
    <w:unhideWhenUsed/>
    <w:rsid w:val="00F760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39591">
      <w:bodyDiv w:val="1"/>
      <w:marLeft w:val="0"/>
      <w:marRight w:val="0"/>
      <w:marTop w:val="0"/>
      <w:marBottom w:val="0"/>
      <w:divBdr>
        <w:top w:val="none" w:sz="0" w:space="0" w:color="auto"/>
        <w:left w:val="none" w:sz="0" w:space="0" w:color="auto"/>
        <w:bottom w:val="none" w:sz="0" w:space="0" w:color="auto"/>
        <w:right w:val="none" w:sz="0" w:space="0" w:color="auto"/>
      </w:divBdr>
    </w:div>
    <w:div w:id="105661949">
      <w:bodyDiv w:val="1"/>
      <w:marLeft w:val="0"/>
      <w:marRight w:val="0"/>
      <w:marTop w:val="0"/>
      <w:marBottom w:val="0"/>
      <w:divBdr>
        <w:top w:val="none" w:sz="0" w:space="0" w:color="auto"/>
        <w:left w:val="none" w:sz="0" w:space="0" w:color="auto"/>
        <w:bottom w:val="none" w:sz="0" w:space="0" w:color="auto"/>
        <w:right w:val="none" w:sz="0" w:space="0" w:color="auto"/>
      </w:divBdr>
    </w:div>
    <w:div w:id="110705361">
      <w:bodyDiv w:val="1"/>
      <w:marLeft w:val="0"/>
      <w:marRight w:val="0"/>
      <w:marTop w:val="0"/>
      <w:marBottom w:val="0"/>
      <w:divBdr>
        <w:top w:val="none" w:sz="0" w:space="0" w:color="auto"/>
        <w:left w:val="none" w:sz="0" w:space="0" w:color="auto"/>
        <w:bottom w:val="none" w:sz="0" w:space="0" w:color="auto"/>
        <w:right w:val="none" w:sz="0" w:space="0" w:color="auto"/>
      </w:divBdr>
    </w:div>
    <w:div w:id="251740123">
      <w:bodyDiv w:val="1"/>
      <w:marLeft w:val="0"/>
      <w:marRight w:val="0"/>
      <w:marTop w:val="0"/>
      <w:marBottom w:val="0"/>
      <w:divBdr>
        <w:top w:val="none" w:sz="0" w:space="0" w:color="auto"/>
        <w:left w:val="none" w:sz="0" w:space="0" w:color="auto"/>
        <w:bottom w:val="none" w:sz="0" w:space="0" w:color="auto"/>
        <w:right w:val="none" w:sz="0" w:space="0" w:color="auto"/>
      </w:divBdr>
    </w:div>
    <w:div w:id="283733831">
      <w:bodyDiv w:val="1"/>
      <w:marLeft w:val="0"/>
      <w:marRight w:val="0"/>
      <w:marTop w:val="0"/>
      <w:marBottom w:val="0"/>
      <w:divBdr>
        <w:top w:val="none" w:sz="0" w:space="0" w:color="auto"/>
        <w:left w:val="none" w:sz="0" w:space="0" w:color="auto"/>
        <w:bottom w:val="none" w:sz="0" w:space="0" w:color="auto"/>
        <w:right w:val="none" w:sz="0" w:space="0" w:color="auto"/>
      </w:divBdr>
    </w:div>
    <w:div w:id="624389532">
      <w:bodyDiv w:val="1"/>
      <w:marLeft w:val="0"/>
      <w:marRight w:val="0"/>
      <w:marTop w:val="0"/>
      <w:marBottom w:val="0"/>
      <w:divBdr>
        <w:top w:val="none" w:sz="0" w:space="0" w:color="auto"/>
        <w:left w:val="none" w:sz="0" w:space="0" w:color="auto"/>
        <w:bottom w:val="none" w:sz="0" w:space="0" w:color="auto"/>
        <w:right w:val="none" w:sz="0" w:space="0" w:color="auto"/>
      </w:divBdr>
    </w:div>
    <w:div w:id="680007297">
      <w:bodyDiv w:val="1"/>
      <w:marLeft w:val="0"/>
      <w:marRight w:val="0"/>
      <w:marTop w:val="0"/>
      <w:marBottom w:val="0"/>
      <w:divBdr>
        <w:top w:val="none" w:sz="0" w:space="0" w:color="auto"/>
        <w:left w:val="none" w:sz="0" w:space="0" w:color="auto"/>
        <w:bottom w:val="none" w:sz="0" w:space="0" w:color="auto"/>
        <w:right w:val="none" w:sz="0" w:space="0" w:color="auto"/>
      </w:divBdr>
    </w:div>
    <w:div w:id="782303686">
      <w:bodyDiv w:val="1"/>
      <w:marLeft w:val="0"/>
      <w:marRight w:val="0"/>
      <w:marTop w:val="0"/>
      <w:marBottom w:val="0"/>
      <w:divBdr>
        <w:top w:val="none" w:sz="0" w:space="0" w:color="auto"/>
        <w:left w:val="none" w:sz="0" w:space="0" w:color="auto"/>
        <w:bottom w:val="none" w:sz="0" w:space="0" w:color="auto"/>
        <w:right w:val="none" w:sz="0" w:space="0" w:color="auto"/>
      </w:divBdr>
    </w:div>
    <w:div w:id="837380825">
      <w:bodyDiv w:val="1"/>
      <w:marLeft w:val="0"/>
      <w:marRight w:val="0"/>
      <w:marTop w:val="0"/>
      <w:marBottom w:val="0"/>
      <w:divBdr>
        <w:top w:val="none" w:sz="0" w:space="0" w:color="auto"/>
        <w:left w:val="none" w:sz="0" w:space="0" w:color="auto"/>
        <w:bottom w:val="none" w:sz="0" w:space="0" w:color="auto"/>
        <w:right w:val="none" w:sz="0" w:space="0" w:color="auto"/>
      </w:divBdr>
    </w:div>
    <w:div w:id="1023285881">
      <w:bodyDiv w:val="1"/>
      <w:marLeft w:val="0"/>
      <w:marRight w:val="0"/>
      <w:marTop w:val="0"/>
      <w:marBottom w:val="0"/>
      <w:divBdr>
        <w:top w:val="none" w:sz="0" w:space="0" w:color="auto"/>
        <w:left w:val="none" w:sz="0" w:space="0" w:color="auto"/>
        <w:bottom w:val="none" w:sz="0" w:space="0" w:color="auto"/>
        <w:right w:val="none" w:sz="0" w:space="0" w:color="auto"/>
      </w:divBdr>
    </w:div>
    <w:div w:id="1035815860">
      <w:bodyDiv w:val="1"/>
      <w:marLeft w:val="0"/>
      <w:marRight w:val="0"/>
      <w:marTop w:val="0"/>
      <w:marBottom w:val="0"/>
      <w:divBdr>
        <w:top w:val="none" w:sz="0" w:space="0" w:color="auto"/>
        <w:left w:val="none" w:sz="0" w:space="0" w:color="auto"/>
        <w:bottom w:val="none" w:sz="0" w:space="0" w:color="auto"/>
        <w:right w:val="none" w:sz="0" w:space="0" w:color="auto"/>
      </w:divBdr>
    </w:div>
    <w:div w:id="1048451147">
      <w:bodyDiv w:val="1"/>
      <w:marLeft w:val="0"/>
      <w:marRight w:val="0"/>
      <w:marTop w:val="0"/>
      <w:marBottom w:val="0"/>
      <w:divBdr>
        <w:top w:val="none" w:sz="0" w:space="0" w:color="auto"/>
        <w:left w:val="none" w:sz="0" w:space="0" w:color="auto"/>
        <w:bottom w:val="none" w:sz="0" w:space="0" w:color="auto"/>
        <w:right w:val="none" w:sz="0" w:space="0" w:color="auto"/>
      </w:divBdr>
    </w:div>
    <w:div w:id="1205556836">
      <w:bodyDiv w:val="1"/>
      <w:marLeft w:val="0"/>
      <w:marRight w:val="0"/>
      <w:marTop w:val="0"/>
      <w:marBottom w:val="0"/>
      <w:divBdr>
        <w:top w:val="none" w:sz="0" w:space="0" w:color="auto"/>
        <w:left w:val="none" w:sz="0" w:space="0" w:color="auto"/>
        <w:bottom w:val="none" w:sz="0" w:space="0" w:color="auto"/>
        <w:right w:val="none" w:sz="0" w:space="0" w:color="auto"/>
      </w:divBdr>
    </w:div>
    <w:div w:id="1206256041">
      <w:bodyDiv w:val="1"/>
      <w:marLeft w:val="0"/>
      <w:marRight w:val="0"/>
      <w:marTop w:val="0"/>
      <w:marBottom w:val="0"/>
      <w:divBdr>
        <w:top w:val="none" w:sz="0" w:space="0" w:color="auto"/>
        <w:left w:val="none" w:sz="0" w:space="0" w:color="auto"/>
        <w:bottom w:val="none" w:sz="0" w:space="0" w:color="auto"/>
        <w:right w:val="none" w:sz="0" w:space="0" w:color="auto"/>
      </w:divBdr>
    </w:div>
    <w:div w:id="1302074451">
      <w:bodyDiv w:val="1"/>
      <w:marLeft w:val="0"/>
      <w:marRight w:val="0"/>
      <w:marTop w:val="0"/>
      <w:marBottom w:val="0"/>
      <w:divBdr>
        <w:top w:val="none" w:sz="0" w:space="0" w:color="auto"/>
        <w:left w:val="none" w:sz="0" w:space="0" w:color="auto"/>
        <w:bottom w:val="none" w:sz="0" w:space="0" w:color="auto"/>
        <w:right w:val="none" w:sz="0" w:space="0" w:color="auto"/>
      </w:divBdr>
    </w:div>
    <w:div w:id="1344699946">
      <w:bodyDiv w:val="1"/>
      <w:marLeft w:val="0"/>
      <w:marRight w:val="0"/>
      <w:marTop w:val="0"/>
      <w:marBottom w:val="0"/>
      <w:divBdr>
        <w:top w:val="none" w:sz="0" w:space="0" w:color="auto"/>
        <w:left w:val="none" w:sz="0" w:space="0" w:color="auto"/>
        <w:bottom w:val="none" w:sz="0" w:space="0" w:color="auto"/>
        <w:right w:val="none" w:sz="0" w:space="0" w:color="auto"/>
      </w:divBdr>
    </w:div>
    <w:div w:id="1385178449">
      <w:bodyDiv w:val="1"/>
      <w:marLeft w:val="0"/>
      <w:marRight w:val="0"/>
      <w:marTop w:val="0"/>
      <w:marBottom w:val="0"/>
      <w:divBdr>
        <w:top w:val="none" w:sz="0" w:space="0" w:color="auto"/>
        <w:left w:val="none" w:sz="0" w:space="0" w:color="auto"/>
        <w:bottom w:val="none" w:sz="0" w:space="0" w:color="auto"/>
        <w:right w:val="none" w:sz="0" w:space="0" w:color="auto"/>
      </w:divBdr>
    </w:div>
    <w:div w:id="1465078595">
      <w:bodyDiv w:val="1"/>
      <w:marLeft w:val="0"/>
      <w:marRight w:val="0"/>
      <w:marTop w:val="0"/>
      <w:marBottom w:val="0"/>
      <w:divBdr>
        <w:top w:val="none" w:sz="0" w:space="0" w:color="auto"/>
        <w:left w:val="none" w:sz="0" w:space="0" w:color="auto"/>
        <w:bottom w:val="none" w:sz="0" w:space="0" w:color="auto"/>
        <w:right w:val="none" w:sz="0" w:space="0" w:color="auto"/>
      </w:divBdr>
    </w:div>
    <w:div w:id="1475681242">
      <w:bodyDiv w:val="1"/>
      <w:marLeft w:val="0"/>
      <w:marRight w:val="0"/>
      <w:marTop w:val="0"/>
      <w:marBottom w:val="0"/>
      <w:divBdr>
        <w:top w:val="none" w:sz="0" w:space="0" w:color="auto"/>
        <w:left w:val="none" w:sz="0" w:space="0" w:color="auto"/>
        <w:bottom w:val="none" w:sz="0" w:space="0" w:color="auto"/>
        <w:right w:val="none" w:sz="0" w:space="0" w:color="auto"/>
      </w:divBdr>
    </w:div>
    <w:div w:id="1519545384">
      <w:bodyDiv w:val="1"/>
      <w:marLeft w:val="0"/>
      <w:marRight w:val="0"/>
      <w:marTop w:val="0"/>
      <w:marBottom w:val="0"/>
      <w:divBdr>
        <w:top w:val="none" w:sz="0" w:space="0" w:color="auto"/>
        <w:left w:val="none" w:sz="0" w:space="0" w:color="auto"/>
        <w:bottom w:val="none" w:sz="0" w:space="0" w:color="auto"/>
        <w:right w:val="none" w:sz="0" w:space="0" w:color="auto"/>
      </w:divBdr>
    </w:div>
    <w:div w:id="1523473715">
      <w:bodyDiv w:val="1"/>
      <w:marLeft w:val="0"/>
      <w:marRight w:val="0"/>
      <w:marTop w:val="0"/>
      <w:marBottom w:val="0"/>
      <w:divBdr>
        <w:top w:val="none" w:sz="0" w:space="0" w:color="auto"/>
        <w:left w:val="none" w:sz="0" w:space="0" w:color="auto"/>
        <w:bottom w:val="none" w:sz="0" w:space="0" w:color="auto"/>
        <w:right w:val="none" w:sz="0" w:space="0" w:color="auto"/>
      </w:divBdr>
    </w:div>
    <w:div w:id="1547838839">
      <w:bodyDiv w:val="1"/>
      <w:marLeft w:val="0"/>
      <w:marRight w:val="0"/>
      <w:marTop w:val="0"/>
      <w:marBottom w:val="0"/>
      <w:divBdr>
        <w:top w:val="none" w:sz="0" w:space="0" w:color="auto"/>
        <w:left w:val="none" w:sz="0" w:space="0" w:color="auto"/>
        <w:bottom w:val="none" w:sz="0" w:space="0" w:color="auto"/>
        <w:right w:val="none" w:sz="0" w:space="0" w:color="auto"/>
      </w:divBdr>
    </w:div>
    <w:div w:id="1597254490">
      <w:bodyDiv w:val="1"/>
      <w:marLeft w:val="0"/>
      <w:marRight w:val="0"/>
      <w:marTop w:val="0"/>
      <w:marBottom w:val="0"/>
      <w:divBdr>
        <w:top w:val="none" w:sz="0" w:space="0" w:color="auto"/>
        <w:left w:val="none" w:sz="0" w:space="0" w:color="auto"/>
        <w:bottom w:val="none" w:sz="0" w:space="0" w:color="auto"/>
        <w:right w:val="none" w:sz="0" w:space="0" w:color="auto"/>
      </w:divBdr>
    </w:div>
    <w:div w:id="1608999365">
      <w:bodyDiv w:val="1"/>
      <w:marLeft w:val="0"/>
      <w:marRight w:val="0"/>
      <w:marTop w:val="0"/>
      <w:marBottom w:val="0"/>
      <w:divBdr>
        <w:top w:val="none" w:sz="0" w:space="0" w:color="auto"/>
        <w:left w:val="none" w:sz="0" w:space="0" w:color="auto"/>
        <w:bottom w:val="none" w:sz="0" w:space="0" w:color="auto"/>
        <w:right w:val="none" w:sz="0" w:space="0" w:color="auto"/>
      </w:divBdr>
      <w:divsChild>
        <w:div w:id="139544013">
          <w:marLeft w:val="850"/>
          <w:marRight w:val="0"/>
          <w:marTop w:val="77"/>
          <w:marBottom w:val="120"/>
          <w:divBdr>
            <w:top w:val="none" w:sz="0" w:space="0" w:color="auto"/>
            <w:left w:val="none" w:sz="0" w:space="0" w:color="auto"/>
            <w:bottom w:val="none" w:sz="0" w:space="0" w:color="auto"/>
            <w:right w:val="none" w:sz="0" w:space="0" w:color="auto"/>
          </w:divBdr>
        </w:div>
        <w:div w:id="223179386">
          <w:marLeft w:val="850"/>
          <w:marRight w:val="0"/>
          <w:marTop w:val="77"/>
          <w:marBottom w:val="120"/>
          <w:divBdr>
            <w:top w:val="none" w:sz="0" w:space="0" w:color="auto"/>
            <w:left w:val="none" w:sz="0" w:space="0" w:color="auto"/>
            <w:bottom w:val="none" w:sz="0" w:space="0" w:color="auto"/>
            <w:right w:val="none" w:sz="0" w:space="0" w:color="auto"/>
          </w:divBdr>
        </w:div>
        <w:div w:id="312876868">
          <w:marLeft w:val="850"/>
          <w:marRight w:val="0"/>
          <w:marTop w:val="77"/>
          <w:marBottom w:val="120"/>
          <w:divBdr>
            <w:top w:val="none" w:sz="0" w:space="0" w:color="auto"/>
            <w:left w:val="none" w:sz="0" w:space="0" w:color="auto"/>
            <w:bottom w:val="none" w:sz="0" w:space="0" w:color="auto"/>
            <w:right w:val="none" w:sz="0" w:space="0" w:color="auto"/>
          </w:divBdr>
        </w:div>
        <w:div w:id="1367677015">
          <w:marLeft w:val="850"/>
          <w:marRight w:val="0"/>
          <w:marTop w:val="77"/>
          <w:marBottom w:val="120"/>
          <w:divBdr>
            <w:top w:val="none" w:sz="0" w:space="0" w:color="auto"/>
            <w:left w:val="none" w:sz="0" w:space="0" w:color="auto"/>
            <w:bottom w:val="none" w:sz="0" w:space="0" w:color="auto"/>
            <w:right w:val="none" w:sz="0" w:space="0" w:color="auto"/>
          </w:divBdr>
        </w:div>
      </w:divsChild>
    </w:div>
    <w:div w:id="1634408980">
      <w:bodyDiv w:val="1"/>
      <w:marLeft w:val="0"/>
      <w:marRight w:val="0"/>
      <w:marTop w:val="0"/>
      <w:marBottom w:val="0"/>
      <w:divBdr>
        <w:top w:val="none" w:sz="0" w:space="0" w:color="auto"/>
        <w:left w:val="none" w:sz="0" w:space="0" w:color="auto"/>
        <w:bottom w:val="none" w:sz="0" w:space="0" w:color="auto"/>
        <w:right w:val="none" w:sz="0" w:space="0" w:color="auto"/>
      </w:divBdr>
    </w:div>
    <w:div w:id="1705909409">
      <w:bodyDiv w:val="1"/>
      <w:marLeft w:val="0"/>
      <w:marRight w:val="0"/>
      <w:marTop w:val="0"/>
      <w:marBottom w:val="0"/>
      <w:divBdr>
        <w:top w:val="none" w:sz="0" w:space="0" w:color="auto"/>
        <w:left w:val="none" w:sz="0" w:space="0" w:color="auto"/>
        <w:bottom w:val="none" w:sz="0" w:space="0" w:color="auto"/>
        <w:right w:val="none" w:sz="0" w:space="0" w:color="auto"/>
      </w:divBdr>
    </w:div>
    <w:div w:id="1732657559">
      <w:bodyDiv w:val="1"/>
      <w:marLeft w:val="0"/>
      <w:marRight w:val="0"/>
      <w:marTop w:val="0"/>
      <w:marBottom w:val="0"/>
      <w:divBdr>
        <w:top w:val="none" w:sz="0" w:space="0" w:color="auto"/>
        <w:left w:val="none" w:sz="0" w:space="0" w:color="auto"/>
        <w:bottom w:val="none" w:sz="0" w:space="0" w:color="auto"/>
        <w:right w:val="none" w:sz="0" w:space="0" w:color="auto"/>
      </w:divBdr>
    </w:div>
    <w:div w:id="1783913371">
      <w:bodyDiv w:val="1"/>
      <w:marLeft w:val="0"/>
      <w:marRight w:val="0"/>
      <w:marTop w:val="0"/>
      <w:marBottom w:val="0"/>
      <w:divBdr>
        <w:top w:val="none" w:sz="0" w:space="0" w:color="auto"/>
        <w:left w:val="none" w:sz="0" w:space="0" w:color="auto"/>
        <w:bottom w:val="none" w:sz="0" w:space="0" w:color="auto"/>
        <w:right w:val="none" w:sz="0" w:space="0" w:color="auto"/>
      </w:divBdr>
    </w:div>
    <w:div w:id="1815636716">
      <w:bodyDiv w:val="1"/>
      <w:marLeft w:val="0"/>
      <w:marRight w:val="0"/>
      <w:marTop w:val="0"/>
      <w:marBottom w:val="0"/>
      <w:divBdr>
        <w:top w:val="none" w:sz="0" w:space="0" w:color="auto"/>
        <w:left w:val="none" w:sz="0" w:space="0" w:color="auto"/>
        <w:bottom w:val="none" w:sz="0" w:space="0" w:color="auto"/>
        <w:right w:val="none" w:sz="0" w:space="0" w:color="auto"/>
      </w:divBdr>
    </w:div>
    <w:div w:id="1912305997">
      <w:bodyDiv w:val="1"/>
      <w:marLeft w:val="0"/>
      <w:marRight w:val="0"/>
      <w:marTop w:val="0"/>
      <w:marBottom w:val="0"/>
      <w:divBdr>
        <w:top w:val="none" w:sz="0" w:space="0" w:color="auto"/>
        <w:left w:val="none" w:sz="0" w:space="0" w:color="auto"/>
        <w:bottom w:val="none" w:sz="0" w:space="0" w:color="auto"/>
        <w:right w:val="none" w:sz="0" w:space="0" w:color="auto"/>
      </w:divBdr>
    </w:div>
    <w:div w:id="1956213553">
      <w:bodyDiv w:val="1"/>
      <w:marLeft w:val="0"/>
      <w:marRight w:val="0"/>
      <w:marTop w:val="0"/>
      <w:marBottom w:val="0"/>
      <w:divBdr>
        <w:top w:val="none" w:sz="0" w:space="0" w:color="auto"/>
        <w:left w:val="none" w:sz="0" w:space="0" w:color="auto"/>
        <w:bottom w:val="none" w:sz="0" w:space="0" w:color="auto"/>
        <w:right w:val="none" w:sz="0" w:space="0" w:color="auto"/>
      </w:divBdr>
    </w:div>
    <w:div w:id="1972590708">
      <w:bodyDiv w:val="1"/>
      <w:marLeft w:val="0"/>
      <w:marRight w:val="0"/>
      <w:marTop w:val="0"/>
      <w:marBottom w:val="0"/>
      <w:divBdr>
        <w:top w:val="none" w:sz="0" w:space="0" w:color="auto"/>
        <w:left w:val="none" w:sz="0" w:space="0" w:color="auto"/>
        <w:bottom w:val="none" w:sz="0" w:space="0" w:color="auto"/>
        <w:right w:val="none" w:sz="0" w:space="0" w:color="auto"/>
      </w:divBdr>
    </w:div>
    <w:div w:id="2010668569">
      <w:bodyDiv w:val="1"/>
      <w:marLeft w:val="0"/>
      <w:marRight w:val="0"/>
      <w:marTop w:val="0"/>
      <w:marBottom w:val="0"/>
      <w:divBdr>
        <w:top w:val="none" w:sz="0" w:space="0" w:color="auto"/>
        <w:left w:val="none" w:sz="0" w:space="0" w:color="auto"/>
        <w:bottom w:val="none" w:sz="0" w:space="0" w:color="auto"/>
        <w:right w:val="none" w:sz="0" w:space="0" w:color="auto"/>
      </w:divBdr>
    </w:div>
    <w:div w:id="2020352706">
      <w:bodyDiv w:val="1"/>
      <w:marLeft w:val="0"/>
      <w:marRight w:val="0"/>
      <w:marTop w:val="0"/>
      <w:marBottom w:val="0"/>
      <w:divBdr>
        <w:top w:val="none" w:sz="0" w:space="0" w:color="auto"/>
        <w:left w:val="none" w:sz="0" w:space="0" w:color="auto"/>
        <w:bottom w:val="none" w:sz="0" w:space="0" w:color="auto"/>
        <w:right w:val="none" w:sz="0" w:space="0" w:color="auto"/>
      </w:divBdr>
    </w:div>
    <w:div w:id="208460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chart" Target="charts/chart4.xml"/><Relationship Id="rId39" Type="http://schemas.openxmlformats.org/officeDocument/2006/relationships/hyperlink" Target="http://www.adb.org/sites/default/files/project-document/76055/44152-012-reg-tacr-06.pdf" TargetMode="External"/><Relationship Id="rId21" Type="http://schemas.openxmlformats.org/officeDocument/2006/relationships/hyperlink" Target="http://www.hr.gov.ge/" TargetMode="External"/><Relationship Id="rId34" Type="http://schemas.openxmlformats.org/officeDocument/2006/relationships/chart" Target="charts/chart12.xml"/><Relationship Id="rId42" Type="http://schemas.openxmlformats.org/officeDocument/2006/relationships/hyperlink" Target="http://www.etf.europa.eu/webatt.nsf/0/226927FBAE4DA4E2C1257B4D0043A93E/$file/Migration&amp;skills_Georgia.pdf" TargetMode="External"/><Relationship Id="rId47" Type="http://schemas.openxmlformats.org/officeDocument/2006/relationships/hyperlink" Target="http://documents.worldbank.org/curated/en/779561468275119198/pdf/781430GE0v10RE0Box0385291B00PUBLIC0.pdf" TargetMode="External"/><Relationship Id="rId50" Type="http://schemas.openxmlformats.org/officeDocument/2006/relationships/hyperlink" Target="http://mes.gov.ge/uploads/tracer%20study_raport%20eng.pdf" TargetMode="External"/><Relationship Id="rId55" Type="http://schemas.openxmlformats.org/officeDocument/2006/relationships/hyperlink" Target="http://iom.ge/1/sites/default/files/pdf/Labour%20Market%20in%20Georgia.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www.oecd-ilibrary.org/education/education-at-a-glance-2010/education-and-occupational-mismatches-for-young-individuals-2003-2007_eag-2010-table175-en" TargetMode="External"/><Relationship Id="rId46" Type="http://schemas.openxmlformats.org/officeDocument/2006/relationships/hyperlink" Target="http://ec.europa.eu/eurostat/documents/3888793/7753369/KS-TC-16-023-EN-N.pdf/438b69b5-2fcb-4923-b9e2-fa7b59906438"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hr.ge/" TargetMode="External"/><Relationship Id="rId29" Type="http://schemas.openxmlformats.org/officeDocument/2006/relationships/chart" Target="charts/chart7.xml"/><Relationship Id="rId41" Type="http://schemas.openxmlformats.org/officeDocument/2006/relationships/hyperlink" Target="http://www.mrdi.gov.ge/sites/default/files/social-economic_development_strategy_of_georgia_georgia_2020.pdf" TargetMode="External"/><Relationship Id="rId54" Type="http://schemas.openxmlformats.org/officeDocument/2006/relationships/hyperlink" Target="http://unicef.ge/uploads/PISA_eng_WEB.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yperlink" Target="http://www.oecd-ilibrary.org/education/education-at-a-glance-2010/education-and-occupational-mismatches-for-young-individuals-2003-2007_eag-2010-table175-en" TargetMode="External"/><Relationship Id="rId40" Type="http://schemas.openxmlformats.org/officeDocument/2006/relationships/hyperlink" Target="http://caucasusbarometer.org" TargetMode="External"/><Relationship Id="rId45" Type="http://schemas.openxmlformats.org/officeDocument/2006/relationships/hyperlink" Target="http://ec.europa.eu/social/main.jsp?catId=738&amp;langId=en&amp;pubId=7860" TargetMode="External"/><Relationship Id="rId53" Type="http://schemas.openxmlformats.org/officeDocument/2006/relationships/hyperlink" Target="http://dfwatch.net/traditional-gender-roles-cause-inequality-in-labor-market-34336"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www.case-research.eu/uploads/zalacznik/2017-01-10/CNR_2013_113_0.pdf" TargetMode="External"/><Relationship Id="rId57"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yperlink" Target="http://www.jobs.ge/" TargetMode="External"/><Relationship Id="rId31" Type="http://schemas.openxmlformats.org/officeDocument/2006/relationships/chart" Target="charts/chart9.xml"/><Relationship Id="rId44" Type="http://schemas.openxmlformats.org/officeDocument/2006/relationships/hyperlink" Target="http://ec.europa.eu/social/main.jsp?catId=89&amp;langId=en&amp;newsId=1045&amp;moreDocuments=yes&amp;tableName=news" TargetMode="External"/><Relationship Id="rId52" Type="http://schemas.openxmlformats.org/officeDocument/2006/relationships/hyperlink" Target="http://geostat.ge/cms/site_images/_files/georgian/labour/dasaqmeba-umushevroba%202016_GEO.pdf"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worknet.gov.ge"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yperlink" Target="http://www.etf.europa.eu/webatt.nsf/0/233AD94A2CEBED50C12580E60051DF39/$file/Georgia%202016.pdf" TargetMode="External"/><Relationship Id="rId48" Type="http://schemas.openxmlformats.org/officeDocument/2006/relationships/hyperlink" Target="http://publications.jrc.ec.europa.eu/repository/bitstream/JRC89712/occupational%20mismatch%20in%20europe.pdf" TargetMode="External"/><Relationship Id="rId56" Type="http://schemas.openxmlformats.org/officeDocument/2006/relationships/hyperlink" Target="http://documents.worldbank.org/curated/en/999371468242985088/Georgia-Skills-mismatch-unemployment-labor-market-challenges" TargetMode="External"/><Relationship Id="rId8" Type="http://schemas.openxmlformats.org/officeDocument/2006/relationships/settings" Target="settings.xml"/><Relationship Id="rId51" Type="http://schemas.openxmlformats.org/officeDocument/2006/relationships/hyperlink" Target="http://moh.gov.ge/uploads/files/oldMoh/01_GEO/Shroma/kvleva/4.pdf"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lmis.gov.ge/Lmis/Lmis.Portal.Web/Pages/User/Surveys.aspx?ID=7a09257c-ac3c-4860-a7b0-b8fb3922405f" TargetMode="External"/><Relationship Id="rId2" Type="http://schemas.openxmlformats.org/officeDocument/2006/relationships/hyperlink" Target="http://crrc-caucasus.blogspot.com/2015/06/connections-or-education-on-most.html" TargetMode="External"/><Relationship Id="rId1" Type="http://schemas.openxmlformats.org/officeDocument/2006/relationships/hyperlink" Target="http://gtuc.ge/?p=3123" TargetMode="External"/><Relationship Id="rId5" Type="http://schemas.openxmlformats.org/officeDocument/2006/relationships/hyperlink" Target="http://www.lmis.gov.ge/Lmis/Lmis.Portal.Web/Pages/User/Surveys.aspx?ID=7a09257c-ac3c-4860-a7b0-b8fb3922405f" TargetMode="External"/><Relationship Id="rId4" Type="http://schemas.openxmlformats.org/officeDocument/2006/relationships/hyperlink" Target="http://labour.gov.ge/molhsa/lmis/lmis.portal.web/defaul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adc01eco\projekte\ETF-Transtec-ESE\Data\indicators\v3%20November%202017\ETF%20Skills%20Mismatch%20Figures%20v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dc01eco\projekte\ETF-Transtec-ESE\Reports\CountryReport\_final_versions\ETF%20Skills%20Mismatch%20Figures%20v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dc01eco\projekte\ETF-Transtec-ESE\Reports\CountryReport\_final_versions\ETF%20Skills%20Mismatch%20Figures%20v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adc01eco\projekte\ETF-Transtec-ESE\Reports\CountryReport\_final_versions\ETF%20Skills%20Mismatch%20Figures%20v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c01eco\projekte\ETF-Transtec-ESE\Data\indicators\v4%20November%202017\ETF%20Skills%20Mismatch%20Figures%20v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dc01eco\projekte\ETF-Transtec-ESE\Data\indicators\v3%20November%202017\ETF%20Skills%20Mismatch%20Figures%20v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oleObject" Target="file:///\\adc01eco\projekte\ETF-Transtec-ESE\Data\indicators\v3%20November%202017\ETF%20Skills%20Mismatch%20Figures%20v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dc01eco\projekte\ETF-Transtec-ESE\Reports\CountryReport\_final_versions\ETF%20Skills%20Mismatch%20Figures%20v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'F10 Rates_age'!$J$10</c:f>
              <c:strCache>
                <c:ptCount val="1"/>
                <c:pt idx="0">
                  <c:v>15-19</c:v>
                </c:pt>
              </c:strCache>
            </c:strRef>
          </c:tx>
          <c:spPr>
            <a:ln w="28575" cap="rnd">
              <a:solidFill>
                <a:schemeClr val="tx1"/>
              </a:solidFill>
              <a:round/>
            </a:ln>
            <a:effectLst/>
          </c:spPr>
          <c:marker>
            <c:symbol val="none"/>
          </c:marker>
          <c:dLbls>
            <c:dLbl>
              <c:idx val="0"/>
              <c:layout>
                <c:manualLayout>
                  <c:x val="-5.8688947499060423E-2"/>
                  <c:y val="3.16205533596837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F87-456C-B3EF-52E080498BAF}"/>
                </c:ext>
                <c:ext xmlns:c15="http://schemas.microsoft.com/office/drawing/2012/chart" uri="{CE6537A1-D6FC-4f65-9D91-7224C49458BB}">
                  <c15:layout/>
                </c:ext>
              </c:extLst>
            </c:dLbl>
            <c:dLbl>
              <c:idx val="3"/>
              <c:layout>
                <c:manualLayout>
                  <c:x val="-2.2934761749027199E-2"/>
                  <c:y val="-9.48616600790513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F87-456C-B3EF-52E080498BAF}"/>
                </c:ext>
                <c:ext xmlns:c15="http://schemas.microsoft.com/office/drawing/2012/chart" uri="{CE6537A1-D6FC-4f65-9D91-7224C49458BB}">
                  <c15:layout/>
                </c:ext>
              </c:extLst>
            </c:dLbl>
            <c:dLbl>
              <c:idx val="5"/>
              <c:layout>
                <c:manualLayout>
                  <c:x val="-4.6770885582382668E-2"/>
                  <c:y val="-9.486166007905140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F87-456C-B3EF-52E080498BAF}"/>
                </c:ext>
                <c:ext xmlns:c15="http://schemas.microsoft.com/office/drawing/2012/chart" uri="{CE6537A1-D6FC-4f65-9D91-7224C49458BB}">
                  <c15:layout/>
                </c:ext>
              </c:extLst>
            </c:dLbl>
            <c:numFmt formatCode="#,##0.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Rates_age'!$K$10:$P$10</c:f>
              <c:numCache>
                <c:formatCode>General</c:formatCode>
                <c:ptCount val="6"/>
                <c:pt idx="0">
                  <c:v>33.403533935546875</c:v>
                </c:pt>
                <c:pt idx="1">
                  <c:v>36.905780792236328</c:v>
                </c:pt>
                <c:pt idx="2">
                  <c:v>43.13397216796875</c:v>
                </c:pt>
                <c:pt idx="3">
                  <c:v>31.845487594604492</c:v>
                </c:pt>
                <c:pt idx="4">
                  <c:v>26.186994552612305</c:v>
                </c:pt>
                <c:pt idx="5">
                  <c:v>31.556324005126953</c:v>
                </c:pt>
              </c:numCache>
            </c:numRef>
          </c:val>
          <c:smooth val="0"/>
          <c:extLst xmlns:c16r2="http://schemas.microsoft.com/office/drawing/2015/06/chart">
            <c:ext xmlns:c16="http://schemas.microsoft.com/office/drawing/2014/chart" uri="{C3380CC4-5D6E-409C-BE32-E72D297353CC}">
              <c16:uniqueId val="{00000003-FF87-456C-B3EF-52E080498BAF}"/>
            </c:ext>
          </c:extLst>
        </c:ser>
        <c:ser>
          <c:idx val="1"/>
          <c:order val="1"/>
          <c:tx>
            <c:strRef>
              <c:f>'F10 Rates_age'!$J$11</c:f>
              <c:strCache>
                <c:ptCount val="1"/>
                <c:pt idx="0">
                  <c:v>20-24</c:v>
                </c:pt>
              </c:strCache>
            </c:strRef>
          </c:tx>
          <c:spPr>
            <a:ln w="28575" cap="rnd">
              <a:solidFill>
                <a:schemeClr val="accent2"/>
              </a:solidFill>
              <a:round/>
            </a:ln>
            <a:effectLst/>
          </c:spPr>
          <c:marker>
            <c:symbol val="none"/>
          </c:marker>
          <c:dLbls>
            <c:numFmt formatCode="#,##0.0" sourceLinked="0"/>
            <c:spPr>
              <a:solidFill>
                <a:schemeClr val="accent2"/>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Rates_age'!$K$11:$P$11</c:f>
              <c:numCache>
                <c:formatCode>General</c:formatCode>
                <c:ptCount val="6"/>
                <c:pt idx="0">
                  <c:v>36.327251434326172</c:v>
                </c:pt>
                <c:pt idx="1">
                  <c:v>32.209053039550781</c:v>
                </c:pt>
                <c:pt idx="2">
                  <c:v>33.69219970703125</c:v>
                </c:pt>
                <c:pt idx="3">
                  <c:v>30.464382171630859</c:v>
                </c:pt>
                <c:pt idx="4">
                  <c:v>31.955820083618164</c:v>
                </c:pt>
                <c:pt idx="5">
                  <c:v>30.070095062255859</c:v>
                </c:pt>
              </c:numCache>
            </c:numRef>
          </c:val>
          <c:smooth val="0"/>
          <c:extLst xmlns:c16r2="http://schemas.microsoft.com/office/drawing/2015/06/chart">
            <c:ext xmlns:c16="http://schemas.microsoft.com/office/drawing/2014/chart" uri="{C3380CC4-5D6E-409C-BE32-E72D297353CC}">
              <c16:uniqueId val="{00000004-FF87-456C-B3EF-52E080498BAF}"/>
            </c:ext>
          </c:extLst>
        </c:ser>
        <c:ser>
          <c:idx val="2"/>
          <c:order val="2"/>
          <c:tx>
            <c:strRef>
              <c:f>'F10 Rates_age'!$J$12</c:f>
              <c:strCache>
                <c:ptCount val="1"/>
                <c:pt idx="0">
                  <c:v>25-29</c:v>
                </c:pt>
              </c:strCache>
            </c:strRef>
          </c:tx>
          <c:spPr>
            <a:ln w="28575" cap="rnd">
              <a:solidFill>
                <a:schemeClr val="accent3"/>
              </a:solidFill>
              <a:round/>
            </a:ln>
            <a:effectLst/>
          </c:spPr>
          <c:marker>
            <c:symbol val="none"/>
          </c:marker>
          <c:dLbls>
            <c:numFmt formatCode="#,##0.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Rates_age'!$K$12:$P$12</c:f>
              <c:numCache>
                <c:formatCode>General</c:formatCode>
                <c:ptCount val="6"/>
                <c:pt idx="0">
                  <c:v>24.953815460205078</c:v>
                </c:pt>
                <c:pt idx="1">
                  <c:v>25.056730270385742</c:v>
                </c:pt>
                <c:pt idx="2">
                  <c:v>25.640693664550781</c:v>
                </c:pt>
                <c:pt idx="3">
                  <c:v>23.240716934204102</c:v>
                </c:pt>
                <c:pt idx="4">
                  <c:v>20.383026123046875</c:v>
                </c:pt>
                <c:pt idx="5">
                  <c:v>21.605161666870117</c:v>
                </c:pt>
              </c:numCache>
            </c:numRef>
          </c:val>
          <c:smooth val="0"/>
          <c:extLst xmlns:c16r2="http://schemas.microsoft.com/office/drawing/2015/06/chart">
            <c:ext xmlns:c16="http://schemas.microsoft.com/office/drawing/2014/chart" uri="{C3380CC4-5D6E-409C-BE32-E72D297353CC}">
              <c16:uniqueId val="{00000005-FF87-456C-B3EF-52E080498BAF}"/>
            </c:ext>
          </c:extLst>
        </c:ser>
        <c:ser>
          <c:idx val="3"/>
          <c:order val="3"/>
          <c:tx>
            <c:strRef>
              <c:f>'F10 Rates_age'!$J$13</c:f>
              <c:strCache>
                <c:ptCount val="1"/>
                <c:pt idx="0">
                  <c:v>30-49</c:v>
                </c:pt>
              </c:strCache>
            </c:strRef>
          </c:tx>
          <c:spPr>
            <a:ln w="28575" cap="rnd">
              <a:solidFill>
                <a:schemeClr val="accent4"/>
              </a:solidFill>
              <a:round/>
            </a:ln>
            <a:effectLst/>
          </c:spPr>
          <c:marker>
            <c:symbol val="none"/>
          </c:marker>
          <c:dLbls>
            <c:numFmt formatCode="#,##0.0" sourceLinked="0"/>
            <c:spPr>
              <a:solidFill>
                <a:schemeClr val="accent4"/>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Rates_age'!$K$13:$P$13</c:f>
              <c:numCache>
                <c:formatCode>General</c:formatCode>
                <c:ptCount val="6"/>
                <c:pt idx="0">
                  <c:v>15.222781181335449</c:v>
                </c:pt>
                <c:pt idx="1">
                  <c:v>15.941351890563965</c:v>
                </c:pt>
                <c:pt idx="2">
                  <c:v>14.946598052978516</c:v>
                </c:pt>
                <c:pt idx="3">
                  <c:v>12.785654067993164</c:v>
                </c:pt>
                <c:pt idx="4">
                  <c:v>12.436955451965332</c:v>
                </c:pt>
                <c:pt idx="5">
                  <c:v>12.317042350769043</c:v>
                </c:pt>
              </c:numCache>
            </c:numRef>
          </c:val>
          <c:smooth val="0"/>
          <c:extLst xmlns:c16r2="http://schemas.microsoft.com/office/drawing/2015/06/chart">
            <c:ext xmlns:c16="http://schemas.microsoft.com/office/drawing/2014/chart" uri="{C3380CC4-5D6E-409C-BE32-E72D297353CC}">
              <c16:uniqueId val="{00000006-FF87-456C-B3EF-52E080498BAF}"/>
            </c:ext>
          </c:extLst>
        </c:ser>
        <c:ser>
          <c:idx val="4"/>
          <c:order val="4"/>
          <c:tx>
            <c:strRef>
              <c:f>'F10 Rates_age'!$J$14</c:f>
              <c:strCache>
                <c:ptCount val="1"/>
                <c:pt idx="0">
                  <c:v>50-59</c:v>
                </c:pt>
              </c:strCache>
            </c:strRef>
          </c:tx>
          <c:spPr>
            <a:ln w="28575" cap="rnd">
              <a:solidFill>
                <a:schemeClr val="accent5"/>
              </a:solidFill>
              <a:round/>
            </a:ln>
            <a:effectLst/>
          </c:spPr>
          <c:marker>
            <c:symbol val="none"/>
          </c:marker>
          <c:dLbls>
            <c:numFmt formatCode="#,##0.0" sourceLinked="0"/>
            <c:spPr>
              <a:solidFill>
                <a:schemeClr val="accent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Rates_age'!$K$14:$P$14</c:f>
              <c:numCache>
                <c:formatCode>General</c:formatCode>
                <c:ptCount val="6"/>
                <c:pt idx="0">
                  <c:v>10.320615768432617</c:v>
                </c:pt>
                <c:pt idx="1">
                  <c:v>10.577876091003418</c:v>
                </c:pt>
                <c:pt idx="2">
                  <c:v>9.3320674896240234</c:v>
                </c:pt>
                <c:pt idx="3">
                  <c:v>8.2755727767944336</c:v>
                </c:pt>
                <c:pt idx="4">
                  <c:v>8.6542797088623047</c:v>
                </c:pt>
                <c:pt idx="5">
                  <c:v>8.9512290954589844</c:v>
                </c:pt>
              </c:numCache>
            </c:numRef>
          </c:val>
          <c:smooth val="0"/>
          <c:extLst xmlns:c16r2="http://schemas.microsoft.com/office/drawing/2015/06/chart">
            <c:ext xmlns:c16="http://schemas.microsoft.com/office/drawing/2014/chart" uri="{C3380CC4-5D6E-409C-BE32-E72D297353CC}">
              <c16:uniqueId val="{00000007-FF87-456C-B3EF-52E080498BAF}"/>
            </c:ext>
          </c:extLst>
        </c:ser>
        <c:ser>
          <c:idx val="5"/>
          <c:order val="5"/>
          <c:tx>
            <c:strRef>
              <c:f>'F10 Rates_age'!$J$15</c:f>
              <c:strCache>
                <c:ptCount val="1"/>
                <c:pt idx="0">
                  <c:v>60-74</c:v>
                </c:pt>
              </c:strCache>
            </c:strRef>
          </c:tx>
          <c:spPr>
            <a:ln w="28575" cap="rnd">
              <a:solidFill>
                <a:schemeClr val="accent6"/>
              </a:solidFill>
              <a:round/>
            </a:ln>
            <a:effectLst/>
          </c:spPr>
          <c:marker>
            <c:symbol val="none"/>
          </c:marker>
          <c:dLbls>
            <c:numFmt formatCode="#,##0.0" sourceLinked="0"/>
            <c:spPr>
              <a:solidFill>
                <a:schemeClr val="accent6"/>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Rates_age'!$K$9:$P$9</c:f>
              <c:numCache>
                <c:formatCode>General</c:formatCode>
                <c:ptCount val="6"/>
                <c:pt idx="0">
                  <c:v>2011</c:v>
                </c:pt>
                <c:pt idx="1">
                  <c:v>2012</c:v>
                </c:pt>
                <c:pt idx="2">
                  <c:v>2013</c:v>
                </c:pt>
                <c:pt idx="3">
                  <c:v>2014</c:v>
                </c:pt>
                <c:pt idx="4">
                  <c:v>2015</c:v>
                </c:pt>
                <c:pt idx="5">
                  <c:v>2016</c:v>
                </c:pt>
              </c:numCache>
            </c:numRef>
          </c:cat>
          <c:val>
            <c:numRef>
              <c:f>'F10 Rates_age'!$K$15:$P$15</c:f>
              <c:numCache>
                <c:formatCode>General</c:formatCode>
                <c:ptCount val="6"/>
                <c:pt idx="0">
                  <c:v>3.0244641304016113</c:v>
                </c:pt>
                <c:pt idx="1">
                  <c:v>3.2405960559844971</c:v>
                </c:pt>
                <c:pt idx="2">
                  <c:v>3.6150431632995605</c:v>
                </c:pt>
                <c:pt idx="3">
                  <c:v>2.9866304397583008</c:v>
                </c:pt>
                <c:pt idx="4">
                  <c:v>3.2193684577941895</c:v>
                </c:pt>
                <c:pt idx="5">
                  <c:v>3.7939901351928711</c:v>
                </c:pt>
              </c:numCache>
            </c:numRef>
          </c:val>
          <c:smooth val="0"/>
          <c:extLst xmlns:c16r2="http://schemas.microsoft.com/office/drawing/2015/06/chart">
            <c:ext xmlns:c16="http://schemas.microsoft.com/office/drawing/2014/chart" uri="{C3380CC4-5D6E-409C-BE32-E72D297353CC}">
              <c16:uniqueId val="{00000008-FF87-456C-B3EF-52E080498BAF}"/>
            </c:ext>
          </c:extLst>
        </c:ser>
        <c:dLbls>
          <c:showLegendKey val="0"/>
          <c:showVal val="0"/>
          <c:showCatName val="0"/>
          <c:showSerName val="0"/>
          <c:showPercent val="0"/>
          <c:showBubbleSize val="0"/>
        </c:dLbls>
        <c:smooth val="0"/>
        <c:axId val="198443048"/>
        <c:axId val="198443440"/>
      </c:lineChart>
      <c:catAx>
        <c:axId val="1984430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43440"/>
        <c:crosses val="autoZero"/>
        <c:auto val="1"/>
        <c:lblAlgn val="ctr"/>
        <c:lblOffset val="100"/>
        <c:noMultiLvlLbl val="0"/>
      </c:catAx>
      <c:valAx>
        <c:axId val="19844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t>Georgia: % share of unemployed on labour force of age group</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43048"/>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16447944006998"/>
          <c:y val="5.0925925925925923E-2"/>
          <c:w val="0.76672440944881892"/>
          <c:h val="0.73577136191309422"/>
        </c:manualLayout>
      </c:layout>
      <c:barChart>
        <c:barDir val="col"/>
        <c:grouping val="clustered"/>
        <c:varyColors val="0"/>
        <c:ser>
          <c:idx val="0"/>
          <c:order val="0"/>
          <c:tx>
            <c:strRef>
              <c:f>'F1_6 CVAR'!$B$7</c:f>
              <c:strCache>
                <c:ptCount val="1"/>
                <c:pt idx="0">
                  <c:v>2011</c:v>
                </c:pt>
              </c:strCache>
              <c:extLst xmlns:c15="http://schemas.microsoft.com/office/drawing/2012/chart" xmlns:c16r2="http://schemas.microsoft.com/office/drawing/2015/06/chart"/>
            </c:strRef>
          </c:tx>
          <c:spPr>
            <a:solidFill>
              <a:schemeClr val="bg1">
                <a:lumMod val="9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xmlns:c16r2="http://schemas.microsoft.com/office/drawing/2015/06/chart"/>
            </c:strRef>
          </c:cat>
          <c:val>
            <c:numRef>
              <c:f>'F1_6 CVAR'!$B$8:$B$11</c:f>
              <c:numCache>
                <c:formatCode>General</c:formatCode>
                <c:ptCount val="1"/>
                <c:pt idx="0">
                  <c:v>0.10701071470975876</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CEBD-42F7-BA49-1063A32B5382}"/>
            </c:ext>
          </c:extLst>
        </c:ser>
        <c:ser>
          <c:idx val="1"/>
          <c:order val="1"/>
          <c:tx>
            <c:strRef>
              <c:f>'F1_6 CVAR'!$C$7</c:f>
              <c:strCache>
                <c:ptCount val="1"/>
                <c:pt idx="0">
                  <c:v>2012</c:v>
                </c:pt>
              </c:strCache>
              <c:extLst xmlns:c15="http://schemas.microsoft.com/office/drawing/2012/chart" xmlns:c16r2="http://schemas.microsoft.com/office/drawing/2015/06/chart"/>
            </c:strRef>
          </c:tx>
          <c:spPr>
            <a:solidFill>
              <a:schemeClr val="bg1">
                <a:lumMod val="8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xmlns:c16r2="http://schemas.microsoft.com/office/drawing/2015/06/chart"/>
            </c:strRef>
          </c:cat>
          <c:val>
            <c:numRef>
              <c:f>'F1_6 CVAR'!$C$8:$C$11</c:f>
              <c:numCache>
                <c:formatCode>General</c:formatCode>
                <c:ptCount val="1"/>
                <c:pt idx="0">
                  <c:v>0.1026943251490593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CEBD-42F7-BA49-1063A32B5382}"/>
            </c:ext>
          </c:extLst>
        </c:ser>
        <c:ser>
          <c:idx val="2"/>
          <c:order val="2"/>
          <c:tx>
            <c:strRef>
              <c:f>'F1_6 CVAR'!$D$7</c:f>
              <c:strCache>
                <c:ptCount val="1"/>
                <c:pt idx="0">
                  <c:v>2013</c:v>
                </c:pt>
              </c:strCache>
              <c:extLst xmlns:c15="http://schemas.microsoft.com/office/drawing/2012/chart" xmlns:c16r2="http://schemas.microsoft.com/office/drawing/2015/06/chart"/>
            </c:strRef>
          </c:tx>
          <c:spPr>
            <a:solidFill>
              <a:schemeClr val="bg1">
                <a:lumMod val="7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xmlns:c16r2="http://schemas.microsoft.com/office/drawing/2015/06/chart"/>
            </c:strRef>
          </c:cat>
          <c:val>
            <c:numRef>
              <c:f>'F1_6 CVAR'!$D$8:$D$11</c:f>
              <c:numCache>
                <c:formatCode>General</c:formatCode>
                <c:ptCount val="1"/>
                <c:pt idx="0">
                  <c:v>0.10777045786380768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CEBD-42F7-BA49-1063A32B5382}"/>
            </c:ext>
          </c:extLst>
        </c:ser>
        <c:ser>
          <c:idx val="3"/>
          <c:order val="3"/>
          <c:tx>
            <c:strRef>
              <c:f>'F1_6 CVAR'!$E$7</c:f>
              <c:strCache>
                <c:ptCount val="1"/>
                <c:pt idx="0">
                  <c:v>2014</c:v>
                </c:pt>
              </c:strCache>
            </c:strRef>
          </c:tx>
          <c:spPr>
            <a:solidFill>
              <a:schemeClr val="bg1">
                <a:lumMod val="6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xmlns:c16r2="http://schemas.microsoft.com/office/drawing/2015/06/chart"/>
            </c:strRef>
          </c:cat>
          <c:val>
            <c:numRef>
              <c:f>'F1_6 CVAR'!$E$8:$E$11</c:f>
              <c:numCache>
                <c:formatCode>General</c:formatCode>
                <c:ptCount val="1"/>
                <c:pt idx="0">
                  <c:v>0.10742094367742538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CEBD-42F7-BA49-1063A32B5382}"/>
            </c:ext>
          </c:extLst>
        </c:ser>
        <c:ser>
          <c:idx val="4"/>
          <c:order val="4"/>
          <c:tx>
            <c:strRef>
              <c:f>'F1_6 CVAR'!$F$7</c:f>
              <c:strCache>
                <c:ptCount val="1"/>
                <c:pt idx="0">
                  <c:v>2015</c:v>
                </c:pt>
              </c:strCache>
            </c:strRef>
          </c:tx>
          <c:spPr>
            <a:solidFill>
              <a:schemeClr val="bg1">
                <a:lumMod val="50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xmlns:c16r2="http://schemas.microsoft.com/office/drawing/2015/06/chart"/>
            </c:strRef>
          </c:cat>
          <c:val>
            <c:numRef>
              <c:f>'F1_6 CVAR'!$F$8:$F$11</c:f>
              <c:numCache>
                <c:formatCode>General</c:formatCode>
                <c:ptCount val="1"/>
                <c:pt idx="0">
                  <c:v>0.10266351699829102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CEBD-42F7-BA49-1063A32B5382}"/>
            </c:ext>
          </c:extLst>
        </c:ser>
        <c:ser>
          <c:idx val="5"/>
          <c:order val="5"/>
          <c:tx>
            <c:strRef>
              <c:f>'F1_6 CVAR'!$G$7</c:f>
              <c:strCache>
                <c:ptCount val="1"/>
                <c:pt idx="0">
                  <c:v>2016</c:v>
                </c:pt>
              </c:strCache>
            </c:strRef>
          </c:tx>
          <c:spPr>
            <a:solidFill>
              <a:schemeClr val="tx1">
                <a:lumMod val="65000"/>
                <a:lumOff val="35000"/>
              </a:schemeClr>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'F1_6 CVAR'!$A$8:$A$11</c:f>
              <c:strCache>
                <c:ptCount val="1"/>
                <c:pt idx="0">
                  <c:v>Georgia</c:v>
                </c:pt>
              </c:strCache>
              <c:extLst xmlns:c16r2="http://schemas.microsoft.com/office/drawing/2015/06/chart"/>
            </c:strRef>
          </c:cat>
          <c:val>
            <c:numRef>
              <c:f>'F1_6 CVAR'!$G$8:$G$11</c:f>
              <c:numCache>
                <c:formatCode>General</c:formatCode>
                <c:ptCount val="1"/>
                <c:pt idx="0">
                  <c:v>0.10278835147619247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5-CEBD-42F7-BA49-1063A32B5382}"/>
            </c:ext>
          </c:extLst>
        </c:ser>
        <c:dLbls>
          <c:showLegendKey val="0"/>
          <c:showVal val="0"/>
          <c:showCatName val="0"/>
          <c:showSerName val="0"/>
          <c:showPercent val="0"/>
          <c:showBubbleSize val="0"/>
        </c:dLbls>
        <c:gapWidth val="99"/>
        <c:axId val="201493088"/>
        <c:axId val="204028232"/>
        <c:extLst xmlns:c16r2="http://schemas.microsoft.com/office/drawing/2015/06/chart"/>
      </c:barChart>
      <c:catAx>
        <c:axId val="2014930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028232"/>
        <c:crosses val="autoZero"/>
        <c:auto val="1"/>
        <c:lblAlgn val="ctr"/>
        <c:lblOffset val="100"/>
        <c:noMultiLvlLbl val="0"/>
      </c:catAx>
      <c:valAx>
        <c:axId val="20402823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t>Georgia: Coefficient of Variation (unemployed vs. working-age population, age 15-64)</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493088"/>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8209566929133858"/>
        </c:manualLayout>
      </c:layout>
      <c:barChart>
        <c:barDir val="col"/>
        <c:grouping val="clustered"/>
        <c:varyColors val="0"/>
        <c:ser>
          <c:idx val="0"/>
          <c:order val="0"/>
          <c:tx>
            <c:strRef>
              <c:f>'F1_7 CVAR'!$B$15</c:f>
              <c:strCache>
                <c:ptCount val="1"/>
                <c:pt idx="0">
                  <c:v>Georgia</c:v>
                </c:pt>
              </c:strCache>
              <c:extLst xmlns:c15="http://schemas.microsoft.com/office/drawing/2012/chart" xmlns:c16r2="http://schemas.microsoft.com/office/drawing/2015/06/chart"/>
            </c:strRef>
          </c:tx>
          <c:spPr>
            <a:solidFill>
              <a:schemeClr val="accent1"/>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'F1_7 CVAR'!$A$16:$A$21</c:f>
              <c:strCache>
                <c:ptCount val="6"/>
                <c:pt idx="0">
                  <c:v>15-19</c:v>
                </c:pt>
                <c:pt idx="1">
                  <c:v>20-24</c:v>
                </c:pt>
                <c:pt idx="2">
                  <c:v>25-29</c:v>
                </c:pt>
                <c:pt idx="3">
                  <c:v>30-49</c:v>
                </c:pt>
                <c:pt idx="4">
                  <c:v>50-64</c:v>
                </c:pt>
                <c:pt idx="5">
                  <c:v>15-64</c:v>
                </c:pt>
              </c:strCache>
              <c:extLst xmlns:c15="http://schemas.microsoft.com/office/drawing/2012/chart" xmlns:c16r2="http://schemas.microsoft.com/office/drawing/2015/06/chart"/>
            </c:strRef>
          </c:cat>
          <c:val>
            <c:numRef>
              <c:f>'F1_7 CVAR'!$B$16:$B$21</c:f>
              <c:numCache>
                <c:formatCode>General</c:formatCode>
                <c:ptCount val="6"/>
                <c:pt idx="0">
                  <c:v>0.22414124011993408</c:v>
                </c:pt>
                <c:pt idx="1">
                  <c:v>0.1247713640332222</c:v>
                </c:pt>
                <c:pt idx="2">
                  <c:v>4.3740108609199524E-2</c:v>
                </c:pt>
                <c:pt idx="3">
                  <c:v>3.28647680580616E-2</c:v>
                </c:pt>
                <c:pt idx="4">
                  <c:v>3.6881841719150543E-2</c:v>
                </c:pt>
                <c:pt idx="5">
                  <c:v>0.10742094367742538</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0-DF67-4D0F-9926-62F436C4EA11}"/>
            </c:ext>
          </c:extLst>
        </c:ser>
        <c:dLbls>
          <c:showLegendKey val="0"/>
          <c:showVal val="0"/>
          <c:showCatName val="0"/>
          <c:showSerName val="0"/>
          <c:showPercent val="0"/>
          <c:showBubbleSize val="0"/>
        </c:dLbls>
        <c:gapWidth val="99"/>
        <c:axId val="204029016"/>
        <c:axId val="204029408"/>
        <c:extLst xmlns:c16r2="http://schemas.microsoft.com/office/drawing/2015/06/chart">
          <c:ext xmlns:c15="http://schemas.microsoft.com/office/drawing/2012/chart" uri="{02D57815-91ED-43cb-92C2-25804820EDAC}">
            <c15:filteredBarSeries>
              <c15:ser>
                <c:idx val="1"/>
                <c:order val="1"/>
                <c:tx>
                  <c:strRef>
                    <c:extLst xmlns:c16r2="http://schemas.microsoft.com/office/drawing/2015/06/chart">
                      <c:ext uri="{02D57815-91ED-43cb-92C2-25804820EDAC}">
                        <c15:formulaRef>
                          <c15:sqref>'F1_7 CVAR'!$C$15</c15:sqref>
                        </c15:formulaRef>
                      </c:ext>
                    </c:extLst>
                    <c:strCache>
                      <c:ptCount val="1"/>
                      <c:pt idx="0">
                        <c:v>Egypt</c:v>
                      </c:pt>
                    </c:strCache>
                  </c:strRef>
                </c:tx>
                <c:spPr>
                  <a:solidFill>
                    <a:schemeClr val="accent2"/>
                  </a:solidFill>
                  <a:ln>
                    <a:solidFill>
                      <a:schemeClr val="tx1"/>
                    </a:solidFill>
                  </a:ln>
                  <a:effectLst/>
                </c:spPr>
                <c:invertIfNegative val="0"/>
                <c:cat>
                  <c:strRef>
                    <c:extLst xmlns:c16r2="http://schemas.microsoft.com/office/drawing/2015/06/chart">
                      <c:ext uri="{02D57815-91ED-43cb-92C2-25804820EDAC}">
                        <c15:formulaRef>
                          <c15:sqref>'F1_7 CVAR'!$A$16:$A$21</c15:sqref>
                        </c15:formulaRef>
                      </c:ext>
                    </c:extLst>
                    <c:strCache>
                      <c:ptCount val="6"/>
                      <c:pt idx="0">
                        <c:v>15-19</c:v>
                      </c:pt>
                      <c:pt idx="1">
                        <c:v>20-24</c:v>
                      </c:pt>
                      <c:pt idx="2">
                        <c:v>25-29</c:v>
                      </c:pt>
                      <c:pt idx="3">
                        <c:v>30-49</c:v>
                      </c:pt>
                      <c:pt idx="4">
                        <c:v>50-64</c:v>
                      </c:pt>
                      <c:pt idx="5">
                        <c:v>15-64</c:v>
                      </c:pt>
                    </c:strCache>
                  </c:strRef>
                </c:cat>
                <c:val>
                  <c:numRef>
                    <c:extLst xmlns:c16r2="http://schemas.microsoft.com/office/drawing/2015/06/chart">
                      <c:ext uri="{02D57815-91ED-43cb-92C2-25804820EDAC}">
                        <c15:formulaRef>
                          <c15:sqref>'F1_7 CVAR'!$C$16:$C$21</c15:sqref>
                        </c15:formulaRef>
                      </c:ext>
                    </c:extLst>
                    <c:numCache>
                      <c:formatCode>General</c:formatCode>
                      <c:ptCount val="6"/>
                      <c:pt idx="0">
                        <c:v>0.71202707290649414</c:v>
                      </c:pt>
                      <c:pt idx="1">
                        <c:v>0.10939718037843704</c:v>
                      </c:pt>
                      <c:pt idx="2">
                        <c:v>6.7460350692272186E-2</c:v>
                      </c:pt>
                      <c:pt idx="3">
                        <c:v>0.1260630339384079</c:v>
                      </c:pt>
                      <c:pt idx="4">
                        <c:v>0.19526131451129913</c:v>
                      </c:pt>
                      <c:pt idx="5">
                        <c:v>0.16186670958995819</c:v>
                      </c:pt>
                    </c:numCache>
                  </c:numRef>
                </c:val>
                <c:extLst xmlns:c16r2="http://schemas.microsoft.com/office/drawing/2015/06/chart">
                  <c:ext xmlns:c16="http://schemas.microsoft.com/office/drawing/2014/chart" uri="{C3380CC4-5D6E-409C-BE32-E72D297353CC}">
                    <c16:uniqueId val="{00000001-DF67-4D0F-9926-62F436C4EA11}"/>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'F1_7 CVAR'!$D$15</c15:sqref>
                        </c15:formulaRef>
                      </c:ext>
                    </c:extLst>
                    <c:strCache>
                      <c:ptCount val="1"/>
                      <c:pt idx="0">
                        <c:v>Morocco*</c:v>
                      </c:pt>
                    </c:strCache>
                  </c:strRef>
                </c:tx>
                <c:spPr>
                  <a:solidFill>
                    <a:schemeClr val="accent3"/>
                  </a:solidFill>
                  <a:ln>
                    <a:solidFill>
                      <a:schemeClr val="tx1"/>
                    </a:solid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'F1_7 CVAR'!$A$16:$A$21</c15:sqref>
                        </c15:formulaRef>
                      </c:ext>
                    </c:extLst>
                    <c:strCache>
                      <c:ptCount val="6"/>
                      <c:pt idx="0">
                        <c:v>15-19</c:v>
                      </c:pt>
                      <c:pt idx="1">
                        <c:v>20-24</c:v>
                      </c:pt>
                      <c:pt idx="2">
                        <c:v>25-29</c:v>
                      </c:pt>
                      <c:pt idx="3">
                        <c:v>30-49</c:v>
                      </c:pt>
                      <c:pt idx="4">
                        <c:v>50-64</c:v>
                      </c:pt>
                      <c:pt idx="5">
                        <c:v>15-64</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'F1_7 CVAR'!$D$16:$D$21</c15:sqref>
                        </c15:formulaRef>
                      </c:ext>
                    </c:extLst>
                    <c:numCache>
                      <c:formatCode>General</c:formatCode>
                      <c:ptCount val="6"/>
                      <c:pt idx="0">
                        <c:v>0</c:v>
                      </c:pt>
                      <c:pt idx="1">
                        <c:v>0</c:v>
                      </c:pt>
                      <c:pt idx="2">
                        <c:v>0</c:v>
                      </c:pt>
                      <c:pt idx="5">
                        <c:v>5.9178024530410767E-2</c:v>
                      </c:pt>
                    </c:numCache>
                  </c:numRef>
                </c:val>
                <c:extLst xmlns:c15="http://schemas.microsoft.com/office/drawing/2012/chart" xmlns:c16r2="http://schemas.microsoft.com/office/drawing/2015/06/chart">
                  <c:ext xmlns:c16="http://schemas.microsoft.com/office/drawing/2014/chart" uri="{C3380CC4-5D6E-409C-BE32-E72D297353CC}">
                    <c16:uniqueId val="{00000002-DF67-4D0F-9926-62F436C4EA11}"/>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'F1_7 CVAR'!$E$15</c15:sqref>
                        </c15:formulaRef>
                      </c:ext>
                    </c:extLst>
                    <c:strCache>
                      <c:ptCount val="1"/>
                      <c:pt idx="0">
                        <c:v>Serbia</c:v>
                      </c:pt>
                    </c:strCache>
                  </c:strRef>
                </c:tx>
                <c:spPr>
                  <a:solidFill>
                    <a:schemeClr val="accent4"/>
                  </a:solidFill>
                  <a:ln>
                    <a:solidFill>
                      <a:schemeClr val="tx1"/>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'F1_7 CVAR'!$A$16:$A$21</c15:sqref>
                        </c15:formulaRef>
                      </c:ext>
                    </c:extLst>
                    <c:strCache>
                      <c:ptCount val="6"/>
                      <c:pt idx="0">
                        <c:v>15-19</c:v>
                      </c:pt>
                      <c:pt idx="1">
                        <c:v>20-24</c:v>
                      </c:pt>
                      <c:pt idx="2">
                        <c:v>25-29</c:v>
                      </c:pt>
                      <c:pt idx="3">
                        <c:v>30-49</c:v>
                      </c:pt>
                      <c:pt idx="4">
                        <c:v>50-64</c:v>
                      </c:pt>
                      <c:pt idx="5">
                        <c:v>15-64</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'F1_7 CVAR'!$E$16:$E$21</c15:sqref>
                        </c15:formulaRef>
                      </c:ext>
                    </c:extLst>
                    <c:numCache>
                      <c:formatCode>General</c:formatCode>
                      <c:ptCount val="6"/>
                      <c:pt idx="0">
                        <c:v>7.915496826171875E-2</c:v>
                      </c:pt>
                      <c:pt idx="1">
                        <c:v>0.21543410420417786</c:v>
                      </c:pt>
                      <c:pt idx="2">
                        <c:v>5.6831978261470795E-2</c:v>
                      </c:pt>
                      <c:pt idx="3">
                        <c:v>0.10120756179094315</c:v>
                      </c:pt>
                      <c:pt idx="4">
                        <c:v>0.13244229555130005</c:v>
                      </c:pt>
                      <c:pt idx="5">
                        <c:v>0.14945986866950989</c:v>
                      </c:pt>
                    </c:numCache>
                  </c:numRef>
                </c:val>
                <c:extLst xmlns:c15="http://schemas.microsoft.com/office/drawing/2012/chart" xmlns:c16r2="http://schemas.microsoft.com/office/drawing/2015/06/chart">
                  <c:ext xmlns:c16="http://schemas.microsoft.com/office/drawing/2014/chart" uri="{C3380CC4-5D6E-409C-BE32-E72D297353CC}">
                    <c16:uniqueId val="{00000003-DF67-4D0F-9926-62F436C4EA11}"/>
                  </c:ext>
                </c:extLst>
              </c15:ser>
            </c15:filteredBarSeries>
          </c:ext>
        </c:extLst>
      </c:barChart>
      <c:catAx>
        <c:axId val="2040290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029408"/>
        <c:crosses val="autoZero"/>
        <c:auto val="1"/>
        <c:lblAlgn val="ctr"/>
        <c:lblOffset val="100"/>
        <c:noMultiLvlLbl val="0"/>
      </c:catAx>
      <c:valAx>
        <c:axId val="20402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sz="1000" b="0" i="0" baseline="0">
                    <a:effectLst/>
                  </a:rPr>
                  <a:t>Georgia: Coefficient of Variation (unemployed vs. working-age population), 2014</a:t>
                </a:r>
                <a:endParaRPr lang="de-DE" sz="1000">
                  <a:effectLst/>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02901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86262335958005232"/>
        </c:manualLayout>
      </c:layout>
      <c:barChart>
        <c:barDir val="col"/>
        <c:grouping val="clustered"/>
        <c:varyColors val="0"/>
        <c:ser>
          <c:idx val="0"/>
          <c:order val="0"/>
          <c:tx>
            <c:strRef>
              <c:f>F15_VET!$B$11</c:f>
              <c:strCache>
                <c:ptCount val="1"/>
                <c:pt idx="0">
                  <c:v>CVAR</c:v>
                </c:pt>
              </c:strCache>
            </c:strRef>
          </c:tx>
          <c:spPr>
            <a:solidFill>
              <a:schemeClr val="accent1"/>
            </a:solidFill>
            <a:ln>
              <a:solidFill>
                <a:schemeClr val="tx1"/>
              </a:solidFill>
            </a:ln>
            <a:effectLst/>
          </c:spPr>
          <c:invertIfNegative val="0"/>
          <c:dLbls>
            <c:numFmt formatCode="#,##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F15_VET!$A$12:$A$17</c:f>
              <c:numCache>
                <c:formatCode>General</c:formatCode>
                <c:ptCount val="6"/>
                <c:pt idx="0">
                  <c:v>2011</c:v>
                </c:pt>
                <c:pt idx="1">
                  <c:v>2012</c:v>
                </c:pt>
                <c:pt idx="2">
                  <c:v>2013</c:v>
                </c:pt>
                <c:pt idx="3">
                  <c:v>2014</c:v>
                </c:pt>
                <c:pt idx="4">
                  <c:v>2015</c:v>
                </c:pt>
                <c:pt idx="5">
                  <c:v>2016</c:v>
                </c:pt>
              </c:numCache>
            </c:numRef>
          </c:cat>
          <c:val>
            <c:numRef>
              <c:f>F15_VET!$B$12:$B$17</c:f>
              <c:numCache>
                <c:formatCode>General</c:formatCode>
                <c:ptCount val="6"/>
                <c:pt idx="0">
                  <c:v>5.7186633348464966E-2</c:v>
                </c:pt>
                <c:pt idx="1">
                  <c:v>5.1585298031568527E-2</c:v>
                </c:pt>
                <c:pt idx="2">
                  <c:v>5.0711575895547867E-2</c:v>
                </c:pt>
                <c:pt idx="3">
                  <c:v>4.7127194702625275E-2</c:v>
                </c:pt>
                <c:pt idx="4">
                  <c:v>5.063222348690033E-2</c:v>
                </c:pt>
                <c:pt idx="5">
                  <c:v>3.6094661802053452E-2</c:v>
                </c:pt>
              </c:numCache>
            </c:numRef>
          </c:val>
          <c:extLst xmlns:c16r2="http://schemas.microsoft.com/office/drawing/2015/06/chart">
            <c:ext xmlns:c16="http://schemas.microsoft.com/office/drawing/2014/chart" uri="{C3380CC4-5D6E-409C-BE32-E72D297353CC}">
              <c16:uniqueId val="{00000000-359F-4881-A092-40CF95615EDE}"/>
            </c:ext>
          </c:extLst>
        </c:ser>
        <c:dLbls>
          <c:showLegendKey val="0"/>
          <c:showVal val="0"/>
          <c:showCatName val="0"/>
          <c:showSerName val="0"/>
          <c:showPercent val="0"/>
          <c:showBubbleSize val="0"/>
        </c:dLbls>
        <c:gapWidth val="99"/>
        <c:axId val="204030584"/>
        <c:axId val="204030976"/>
        <c:extLst xmlns:c16r2="http://schemas.microsoft.com/office/drawing/2015/06/chart"/>
      </c:barChart>
      <c:catAx>
        <c:axId val="2040305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030976"/>
        <c:crosses val="autoZero"/>
        <c:auto val="1"/>
        <c:lblAlgn val="ctr"/>
        <c:lblOffset val="100"/>
        <c:noMultiLvlLbl val="0"/>
      </c:catAx>
      <c:valAx>
        <c:axId val="20403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sz="1000" b="0" i="0" baseline="0">
                    <a:effectLst/>
                  </a:rPr>
                  <a:t>Georgia: Coefficient of Variation (unemployed share on working-age population: VET vs. non-VET)</a:t>
                </a:r>
                <a:endParaRPr lang="de-DE" sz="1000">
                  <a:effectLst/>
                </a:endParaRP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030584"/>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lineChart>
        <c:grouping val="standard"/>
        <c:varyColors val="0"/>
        <c:ser>
          <c:idx val="0"/>
          <c:order val="0"/>
          <c:tx>
            <c:strRef>
              <c:f>F9_Rel_Wages!$K$47</c:f>
              <c:strCache>
                <c:ptCount val="1"/>
                <c:pt idx="0">
                  <c:v>None</c:v>
                </c:pt>
              </c:strCache>
            </c:strRef>
          </c:tx>
          <c:spPr>
            <a:ln w="19050" cap="rnd" cmpd="sng" algn="ctr">
              <a:solidFill>
                <a:schemeClr val="accent6">
                  <a:tint val="54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tint val="54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F9_Rel_Wages!$L$47:$Q$47</c:f>
              <c:numCache>
                <c:formatCode>0</c:formatCode>
                <c:ptCount val="6"/>
                <c:pt idx="0">
                  <c:v>17.674163001804377</c:v>
                </c:pt>
                <c:pt idx="1">
                  <c:v>54.374235655734701</c:v>
                </c:pt>
                <c:pt idx="2">
                  <c:v>73.846456398602811</c:v>
                </c:pt>
                <c:pt idx="3">
                  <c:v>50.788121693134613</c:v>
                </c:pt>
                <c:pt idx="4">
                  <c:v>41.832208019879914</c:v>
                </c:pt>
                <c:pt idx="5">
                  <c:v>90.37143405764138</c:v>
                </c:pt>
              </c:numCache>
            </c:numRef>
          </c:val>
          <c:smooth val="0"/>
          <c:extLst xmlns:c16r2="http://schemas.microsoft.com/office/drawing/2015/06/chart">
            <c:ext xmlns:c16="http://schemas.microsoft.com/office/drawing/2014/chart" uri="{C3380CC4-5D6E-409C-BE32-E72D297353CC}">
              <c16:uniqueId val="{00000000-0845-4AD9-BCE6-7F049173B74B}"/>
            </c:ext>
          </c:extLst>
        </c:ser>
        <c:ser>
          <c:idx val="1"/>
          <c:order val="1"/>
          <c:tx>
            <c:strRef>
              <c:f>F9_Rel_Wages!$K$48</c:f>
              <c:strCache>
                <c:ptCount val="1"/>
                <c:pt idx="0">
                  <c:v>Low</c:v>
                </c:pt>
              </c:strCache>
            </c:strRef>
          </c:tx>
          <c:spPr>
            <a:ln w="19050" cap="rnd" cmpd="sng" algn="ctr">
              <a:solidFill>
                <a:schemeClr val="accent6">
                  <a:tint val="77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tint val="77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F9_Rel_Wages!$L$48:$Q$48</c:f>
              <c:numCache>
                <c:formatCode>0</c:formatCode>
                <c:ptCount val="6"/>
                <c:pt idx="0">
                  <c:v>60.840220473164223</c:v>
                </c:pt>
                <c:pt idx="1">
                  <c:v>71.006337552994125</c:v>
                </c:pt>
                <c:pt idx="2">
                  <c:v>81.340443027738957</c:v>
                </c:pt>
                <c:pt idx="3">
                  <c:v>100</c:v>
                </c:pt>
                <c:pt idx="4">
                  <c:v>143.87413036372405</c:v>
                </c:pt>
                <c:pt idx="5">
                  <c:v>171.70208077534008</c:v>
                </c:pt>
              </c:numCache>
            </c:numRef>
          </c:val>
          <c:smooth val="0"/>
          <c:extLst xmlns:c16r2="http://schemas.microsoft.com/office/drawing/2015/06/chart">
            <c:ext xmlns:c16="http://schemas.microsoft.com/office/drawing/2014/chart" uri="{C3380CC4-5D6E-409C-BE32-E72D297353CC}">
              <c16:uniqueId val="{00000001-0845-4AD9-BCE6-7F049173B74B}"/>
            </c:ext>
          </c:extLst>
        </c:ser>
        <c:ser>
          <c:idx val="2"/>
          <c:order val="2"/>
          <c:tx>
            <c:strRef>
              <c:f>F9_Rel_Wages!$K$49</c:f>
              <c:strCache>
                <c:ptCount val="1"/>
                <c:pt idx="0">
                  <c:v>Medium</c:v>
                </c:pt>
              </c:strCache>
            </c:strRef>
          </c:tx>
          <c:spPr>
            <a:ln w="19050" cap="rnd" cmpd="sng" algn="ctr">
              <a:solidFill>
                <a:schemeClr val="accent6">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F9_Rel_Wages!$L$49:$Q$49</c:f>
              <c:numCache>
                <c:formatCode>0</c:formatCode>
                <c:ptCount val="6"/>
                <c:pt idx="0">
                  <c:v>172.79195813335588</c:v>
                </c:pt>
                <c:pt idx="1">
                  <c:v>193.4564753120772</c:v>
                </c:pt>
                <c:pt idx="2">
                  <c:v>216.59558438043103</c:v>
                </c:pt>
                <c:pt idx="3">
                  <c:v>254.27198758580323</c:v>
                </c:pt>
                <c:pt idx="4">
                  <c:v>280.40707699117939</c:v>
                </c:pt>
                <c:pt idx="5">
                  <c:v>287.43671363846681</c:v>
                </c:pt>
              </c:numCache>
            </c:numRef>
          </c:val>
          <c:smooth val="0"/>
          <c:extLst xmlns:c16r2="http://schemas.microsoft.com/office/drawing/2015/06/chart">
            <c:ext xmlns:c16="http://schemas.microsoft.com/office/drawing/2014/chart" uri="{C3380CC4-5D6E-409C-BE32-E72D297353CC}">
              <c16:uniqueId val="{00000002-0845-4AD9-BCE6-7F049173B74B}"/>
            </c:ext>
          </c:extLst>
        </c:ser>
        <c:ser>
          <c:idx val="3"/>
          <c:order val="3"/>
          <c:tx>
            <c:strRef>
              <c:f>F9_Rel_Wages!$K$50</c:f>
              <c:strCache>
                <c:ptCount val="1"/>
                <c:pt idx="0">
                  <c:v>High</c:v>
                </c:pt>
              </c:strCache>
            </c:strRef>
          </c:tx>
          <c:spPr>
            <a:ln w="19050" cap="rnd" cmpd="sng" algn="ctr">
              <a:solidFill>
                <a:schemeClr val="accent6">
                  <a:shade val="76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hade val="76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F9_Rel_Wages!$L$50:$Q$50</c:f>
              <c:numCache>
                <c:formatCode>0</c:formatCode>
                <c:ptCount val="6"/>
                <c:pt idx="0">
                  <c:v>465.10652082460985</c:v>
                </c:pt>
                <c:pt idx="1">
                  <c:v>502.48505757347601</c:v>
                </c:pt>
                <c:pt idx="2">
                  <c:v>616.6474730650333</c:v>
                </c:pt>
                <c:pt idx="3">
                  <c:v>638.46319592278064</c:v>
                </c:pt>
                <c:pt idx="4">
                  <c:v>722.91307570422282</c:v>
                </c:pt>
                <c:pt idx="5">
                  <c:v>703.10195637930337</c:v>
                </c:pt>
              </c:numCache>
            </c:numRef>
          </c:val>
          <c:smooth val="0"/>
          <c:extLst xmlns:c16r2="http://schemas.microsoft.com/office/drawing/2015/06/chart">
            <c:ext xmlns:c16="http://schemas.microsoft.com/office/drawing/2014/chart" uri="{C3380CC4-5D6E-409C-BE32-E72D297353CC}">
              <c16:uniqueId val="{00000003-0845-4AD9-BCE6-7F049173B74B}"/>
            </c:ext>
          </c:extLst>
        </c:ser>
        <c:ser>
          <c:idx val="4"/>
          <c:order val="4"/>
          <c:tx>
            <c:strRef>
              <c:f>F9_Rel_Wages!$K$51</c:f>
              <c:strCache>
                <c:ptCount val="1"/>
                <c:pt idx="0">
                  <c:v>Total</c:v>
                </c:pt>
              </c:strCache>
            </c:strRef>
          </c:tx>
          <c:spPr>
            <a:ln w="19050" cap="rnd" cmpd="sng" algn="ctr">
              <a:solidFill>
                <a:schemeClr val="accent6">
                  <a:shade val="53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shade val="53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F9_Rel_Wages!$L$46:$Q$46</c:f>
              <c:numCache>
                <c:formatCode>General</c:formatCode>
                <c:ptCount val="6"/>
                <c:pt idx="0">
                  <c:v>2011</c:v>
                </c:pt>
                <c:pt idx="1">
                  <c:v>2012</c:v>
                </c:pt>
                <c:pt idx="2">
                  <c:v>2013</c:v>
                </c:pt>
                <c:pt idx="3">
                  <c:v>2014</c:v>
                </c:pt>
                <c:pt idx="4">
                  <c:v>2015</c:v>
                </c:pt>
                <c:pt idx="5">
                  <c:v>2016</c:v>
                </c:pt>
              </c:numCache>
            </c:numRef>
          </c:cat>
          <c:val>
            <c:numRef>
              <c:f>F9_Rel_Wages!$L$51:$Q$51</c:f>
              <c:numCache>
                <c:formatCode>0</c:formatCode>
                <c:ptCount val="6"/>
                <c:pt idx="0">
                  <c:v>255.73505305398135</c:v>
                </c:pt>
                <c:pt idx="1">
                  <c:v>280.91150145430009</c:v>
                </c:pt>
                <c:pt idx="2">
                  <c:v>336.04683466809075</c:v>
                </c:pt>
                <c:pt idx="3">
                  <c:v>366.88622453142614</c:v>
                </c:pt>
                <c:pt idx="4">
                  <c:v>417.29763535153603</c:v>
                </c:pt>
                <c:pt idx="5">
                  <c:v>422.03992888025488</c:v>
                </c:pt>
              </c:numCache>
            </c:numRef>
          </c:val>
          <c:smooth val="0"/>
          <c:extLst xmlns:c16r2="http://schemas.microsoft.com/office/drawing/2015/06/chart">
            <c:ext xmlns:c16="http://schemas.microsoft.com/office/drawing/2014/chart" uri="{C3380CC4-5D6E-409C-BE32-E72D297353CC}">
              <c16:uniqueId val="{00000004-0845-4AD9-BCE6-7F049173B74B}"/>
            </c:ext>
          </c:extLst>
        </c:ser>
        <c:dLbls>
          <c:dLblPos val="ctr"/>
          <c:showLegendKey val="0"/>
          <c:showVal val="1"/>
          <c:showCatName val="0"/>
          <c:showSerName val="0"/>
          <c:showPercent val="0"/>
          <c:showBubbleSize val="0"/>
        </c:dLbls>
        <c:marker val="1"/>
        <c:smooth val="0"/>
        <c:axId val="204074976"/>
        <c:axId val="204075368"/>
        <c:extLst xmlns:c16r2="http://schemas.microsoft.com/office/drawing/2015/06/chart"/>
      </c:lineChart>
      <c:catAx>
        <c:axId val="2040749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US"/>
          </a:p>
        </c:txPr>
        <c:crossAx val="204075368"/>
        <c:crosses val="autoZero"/>
        <c:auto val="1"/>
        <c:lblAlgn val="ctr"/>
        <c:lblOffset val="100"/>
        <c:noMultiLvlLbl val="0"/>
      </c:catAx>
      <c:valAx>
        <c:axId val="204075368"/>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de-DE"/>
                  <a:t>Georgia: Income (Index, 2014 low = 100)</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0" sourceLinked="0"/>
        <c:majorTickMark val="none"/>
        <c:minorTickMark val="none"/>
        <c:tickLblPos val="nextTo"/>
        <c:crossAx val="2040749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52709840602236"/>
          <c:y val="3.8095238095238099E-2"/>
          <c:w val="0.81950836481747991"/>
          <c:h val="0.57939584824624191"/>
        </c:manualLayout>
      </c:layout>
      <c:lineChart>
        <c:grouping val="standard"/>
        <c:varyColors val="0"/>
        <c:ser>
          <c:idx val="0"/>
          <c:order val="0"/>
          <c:tx>
            <c:strRef>
              <c:f>'F19 Income_OCC'!$A$49</c:f>
              <c:strCache>
                <c:ptCount val="1"/>
                <c:pt idx="0">
                  <c:v>01 Legislators, senior officials and managers</c:v>
                </c:pt>
              </c:strCache>
            </c:strRef>
          </c:tx>
          <c:spPr>
            <a:ln w="28575" cap="rnd">
              <a:solidFill>
                <a:schemeClr val="accent6">
                  <a:lumMod val="50000"/>
                </a:schemeClr>
              </a:solidFill>
              <a:prstDash val="sysDash"/>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Income_OCC'!$B$49:$G$49</c:f>
              <c:numCache>
                <c:formatCode>0</c:formatCode>
                <c:ptCount val="6"/>
                <c:pt idx="0">
                  <c:v>169.67115463667059</c:v>
                </c:pt>
                <c:pt idx="1">
                  <c:v>202.52280799330063</c:v>
                </c:pt>
                <c:pt idx="2">
                  <c:v>248.18359762711674</c:v>
                </c:pt>
                <c:pt idx="3">
                  <c:v>265.33697427258386</c:v>
                </c:pt>
                <c:pt idx="4">
                  <c:v>316.34633586808769</c:v>
                </c:pt>
                <c:pt idx="5">
                  <c:v>295.44209993357543</c:v>
                </c:pt>
              </c:numCache>
            </c:numRef>
          </c:val>
          <c:smooth val="0"/>
          <c:extLst xmlns:c16r2="http://schemas.microsoft.com/office/drawing/2015/06/chart">
            <c:ext xmlns:c16="http://schemas.microsoft.com/office/drawing/2014/chart" uri="{C3380CC4-5D6E-409C-BE32-E72D297353CC}">
              <c16:uniqueId val="{00000000-A960-4887-8353-FD6149BD3072}"/>
            </c:ext>
          </c:extLst>
        </c:ser>
        <c:ser>
          <c:idx val="1"/>
          <c:order val="1"/>
          <c:tx>
            <c:strRef>
              <c:f>'F19 Income_OCC'!$A$50</c:f>
              <c:strCache>
                <c:ptCount val="1"/>
                <c:pt idx="0">
                  <c:v>02 Professionals</c:v>
                </c:pt>
              </c:strCache>
            </c:strRef>
          </c:tx>
          <c:spPr>
            <a:ln w="28575" cap="rnd">
              <a:solidFill>
                <a:schemeClr val="accent2"/>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Income_OCC'!$B$50:$G$50</c:f>
              <c:numCache>
                <c:formatCode>0</c:formatCode>
                <c:ptCount val="6"/>
                <c:pt idx="0">
                  <c:v>141.9148310138186</c:v>
                </c:pt>
                <c:pt idx="1">
                  <c:v>154.08354405298917</c:v>
                </c:pt>
                <c:pt idx="2">
                  <c:v>194.51669260034512</c:v>
                </c:pt>
                <c:pt idx="3">
                  <c:v>194.14214544178213</c:v>
                </c:pt>
                <c:pt idx="4">
                  <c:v>207.77092177898672</c:v>
                </c:pt>
                <c:pt idx="5">
                  <c:v>214.72099847470764</c:v>
                </c:pt>
              </c:numCache>
            </c:numRef>
          </c:val>
          <c:smooth val="0"/>
          <c:extLst xmlns:c16r2="http://schemas.microsoft.com/office/drawing/2015/06/chart">
            <c:ext xmlns:c16="http://schemas.microsoft.com/office/drawing/2014/chart" uri="{C3380CC4-5D6E-409C-BE32-E72D297353CC}">
              <c16:uniqueId val="{00000001-A960-4887-8353-FD6149BD3072}"/>
            </c:ext>
          </c:extLst>
        </c:ser>
        <c:ser>
          <c:idx val="2"/>
          <c:order val="2"/>
          <c:tx>
            <c:strRef>
              <c:f>'F19 Income_OCC'!$A$51</c:f>
              <c:strCache>
                <c:ptCount val="1"/>
                <c:pt idx="0">
                  <c:v>03 Technicians and associate professionals</c:v>
                </c:pt>
              </c:strCache>
            </c:strRef>
          </c:tx>
          <c:spPr>
            <a:ln w="28575" cap="rnd">
              <a:solidFill>
                <a:schemeClr val="accent3"/>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Income_OCC'!$B$51:$G$51</c:f>
              <c:numCache>
                <c:formatCode>0</c:formatCode>
                <c:ptCount val="6"/>
                <c:pt idx="0">
                  <c:v>120.11391466979902</c:v>
                </c:pt>
                <c:pt idx="1">
                  <c:v>125.00358052940813</c:v>
                </c:pt>
                <c:pt idx="2">
                  <c:v>142.38589803842987</c:v>
                </c:pt>
                <c:pt idx="3">
                  <c:v>159.89935950044273</c:v>
                </c:pt>
                <c:pt idx="4">
                  <c:v>170.5328682461631</c:v>
                </c:pt>
                <c:pt idx="5">
                  <c:v>176.30812632096854</c:v>
                </c:pt>
              </c:numCache>
            </c:numRef>
          </c:val>
          <c:smooth val="0"/>
          <c:extLst xmlns:c16r2="http://schemas.microsoft.com/office/drawing/2015/06/chart">
            <c:ext xmlns:c16="http://schemas.microsoft.com/office/drawing/2014/chart" uri="{C3380CC4-5D6E-409C-BE32-E72D297353CC}">
              <c16:uniqueId val="{00000002-A960-4887-8353-FD6149BD3072}"/>
            </c:ext>
          </c:extLst>
        </c:ser>
        <c:ser>
          <c:idx val="3"/>
          <c:order val="3"/>
          <c:tx>
            <c:strRef>
              <c:f>'F19 Income_OCC'!$A$52</c:f>
              <c:strCache>
                <c:ptCount val="1"/>
                <c:pt idx="0">
                  <c:v>04 Clerks</c:v>
                </c:pt>
              </c:strCache>
            </c:strRef>
          </c:tx>
          <c:spPr>
            <a:ln w="28575" cap="rnd">
              <a:solidFill>
                <a:schemeClr val="accent4"/>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Income_OCC'!$B$52:$G$52</c:f>
              <c:numCache>
                <c:formatCode>0</c:formatCode>
                <c:ptCount val="6"/>
                <c:pt idx="0">
                  <c:v>106.59029569945994</c:v>
                </c:pt>
                <c:pt idx="1">
                  <c:v>107.6303161211561</c:v>
                </c:pt>
                <c:pt idx="2">
                  <c:v>124.77138790044751</c:v>
                </c:pt>
                <c:pt idx="3">
                  <c:v>139.59664064479688</c:v>
                </c:pt>
                <c:pt idx="4">
                  <c:v>169.4037748111285</c:v>
                </c:pt>
                <c:pt idx="5">
                  <c:v>157.7993963121026</c:v>
                </c:pt>
              </c:numCache>
            </c:numRef>
          </c:val>
          <c:smooth val="0"/>
          <c:extLst xmlns:c16r2="http://schemas.microsoft.com/office/drawing/2015/06/chart">
            <c:ext xmlns:c16="http://schemas.microsoft.com/office/drawing/2014/chart" uri="{C3380CC4-5D6E-409C-BE32-E72D297353CC}">
              <c16:uniqueId val="{00000003-A960-4887-8353-FD6149BD3072}"/>
            </c:ext>
          </c:extLst>
        </c:ser>
        <c:ser>
          <c:idx val="4"/>
          <c:order val="4"/>
          <c:tx>
            <c:strRef>
              <c:f>'F19 Income_OCC'!$A$53</c:f>
              <c:strCache>
                <c:ptCount val="1"/>
                <c:pt idx="0">
                  <c:v>05 Service workers and shop and market sales workers</c:v>
                </c:pt>
              </c:strCache>
            </c:strRef>
          </c:tx>
          <c:spPr>
            <a:ln w="28575" cap="rnd">
              <a:solidFill>
                <a:schemeClr val="accent5"/>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Income_OCC'!$B$53:$G$53</c:f>
              <c:numCache>
                <c:formatCode>0</c:formatCode>
                <c:ptCount val="6"/>
                <c:pt idx="0">
                  <c:v>84.220954472153707</c:v>
                </c:pt>
                <c:pt idx="1">
                  <c:v>94.977936422661429</c:v>
                </c:pt>
                <c:pt idx="2">
                  <c:v>109.52132493124715</c:v>
                </c:pt>
                <c:pt idx="3">
                  <c:v>114.15042146684209</c:v>
                </c:pt>
                <c:pt idx="4">
                  <c:v>132.5665940453336</c:v>
                </c:pt>
                <c:pt idx="5">
                  <c:v>135.94835481020948</c:v>
                </c:pt>
              </c:numCache>
            </c:numRef>
          </c:val>
          <c:smooth val="0"/>
          <c:extLst xmlns:c16r2="http://schemas.microsoft.com/office/drawing/2015/06/chart">
            <c:ext xmlns:c16="http://schemas.microsoft.com/office/drawing/2014/chart" uri="{C3380CC4-5D6E-409C-BE32-E72D297353CC}">
              <c16:uniqueId val="{00000004-A960-4887-8353-FD6149BD3072}"/>
            </c:ext>
          </c:extLst>
        </c:ser>
        <c:ser>
          <c:idx val="5"/>
          <c:order val="5"/>
          <c:tx>
            <c:strRef>
              <c:f>'F19 Income_OCC'!$A$54</c:f>
              <c:strCache>
                <c:ptCount val="1"/>
                <c:pt idx="0">
                  <c:v>06 Skilled agricultural and fishery workers</c:v>
                </c:pt>
              </c:strCache>
            </c:strRef>
          </c:tx>
          <c:spPr>
            <a:ln w="28575" cap="rnd">
              <a:solidFill>
                <a:schemeClr val="accent6"/>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Income_OCC'!$B$54:$G$54</c:f>
              <c:numCache>
                <c:formatCode>0</c:formatCode>
                <c:ptCount val="6"/>
                <c:pt idx="0">
                  <c:v>20.649743390753724</c:v>
                </c:pt>
                <c:pt idx="1">
                  <c:v>22.811346378389146</c:v>
                </c:pt>
                <c:pt idx="2">
                  <c:v>25.442941611251761</c:v>
                </c:pt>
                <c:pt idx="3">
                  <c:v>31.360755384143047</c:v>
                </c:pt>
                <c:pt idx="4">
                  <c:v>33.361445364184007</c:v>
                </c:pt>
                <c:pt idx="5">
                  <c:v>34.551128176197096</c:v>
                </c:pt>
              </c:numCache>
            </c:numRef>
          </c:val>
          <c:smooth val="0"/>
          <c:extLst xmlns:c16r2="http://schemas.microsoft.com/office/drawing/2015/06/chart">
            <c:ext xmlns:c16="http://schemas.microsoft.com/office/drawing/2014/chart" uri="{C3380CC4-5D6E-409C-BE32-E72D297353CC}">
              <c16:uniqueId val="{00000005-A960-4887-8353-FD6149BD3072}"/>
            </c:ext>
          </c:extLst>
        </c:ser>
        <c:ser>
          <c:idx val="6"/>
          <c:order val="6"/>
          <c:tx>
            <c:strRef>
              <c:f>'F19 Income_OCC'!$A$55</c:f>
              <c:strCache>
                <c:ptCount val="1"/>
                <c:pt idx="0">
                  <c:v>07 Craft and related trades workers</c:v>
                </c:pt>
              </c:strCache>
            </c:strRef>
          </c:tx>
          <c:spPr>
            <a:ln w="28575" cap="rnd">
              <a:solidFill>
                <a:schemeClr val="accent2"/>
              </a:solidFill>
              <a:prstDash val="sysDot"/>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Income_OCC'!$B$55:$G$55</c:f>
              <c:numCache>
                <c:formatCode>0</c:formatCode>
                <c:ptCount val="6"/>
                <c:pt idx="0">
                  <c:v>86.473653263443339</c:v>
                </c:pt>
                <c:pt idx="1">
                  <c:v>90.8324871555633</c:v>
                </c:pt>
                <c:pt idx="2">
                  <c:v>107.92719574082432</c:v>
                </c:pt>
                <c:pt idx="3">
                  <c:v>116.33444596726963</c:v>
                </c:pt>
                <c:pt idx="4">
                  <c:v>128.70224104811712</c:v>
                </c:pt>
                <c:pt idx="5">
                  <c:v>130.66216394137189</c:v>
                </c:pt>
              </c:numCache>
            </c:numRef>
          </c:val>
          <c:smooth val="0"/>
          <c:extLst xmlns:c16r2="http://schemas.microsoft.com/office/drawing/2015/06/chart">
            <c:ext xmlns:c16="http://schemas.microsoft.com/office/drawing/2014/chart" uri="{C3380CC4-5D6E-409C-BE32-E72D297353CC}">
              <c16:uniqueId val="{00000006-A960-4887-8353-FD6149BD3072}"/>
            </c:ext>
          </c:extLst>
        </c:ser>
        <c:ser>
          <c:idx val="7"/>
          <c:order val="7"/>
          <c:tx>
            <c:strRef>
              <c:f>'F19 Income_OCC'!$A$56</c:f>
              <c:strCache>
                <c:ptCount val="1"/>
                <c:pt idx="0">
                  <c:v>08 Plant and machine operators and assemblers</c:v>
                </c:pt>
              </c:strCache>
            </c:strRef>
          </c:tx>
          <c:spPr>
            <a:ln w="28575" cap="rnd">
              <a:solidFill>
                <a:schemeClr val="accent2">
                  <a:lumMod val="60000"/>
                </a:schemeClr>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Income_OCC'!$B$56:$G$56</c:f>
              <c:numCache>
                <c:formatCode>0</c:formatCode>
                <c:ptCount val="6"/>
                <c:pt idx="0">
                  <c:v>91.95022061085615</c:v>
                </c:pt>
                <c:pt idx="1">
                  <c:v>98.885006922668623</c:v>
                </c:pt>
                <c:pt idx="2">
                  <c:v>110.46908665716788</c:v>
                </c:pt>
                <c:pt idx="3">
                  <c:v>124.27574606423796</c:v>
                </c:pt>
                <c:pt idx="4">
                  <c:v>144.13994802927382</c:v>
                </c:pt>
                <c:pt idx="5">
                  <c:v>146.46918906948804</c:v>
                </c:pt>
              </c:numCache>
            </c:numRef>
          </c:val>
          <c:smooth val="0"/>
          <c:extLst xmlns:c16r2="http://schemas.microsoft.com/office/drawing/2015/06/chart">
            <c:ext xmlns:c16="http://schemas.microsoft.com/office/drawing/2014/chart" uri="{C3380CC4-5D6E-409C-BE32-E72D297353CC}">
              <c16:uniqueId val="{00000007-A960-4887-8353-FD6149BD3072}"/>
            </c:ext>
          </c:extLst>
        </c:ser>
        <c:ser>
          <c:idx val="8"/>
          <c:order val="8"/>
          <c:tx>
            <c:strRef>
              <c:f>'F19 Income_OCC'!$A$57</c:f>
              <c:strCache>
                <c:ptCount val="1"/>
                <c:pt idx="0">
                  <c:v>09 Elementary occupations</c:v>
                </c:pt>
              </c:strCache>
            </c:strRef>
          </c:tx>
          <c:spPr>
            <a:ln w="28575" cap="rnd">
              <a:solidFill>
                <a:schemeClr val="accent3">
                  <a:lumMod val="60000"/>
                </a:schemeClr>
              </a:solidFill>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Income_OCC'!$B$57:$G$57</c:f>
              <c:numCache>
                <c:formatCode>0</c:formatCode>
                <c:ptCount val="6"/>
                <c:pt idx="0">
                  <c:v>76.040195902276437</c:v>
                </c:pt>
                <c:pt idx="1">
                  <c:v>83.968628296298604</c:v>
                </c:pt>
                <c:pt idx="2">
                  <c:v>90.254722907865514</c:v>
                </c:pt>
                <c:pt idx="3">
                  <c:v>100</c:v>
                </c:pt>
                <c:pt idx="4">
                  <c:v>103.44581803845874</c:v>
                </c:pt>
                <c:pt idx="5">
                  <c:v>118.37307573505413</c:v>
                </c:pt>
              </c:numCache>
            </c:numRef>
          </c:val>
          <c:smooth val="0"/>
          <c:extLst xmlns:c16r2="http://schemas.microsoft.com/office/drawing/2015/06/chart">
            <c:ext xmlns:c16="http://schemas.microsoft.com/office/drawing/2014/chart" uri="{C3380CC4-5D6E-409C-BE32-E72D297353CC}">
              <c16:uniqueId val="{00000008-A960-4887-8353-FD6149BD3072}"/>
            </c:ext>
          </c:extLst>
        </c:ser>
        <c:ser>
          <c:idx val="9"/>
          <c:order val="9"/>
          <c:tx>
            <c:strRef>
              <c:f>'F19 Income_OCC'!$A$58</c:f>
              <c:strCache>
                <c:ptCount val="1"/>
                <c:pt idx="0">
                  <c:v>No information on occupation</c:v>
                </c:pt>
              </c:strCache>
            </c:strRef>
          </c:tx>
          <c:spPr>
            <a:ln w="28575" cap="rnd">
              <a:solidFill>
                <a:schemeClr val="accent4">
                  <a:lumMod val="60000"/>
                </a:schemeClr>
              </a:solidFill>
              <a:prstDash val="dash"/>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Income_OCC'!$B$58:$G$58</c:f>
              <c:numCache>
                <c:formatCode>0</c:formatCode>
                <c:ptCount val="6"/>
                <c:pt idx="0">
                  <c:v>82.280824450664738</c:v>
                </c:pt>
                <c:pt idx="1">
                  <c:v>74.789638125748553</c:v>
                </c:pt>
                <c:pt idx="2">
                  <c:v>100.44459004498003</c:v>
                </c:pt>
                <c:pt idx="3">
                  <c:v>84.394497202352468</c:v>
                </c:pt>
                <c:pt idx="4">
                  <c:v>122.28792202794342</c:v>
                </c:pt>
                <c:pt idx="5">
                  <c:v>139.74647011537127</c:v>
                </c:pt>
              </c:numCache>
            </c:numRef>
          </c:val>
          <c:smooth val="0"/>
          <c:extLst xmlns:c16r2="http://schemas.microsoft.com/office/drawing/2015/06/chart">
            <c:ext xmlns:c16="http://schemas.microsoft.com/office/drawing/2014/chart" uri="{C3380CC4-5D6E-409C-BE32-E72D297353CC}">
              <c16:uniqueId val="{00000009-A960-4887-8353-FD6149BD3072}"/>
            </c:ext>
          </c:extLst>
        </c:ser>
        <c:ser>
          <c:idx val="10"/>
          <c:order val="10"/>
          <c:tx>
            <c:strRef>
              <c:f>'F19 Income_OCC'!$A$59</c:f>
              <c:strCache>
                <c:ptCount val="1"/>
                <c:pt idx="0">
                  <c:v>All occupations</c:v>
                </c:pt>
              </c:strCache>
            </c:strRef>
          </c:tx>
          <c:spPr>
            <a:ln w="28575" cap="rnd">
              <a:solidFill>
                <a:schemeClr val="accent5">
                  <a:lumMod val="60000"/>
                </a:schemeClr>
              </a:solidFill>
              <a:prstDash val="dash"/>
              <a:round/>
            </a:ln>
            <a:effectLst/>
          </c:spPr>
          <c:marker>
            <c:symbol val="none"/>
          </c:marker>
          <c:cat>
            <c:numRef>
              <c:f>'F19 Income_OCC'!$B$48:$G$48</c:f>
              <c:numCache>
                <c:formatCode>General</c:formatCode>
                <c:ptCount val="6"/>
                <c:pt idx="0">
                  <c:v>2011</c:v>
                </c:pt>
                <c:pt idx="1">
                  <c:v>2012</c:v>
                </c:pt>
                <c:pt idx="2">
                  <c:v>2013</c:v>
                </c:pt>
                <c:pt idx="3">
                  <c:v>2014</c:v>
                </c:pt>
                <c:pt idx="4">
                  <c:v>2015</c:v>
                </c:pt>
                <c:pt idx="5">
                  <c:v>2016</c:v>
                </c:pt>
              </c:numCache>
            </c:numRef>
          </c:cat>
          <c:val>
            <c:numRef>
              <c:f>'F19 Income_OCC'!$B$59:$G$59</c:f>
              <c:numCache>
                <c:formatCode>0</c:formatCode>
                <c:ptCount val="6"/>
                <c:pt idx="0">
                  <c:v>68.100913492859988</c:v>
                </c:pt>
                <c:pt idx="1">
                  <c:v>74.80526789898704</c:v>
                </c:pt>
                <c:pt idx="2">
                  <c:v>89.487525284880803</c:v>
                </c:pt>
                <c:pt idx="3">
                  <c:v>97.699885529673452</c:v>
                </c:pt>
                <c:pt idx="4">
                  <c:v>111.12418887638091</c:v>
                </c:pt>
                <c:pt idx="5">
                  <c:v>112.38703291705292</c:v>
                </c:pt>
              </c:numCache>
            </c:numRef>
          </c:val>
          <c:smooth val="0"/>
          <c:extLst xmlns:c16r2="http://schemas.microsoft.com/office/drawing/2015/06/chart">
            <c:ext xmlns:c16="http://schemas.microsoft.com/office/drawing/2014/chart" uri="{C3380CC4-5D6E-409C-BE32-E72D297353CC}">
              <c16:uniqueId val="{0000000A-A960-4887-8353-FD6149BD3072}"/>
            </c:ext>
          </c:extLst>
        </c:ser>
        <c:dLbls>
          <c:showLegendKey val="0"/>
          <c:showVal val="0"/>
          <c:showCatName val="0"/>
          <c:showSerName val="0"/>
          <c:showPercent val="0"/>
          <c:showBubbleSize val="0"/>
        </c:dLbls>
        <c:smooth val="0"/>
        <c:axId val="204076152"/>
        <c:axId val="204076544"/>
      </c:lineChart>
      <c:catAx>
        <c:axId val="20407615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076544"/>
        <c:crosses val="autoZero"/>
        <c:auto val="1"/>
        <c:lblAlgn val="ctr"/>
        <c:lblOffset val="100"/>
        <c:noMultiLvlLbl val="0"/>
      </c:catAx>
      <c:valAx>
        <c:axId val="20407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de-DE" sz="900"/>
                  <a:t>Georgia:</a:t>
                </a:r>
                <a:r>
                  <a:rPr lang="de-DE" sz="900" baseline="0"/>
                  <a:t> Index of a</a:t>
                </a:r>
                <a:r>
                  <a:rPr lang="de-DE" sz="900"/>
                  <a:t>verage income of </a:t>
                </a:r>
              </a:p>
              <a:p>
                <a:pPr>
                  <a:defRPr sz="900"/>
                </a:pPr>
                <a:r>
                  <a:rPr lang="de-DE" sz="900"/>
                  <a:t>persons employed </a:t>
                </a:r>
              </a:p>
              <a:p>
                <a:pPr>
                  <a:defRPr sz="900"/>
                </a:pPr>
                <a:r>
                  <a:rPr lang="de-DE" sz="900"/>
                  <a:t>(Elementary Occupations 2014 = 100)</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4076152"/>
        <c:crosses val="autoZero"/>
        <c:crossBetween val="between"/>
      </c:valAx>
      <c:spPr>
        <a:noFill/>
        <a:ln>
          <a:solidFill>
            <a:schemeClr val="tx1"/>
          </a:solidFill>
        </a:ln>
        <a:effectLst/>
      </c:spPr>
    </c:plotArea>
    <c:legend>
      <c:legendPos val="b"/>
      <c:layout>
        <c:manualLayout>
          <c:xMode val="edge"/>
          <c:yMode val="edge"/>
          <c:x val="2.561054107461519E-2"/>
          <c:y val="0.68700930565497498"/>
          <c:w val="0.96693494459731322"/>
          <c:h val="0.2922114735658042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67095654709827945"/>
        </c:manualLayout>
      </c:layout>
      <c:barChart>
        <c:barDir val="col"/>
        <c:grouping val="clustered"/>
        <c:varyColors val="0"/>
        <c:ser>
          <c:idx val="0"/>
          <c:order val="0"/>
          <c:tx>
            <c:strRef>
              <c:f>'F3_1 Prop_Unemp_emp'!$A$19</c:f>
              <c:strCache>
                <c:ptCount val="1"/>
                <c:pt idx="0">
                  <c:v>None</c:v>
                </c:pt>
              </c:strCache>
              <c:extLst xmlns:c15="http://schemas.microsoft.com/office/drawing/2012/chart" xmlns:c16r2="http://schemas.microsoft.com/office/drawing/2015/06/chart"/>
            </c:strRef>
          </c:tx>
          <c:spPr>
            <a:solidFill>
              <a:schemeClr val="tx1"/>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'F3_1 Prop_Unemp_emp'!$B$18:$G$18</c:f>
              <c:numCache>
                <c:formatCode>General</c:formatCode>
                <c:ptCount val="6"/>
                <c:pt idx="0">
                  <c:v>2011</c:v>
                </c:pt>
                <c:pt idx="1">
                  <c:v>2012</c:v>
                </c:pt>
                <c:pt idx="2">
                  <c:v>2013</c:v>
                </c:pt>
                <c:pt idx="3">
                  <c:v>2014</c:v>
                </c:pt>
                <c:pt idx="4">
                  <c:v>2015</c:v>
                </c:pt>
                <c:pt idx="5">
                  <c:v>2016</c:v>
                </c:pt>
              </c:numCache>
              <c:extLst xmlns:c15="http://schemas.microsoft.com/office/drawing/2012/chart" xmlns:c16r2="http://schemas.microsoft.com/office/drawing/2015/06/chart"/>
            </c:numRef>
          </c:cat>
          <c:val>
            <c:numRef>
              <c:f>'F3_1 Prop_Unemp_emp'!$B$19:$G$19</c:f>
              <c:numCache>
                <c:formatCode>General</c:formatCode>
                <c:ptCount val="6"/>
                <c:pt idx="0">
                  <c:v>0.12198567390441895</c:v>
                </c:pt>
                <c:pt idx="1">
                  <c:v>0.257086238861084</c:v>
                </c:pt>
                <c:pt idx="2">
                  <c:v>0</c:v>
                </c:pt>
                <c:pt idx="3">
                  <c:v>0</c:v>
                </c:pt>
                <c:pt idx="4">
                  <c:v>0</c:v>
                </c:pt>
                <c:pt idx="5">
                  <c:v>0</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0-ADAF-472C-8C75-43A8A8DE5357}"/>
            </c:ext>
          </c:extLst>
        </c:ser>
        <c:ser>
          <c:idx val="1"/>
          <c:order val="1"/>
          <c:tx>
            <c:strRef>
              <c:f>'F3_1 Prop_Unemp_emp'!$A$20</c:f>
              <c:strCache>
                <c:ptCount val="1"/>
                <c:pt idx="0">
                  <c:v>Low</c:v>
                </c:pt>
              </c:strCache>
            </c:strRef>
          </c:tx>
          <c:spPr>
            <a:solidFill>
              <a:schemeClr val="bg1">
                <a:lumMod val="6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'F3_1 Prop_Unemp_emp'!$B$18:$G$18</c:f>
              <c:numCache>
                <c:formatCode>General</c:formatCode>
                <c:ptCount val="6"/>
                <c:pt idx="0">
                  <c:v>2011</c:v>
                </c:pt>
                <c:pt idx="1">
                  <c:v>2012</c:v>
                </c:pt>
                <c:pt idx="2">
                  <c:v>2013</c:v>
                </c:pt>
                <c:pt idx="3">
                  <c:v>2014</c:v>
                </c:pt>
                <c:pt idx="4">
                  <c:v>2015</c:v>
                </c:pt>
                <c:pt idx="5">
                  <c:v>2016</c:v>
                </c:pt>
              </c:numCache>
            </c:numRef>
          </c:cat>
          <c:val>
            <c:numRef>
              <c:f>'F3_1 Prop_Unemp_emp'!$B$20:$G$20</c:f>
              <c:numCache>
                <c:formatCode>General</c:formatCode>
                <c:ptCount val="6"/>
                <c:pt idx="0">
                  <c:v>0.29427639007568357</c:v>
                </c:pt>
                <c:pt idx="1">
                  <c:v>0.43312171936035154</c:v>
                </c:pt>
                <c:pt idx="2">
                  <c:v>0.50117244720458987</c:v>
                </c:pt>
                <c:pt idx="3">
                  <c:v>0.31418798446655272</c:v>
                </c:pt>
                <c:pt idx="4">
                  <c:v>0.15407833099365234</c:v>
                </c:pt>
                <c:pt idx="5">
                  <c:v>0.22949644088745116</c:v>
                </c:pt>
              </c:numCache>
            </c:numRef>
          </c:val>
          <c:extLst xmlns:c16r2="http://schemas.microsoft.com/office/drawing/2015/06/chart">
            <c:ext xmlns:c16="http://schemas.microsoft.com/office/drawing/2014/chart" uri="{C3380CC4-5D6E-409C-BE32-E72D297353CC}">
              <c16:uniqueId val="{00000001-ADAF-472C-8C75-43A8A8DE5357}"/>
            </c:ext>
          </c:extLst>
        </c:ser>
        <c:ser>
          <c:idx val="2"/>
          <c:order val="2"/>
          <c:tx>
            <c:strRef>
              <c:f>'F3_1 Prop_Unemp_emp'!$A$21</c:f>
              <c:strCache>
                <c:ptCount val="1"/>
                <c:pt idx="0">
                  <c:v>Medium</c:v>
                </c:pt>
              </c:strCache>
            </c:strRef>
          </c:tx>
          <c:spPr>
            <a:pattFill prst="wdUpDiag">
              <a:fgClr>
                <a:schemeClr val="bg1">
                  <a:lumMod val="75000"/>
                </a:schemeClr>
              </a:fgClr>
              <a:bgClr>
                <a:schemeClr val="bg1">
                  <a:lumMod val="95000"/>
                </a:schemeClr>
              </a:bgClr>
            </a:patt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'F3_1 Prop_Unemp_emp'!$B$18:$G$18</c:f>
              <c:numCache>
                <c:formatCode>General</c:formatCode>
                <c:ptCount val="6"/>
                <c:pt idx="0">
                  <c:v>2011</c:v>
                </c:pt>
                <c:pt idx="1">
                  <c:v>2012</c:v>
                </c:pt>
                <c:pt idx="2">
                  <c:v>2013</c:v>
                </c:pt>
                <c:pt idx="3">
                  <c:v>2014</c:v>
                </c:pt>
                <c:pt idx="4">
                  <c:v>2015</c:v>
                </c:pt>
                <c:pt idx="5">
                  <c:v>2016</c:v>
                </c:pt>
              </c:numCache>
            </c:numRef>
          </c:cat>
          <c:val>
            <c:numRef>
              <c:f>'F3_1 Prop_Unemp_emp'!$B$21:$G$21</c:f>
              <c:numCache>
                <c:formatCode>General</c:formatCode>
                <c:ptCount val="6"/>
                <c:pt idx="0">
                  <c:v>0.67060867309570316</c:v>
                </c:pt>
                <c:pt idx="1">
                  <c:v>0.70820823669433597</c:v>
                </c:pt>
                <c:pt idx="2">
                  <c:v>0.98669700622558598</c:v>
                </c:pt>
                <c:pt idx="3">
                  <c:v>0.60895893096923825</c:v>
                </c:pt>
                <c:pt idx="4">
                  <c:v>0.53307769775390623</c:v>
                </c:pt>
                <c:pt idx="5">
                  <c:v>0.71476669311523433</c:v>
                </c:pt>
              </c:numCache>
            </c:numRef>
          </c:val>
          <c:extLst xmlns:c16r2="http://schemas.microsoft.com/office/drawing/2015/06/chart">
            <c:ext xmlns:c16="http://schemas.microsoft.com/office/drawing/2014/chart" uri="{C3380CC4-5D6E-409C-BE32-E72D297353CC}">
              <c16:uniqueId val="{00000002-ADAF-472C-8C75-43A8A8DE5357}"/>
            </c:ext>
          </c:extLst>
        </c:ser>
        <c:dLbls>
          <c:showLegendKey val="0"/>
          <c:showVal val="0"/>
          <c:showCatName val="0"/>
          <c:showSerName val="0"/>
          <c:showPercent val="0"/>
          <c:showBubbleSize val="0"/>
        </c:dLbls>
        <c:gapWidth val="99"/>
        <c:axId val="198440304"/>
        <c:axId val="96666048"/>
        <c:extLst xmlns:c16r2="http://schemas.microsoft.com/office/drawing/2015/06/chart">
          <c:ext xmlns:c15="http://schemas.microsoft.com/office/drawing/2012/chart" uri="{02D57815-91ED-43cb-92C2-25804820EDAC}">
            <c15:filteredBarSeries>
              <c15:ser>
                <c:idx val="3"/>
                <c:order val="3"/>
                <c:tx>
                  <c:strRef>
                    <c:extLst xmlns:c16r2="http://schemas.microsoft.com/office/drawing/2015/06/chart">
                      <c:ext uri="{02D57815-91ED-43cb-92C2-25804820EDAC}">
                        <c15:formulaRef>
                          <c15:sqref>'F3_1 Prop_Unemp_emp'!$A$22</c15:sqref>
                        </c15:formulaRef>
                      </c:ext>
                    </c:extLst>
                    <c:strCache>
                      <c:ptCount val="1"/>
                      <c:pt idx="0">
                        <c:v>High</c:v>
                      </c:pt>
                    </c:strCache>
                  </c:strRef>
                </c:tx>
                <c:spPr>
                  <a:solidFill>
                    <a:schemeClr val="bg1">
                      <a:lumMod val="95000"/>
                    </a:schemeClr>
                  </a:solidFill>
                  <a:ln>
                    <a:solidFill>
                      <a:schemeClr val="tx1"/>
                    </a:solidFill>
                  </a:ln>
                  <a:effectLst/>
                </c:spPr>
                <c:invertIfNegative val="0"/>
                <c:cat>
                  <c:numRef>
                    <c:extLst xmlns:c16r2="http://schemas.microsoft.com/office/drawing/2015/06/chart">
                      <c:ext uri="{02D57815-91ED-43cb-92C2-25804820EDAC}">
                        <c15:formulaRef>
                          <c15:sqref>'F3_1 Prop_Unemp_emp'!$B$18:$G$18</c15:sqref>
                        </c15:formulaRef>
                      </c:ext>
                    </c:extLst>
                    <c:numCache>
                      <c:formatCode>General</c:formatCode>
                      <c:ptCount val="6"/>
                      <c:pt idx="0">
                        <c:v>2011</c:v>
                      </c:pt>
                      <c:pt idx="1">
                        <c:v>2012</c:v>
                      </c:pt>
                      <c:pt idx="2">
                        <c:v>2013</c:v>
                      </c:pt>
                      <c:pt idx="3">
                        <c:v>2014</c:v>
                      </c:pt>
                      <c:pt idx="4">
                        <c:v>2015</c:v>
                      </c:pt>
                      <c:pt idx="5">
                        <c:v>2016</c:v>
                      </c:pt>
                    </c:numCache>
                  </c:numRef>
                </c:cat>
                <c:val>
                  <c:numRef>
                    <c:extLst xmlns:c16r2="http://schemas.microsoft.com/office/drawing/2015/06/chart">
                      <c:ext uri="{02D57815-91ED-43cb-92C2-25804820EDAC}">
                        <c15:formulaRef>
                          <c15:sqref>'F3_1 Prop_Unemp_emp'!$B$22:$G$22</c15:sqref>
                        </c15:formulaRef>
                      </c:ext>
                    </c:extLst>
                    <c:numCache>
                      <c:formatCode>General</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A-ADAF-472C-8C75-43A8A8DE5357}"/>
                  </c:ext>
                </c:extLst>
              </c15:ser>
            </c15:filteredBarSeries>
          </c:ext>
        </c:extLst>
      </c:barChart>
      <c:lineChart>
        <c:grouping val="standard"/>
        <c:varyColors val="0"/>
        <c:ser>
          <c:idx val="4"/>
          <c:order val="4"/>
          <c:tx>
            <c:strRef>
              <c:f>'F3_1 Prop_Unemp_emp'!$A$23</c:f>
              <c:strCache>
                <c:ptCount val="1"/>
                <c:pt idx="0">
                  <c:v>Average</c:v>
                </c:pt>
              </c:strCache>
            </c:strRef>
          </c:tx>
          <c:spPr>
            <a:ln w="28575" cap="rnd">
              <a:noFill/>
              <a:round/>
            </a:ln>
            <a:effectLst/>
          </c:spPr>
          <c:marker>
            <c:symbol val="circle"/>
            <c:size val="5"/>
            <c:spPr>
              <a:solidFill>
                <a:schemeClr val="tx1"/>
              </a:solidFill>
              <a:ln w="9525">
                <a:noFill/>
              </a:ln>
              <a:effectLst/>
            </c:spPr>
          </c:marker>
          <c:dLbls>
            <c:dLbl>
              <c:idx val="0"/>
              <c:layout>
                <c:manualLayout>
                  <c:x val="-5.9306982666770612E-2"/>
                  <c:y val="-7.96018860474299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AF-472C-8C75-43A8A8DE5357}"/>
                </c:ext>
                <c:ext xmlns:c15="http://schemas.microsoft.com/office/drawing/2012/chart" uri="{CE6537A1-D6FC-4f65-9D91-7224C49458BB}">
                  <c15:layout/>
                </c:ext>
              </c:extLst>
            </c:dLbl>
            <c:dLbl>
              <c:idx val="1"/>
              <c:layout>
                <c:manualLayout>
                  <c:x val="-6.1947246693173301E-2"/>
                  <c:y val="-7.96018860474299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AF-472C-8C75-43A8A8DE5357}"/>
                </c:ext>
                <c:ext xmlns:c15="http://schemas.microsoft.com/office/drawing/2012/chart" uri="{CE6537A1-D6FC-4f65-9D91-7224C49458BB}">
                  <c15:layout/>
                </c:ext>
              </c:extLst>
            </c:dLbl>
            <c:dLbl>
              <c:idx val="2"/>
              <c:layout>
                <c:manualLayout>
                  <c:x val="-5.9306982666770612E-2"/>
                  <c:y val="-8.2551041739251624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AF-472C-8C75-43A8A8DE5357}"/>
                </c:ext>
                <c:ext xmlns:c15="http://schemas.microsoft.com/office/drawing/2012/chart" uri="{CE6537A1-D6FC-4f65-9D91-7224C49458BB}">
                  <c15:layout>
                    <c:manualLayout>
                      <c:w val="5.7887892726280504E-2"/>
                      <c:h val="0.10020672194736718"/>
                    </c:manualLayout>
                  </c15:layout>
                </c:ext>
              </c:extLst>
            </c:dLbl>
            <c:dLbl>
              <c:idx val="3"/>
              <c:layout>
                <c:manualLayout>
                  <c:x val="-5.4026454613965429E-2"/>
                  <c:y val="-7.37021810326806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AF-472C-8C75-43A8A8DE5357}"/>
                </c:ext>
                <c:ext xmlns:c15="http://schemas.microsoft.com/office/drawing/2012/chart" uri="{CE6537A1-D6FC-4f65-9D91-7224C49458BB}">
                  <c15:layout/>
                </c:ext>
              </c:extLst>
            </c:dLbl>
            <c:dLbl>
              <c:idx val="4"/>
              <c:layout>
                <c:manualLayout>
                  <c:x val="-6.194724669317335E-2"/>
                  <c:y val="-9.14012960769284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DAF-472C-8C75-43A8A8DE5357}"/>
                </c:ext>
                <c:ext xmlns:c15="http://schemas.microsoft.com/office/drawing/2012/chart" uri="{CE6537A1-D6FC-4f65-9D91-7224C49458BB}">
                  <c15:layout/>
                </c:ext>
              </c:extLst>
            </c:dLbl>
            <c:dLbl>
              <c:idx val="5"/>
              <c:layout>
                <c:manualLayout>
                  <c:x val="-6.1947246693173447E-2"/>
                  <c:y val="-8.55015910621792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DAF-472C-8C75-43A8A8DE5357}"/>
                </c:ex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'F3_1 Prop_Unemp_emp'!$B$18:$G$18</c:f>
              <c:numCache>
                <c:formatCode>General</c:formatCode>
                <c:ptCount val="6"/>
                <c:pt idx="0">
                  <c:v>2011</c:v>
                </c:pt>
                <c:pt idx="1">
                  <c:v>2012</c:v>
                </c:pt>
                <c:pt idx="2">
                  <c:v>2013</c:v>
                </c:pt>
                <c:pt idx="3">
                  <c:v>2014</c:v>
                </c:pt>
                <c:pt idx="4">
                  <c:v>2015</c:v>
                </c:pt>
                <c:pt idx="5">
                  <c:v>2016</c:v>
                </c:pt>
              </c:numCache>
            </c:numRef>
          </c:cat>
          <c:val>
            <c:numRef>
              <c:f>'F3_1 Prop_Unemp_emp'!$B$23:$G$23</c:f>
              <c:numCache>
                <c:formatCode>General</c:formatCode>
                <c:ptCount val="6"/>
                <c:pt idx="0">
                  <c:v>0.50158121658954269</c:v>
                </c:pt>
                <c:pt idx="1">
                  <c:v>0.58493124967730237</c:v>
                </c:pt>
                <c:pt idx="2">
                  <c:v>0.75851921467475469</c:v>
                </c:pt>
                <c:pt idx="3">
                  <c:v>0.4672542388112324</c:v>
                </c:pt>
                <c:pt idx="4">
                  <c:v>0.35477478598600354</c:v>
                </c:pt>
                <c:pt idx="5">
                  <c:v>0.46105537357459259</c:v>
                </c:pt>
              </c:numCache>
            </c:numRef>
          </c:val>
          <c:smooth val="0"/>
          <c:extLst xmlns:c16r2="http://schemas.microsoft.com/office/drawing/2015/06/chart">
            <c:ext xmlns:c16="http://schemas.microsoft.com/office/drawing/2014/chart" uri="{C3380CC4-5D6E-409C-BE32-E72D297353CC}">
              <c16:uniqueId val="{00000009-ADAF-472C-8C75-43A8A8DE5357}"/>
            </c:ext>
          </c:extLst>
        </c:ser>
        <c:dLbls>
          <c:showLegendKey val="0"/>
          <c:showVal val="0"/>
          <c:showCatName val="0"/>
          <c:showSerName val="0"/>
          <c:showPercent val="0"/>
          <c:showBubbleSize val="0"/>
        </c:dLbls>
        <c:marker val="1"/>
        <c:smooth val="0"/>
        <c:axId val="198440304"/>
        <c:axId val="96666048"/>
      </c:lineChart>
      <c:catAx>
        <c:axId val="1984403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6666048"/>
        <c:crosses val="autoZero"/>
        <c:auto val="1"/>
        <c:lblAlgn val="ctr"/>
        <c:lblOffset val="100"/>
        <c:noMultiLvlLbl val="0"/>
      </c:catAx>
      <c:valAx>
        <c:axId val="9666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t>Georgia:</a:t>
                </a:r>
                <a:r>
                  <a:rPr lang="de-DE" baseline="0"/>
                  <a:t> </a:t>
                </a:r>
                <a:r>
                  <a:rPr lang="de-DE"/>
                  <a:t>Unemployment to employment-ratio (15-19, %)</a:t>
                </a:r>
                <a:endParaRPr lang="de-DE" baseline="0"/>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440304"/>
        <c:crosses val="autoZero"/>
        <c:crossBetween val="between"/>
      </c:valAx>
      <c:spPr>
        <a:noFill/>
        <a:ln>
          <a:solidFill>
            <a:schemeClr val="tx1"/>
          </a:solidFill>
        </a:ln>
        <a:effectLst/>
      </c:spPr>
    </c:plotArea>
    <c:legend>
      <c:legendPos val="b"/>
      <c:layout>
        <c:manualLayout>
          <c:xMode val="edge"/>
          <c:yMode val="edge"/>
          <c:x val="0.2275572880122658"/>
          <c:y val="0.85869834854713956"/>
          <c:w val="0.69095751149918139"/>
          <c:h val="9.95582189394467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67095654709827945"/>
        </c:manualLayout>
      </c:layout>
      <c:barChart>
        <c:barDir val="col"/>
        <c:grouping val="clustered"/>
        <c:varyColors val="0"/>
        <c:ser>
          <c:idx val="0"/>
          <c:order val="0"/>
          <c:tx>
            <c:strRef>
              <c:f>'F3_2 Prop_Unemp_emp'!$A$19</c:f>
              <c:strCache>
                <c:ptCount val="1"/>
                <c:pt idx="0">
                  <c:v>None</c:v>
                </c:pt>
              </c:strCache>
              <c:extLst xmlns:c15="http://schemas.microsoft.com/office/drawing/2012/chart" xmlns:c16r2="http://schemas.microsoft.com/office/drawing/2015/06/chart"/>
            </c:strRef>
          </c:tx>
          <c:spPr>
            <a:solidFill>
              <a:schemeClr val="tx1"/>
            </a:solidFill>
            <a:ln>
              <a:solidFill>
                <a:schemeClr val="tx1"/>
              </a:solidFill>
            </a:ln>
            <a:effectLst/>
          </c:spPr>
          <c:invertIfNegative val="0"/>
          <c:dLbls>
            <c:dLbl>
              <c:idx val="0"/>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dLbl>
            <c:dLbl>
              <c:idx val="1"/>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dLbl>
            <c:dLbl>
              <c:idx val="3"/>
              <c:delete val="1"/>
              <c:extLst xmlns:c16r2="http://schemas.microsoft.com/office/drawing/2015/06/chart">
                <c:ext xmlns:c16="http://schemas.microsoft.com/office/drawing/2014/chart" uri="{C3380CC4-5D6E-409C-BE32-E72D297353CC}">
                  <c16:uniqueId val="{00000002-8A50-4D90-8169-8AC6E28896D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8A50-4D90-8169-8AC6E28896D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4-8A50-4D90-8169-8AC6E28896DC}"/>
                </c:ext>
                <c:ext xmlns:c15="http://schemas.microsoft.com/office/drawing/2012/chart" uri="{CE6537A1-D6FC-4f65-9D91-7224C49458BB}"/>
              </c:extLst>
            </c:dLbl>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extLst xmlns:c15="http://schemas.microsoft.com/office/drawing/2012/chart" xmlns:c16r2="http://schemas.microsoft.com/office/drawing/2015/06/chart"/>
            </c:numRef>
          </c:cat>
          <c:val>
            <c:numRef>
              <c:f>'F3_2 Prop_Unemp_emp'!$B$19:$G$19</c:f>
              <c:numCache>
                <c:formatCode>General</c:formatCode>
                <c:ptCount val="6"/>
                <c:pt idx="0">
                  <c:v>5.5007381439208983E-2</c:v>
                </c:pt>
                <c:pt idx="1">
                  <c:v>9.7883052825927741E-2</c:v>
                </c:pt>
                <c:pt idx="2">
                  <c:v>2.8035531616210938</c:v>
                </c:pt>
                <c:pt idx="3">
                  <c:v>0</c:v>
                </c:pt>
                <c:pt idx="4">
                  <c:v>0</c:v>
                </c:pt>
                <c:pt idx="5">
                  <c:v>0</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5-8A50-4D90-8169-8AC6E28896DC}"/>
            </c:ext>
          </c:extLst>
        </c:ser>
        <c:ser>
          <c:idx val="1"/>
          <c:order val="1"/>
          <c:tx>
            <c:strRef>
              <c:f>'F3_2 Prop_Unemp_emp'!$A$20</c:f>
              <c:strCache>
                <c:ptCount val="1"/>
                <c:pt idx="0">
                  <c:v>Low</c:v>
                </c:pt>
              </c:strCache>
            </c:strRef>
          </c:tx>
          <c:spPr>
            <a:solidFill>
              <a:schemeClr val="bg1">
                <a:lumMod val="6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numRef>
          </c:cat>
          <c:val>
            <c:numRef>
              <c:f>'F3_2 Prop_Unemp_emp'!$B$20:$G$20</c:f>
              <c:numCache>
                <c:formatCode>General</c:formatCode>
                <c:ptCount val="6"/>
                <c:pt idx="0">
                  <c:v>0.33832176208496095</c:v>
                </c:pt>
                <c:pt idx="1">
                  <c:v>0.29572404861450197</c:v>
                </c:pt>
                <c:pt idx="2">
                  <c:v>0.40014347076416018</c:v>
                </c:pt>
                <c:pt idx="3">
                  <c:v>0.16944269180297852</c:v>
                </c:pt>
                <c:pt idx="4">
                  <c:v>0.34129653930664061</c:v>
                </c:pt>
                <c:pt idx="5">
                  <c:v>0.22909011840820312</c:v>
                </c:pt>
              </c:numCache>
            </c:numRef>
          </c:val>
          <c:extLst xmlns:c16r2="http://schemas.microsoft.com/office/drawing/2015/06/chart">
            <c:ext xmlns:c16="http://schemas.microsoft.com/office/drawing/2014/chart" uri="{C3380CC4-5D6E-409C-BE32-E72D297353CC}">
              <c16:uniqueId val="{00000006-8A50-4D90-8169-8AC6E28896DC}"/>
            </c:ext>
          </c:extLst>
        </c:ser>
        <c:ser>
          <c:idx val="2"/>
          <c:order val="2"/>
          <c:tx>
            <c:strRef>
              <c:f>'F3_2 Prop_Unemp_emp'!$A$21</c:f>
              <c:strCache>
                <c:ptCount val="1"/>
                <c:pt idx="0">
                  <c:v>Medium</c:v>
                </c:pt>
              </c:strCache>
            </c:strRef>
          </c:tx>
          <c:spPr>
            <a:pattFill prst="wdUpDiag">
              <a:fgClr>
                <a:schemeClr val="bg1">
                  <a:lumMod val="75000"/>
                </a:schemeClr>
              </a:fgClr>
              <a:bgClr>
                <a:schemeClr val="bg1">
                  <a:lumMod val="95000"/>
                </a:schemeClr>
              </a:bgClr>
            </a:patt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numRef>
          </c:cat>
          <c:val>
            <c:numRef>
              <c:f>'F3_2 Prop_Unemp_emp'!$B$21:$G$21</c:f>
              <c:numCache>
                <c:formatCode>General</c:formatCode>
                <c:ptCount val="6"/>
                <c:pt idx="0">
                  <c:v>0.48406074523925779</c:v>
                </c:pt>
                <c:pt idx="1">
                  <c:v>0.49008155822753907</c:v>
                </c:pt>
                <c:pt idx="2">
                  <c:v>0.52116619110107421</c:v>
                </c:pt>
                <c:pt idx="3">
                  <c:v>0.43618919372558596</c:v>
                </c:pt>
                <c:pt idx="4">
                  <c:v>0.49281108856201172</c:v>
                </c:pt>
                <c:pt idx="5">
                  <c:v>0.45454059600830077</c:v>
                </c:pt>
              </c:numCache>
            </c:numRef>
          </c:val>
          <c:extLst xmlns:c16r2="http://schemas.microsoft.com/office/drawing/2015/06/chart">
            <c:ext xmlns:c16="http://schemas.microsoft.com/office/drawing/2014/chart" uri="{C3380CC4-5D6E-409C-BE32-E72D297353CC}">
              <c16:uniqueId val="{00000007-8A50-4D90-8169-8AC6E28896DC}"/>
            </c:ext>
          </c:extLst>
        </c:ser>
        <c:ser>
          <c:idx val="3"/>
          <c:order val="3"/>
          <c:tx>
            <c:strRef>
              <c:f>'F3_2 Prop_Unemp_emp'!$A$22</c:f>
              <c:strCache>
                <c:ptCount val="1"/>
                <c:pt idx="0">
                  <c:v>High</c:v>
                </c:pt>
              </c:strCache>
            </c:strRef>
          </c:tx>
          <c:spPr>
            <a:solidFill>
              <a:schemeClr val="bg1">
                <a:lumMod val="9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numRef>
          </c:cat>
          <c:val>
            <c:numRef>
              <c:f>'F3_2 Prop_Unemp_emp'!$B$22:$G$22</c:f>
              <c:numCache>
                <c:formatCode>General</c:formatCode>
                <c:ptCount val="6"/>
                <c:pt idx="0">
                  <c:v>0.89616714477539061</c:v>
                </c:pt>
                <c:pt idx="1">
                  <c:v>0.49023921966552736</c:v>
                </c:pt>
                <c:pt idx="2">
                  <c:v>0.4936042785644531</c:v>
                </c:pt>
                <c:pt idx="3">
                  <c:v>0.53715915679931636</c:v>
                </c:pt>
                <c:pt idx="4">
                  <c:v>0.44509063720703124</c:v>
                </c:pt>
                <c:pt idx="5">
                  <c:v>0.40677104949951171</c:v>
                </c:pt>
              </c:numCache>
            </c:numRef>
          </c:val>
          <c:extLst xmlns:c16r2="http://schemas.microsoft.com/office/drawing/2015/06/chart">
            <c:ext xmlns:c16="http://schemas.microsoft.com/office/drawing/2014/chart" uri="{C3380CC4-5D6E-409C-BE32-E72D297353CC}">
              <c16:uniqueId val="{00000008-8A50-4D90-8169-8AC6E28896DC}"/>
            </c:ext>
          </c:extLst>
        </c:ser>
        <c:dLbls>
          <c:showLegendKey val="0"/>
          <c:showVal val="0"/>
          <c:showCatName val="0"/>
          <c:showSerName val="0"/>
          <c:showPercent val="0"/>
          <c:showBubbleSize val="0"/>
        </c:dLbls>
        <c:gapWidth val="99"/>
        <c:axId val="96665264"/>
        <c:axId val="201490344"/>
        <c:extLst xmlns:c16r2="http://schemas.microsoft.com/office/drawing/2015/06/chart"/>
      </c:barChart>
      <c:lineChart>
        <c:grouping val="standard"/>
        <c:varyColors val="0"/>
        <c:ser>
          <c:idx val="4"/>
          <c:order val="4"/>
          <c:tx>
            <c:strRef>
              <c:f>'F3_2 Prop_Unemp_emp'!$A$23</c:f>
              <c:strCache>
                <c:ptCount val="1"/>
                <c:pt idx="0">
                  <c:v>Average</c:v>
                </c:pt>
              </c:strCache>
            </c:strRef>
          </c:tx>
          <c:spPr>
            <a:ln w="28575" cap="rnd">
              <a:noFill/>
              <a:round/>
            </a:ln>
            <a:effectLst/>
          </c:spPr>
          <c:marker>
            <c:symbol val="circle"/>
            <c:size val="5"/>
            <c:spPr>
              <a:solidFill>
                <a:schemeClr val="tx1"/>
              </a:solidFill>
              <a:ln w="9525">
                <a:solidFill>
                  <a:schemeClr val="tx1"/>
                </a:solid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'F3_2 Prop_Unemp_emp'!$B$18:$G$18</c:f>
              <c:numCache>
                <c:formatCode>General</c:formatCode>
                <c:ptCount val="6"/>
                <c:pt idx="0">
                  <c:v>2011</c:v>
                </c:pt>
                <c:pt idx="1">
                  <c:v>2012</c:v>
                </c:pt>
                <c:pt idx="2">
                  <c:v>2013</c:v>
                </c:pt>
                <c:pt idx="3">
                  <c:v>2014</c:v>
                </c:pt>
                <c:pt idx="4">
                  <c:v>2015</c:v>
                </c:pt>
                <c:pt idx="5">
                  <c:v>2016</c:v>
                </c:pt>
              </c:numCache>
            </c:numRef>
          </c:cat>
          <c:val>
            <c:numRef>
              <c:f>'F3_2 Prop_Unemp_emp'!$B$23:$G$23</c:f>
              <c:numCache>
                <c:formatCode>General</c:formatCode>
                <c:ptCount val="6"/>
                <c:pt idx="0">
                  <c:v>0.57053055695144861</c:v>
                </c:pt>
                <c:pt idx="1">
                  <c:v>0.47512322396398798</c:v>
                </c:pt>
                <c:pt idx="2">
                  <c:v>0.50811818475750625</c:v>
                </c:pt>
                <c:pt idx="3">
                  <c:v>0.43811186563941379</c:v>
                </c:pt>
                <c:pt idx="4">
                  <c:v>0.46963340590576785</c:v>
                </c:pt>
                <c:pt idx="5">
                  <c:v>0.43000335266529305</c:v>
                </c:pt>
              </c:numCache>
            </c:numRef>
          </c:val>
          <c:smooth val="0"/>
          <c:extLst xmlns:c16r2="http://schemas.microsoft.com/office/drawing/2015/06/chart">
            <c:ext xmlns:c16="http://schemas.microsoft.com/office/drawing/2014/chart" uri="{C3380CC4-5D6E-409C-BE32-E72D297353CC}">
              <c16:uniqueId val="{00000009-8A50-4D90-8169-8AC6E28896DC}"/>
            </c:ext>
          </c:extLst>
        </c:ser>
        <c:dLbls>
          <c:showLegendKey val="0"/>
          <c:showVal val="0"/>
          <c:showCatName val="0"/>
          <c:showSerName val="0"/>
          <c:showPercent val="0"/>
          <c:showBubbleSize val="0"/>
        </c:dLbls>
        <c:marker val="1"/>
        <c:smooth val="0"/>
        <c:axId val="96665264"/>
        <c:axId val="201490344"/>
      </c:lineChart>
      <c:catAx>
        <c:axId val="96665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490344"/>
        <c:crosses val="autoZero"/>
        <c:auto val="1"/>
        <c:lblAlgn val="ctr"/>
        <c:lblOffset val="100"/>
        <c:noMultiLvlLbl val="0"/>
      </c:catAx>
      <c:valAx>
        <c:axId val="201490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t>Georgia:</a:t>
                </a:r>
                <a:r>
                  <a:rPr lang="de-DE" baseline="0"/>
                  <a:t> </a:t>
                </a:r>
                <a:r>
                  <a:rPr lang="de-DE"/>
                  <a:t>Unemployment to employment-ratio (20-24, %)</a:t>
                </a:r>
                <a:endParaRPr lang="de-DE" baseline="0"/>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6665264"/>
        <c:crosses val="autoZero"/>
        <c:crossBetween val="between"/>
      </c:valAx>
      <c:spPr>
        <a:noFill/>
        <a:ln>
          <a:solidFill>
            <a:schemeClr val="tx1"/>
          </a:solidFill>
        </a:ln>
        <a:effectLst/>
      </c:spPr>
    </c:plotArea>
    <c:legend>
      <c:legendPos val="b"/>
      <c:layout>
        <c:manualLayout>
          <c:xMode val="edge"/>
          <c:yMode val="edge"/>
          <c:x val="0.30412489063867015"/>
          <c:y val="0.89409667541557303"/>
          <c:w val="0.69095751149918139"/>
          <c:h val="9.95582189394467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67095654709827945"/>
        </c:manualLayout>
      </c:layout>
      <c:barChart>
        <c:barDir val="col"/>
        <c:grouping val="clustered"/>
        <c:varyColors val="0"/>
        <c:ser>
          <c:idx val="0"/>
          <c:order val="0"/>
          <c:tx>
            <c:strRef>
              <c:f>'F3_3 Prop_Unemp_emp'!$A$19</c:f>
              <c:strCache>
                <c:ptCount val="1"/>
                <c:pt idx="0">
                  <c:v>None</c:v>
                </c:pt>
              </c:strCache>
              <c:extLst xmlns:c15="http://schemas.microsoft.com/office/drawing/2012/chart" xmlns:c16r2="http://schemas.microsoft.com/office/drawing/2015/06/chart"/>
            </c:strRef>
          </c:tx>
          <c:spPr>
            <a:solidFill>
              <a:schemeClr val="tx1"/>
            </a:solidFill>
            <a:ln>
              <a:solidFill>
                <a:schemeClr val="tx1"/>
              </a:solidFill>
            </a:ln>
            <a:effectLst/>
          </c:spPr>
          <c:invertIfNegative val="0"/>
          <c:dLbls>
            <c:dLbl>
              <c:idx val="0"/>
              <c:delete val="1"/>
              <c:extLst xmlns:c16r2="http://schemas.microsoft.com/office/drawing/2015/06/chart">
                <c:ext xmlns:c16="http://schemas.microsoft.com/office/drawing/2014/chart" uri="{C3380CC4-5D6E-409C-BE32-E72D297353CC}">
                  <c16:uniqueId val="{00000000-FBD5-489B-9624-677AE91EA937}"/>
                </c:ext>
                <c:ext xmlns:c15="http://schemas.microsoft.com/office/drawing/2012/chart" uri="{CE6537A1-D6FC-4f65-9D91-7224C49458BB}"/>
              </c:extLst>
            </c:dLbl>
            <c:dLbl>
              <c:idx val="1"/>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dLbl>
            <c:dLbl>
              <c:idx val="3"/>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dLbl>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extLst xmlns:c15="http://schemas.microsoft.com/office/drawing/2012/chart" xmlns:c16r2="http://schemas.microsoft.com/office/drawing/2015/06/chart"/>
            </c:numRef>
          </c:cat>
          <c:val>
            <c:numRef>
              <c:f>'F3_3 Prop_Unemp_emp'!$B$19:$G$19</c:f>
              <c:numCache>
                <c:formatCode>General</c:formatCode>
                <c:ptCount val="6"/>
                <c:pt idx="0">
                  <c:v>0</c:v>
                </c:pt>
                <c:pt idx="1">
                  <c:v>0.12100647926330567</c:v>
                </c:pt>
                <c:pt idx="2">
                  <c:v>2.8759667968749998</c:v>
                </c:pt>
                <c:pt idx="3">
                  <c:v>0.12951422691345216</c:v>
                </c:pt>
                <c:pt idx="4">
                  <c:v>1.7188044738769532</c:v>
                </c:pt>
                <c:pt idx="5">
                  <c:v>1.0629521942138671</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3-FBD5-489B-9624-677AE91EA937}"/>
            </c:ext>
          </c:extLst>
        </c:ser>
        <c:ser>
          <c:idx val="1"/>
          <c:order val="1"/>
          <c:tx>
            <c:strRef>
              <c:f>'F3_3 Prop_Unemp_emp'!$A$20</c:f>
              <c:strCache>
                <c:ptCount val="1"/>
                <c:pt idx="0">
                  <c:v>Low</c:v>
                </c:pt>
              </c:strCache>
            </c:strRef>
          </c:tx>
          <c:spPr>
            <a:solidFill>
              <a:schemeClr val="bg1">
                <a:lumMod val="6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numRef>
          </c:cat>
          <c:val>
            <c:numRef>
              <c:f>'F3_3 Prop_Unemp_emp'!$B$20:$G$20</c:f>
              <c:numCache>
                <c:formatCode>General</c:formatCode>
                <c:ptCount val="6"/>
                <c:pt idx="0">
                  <c:v>0.1298578929901123</c:v>
                </c:pt>
                <c:pt idx="1">
                  <c:v>8.2661190032958978E-2</c:v>
                </c:pt>
                <c:pt idx="2">
                  <c:v>0.17265012741088867</c:v>
                </c:pt>
                <c:pt idx="3">
                  <c:v>0.1930141830444336</c:v>
                </c:pt>
                <c:pt idx="4">
                  <c:v>0.12844033241271974</c:v>
                </c:pt>
                <c:pt idx="5">
                  <c:v>0.39327861785888674</c:v>
                </c:pt>
              </c:numCache>
            </c:numRef>
          </c:val>
          <c:extLst xmlns:c16r2="http://schemas.microsoft.com/office/drawing/2015/06/chart">
            <c:ext xmlns:c16="http://schemas.microsoft.com/office/drawing/2014/chart" uri="{C3380CC4-5D6E-409C-BE32-E72D297353CC}">
              <c16:uniqueId val="{00000004-FBD5-489B-9624-677AE91EA937}"/>
            </c:ext>
          </c:extLst>
        </c:ser>
        <c:ser>
          <c:idx val="2"/>
          <c:order val="2"/>
          <c:tx>
            <c:strRef>
              <c:f>'F3_3 Prop_Unemp_emp'!$A$21</c:f>
              <c:strCache>
                <c:ptCount val="1"/>
                <c:pt idx="0">
                  <c:v>Medium</c:v>
                </c:pt>
              </c:strCache>
            </c:strRef>
          </c:tx>
          <c:spPr>
            <a:pattFill prst="wdUpDiag">
              <a:fgClr>
                <a:schemeClr val="bg1">
                  <a:lumMod val="75000"/>
                </a:schemeClr>
              </a:fgClr>
              <a:bgClr>
                <a:schemeClr val="bg1">
                  <a:lumMod val="95000"/>
                </a:schemeClr>
              </a:bgClr>
            </a:patt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numRef>
          </c:cat>
          <c:val>
            <c:numRef>
              <c:f>'F3_3 Prop_Unemp_emp'!$B$21:$G$21</c:f>
              <c:numCache>
                <c:formatCode>General</c:formatCode>
                <c:ptCount val="6"/>
                <c:pt idx="0">
                  <c:v>0.28830982208251954</c:v>
                </c:pt>
                <c:pt idx="1">
                  <c:v>0.34187068939208987</c:v>
                </c:pt>
                <c:pt idx="2">
                  <c:v>0.34616844177246092</c:v>
                </c:pt>
                <c:pt idx="3">
                  <c:v>0.30472133636474608</c:v>
                </c:pt>
                <c:pt idx="4">
                  <c:v>0.3170545768737793</c:v>
                </c:pt>
                <c:pt idx="5">
                  <c:v>0.27545938491821287</c:v>
                </c:pt>
              </c:numCache>
            </c:numRef>
          </c:val>
          <c:extLst xmlns:c16r2="http://schemas.microsoft.com/office/drawing/2015/06/chart">
            <c:ext xmlns:c16="http://schemas.microsoft.com/office/drawing/2014/chart" uri="{C3380CC4-5D6E-409C-BE32-E72D297353CC}">
              <c16:uniqueId val="{00000005-FBD5-489B-9624-677AE91EA937}"/>
            </c:ext>
          </c:extLst>
        </c:ser>
        <c:ser>
          <c:idx val="3"/>
          <c:order val="3"/>
          <c:tx>
            <c:strRef>
              <c:f>'F3_3 Prop_Unemp_emp'!$A$22</c:f>
              <c:strCache>
                <c:ptCount val="1"/>
                <c:pt idx="0">
                  <c:v>High</c:v>
                </c:pt>
              </c:strCache>
            </c:strRef>
          </c:tx>
          <c:spPr>
            <a:solidFill>
              <a:schemeClr val="bg1">
                <a:lumMod val="9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numRef>
          </c:cat>
          <c:val>
            <c:numRef>
              <c:f>'F3_3 Prop_Unemp_emp'!$B$22:$G$22</c:f>
              <c:numCache>
                <c:formatCode>General</c:formatCode>
                <c:ptCount val="6"/>
                <c:pt idx="0">
                  <c:v>0.41199989318847657</c:v>
                </c:pt>
                <c:pt idx="1">
                  <c:v>0.36539161682128907</c:v>
                </c:pt>
                <c:pt idx="2">
                  <c:v>0.36351066589355469</c:v>
                </c:pt>
                <c:pt idx="3">
                  <c:v>0.31540590286254883</c:v>
                </c:pt>
                <c:pt idx="4">
                  <c:v>0.19761114120483397</c:v>
                </c:pt>
                <c:pt idx="5">
                  <c:v>0.2630305290222168</c:v>
                </c:pt>
              </c:numCache>
            </c:numRef>
          </c:val>
          <c:extLst xmlns:c16r2="http://schemas.microsoft.com/office/drawing/2015/06/chart">
            <c:ext xmlns:c16="http://schemas.microsoft.com/office/drawing/2014/chart" uri="{C3380CC4-5D6E-409C-BE32-E72D297353CC}">
              <c16:uniqueId val="{00000006-FBD5-489B-9624-677AE91EA937}"/>
            </c:ext>
          </c:extLst>
        </c:ser>
        <c:dLbls>
          <c:showLegendKey val="0"/>
          <c:showVal val="0"/>
          <c:showCatName val="0"/>
          <c:showSerName val="0"/>
          <c:showPercent val="0"/>
          <c:showBubbleSize val="0"/>
        </c:dLbls>
        <c:gapWidth val="99"/>
        <c:axId val="201491128"/>
        <c:axId val="201491520"/>
        <c:extLst xmlns:c16r2="http://schemas.microsoft.com/office/drawing/2015/06/chart"/>
      </c:barChart>
      <c:lineChart>
        <c:grouping val="standard"/>
        <c:varyColors val="0"/>
        <c:ser>
          <c:idx val="4"/>
          <c:order val="4"/>
          <c:tx>
            <c:strRef>
              <c:f>'F3_3 Prop_Unemp_emp'!$A$23</c:f>
              <c:strCache>
                <c:ptCount val="1"/>
                <c:pt idx="0">
                  <c:v>Average</c:v>
                </c:pt>
              </c:strCache>
            </c:strRef>
          </c:tx>
          <c:spPr>
            <a:ln w="28575" cap="rnd">
              <a:noFill/>
              <a:round/>
            </a:ln>
            <a:effectLst/>
          </c:spPr>
          <c:marker>
            <c:symbol val="circle"/>
            <c:size val="5"/>
            <c:spPr>
              <a:solidFill>
                <a:schemeClr val="tx1"/>
              </a:solidFill>
              <a:ln w="9525">
                <a:noFill/>
              </a:ln>
              <a:effectLst/>
            </c:spPr>
          </c:marker>
          <c:dLbls>
            <c:dLbl>
              <c:idx val="0"/>
              <c:layout>
                <c:manualLayout>
                  <c:x val="-4.346539850835477E-2"/>
                  <c:y val="-0.1975959863424151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BD5-489B-9624-677AE91EA937}"/>
                </c:ext>
                <c:ext xmlns:c15="http://schemas.microsoft.com/office/drawing/2012/chart" uri="{CE6537A1-D6FC-4f65-9D91-7224C49458BB}">
                  <c15:layout/>
                </c:ext>
              </c:extLst>
            </c:dLbl>
            <c:dLbl>
              <c:idx val="1"/>
              <c:layout>
                <c:manualLayout>
                  <c:x val="-4.8745926561160099E-2"/>
                  <c:y val="-0.168097461268668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BD5-489B-9624-677AE91EA937}"/>
                </c:ext>
                <c:ext xmlns:c15="http://schemas.microsoft.com/office/drawing/2012/chart" uri="{CE6537A1-D6FC-4f65-9D91-7224C49458BB}">
                  <c15:layout/>
                </c:ext>
              </c:extLst>
            </c:dLbl>
            <c:dLbl>
              <c:idx val="2"/>
              <c:layout>
                <c:manualLayout>
                  <c:x val="-3.5544606429146849E-2"/>
                  <c:y val="-0.1739971662834181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BD5-489B-9624-677AE91EA937}"/>
                </c:ext>
                <c:ext xmlns:c15="http://schemas.microsoft.com/office/drawing/2012/chart" uri="{CE6537A1-D6FC-4f65-9D91-7224C49458BB}">
                  <c15:layout/>
                </c:ext>
              </c:extLst>
            </c:dLbl>
            <c:dLbl>
              <c:idx val="3"/>
              <c:layout>
                <c:manualLayout>
                  <c:x val="-4.346539850835477E-2"/>
                  <c:y val="-0.1857965763129166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BD5-489B-9624-677AE91EA937}"/>
                </c:ext>
                <c:ext xmlns:c15="http://schemas.microsoft.com/office/drawing/2012/chart" uri="{CE6537A1-D6FC-4f65-9D91-7224C49458BB}">
                  <c15:layout/>
                </c:ext>
              </c:extLst>
            </c:dLbl>
            <c:dLbl>
              <c:idx val="4"/>
              <c:layout>
                <c:manualLayout>
                  <c:x val="-2.7623814349939029E-2"/>
                  <c:y val="-0.1680974612686689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BD5-489B-9624-677AE91EA937}"/>
                </c:ext>
                <c:ext xmlns:c15="http://schemas.microsoft.com/office/drawing/2012/chart" uri="{CE6537A1-D6FC-4f65-9D91-7224C49458BB}">
                  <c15:layout/>
                </c:ext>
              </c:extLst>
            </c:dLbl>
            <c:dLbl>
              <c:idx val="5"/>
              <c:layout>
                <c:manualLayout>
                  <c:x val="-3.5544606429146849E-2"/>
                  <c:y val="-0.1798968712981673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BD5-489B-9624-677AE91EA937}"/>
                </c:ex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'F3_3 Prop_Unemp_emp'!$B$18:$G$18</c:f>
              <c:numCache>
                <c:formatCode>General</c:formatCode>
                <c:ptCount val="6"/>
                <c:pt idx="0">
                  <c:v>2011</c:v>
                </c:pt>
                <c:pt idx="1">
                  <c:v>2012</c:v>
                </c:pt>
                <c:pt idx="2">
                  <c:v>2013</c:v>
                </c:pt>
                <c:pt idx="3">
                  <c:v>2014</c:v>
                </c:pt>
                <c:pt idx="4">
                  <c:v>2015</c:v>
                </c:pt>
                <c:pt idx="5">
                  <c:v>2016</c:v>
                </c:pt>
              </c:numCache>
            </c:numRef>
          </c:cat>
          <c:val>
            <c:numRef>
              <c:f>'F3_3 Prop_Unemp_emp'!$B$23:$G$23</c:f>
              <c:numCache>
                <c:formatCode>General</c:formatCode>
                <c:ptCount val="6"/>
                <c:pt idx="0">
                  <c:v>0.33251277333343759</c:v>
                </c:pt>
                <c:pt idx="1">
                  <c:v>0.33434260470382782</c:v>
                </c:pt>
                <c:pt idx="2">
                  <c:v>0.34482157755487314</c:v>
                </c:pt>
                <c:pt idx="3">
                  <c:v>0.30277401787286046</c:v>
                </c:pt>
                <c:pt idx="4">
                  <c:v>0.25601357975297939</c:v>
                </c:pt>
                <c:pt idx="5">
                  <c:v>0.27559418758302306</c:v>
                </c:pt>
              </c:numCache>
            </c:numRef>
          </c:val>
          <c:smooth val="0"/>
          <c:extLst xmlns:c16r2="http://schemas.microsoft.com/office/drawing/2015/06/chart">
            <c:ext xmlns:c16="http://schemas.microsoft.com/office/drawing/2014/chart" uri="{C3380CC4-5D6E-409C-BE32-E72D297353CC}">
              <c16:uniqueId val="{0000000D-FBD5-489B-9624-677AE91EA937}"/>
            </c:ext>
          </c:extLst>
        </c:ser>
        <c:dLbls>
          <c:showLegendKey val="0"/>
          <c:showVal val="0"/>
          <c:showCatName val="0"/>
          <c:showSerName val="0"/>
          <c:showPercent val="0"/>
          <c:showBubbleSize val="0"/>
        </c:dLbls>
        <c:marker val="1"/>
        <c:smooth val="0"/>
        <c:axId val="201491128"/>
        <c:axId val="201491520"/>
      </c:lineChart>
      <c:catAx>
        <c:axId val="2014911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491520"/>
        <c:crosses val="autoZero"/>
        <c:auto val="1"/>
        <c:lblAlgn val="ctr"/>
        <c:lblOffset val="100"/>
        <c:noMultiLvlLbl val="0"/>
      </c:catAx>
      <c:valAx>
        <c:axId val="20149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t>Georgia:</a:t>
                </a:r>
                <a:r>
                  <a:rPr lang="de-DE" baseline="0"/>
                  <a:t> </a:t>
                </a:r>
                <a:r>
                  <a:rPr lang="de-DE"/>
                  <a:t>Unemployment to employment-ratio (25-29, %)</a:t>
                </a:r>
                <a:endParaRPr lang="de-DE" baseline="0"/>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491128"/>
        <c:crosses val="autoZero"/>
        <c:crossBetween val="between"/>
      </c:valAx>
      <c:spPr>
        <a:noFill/>
        <a:ln>
          <a:solidFill>
            <a:schemeClr val="tx1"/>
          </a:solidFill>
        </a:ln>
        <a:effectLst/>
      </c:spPr>
    </c:plotArea>
    <c:legend>
      <c:legendPos val="b"/>
      <c:layout>
        <c:manualLayout>
          <c:xMode val="edge"/>
          <c:yMode val="edge"/>
          <c:x val="0.30412489063867015"/>
          <c:y val="0.89409667541557303"/>
          <c:w val="0.69095751149918139"/>
          <c:h val="9.95582189394467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16447944007002"/>
          <c:y val="5.0925925925925923E-2"/>
          <c:w val="0.79727996500437448"/>
          <c:h val="0.67095654709827945"/>
        </c:manualLayout>
      </c:layout>
      <c:barChart>
        <c:barDir val="col"/>
        <c:grouping val="clustered"/>
        <c:varyColors val="0"/>
        <c:ser>
          <c:idx val="0"/>
          <c:order val="0"/>
          <c:tx>
            <c:strRef>
              <c:f>'F3_6 Prop_Unemp_emp'!$A$19</c:f>
              <c:strCache>
                <c:ptCount val="1"/>
                <c:pt idx="0">
                  <c:v>None</c:v>
                </c:pt>
              </c:strCache>
              <c:extLst xmlns:c15="http://schemas.microsoft.com/office/drawing/2012/chart" xmlns:c16r2="http://schemas.microsoft.com/office/drawing/2015/06/chart"/>
            </c:strRef>
          </c:tx>
          <c:spPr>
            <a:solidFill>
              <a:schemeClr val="tx1"/>
            </a:solidFill>
            <a:ln>
              <a:solidFill>
                <a:schemeClr val="tx1"/>
              </a:solidFill>
            </a:ln>
            <a:effectLst/>
          </c:spPr>
          <c:invertIfNegative val="0"/>
          <c:dLbls>
            <c:dLbl>
              <c:idx val="0"/>
              <c:layout>
                <c:manualLayout>
                  <c:x val="-2.0785852094726518E-17"/>
                  <c:y val="-9.1160303075323128E-3"/>
                </c:manualLayout>
              </c:layout>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D7-48F8-B167-3A8E6E2ACD68}"/>
                </c:ext>
                <c:ext xmlns:c15="http://schemas.microsoft.com/office/drawing/2012/chart" uri="{CE6537A1-D6FC-4f65-9D91-7224C49458BB}">
                  <c15:layout/>
                </c:ext>
              </c:extLst>
            </c:dLbl>
            <c:dLbl>
              <c:idx val="3"/>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dLbl>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extLst xmlns:c15="http://schemas.microsoft.com/office/drawing/2012/chart" xmlns:c16r2="http://schemas.microsoft.com/office/drawing/2015/06/chart"/>
            </c:numRef>
          </c:cat>
          <c:val>
            <c:numRef>
              <c:f>'F3_6 Prop_Unemp_emp'!$B$19:$G$19</c:f>
              <c:numCache>
                <c:formatCode>General</c:formatCode>
                <c:ptCount val="6"/>
                <c:pt idx="0">
                  <c:v>1.3599995374679565E-2</c:v>
                </c:pt>
                <c:pt idx="1">
                  <c:v>3.320204973220825E-2</c:v>
                </c:pt>
                <c:pt idx="2">
                  <c:v>0.16732210159301758</c:v>
                </c:pt>
                <c:pt idx="3">
                  <c:v>7.2564429044723513E-3</c:v>
                </c:pt>
                <c:pt idx="4">
                  <c:v>0.13540282249450683</c:v>
                </c:pt>
                <c:pt idx="5">
                  <c:v>7.6023678779602047E-2</c:v>
                </c:pt>
              </c:numCache>
              <c:extLst xmlns:c15="http://schemas.microsoft.com/office/drawing/2012/chart" xmlns:c16r2="http://schemas.microsoft.com/office/drawing/2015/06/chart"/>
            </c:numRef>
          </c:val>
          <c:extLst xmlns:c16r2="http://schemas.microsoft.com/office/drawing/2015/06/chart">
            <c:ext xmlns:c16="http://schemas.microsoft.com/office/drawing/2014/chart" uri="{C3380CC4-5D6E-409C-BE32-E72D297353CC}">
              <c16:uniqueId val="{00000002-94D7-48F8-B167-3A8E6E2ACD68}"/>
            </c:ext>
          </c:extLst>
        </c:ser>
        <c:ser>
          <c:idx val="1"/>
          <c:order val="1"/>
          <c:tx>
            <c:strRef>
              <c:f>'F3_6 Prop_Unemp_emp'!$A$20</c:f>
              <c:strCache>
                <c:ptCount val="1"/>
                <c:pt idx="0">
                  <c:v>Low</c:v>
                </c:pt>
              </c:strCache>
            </c:strRef>
          </c:tx>
          <c:spPr>
            <a:solidFill>
              <a:schemeClr val="bg1">
                <a:lumMod val="6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numRef>
          </c:cat>
          <c:val>
            <c:numRef>
              <c:f>'F3_6 Prop_Unemp_emp'!$B$20:$G$20</c:f>
              <c:numCache>
                <c:formatCode>General</c:formatCode>
                <c:ptCount val="6"/>
                <c:pt idx="0">
                  <c:v>0.15360933303833008</c:v>
                </c:pt>
                <c:pt idx="1">
                  <c:v>0.13540082931518554</c:v>
                </c:pt>
                <c:pt idx="2">
                  <c:v>0.19182357788085938</c:v>
                </c:pt>
                <c:pt idx="3">
                  <c:v>0.14208690643310548</c:v>
                </c:pt>
                <c:pt idx="4">
                  <c:v>0.11590495109558105</c:v>
                </c:pt>
                <c:pt idx="5">
                  <c:v>0.15205920219421387</c:v>
                </c:pt>
              </c:numCache>
            </c:numRef>
          </c:val>
          <c:extLst xmlns:c16r2="http://schemas.microsoft.com/office/drawing/2015/06/chart">
            <c:ext xmlns:c16="http://schemas.microsoft.com/office/drawing/2014/chart" uri="{C3380CC4-5D6E-409C-BE32-E72D297353CC}">
              <c16:uniqueId val="{00000003-94D7-48F8-B167-3A8E6E2ACD68}"/>
            </c:ext>
          </c:extLst>
        </c:ser>
        <c:ser>
          <c:idx val="2"/>
          <c:order val="2"/>
          <c:tx>
            <c:strRef>
              <c:f>'F3_6 Prop_Unemp_emp'!$A$21</c:f>
              <c:strCache>
                <c:ptCount val="1"/>
                <c:pt idx="0">
                  <c:v>Medium</c:v>
                </c:pt>
              </c:strCache>
            </c:strRef>
          </c:tx>
          <c:spPr>
            <a:pattFill prst="wdUpDiag">
              <a:fgClr>
                <a:schemeClr val="bg1">
                  <a:lumMod val="75000"/>
                </a:schemeClr>
              </a:fgClr>
              <a:bgClr>
                <a:schemeClr val="bg1">
                  <a:lumMod val="95000"/>
                </a:schemeClr>
              </a:bgClr>
            </a:patt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numRef>
          </c:cat>
          <c:val>
            <c:numRef>
              <c:f>'F3_6 Prop_Unemp_emp'!$B$21:$G$21</c:f>
              <c:numCache>
                <c:formatCode>General</c:formatCode>
                <c:ptCount val="6"/>
                <c:pt idx="0">
                  <c:v>0.17531631469726563</c:v>
                </c:pt>
                <c:pt idx="1">
                  <c:v>0.18386362075805665</c:v>
                </c:pt>
                <c:pt idx="2">
                  <c:v>0.17083797454833985</c:v>
                </c:pt>
                <c:pt idx="3">
                  <c:v>0.14599937438964844</c:v>
                </c:pt>
                <c:pt idx="4">
                  <c:v>0.14553046226501465</c:v>
                </c:pt>
                <c:pt idx="5">
                  <c:v>0.13917050361633301</c:v>
                </c:pt>
              </c:numCache>
            </c:numRef>
          </c:val>
          <c:extLst xmlns:c16r2="http://schemas.microsoft.com/office/drawing/2015/06/chart">
            <c:ext xmlns:c16="http://schemas.microsoft.com/office/drawing/2014/chart" uri="{C3380CC4-5D6E-409C-BE32-E72D297353CC}">
              <c16:uniqueId val="{00000004-94D7-48F8-B167-3A8E6E2ACD68}"/>
            </c:ext>
          </c:extLst>
        </c:ser>
        <c:ser>
          <c:idx val="3"/>
          <c:order val="3"/>
          <c:tx>
            <c:strRef>
              <c:f>'F3_6 Prop_Unemp_emp'!$A$22</c:f>
              <c:strCache>
                <c:ptCount val="1"/>
                <c:pt idx="0">
                  <c:v>High</c:v>
                </c:pt>
              </c:strCache>
            </c:strRef>
          </c:tx>
          <c:spPr>
            <a:solidFill>
              <a:schemeClr val="bg1">
                <a:lumMod val="95000"/>
              </a:schemeClr>
            </a:solidFill>
            <a:ln>
              <a:solidFill>
                <a:schemeClr val="tx1"/>
              </a:solidFill>
            </a:ln>
            <a:effectLst/>
          </c:spPr>
          <c:invertIfNegative val="0"/>
          <c:dLbls>
            <c:numFmt formatCode="#,##0.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numRef>
          </c:cat>
          <c:val>
            <c:numRef>
              <c:f>'F3_6 Prop_Unemp_emp'!$B$22:$G$22</c:f>
              <c:numCache>
                <c:formatCode>General</c:formatCode>
                <c:ptCount val="6"/>
                <c:pt idx="0">
                  <c:v>0.27701593399047852</c:v>
                </c:pt>
                <c:pt idx="1">
                  <c:v>0.26250213623046875</c:v>
                </c:pt>
                <c:pt idx="2">
                  <c:v>0.24563982009887694</c:v>
                </c:pt>
                <c:pt idx="3">
                  <c:v>0.20292293548583984</c:v>
                </c:pt>
                <c:pt idx="4">
                  <c:v>0.18150737762451172</c:v>
                </c:pt>
                <c:pt idx="5">
                  <c:v>0.18196578979492187</c:v>
                </c:pt>
              </c:numCache>
            </c:numRef>
          </c:val>
          <c:extLst xmlns:c16r2="http://schemas.microsoft.com/office/drawing/2015/06/chart">
            <c:ext xmlns:c16="http://schemas.microsoft.com/office/drawing/2014/chart" uri="{C3380CC4-5D6E-409C-BE32-E72D297353CC}">
              <c16:uniqueId val="{00000005-94D7-48F8-B167-3A8E6E2ACD68}"/>
            </c:ext>
          </c:extLst>
        </c:ser>
        <c:dLbls>
          <c:showLegendKey val="0"/>
          <c:showVal val="0"/>
          <c:showCatName val="0"/>
          <c:showSerName val="0"/>
          <c:showPercent val="0"/>
          <c:showBubbleSize val="0"/>
        </c:dLbls>
        <c:gapWidth val="99"/>
        <c:axId val="201492304"/>
        <c:axId val="201492696"/>
        <c:extLst xmlns:c16r2="http://schemas.microsoft.com/office/drawing/2015/06/chart"/>
      </c:barChart>
      <c:lineChart>
        <c:grouping val="standard"/>
        <c:varyColors val="0"/>
        <c:ser>
          <c:idx val="4"/>
          <c:order val="4"/>
          <c:tx>
            <c:strRef>
              <c:f>'F3_6 Prop_Unemp_emp'!$A$23</c:f>
              <c:strCache>
                <c:ptCount val="1"/>
                <c:pt idx="0">
                  <c:v>Average</c:v>
                </c:pt>
              </c:strCache>
            </c:strRef>
          </c:tx>
          <c:spPr>
            <a:ln w="28575" cap="rnd">
              <a:noFill/>
              <a:round/>
            </a:ln>
            <a:effectLst/>
          </c:spPr>
          <c:marker>
            <c:symbol val="circle"/>
            <c:size val="5"/>
            <c:spPr>
              <a:solidFill>
                <a:schemeClr val="tx1"/>
              </a:solidFill>
              <a:ln w="9525">
                <a:noFill/>
              </a:ln>
              <a:effectLst/>
            </c:spPr>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'F3_6 Prop_Unemp_emp'!$B$18:$G$18</c:f>
              <c:numCache>
                <c:formatCode>General</c:formatCode>
                <c:ptCount val="6"/>
                <c:pt idx="0">
                  <c:v>2011</c:v>
                </c:pt>
                <c:pt idx="1">
                  <c:v>2012</c:v>
                </c:pt>
                <c:pt idx="2">
                  <c:v>2013</c:v>
                </c:pt>
                <c:pt idx="3">
                  <c:v>2014</c:v>
                </c:pt>
                <c:pt idx="4">
                  <c:v>2015</c:v>
                </c:pt>
                <c:pt idx="5">
                  <c:v>2016</c:v>
                </c:pt>
              </c:numCache>
            </c:numRef>
          </c:cat>
          <c:val>
            <c:numRef>
              <c:f>'F3_6 Prop_Unemp_emp'!$B$23:$G$23</c:f>
              <c:numCache>
                <c:formatCode>General</c:formatCode>
                <c:ptCount val="6"/>
                <c:pt idx="0">
                  <c:v>0.20395930274186289</c:v>
                </c:pt>
                <c:pt idx="1">
                  <c:v>0.20417031608654307</c:v>
                </c:pt>
                <c:pt idx="2">
                  <c:v>0.19559887065961673</c:v>
                </c:pt>
                <c:pt idx="3">
                  <c:v>0.16321273445839762</c:v>
                </c:pt>
                <c:pt idx="4">
                  <c:v>0.15586707869750527</c:v>
                </c:pt>
                <c:pt idx="5">
                  <c:v>0.15404448939290441</c:v>
                </c:pt>
              </c:numCache>
            </c:numRef>
          </c:val>
          <c:smooth val="0"/>
          <c:extLst xmlns:c16r2="http://schemas.microsoft.com/office/drawing/2015/06/chart">
            <c:ext xmlns:c16="http://schemas.microsoft.com/office/drawing/2014/chart" uri="{C3380CC4-5D6E-409C-BE32-E72D297353CC}">
              <c16:uniqueId val="{00000006-94D7-48F8-B167-3A8E6E2ACD68}"/>
            </c:ext>
          </c:extLst>
        </c:ser>
        <c:dLbls>
          <c:showLegendKey val="0"/>
          <c:showVal val="0"/>
          <c:showCatName val="0"/>
          <c:showSerName val="0"/>
          <c:showPercent val="0"/>
          <c:showBubbleSize val="0"/>
        </c:dLbls>
        <c:marker val="1"/>
        <c:smooth val="0"/>
        <c:axId val="201492304"/>
        <c:axId val="201492696"/>
      </c:lineChart>
      <c:catAx>
        <c:axId val="2014923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492696"/>
        <c:crosses val="autoZero"/>
        <c:auto val="1"/>
        <c:lblAlgn val="ctr"/>
        <c:lblOffset val="100"/>
        <c:noMultiLvlLbl val="0"/>
      </c:catAx>
      <c:valAx>
        <c:axId val="201492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t>Georgia:</a:t>
                </a:r>
                <a:r>
                  <a:rPr lang="de-DE" baseline="0"/>
                  <a:t> </a:t>
                </a:r>
                <a:r>
                  <a:rPr lang="de-DE"/>
                  <a:t>Unemployment to employment-ratio (15-64, %)</a:t>
                </a:r>
                <a:endParaRPr lang="de-DE" baseline="0"/>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492304"/>
        <c:crosses val="autoZero"/>
        <c:crossBetween val="between"/>
      </c:valAx>
      <c:spPr>
        <a:noFill/>
        <a:ln>
          <a:solidFill>
            <a:schemeClr val="tx1"/>
          </a:solidFill>
        </a:ln>
        <a:effectLst/>
      </c:spPr>
    </c:plotArea>
    <c:legend>
      <c:legendPos val="b"/>
      <c:layout>
        <c:manualLayout>
          <c:xMode val="edge"/>
          <c:yMode val="edge"/>
          <c:x val="0.30412489063867015"/>
          <c:y val="0.89409667541557303"/>
          <c:w val="0.69095751149918139"/>
          <c:h val="9.955821893944674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'F10 Rates_age'!$J$34</c:f>
              <c:strCache>
                <c:ptCount val="1"/>
                <c:pt idx="0">
                  <c:v>15-19</c:v>
                </c:pt>
              </c:strCache>
            </c:strRef>
          </c:tx>
          <c:spPr>
            <a:ln w="28575" cap="rnd">
              <a:solidFill>
                <a:schemeClr val="tx1"/>
              </a:solidFill>
              <a:round/>
            </a:ln>
            <a:effectLst/>
          </c:spPr>
          <c:marker>
            <c:symbol val="none"/>
          </c:marker>
          <c:dLbls>
            <c:dLbl>
              <c:idx val="0"/>
              <c:layout>
                <c:manualLayout>
                  <c:x val="-4.0811854624043797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AC4-4BB5-8FF9-C76E7C2DBF0C}"/>
                </c:ext>
                <c:ext xmlns:c15="http://schemas.microsoft.com/office/drawing/2012/chart" uri="{CE6537A1-D6FC-4f65-9D91-7224C49458BB}">
                  <c15:layout/>
                </c:ext>
              </c:extLst>
            </c:dLbl>
            <c:dLbl>
              <c:idx val="3"/>
              <c:layout>
                <c:manualLayout>
                  <c:x val="-4.3791370103213233E-2"/>
                  <c:y val="-5.27009222661396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AC4-4BB5-8FF9-C76E7C2DBF0C}"/>
                </c:ext>
                <c:ext xmlns:c15="http://schemas.microsoft.com/office/drawing/2012/chart" uri="{CE6537A1-D6FC-4f65-9D91-7224C49458BB}">
                  <c15:layout/>
                </c:ext>
              </c:extLst>
            </c:dLbl>
            <c:dLbl>
              <c:idx val="5"/>
              <c:layout>
                <c:manualLayout>
                  <c:x val="-4.6770885582382668E-2"/>
                  <c:y val="-1.05401844532279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AC4-4BB5-8FF9-C76E7C2DBF0C}"/>
                </c:ext>
                <c:ext xmlns:c15="http://schemas.microsoft.com/office/drawing/2012/chart" uri="{CE6537A1-D6FC-4f65-9D91-7224C49458BB}">
                  <c15:layout/>
                </c:ext>
              </c:extLst>
            </c:dLbl>
            <c:numFmt formatCode="#,##0.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Rates_age'!$K$34:$P$34</c:f>
              <c:numCache>
                <c:formatCode>General</c:formatCode>
                <c:ptCount val="6"/>
                <c:pt idx="0">
                  <c:v>12.554638862609863</c:v>
                </c:pt>
                <c:pt idx="1">
                  <c:v>12.238363265991211</c:v>
                </c:pt>
                <c:pt idx="2">
                  <c:v>9.7488269805908203</c:v>
                </c:pt>
                <c:pt idx="3">
                  <c:v>12.139265060424805</c:v>
                </c:pt>
                <c:pt idx="4">
                  <c:v>13.085497856140137</c:v>
                </c:pt>
                <c:pt idx="5">
                  <c:v>12.602038383483887</c:v>
                </c:pt>
              </c:numCache>
            </c:numRef>
          </c:val>
          <c:smooth val="0"/>
          <c:extLst xmlns:c16r2="http://schemas.microsoft.com/office/drawing/2015/06/chart">
            <c:ext xmlns:c16="http://schemas.microsoft.com/office/drawing/2014/chart" uri="{C3380CC4-5D6E-409C-BE32-E72D297353CC}">
              <c16:uniqueId val="{00000003-5AC4-4BB5-8FF9-C76E7C2DBF0C}"/>
            </c:ext>
          </c:extLst>
        </c:ser>
        <c:ser>
          <c:idx val="1"/>
          <c:order val="1"/>
          <c:tx>
            <c:strRef>
              <c:f>'F10 Rates_age'!$J$35</c:f>
              <c:strCache>
                <c:ptCount val="1"/>
                <c:pt idx="0">
                  <c:v>20-24</c:v>
                </c:pt>
              </c:strCache>
            </c:strRef>
          </c:tx>
          <c:spPr>
            <a:ln w="28575" cap="rnd">
              <a:solidFill>
                <a:schemeClr val="accent2"/>
              </a:solidFill>
              <a:round/>
            </a:ln>
            <a:effectLst/>
          </c:spPr>
          <c:marker>
            <c:symbol val="none"/>
          </c:marker>
          <c:dLbls>
            <c:numFmt formatCode="#,##0.0" sourceLinked="0"/>
            <c:spPr>
              <a:solidFill>
                <a:schemeClr val="accent2"/>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Rates_age'!$K$35:$P$35</c:f>
              <c:numCache>
                <c:formatCode>General</c:formatCode>
                <c:ptCount val="6"/>
                <c:pt idx="0">
                  <c:v>39.432704925537109</c:v>
                </c:pt>
                <c:pt idx="1">
                  <c:v>41.024795532226563</c:v>
                </c:pt>
                <c:pt idx="2">
                  <c:v>38.677974700927734</c:v>
                </c:pt>
                <c:pt idx="3">
                  <c:v>40.886817932128906</c:v>
                </c:pt>
                <c:pt idx="4">
                  <c:v>41.665218353271484</c:v>
                </c:pt>
                <c:pt idx="5">
                  <c:v>40.285804748535156</c:v>
                </c:pt>
              </c:numCache>
            </c:numRef>
          </c:val>
          <c:smooth val="0"/>
          <c:extLst xmlns:c16r2="http://schemas.microsoft.com/office/drawing/2015/06/chart">
            <c:ext xmlns:c16="http://schemas.microsoft.com/office/drawing/2014/chart" uri="{C3380CC4-5D6E-409C-BE32-E72D297353CC}">
              <c16:uniqueId val="{00000004-5AC4-4BB5-8FF9-C76E7C2DBF0C}"/>
            </c:ext>
          </c:extLst>
        </c:ser>
        <c:ser>
          <c:idx val="2"/>
          <c:order val="2"/>
          <c:tx>
            <c:strRef>
              <c:f>'F10 Rates_age'!$J$36</c:f>
              <c:strCache>
                <c:ptCount val="1"/>
                <c:pt idx="0">
                  <c:v>25-29</c:v>
                </c:pt>
              </c:strCache>
            </c:strRef>
          </c:tx>
          <c:spPr>
            <a:ln w="28575" cap="rnd">
              <a:solidFill>
                <a:schemeClr val="accent3"/>
              </a:solidFill>
              <a:round/>
            </a:ln>
            <a:effectLst/>
          </c:spPr>
          <c:marker>
            <c:symbol val="none"/>
          </c:marker>
          <c:dLbls>
            <c:dLbl>
              <c:idx val="0"/>
              <c:layout>
                <c:manualLayout>
                  <c:x val="-3.0812012855608209E-2"/>
                  <c:y val="-3.96039603960396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AC4-4BB5-8FF9-C76E7C2DBF0C}"/>
                </c:ext>
                <c:ext xmlns:c15="http://schemas.microsoft.com/office/drawing/2012/chart" uri="{CE6537A1-D6FC-4f65-9D91-7224C49458BB}">
                  <c15:layout/>
                </c:ext>
              </c:extLst>
            </c:dLbl>
            <c:dLbl>
              <c:idx val="1"/>
              <c:layout>
                <c:manualLayout>
                  <c:x val="-3.3061478607492138E-2"/>
                  <c:y val="3.96039603960396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AC4-4BB5-8FF9-C76E7C2DBF0C}"/>
                </c:ext>
                <c:ext xmlns:c15="http://schemas.microsoft.com/office/drawing/2012/chart" uri="{CE6537A1-D6FC-4f65-9D91-7224C49458BB}">
                  <c15:layout/>
                </c:ext>
              </c:extLst>
            </c:dLbl>
            <c:dLbl>
              <c:idx val="2"/>
              <c:layout>
                <c:manualLayout>
                  <c:x val="-3.9809875863143919E-2"/>
                  <c:y val="2.97029702970297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AC4-4BB5-8FF9-C76E7C2DBF0C}"/>
                </c:ext>
                <c:ext xmlns:c15="http://schemas.microsoft.com/office/drawing/2012/chart" uri="{CE6537A1-D6FC-4f65-9D91-7224C49458BB}">
                  <c15:layout/>
                </c:ext>
              </c:extLst>
            </c:dLbl>
            <c:dLbl>
              <c:idx val="3"/>
              <c:layout>
                <c:manualLayout>
                  <c:x val="-3.9809875863144002E-2"/>
                  <c:y val="2.97029702970297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AC4-4BB5-8FF9-C76E7C2DBF0C}"/>
                </c:ext>
                <c:ext xmlns:c15="http://schemas.microsoft.com/office/drawing/2012/chart" uri="{CE6537A1-D6FC-4f65-9D91-7224C49458BB}">
                  <c15:layout/>
                </c:ext>
              </c:extLst>
            </c:dLbl>
            <c:dLbl>
              <c:idx val="4"/>
              <c:layout>
                <c:manualLayout>
                  <c:x val="-3.756041011125999E-2"/>
                  <c:y val="4.95049504950495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AC4-4BB5-8FF9-C76E7C2DBF0C}"/>
                </c:ext>
                <c:ext xmlns:c15="http://schemas.microsoft.com/office/drawing/2012/chart" uri="{CE6537A1-D6FC-4f65-9D91-7224C49458BB}">
                  <c15:layout/>
                </c:ext>
              </c:extLst>
            </c:dLbl>
            <c:numFmt formatCode="#,##0.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Rates_age'!$K$36:$P$36</c:f>
              <c:numCache>
                <c:formatCode>General</c:formatCode>
                <c:ptCount val="6"/>
                <c:pt idx="0">
                  <c:v>56.602016448974609</c:v>
                </c:pt>
                <c:pt idx="1">
                  <c:v>56.183219909667969</c:v>
                </c:pt>
                <c:pt idx="2">
                  <c:v>55.746322631835938</c:v>
                </c:pt>
                <c:pt idx="3">
                  <c:v>57.337551116943359</c:v>
                </c:pt>
                <c:pt idx="4">
                  <c:v>59.505775451660156</c:v>
                </c:pt>
                <c:pt idx="5">
                  <c:v>56.8443603515625</c:v>
                </c:pt>
              </c:numCache>
            </c:numRef>
          </c:val>
          <c:smooth val="0"/>
          <c:extLst xmlns:c16r2="http://schemas.microsoft.com/office/drawing/2015/06/chart">
            <c:ext xmlns:c16="http://schemas.microsoft.com/office/drawing/2014/chart" uri="{C3380CC4-5D6E-409C-BE32-E72D297353CC}">
              <c16:uniqueId val="{0000000A-5AC4-4BB5-8FF9-C76E7C2DBF0C}"/>
            </c:ext>
          </c:extLst>
        </c:ser>
        <c:ser>
          <c:idx val="3"/>
          <c:order val="3"/>
          <c:tx>
            <c:strRef>
              <c:f>'F10 Rates_age'!$J$37</c:f>
              <c:strCache>
                <c:ptCount val="1"/>
                <c:pt idx="0">
                  <c:v>30-49</c:v>
                </c:pt>
              </c:strCache>
            </c:strRef>
          </c:tx>
          <c:spPr>
            <a:ln w="28575" cap="rnd">
              <a:solidFill>
                <a:schemeClr val="accent4"/>
              </a:solidFill>
              <a:round/>
            </a:ln>
            <a:effectLst/>
          </c:spPr>
          <c:marker>
            <c:symbol val="none"/>
          </c:marker>
          <c:dLbls>
            <c:dLbl>
              <c:idx val="0"/>
              <c:layout>
                <c:manualLayout>
                  <c:x val="5.1794391745346308E-3"/>
                  <c:y val="3.21038954289129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AC4-4BB5-8FF9-C76E7C2DBF0C}"/>
                </c:ext>
                <c:ext xmlns:c15="http://schemas.microsoft.com/office/drawing/2012/chart" uri="{CE6537A1-D6FC-4f65-9D91-7224C49458BB}">
                  <c15:layout/>
                </c:ext>
              </c:extLst>
            </c:dLbl>
            <c:dLbl>
              <c:idx val="1"/>
              <c:layout>
                <c:manualLayout>
                  <c:x val="-2.6313081351840396E-2"/>
                  <c:y val="3.54042254619162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AC4-4BB5-8FF9-C76E7C2DBF0C}"/>
                </c:ext>
                <c:ext xmlns:c15="http://schemas.microsoft.com/office/drawing/2012/chart" uri="{CE6537A1-D6FC-4f65-9D91-7224C49458BB}">
                  <c15:layout/>
                </c:ext>
              </c:extLst>
            </c:dLbl>
            <c:dLbl>
              <c:idx val="2"/>
              <c:layout>
                <c:manualLayout>
                  <c:x val="-3.3061478607492138E-2"/>
                  <c:y val="3.2103895428912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AC4-4BB5-8FF9-C76E7C2DBF0C}"/>
                </c:ext>
                <c:ext xmlns:c15="http://schemas.microsoft.com/office/drawing/2012/chart" uri="{CE6537A1-D6FC-4f65-9D91-7224C49458BB}">
                  <c15:layout/>
                </c:ext>
              </c:extLst>
            </c:dLbl>
            <c:dLbl>
              <c:idx val="3"/>
              <c:layout>
                <c:manualLayout>
                  <c:x val="-3.5310944359376067E-2"/>
                  <c:y val="3.54042254619162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AC4-4BB5-8FF9-C76E7C2DBF0C}"/>
                </c:ext>
                <c:ext xmlns:c15="http://schemas.microsoft.com/office/drawing/2012/chart" uri="{CE6537A1-D6FC-4f65-9D91-7224C49458BB}">
                  <c15:layout/>
                </c:ext>
              </c:extLst>
            </c:dLbl>
            <c:dLbl>
              <c:idx val="4"/>
              <c:layout>
                <c:manualLayout>
                  <c:x val="-3.9809875863144002E-2"/>
                  <c:y val="3.21038954289129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AC4-4BB5-8FF9-C76E7C2DBF0C}"/>
                </c:ext>
                <c:ext xmlns:c15="http://schemas.microsoft.com/office/drawing/2012/chart" uri="{CE6537A1-D6FC-4f65-9D91-7224C49458BB}">
                  <c15:layout/>
                </c:ext>
              </c:extLst>
            </c:dLbl>
            <c:dLbl>
              <c:idx val="5"/>
              <c:layout>
                <c:manualLayout>
                  <c:x val="-4.6558273118795707E-2"/>
                  <c:y val="1.560224526389646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AC4-4BB5-8FF9-C76E7C2DBF0C}"/>
                </c:ext>
                <c:ext xmlns:c15="http://schemas.microsoft.com/office/drawing/2012/chart" uri="{CE6537A1-D6FC-4f65-9D91-7224C49458BB}">
                  <c15:layout/>
                </c:ext>
              </c:extLst>
            </c:dLbl>
            <c:numFmt formatCode="#,##0.0" sourceLinked="0"/>
            <c:spPr>
              <a:solidFill>
                <a:schemeClr val="accent4"/>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Rates_age'!$K$37:$P$37</c:f>
              <c:numCache>
                <c:formatCode>General</c:formatCode>
                <c:ptCount val="6"/>
                <c:pt idx="0">
                  <c:v>70.528244018554687</c:v>
                </c:pt>
                <c:pt idx="1">
                  <c:v>70.805999755859375</c:v>
                </c:pt>
                <c:pt idx="2">
                  <c:v>70.663764953613281</c:v>
                </c:pt>
                <c:pt idx="3">
                  <c:v>72.046661376953125</c:v>
                </c:pt>
                <c:pt idx="4">
                  <c:v>72.894401550292969</c:v>
                </c:pt>
                <c:pt idx="5">
                  <c:v>72.312850952148438</c:v>
                </c:pt>
              </c:numCache>
            </c:numRef>
          </c:val>
          <c:smooth val="0"/>
          <c:extLst xmlns:c16r2="http://schemas.microsoft.com/office/drawing/2015/06/chart">
            <c:ext xmlns:c16="http://schemas.microsoft.com/office/drawing/2014/chart" uri="{C3380CC4-5D6E-409C-BE32-E72D297353CC}">
              <c16:uniqueId val="{00000011-5AC4-4BB5-8FF9-C76E7C2DBF0C}"/>
            </c:ext>
          </c:extLst>
        </c:ser>
        <c:ser>
          <c:idx val="4"/>
          <c:order val="4"/>
          <c:tx>
            <c:strRef>
              <c:f>'F10 Rates_age'!$J$38</c:f>
              <c:strCache>
                <c:ptCount val="1"/>
                <c:pt idx="0">
                  <c:v>50-59</c:v>
                </c:pt>
              </c:strCache>
            </c:strRef>
          </c:tx>
          <c:spPr>
            <a:ln w="28575" cap="rnd">
              <a:solidFill>
                <a:schemeClr val="accent5"/>
              </a:solidFill>
              <a:round/>
            </a:ln>
            <a:effectLst/>
          </c:spPr>
          <c:marker>
            <c:symbol val="none"/>
          </c:marker>
          <c:dLbls>
            <c:dLbl>
              <c:idx val="4"/>
              <c:layout>
                <c:manualLayout>
                  <c:x val="-3.3061478607492138E-2"/>
                  <c:y val="-3.3003300330033155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AC4-4BB5-8FF9-C76E7C2DBF0C}"/>
                </c:ext>
                <c:ext xmlns:c15="http://schemas.microsoft.com/office/drawing/2012/chart" uri="{CE6537A1-D6FC-4f65-9D91-7224C49458BB}">
                  <c15:layout/>
                </c:ext>
              </c:extLst>
            </c:dLbl>
            <c:dLbl>
              <c:idx val="5"/>
              <c:layout>
                <c:manualLayout>
                  <c:x val="-3.3061478607492305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AC4-4BB5-8FF9-C76E7C2DBF0C}"/>
                </c:ext>
                <c:ext xmlns:c15="http://schemas.microsoft.com/office/drawing/2012/chart" uri="{CE6537A1-D6FC-4f65-9D91-7224C49458BB}">
                  <c15:layout/>
                </c:ext>
              </c:extLst>
            </c:dLbl>
            <c:numFmt formatCode="#,##0.0" sourceLinked="0"/>
            <c:spPr>
              <a:solidFill>
                <a:schemeClr val="accent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Rates_age'!$K$38:$P$38</c:f>
              <c:numCache>
                <c:formatCode>General</c:formatCode>
                <c:ptCount val="6"/>
                <c:pt idx="0">
                  <c:v>72.874435424804688</c:v>
                </c:pt>
                <c:pt idx="1">
                  <c:v>74.077041625976562</c:v>
                </c:pt>
                <c:pt idx="2">
                  <c:v>74.0753173828125</c:v>
                </c:pt>
                <c:pt idx="3">
                  <c:v>75.189247131347656</c:v>
                </c:pt>
                <c:pt idx="4">
                  <c:v>77.221359252929688</c:v>
                </c:pt>
                <c:pt idx="5">
                  <c:v>75.602432250976563</c:v>
                </c:pt>
              </c:numCache>
            </c:numRef>
          </c:val>
          <c:smooth val="0"/>
          <c:extLst xmlns:c16r2="http://schemas.microsoft.com/office/drawing/2015/06/chart">
            <c:ext xmlns:c16="http://schemas.microsoft.com/office/drawing/2014/chart" uri="{C3380CC4-5D6E-409C-BE32-E72D297353CC}">
              <c16:uniqueId val="{00000014-5AC4-4BB5-8FF9-C76E7C2DBF0C}"/>
            </c:ext>
          </c:extLst>
        </c:ser>
        <c:ser>
          <c:idx val="5"/>
          <c:order val="5"/>
          <c:tx>
            <c:strRef>
              <c:f>'F10 Rates_age'!$J$39</c:f>
              <c:strCache>
                <c:ptCount val="1"/>
                <c:pt idx="0">
                  <c:v>60-74</c:v>
                </c:pt>
              </c:strCache>
            </c:strRef>
          </c:tx>
          <c:spPr>
            <a:ln w="28575" cap="rnd">
              <a:solidFill>
                <a:schemeClr val="accent6"/>
              </a:solidFill>
              <a:round/>
            </a:ln>
            <a:effectLst/>
          </c:spPr>
          <c:marker>
            <c:symbol val="none"/>
          </c:marker>
          <c:dLbls>
            <c:numFmt formatCode="#,##0.0" sourceLinked="0"/>
            <c:spPr>
              <a:solidFill>
                <a:schemeClr val="accent6"/>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Rates_age'!$K$33:$P$33</c:f>
              <c:numCache>
                <c:formatCode>General</c:formatCode>
                <c:ptCount val="6"/>
                <c:pt idx="0">
                  <c:v>2011</c:v>
                </c:pt>
                <c:pt idx="1">
                  <c:v>2012</c:v>
                </c:pt>
                <c:pt idx="2">
                  <c:v>2013</c:v>
                </c:pt>
                <c:pt idx="3">
                  <c:v>2014</c:v>
                </c:pt>
                <c:pt idx="4">
                  <c:v>2015</c:v>
                </c:pt>
                <c:pt idx="5">
                  <c:v>2016</c:v>
                </c:pt>
              </c:numCache>
            </c:numRef>
          </c:cat>
          <c:val>
            <c:numRef>
              <c:f>'F10 Rates_age'!$K$39:$P$39</c:f>
              <c:numCache>
                <c:formatCode>General</c:formatCode>
                <c:ptCount val="6"/>
                <c:pt idx="0">
                  <c:v>54.999309539794922</c:v>
                </c:pt>
                <c:pt idx="1">
                  <c:v>58.055580139160156</c:v>
                </c:pt>
                <c:pt idx="2">
                  <c:v>58.796642303466797</c:v>
                </c:pt>
                <c:pt idx="3">
                  <c:v>60.253101348876953</c:v>
                </c:pt>
                <c:pt idx="4">
                  <c:v>61.536380767822266</c:v>
                </c:pt>
                <c:pt idx="5">
                  <c:v>62.403713226318359</c:v>
                </c:pt>
              </c:numCache>
            </c:numRef>
          </c:val>
          <c:smooth val="0"/>
          <c:extLst xmlns:c16r2="http://schemas.microsoft.com/office/drawing/2015/06/chart">
            <c:ext xmlns:c16="http://schemas.microsoft.com/office/drawing/2014/chart" uri="{C3380CC4-5D6E-409C-BE32-E72D297353CC}">
              <c16:uniqueId val="{00000015-5AC4-4BB5-8FF9-C76E7C2DBF0C}"/>
            </c:ext>
          </c:extLst>
        </c:ser>
        <c:dLbls>
          <c:showLegendKey val="0"/>
          <c:showVal val="0"/>
          <c:showCatName val="0"/>
          <c:showSerName val="0"/>
          <c:showPercent val="0"/>
          <c:showBubbleSize val="0"/>
        </c:dLbls>
        <c:smooth val="0"/>
        <c:axId val="201493480"/>
        <c:axId val="201493872"/>
      </c:lineChart>
      <c:catAx>
        <c:axId val="20149348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493872"/>
        <c:crosses val="autoZero"/>
        <c:auto val="1"/>
        <c:lblAlgn val="ctr"/>
        <c:lblOffset val="100"/>
        <c:noMultiLvlLbl val="0"/>
      </c:catAx>
      <c:valAx>
        <c:axId val="20149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t>Georgia: % share of employed on population of age group</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493480"/>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F15_VET!$B$18</c:f>
              <c:strCache>
                <c:ptCount val="1"/>
                <c:pt idx="0">
                  <c:v>VET</c:v>
                </c:pt>
              </c:strCache>
            </c:strRef>
          </c:tx>
          <c:spPr>
            <a:ln w="28575" cap="rnd">
              <a:solidFill>
                <a:schemeClr val="tx1"/>
              </a:solidFill>
              <a:round/>
            </a:ln>
            <a:effectLst/>
          </c:spPr>
          <c:marker>
            <c:symbol val="none"/>
          </c:marker>
          <c:dLbls>
            <c:dLbl>
              <c:idx val="0"/>
              <c:layout>
                <c:manualLayout>
                  <c:x val="-4.0811854624043797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3B-49A6-9EE9-D8E9D109B65B}"/>
                </c:ext>
                <c:ext xmlns:c15="http://schemas.microsoft.com/office/drawing/2012/chart" uri="{CE6537A1-D6FC-4f65-9D91-7224C49458BB}">
                  <c15:layout/>
                </c:ext>
              </c:extLst>
            </c:dLbl>
            <c:dLbl>
              <c:idx val="3"/>
              <c:layout>
                <c:manualLayout>
                  <c:x val="-4.3791370103213233E-2"/>
                  <c:y val="-5.27009222661396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3B-49A6-9EE9-D8E9D109B65B}"/>
                </c:ext>
                <c:ext xmlns:c15="http://schemas.microsoft.com/office/drawing/2012/chart" uri="{CE6537A1-D6FC-4f65-9D91-7224C49458BB}">
                  <c15:layout/>
                </c:ext>
              </c:extLst>
            </c:dLbl>
            <c:dLbl>
              <c:idx val="5"/>
              <c:layout>
                <c:manualLayout>
                  <c:x val="-4.6770885582382668E-2"/>
                  <c:y val="-1.05401844532279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3B-49A6-9EE9-D8E9D109B65B}"/>
                </c:ext>
                <c:ext xmlns:c15="http://schemas.microsoft.com/office/drawing/2012/chart" uri="{CE6537A1-D6FC-4f65-9D91-7224C49458BB}">
                  <c15:layout/>
                </c:ext>
              </c:extLst>
            </c:dLbl>
            <c:numFmt formatCode="#,##0.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F15_VET!$A$19:$A$24</c:f>
              <c:numCache>
                <c:formatCode>General</c:formatCode>
                <c:ptCount val="6"/>
                <c:pt idx="0">
                  <c:v>2011</c:v>
                </c:pt>
                <c:pt idx="1">
                  <c:v>2012</c:v>
                </c:pt>
                <c:pt idx="2">
                  <c:v>2013</c:v>
                </c:pt>
                <c:pt idx="3">
                  <c:v>2014</c:v>
                </c:pt>
                <c:pt idx="4">
                  <c:v>2015</c:v>
                </c:pt>
                <c:pt idx="5">
                  <c:v>2016</c:v>
                </c:pt>
              </c:numCache>
            </c:numRef>
          </c:cat>
          <c:val>
            <c:numRef>
              <c:f>F15_VET!$B$19:$B$24</c:f>
              <c:numCache>
                <c:formatCode>General</c:formatCode>
                <c:ptCount val="6"/>
                <c:pt idx="0">
                  <c:v>63.077320098876953</c:v>
                </c:pt>
                <c:pt idx="1">
                  <c:v>63.742183685302734</c:v>
                </c:pt>
                <c:pt idx="2">
                  <c:v>63.452655792236328</c:v>
                </c:pt>
                <c:pt idx="3">
                  <c:v>65.270767211914063</c:v>
                </c:pt>
                <c:pt idx="4">
                  <c:v>67.341064453125</c:v>
                </c:pt>
                <c:pt idx="5">
                  <c:v>65.791366577148438</c:v>
                </c:pt>
              </c:numCache>
            </c:numRef>
          </c:val>
          <c:smooth val="0"/>
          <c:extLst xmlns:c16r2="http://schemas.microsoft.com/office/drawing/2015/06/chart">
            <c:ext xmlns:c16="http://schemas.microsoft.com/office/drawing/2014/chart" uri="{C3380CC4-5D6E-409C-BE32-E72D297353CC}">
              <c16:uniqueId val="{00000003-F43B-49A6-9EE9-D8E9D109B65B}"/>
            </c:ext>
          </c:extLst>
        </c:ser>
        <c:ser>
          <c:idx val="1"/>
          <c:order val="1"/>
          <c:tx>
            <c:strRef>
              <c:f>F15_VET!$C$18</c:f>
              <c:strCache>
                <c:ptCount val="1"/>
                <c:pt idx="0">
                  <c:v>non-VET</c:v>
                </c:pt>
              </c:strCache>
            </c:strRef>
          </c:tx>
          <c:spPr>
            <a:ln w="28575" cap="rnd">
              <a:solidFill>
                <a:schemeClr val="accent2"/>
              </a:solidFill>
              <a:round/>
            </a:ln>
            <a:effectLst/>
          </c:spPr>
          <c:marker>
            <c:symbol val="none"/>
          </c:marker>
          <c:dLbls>
            <c:numFmt formatCode="#,##0.0" sourceLinked="0"/>
            <c:spPr>
              <a:solidFill>
                <a:schemeClr val="accent2"/>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F15_VET!$A$19:$A$24</c:f>
              <c:numCache>
                <c:formatCode>General</c:formatCode>
                <c:ptCount val="6"/>
                <c:pt idx="0">
                  <c:v>2011</c:v>
                </c:pt>
                <c:pt idx="1">
                  <c:v>2012</c:v>
                </c:pt>
                <c:pt idx="2">
                  <c:v>2013</c:v>
                </c:pt>
                <c:pt idx="3">
                  <c:v>2014</c:v>
                </c:pt>
                <c:pt idx="4">
                  <c:v>2015</c:v>
                </c:pt>
                <c:pt idx="5">
                  <c:v>2016</c:v>
                </c:pt>
              </c:numCache>
            </c:numRef>
          </c:cat>
          <c:val>
            <c:numRef>
              <c:f>F15_VET!$C$19:$C$24</c:f>
              <c:numCache>
                <c:formatCode>General</c:formatCode>
                <c:ptCount val="6"/>
                <c:pt idx="0">
                  <c:v>53.921035766601562</c:v>
                </c:pt>
                <c:pt idx="1">
                  <c:v>55.400783538818359</c:v>
                </c:pt>
                <c:pt idx="2">
                  <c:v>55.190841674804688</c:v>
                </c:pt>
                <c:pt idx="3">
                  <c:v>57.528404235839844</c:v>
                </c:pt>
                <c:pt idx="4">
                  <c:v>58.909893035888672</c:v>
                </c:pt>
                <c:pt idx="5">
                  <c:v>59.808670043945313</c:v>
                </c:pt>
              </c:numCache>
            </c:numRef>
          </c:val>
          <c:smooth val="0"/>
          <c:extLst xmlns:c16r2="http://schemas.microsoft.com/office/drawing/2015/06/chart">
            <c:ext xmlns:c16="http://schemas.microsoft.com/office/drawing/2014/chart" uri="{C3380CC4-5D6E-409C-BE32-E72D297353CC}">
              <c16:uniqueId val="{00000004-F43B-49A6-9EE9-D8E9D109B65B}"/>
            </c:ext>
          </c:extLst>
        </c:ser>
        <c:dLbls>
          <c:showLegendKey val="0"/>
          <c:showVal val="0"/>
          <c:showCatName val="0"/>
          <c:showSerName val="0"/>
          <c:showPercent val="0"/>
          <c:showBubbleSize val="0"/>
        </c:dLbls>
        <c:smooth val="0"/>
        <c:axId val="201702672"/>
        <c:axId val="201703064"/>
      </c:lineChart>
      <c:catAx>
        <c:axId val="2017026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703064"/>
        <c:crosses val="autoZero"/>
        <c:auto val="1"/>
        <c:lblAlgn val="ctr"/>
        <c:lblOffset val="100"/>
        <c:noMultiLvlLbl val="0"/>
      </c:catAx>
      <c:valAx>
        <c:axId val="201703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t>Georgia: % share of employed on population (15-64)</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702672"/>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1311001379067"/>
          <c:y val="5.0925925925925923E-2"/>
          <c:w val="0.85352284354286223"/>
          <c:h val="0.73519320501603957"/>
        </c:manualLayout>
      </c:layout>
      <c:lineChart>
        <c:grouping val="standard"/>
        <c:varyColors val="0"/>
        <c:ser>
          <c:idx val="0"/>
          <c:order val="0"/>
          <c:tx>
            <c:strRef>
              <c:f>'F10 Rates_age'!$J$100</c:f>
              <c:strCache>
                <c:ptCount val="1"/>
                <c:pt idx="0">
                  <c:v>15-19</c:v>
                </c:pt>
              </c:strCache>
            </c:strRef>
          </c:tx>
          <c:spPr>
            <a:ln w="28575" cap="rnd">
              <a:solidFill>
                <a:schemeClr val="accent1"/>
              </a:solidFill>
              <a:round/>
            </a:ln>
            <a:effectLst/>
          </c:spPr>
          <c:marker>
            <c:symbol val="none"/>
          </c:marker>
          <c:dLbls>
            <c:numFmt formatCode="#,##0.0" sourceLinked="0"/>
            <c:spPr>
              <a:solidFill>
                <a:schemeClr val="accent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Rates_age'!$K$99:$P$99</c:f>
              <c:numCache>
                <c:formatCode>General</c:formatCode>
                <c:ptCount val="5"/>
                <c:pt idx="0">
                  <c:v>2012</c:v>
                </c:pt>
                <c:pt idx="1">
                  <c:v>2013</c:v>
                </c:pt>
                <c:pt idx="2">
                  <c:v>2014</c:v>
                </c:pt>
                <c:pt idx="3">
                  <c:v>2015</c:v>
                </c:pt>
                <c:pt idx="4">
                  <c:v>2016</c:v>
                </c:pt>
              </c:numCache>
              <c:extLst xmlns:c16r2="http://schemas.microsoft.com/office/drawing/2015/06/chart"/>
            </c:numRef>
          </c:cat>
          <c:val>
            <c:numRef>
              <c:f>'F10 Rates_age'!$K$100:$P$100</c:f>
              <c:numCache>
                <c:formatCode>General</c:formatCode>
                <c:ptCount val="5"/>
                <c:pt idx="0">
                  <c:v>19.682136535644531</c:v>
                </c:pt>
                <c:pt idx="1">
                  <c:v>19.052740097045898</c:v>
                </c:pt>
                <c:pt idx="2">
                  <c:v>16.247529983520508</c:v>
                </c:pt>
                <c:pt idx="3">
                  <c:v>15.804030418395996</c:v>
                </c:pt>
                <c:pt idx="4">
                  <c:v>16.43988037109375</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A543-4BB7-B3BE-BB27EB2185A4}"/>
            </c:ext>
          </c:extLst>
        </c:ser>
        <c:ser>
          <c:idx val="1"/>
          <c:order val="1"/>
          <c:tx>
            <c:strRef>
              <c:f>'F10 Rates_age'!$J$101</c:f>
              <c:strCache>
                <c:ptCount val="1"/>
                <c:pt idx="0">
                  <c:v>20-24</c:v>
                </c:pt>
              </c:strCache>
            </c:strRef>
          </c:tx>
          <c:spPr>
            <a:ln w="28575" cap="rnd">
              <a:solidFill>
                <a:schemeClr val="accent2"/>
              </a:solidFill>
              <a:round/>
            </a:ln>
            <a:effectLst/>
          </c:spPr>
          <c:marker>
            <c:symbol val="none"/>
          </c:marker>
          <c:dLbls>
            <c:dLbl>
              <c:idx val="1"/>
              <c:layout>
                <c:manualLayout>
                  <c:x val="-4.0826552930883692E-2"/>
                  <c:y val="4.166666666666666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543-4BB7-B3BE-BB27EB2185A4}"/>
                </c:ext>
                <c:ext xmlns:c15="http://schemas.microsoft.com/office/drawing/2012/chart" uri="{CE6537A1-D6FC-4f65-9D91-7224C49458BB}">
                  <c15:layout/>
                </c:ext>
              </c:extLst>
            </c:dLbl>
            <c:dLbl>
              <c:idx val="2"/>
              <c:layout>
                <c:manualLayout>
                  <c:x val="-4.9159886264216975E-2"/>
                  <c:y val="5.09259259259259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543-4BB7-B3BE-BB27EB2185A4}"/>
                </c:ext>
                <c:ext xmlns:c15="http://schemas.microsoft.com/office/drawing/2012/chart" uri="{CE6537A1-D6FC-4f65-9D91-7224C49458BB}">
                  <c15:layout/>
                </c:ext>
              </c:extLst>
            </c:dLbl>
            <c:numFmt formatCode="#,##0.0" sourceLinked="0"/>
            <c:spPr>
              <a:solidFill>
                <a:schemeClr val="accent2"/>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Rates_age'!$K$99:$P$99</c:f>
              <c:numCache>
                <c:formatCode>General</c:formatCode>
                <c:ptCount val="5"/>
                <c:pt idx="0">
                  <c:v>2012</c:v>
                </c:pt>
                <c:pt idx="1">
                  <c:v>2013</c:v>
                </c:pt>
                <c:pt idx="2">
                  <c:v>2014</c:v>
                </c:pt>
                <c:pt idx="3">
                  <c:v>2015</c:v>
                </c:pt>
                <c:pt idx="4">
                  <c:v>2016</c:v>
                </c:pt>
              </c:numCache>
              <c:extLst xmlns:c16r2="http://schemas.microsoft.com/office/drawing/2015/06/chart"/>
            </c:numRef>
          </c:cat>
          <c:val>
            <c:numRef>
              <c:f>'F10 Rates_age'!$K$101:$P$101</c:f>
              <c:numCache>
                <c:formatCode>General</c:formatCode>
                <c:ptCount val="5"/>
                <c:pt idx="0">
                  <c:v>43.907077789306641</c:v>
                </c:pt>
                <c:pt idx="1">
                  <c:v>40.140697479248047</c:v>
                </c:pt>
                <c:pt idx="2">
                  <c:v>38.380485534667969</c:v>
                </c:pt>
                <c:pt idx="3">
                  <c:v>38.229640960693359</c:v>
                </c:pt>
                <c:pt idx="4">
                  <c:v>37.059391021728516</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3-A543-4BB7-B3BE-BB27EB2185A4}"/>
            </c:ext>
          </c:extLst>
        </c:ser>
        <c:ser>
          <c:idx val="2"/>
          <c:order val="2"/>
          <c:tx>
            <c:strRef>
              <c:f>'F10 Rates_age'!$J$102</c:f>
              <c:strCache>
                <c:ptCount val="1"/>
                <c:pt idx="0">
                  <c:v>25-29</c:v>
                </c:pt>
              </c:strCache>
            </c:strRef>
          </c:tx>
          <c:spPr>
            <a:ln w="28575" cap="rnd">
              <a:solidFill>
                <a:schemeClr val="accent3"/>
              </a:solidFill>
              <a:round/>
            </a:ln>
            <a:effectLst/>
          </c:spPr>
          <c:marker>
            <c:symbol val="none"/>
          </c:marker>
          <c:dLbls>
            <c:dLbl>
              <c:idx val="0"/>
              <c:layout>
                <c:manualLayout>
                  <c:x val="-4.0826552930883636E-2"/>
                  <c:y val="6.48148148148148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543-4BB7-B3BE-BB27EB2185A4}"/>
                </c:ext>
                <c:ext xmlns:c15="http://schemas.microsoft.com/office/drawing/2012/chart" uri="{CE6537A1-D6FC-4f65-9D91-7224C49458BB}">
                  <c15:layout/>
                </c:ext>
              </c:extLst>
            </c:dLbl>
            <c:dLbl>
              <c:idx val="3"/>
              <c:layout>
                <c:manualLayout>
                  <c:x val="-4.6382108486439193E-2"/>
                  <c:y val="-5.09259259259259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543-4BB7-B3BE-BB27EB2185A4}"/>
                </c:ext>
                <c:ext xmlns:c15="http://schemas.microsoft.com/office/drawing/2012/chart" uri="{CE6537A1-D6FC-4f65-9D91-7224C49458BB}">
                  <c15:layout/>
                </c:ext>
              </c:extLst>
            </c:dLbl>
            <c:numFmt formatCode="#,##0.0" sourceLinked="0"/>
            <c:spPr>
              <a:solidFill>
                <a:schemeClr val="accent3"/>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'F10 Rates_age'!$K$99:$P$99</c:f>
              <c:numCache>
                <c:formatCode>General</c:formatCode>
                <c:ptCount val="5"/>
                <c:pt idx="0">
                  <c:v>2012</c:v>
                </c:pt>
                <c:pt idx="1">
                  <c:v>2013</c:v>
                </c:pt>
                <c:pt idx="2">
                  <c:v>2014</c:v>
                </c:pt>
                <c:pt idx="3">
                  <c:v>2015</c:v>
                </c:pt>
                <c:pt idx="4">
                  <c:v>2016</c:v>
                </c:pt>
              </c:numCache>
              <c:extLst xmlns:c16r2="http://schemas.microsoft.com/office/drawing/2015/06/chart"/>
            </c:numRef>
          </c:cat>
          <c:val>
            <c:numRef>
              <c:f>'F10 Rates_age'!$K$102:$P$102</c:f>
              <c:numCache>
                <c:formatCode>General</c:formatCode>
                <c:ptCount val="5"/>
                <c:pt idx="0">
                  <c:v>43.166057586669922</c:v>
                </c:pt>
                <c:pt idx="1">
                  <c:v>43.479949951171875</c:v>
                </c:pt>
                <c:pt idx="2">
                  <c:v>42.050853729248047</c:v>
                </c:pt>
                <c:pt idx="3">
                  <c:v>39.661708831787109</c:v>
                </c:pt>
                <c:pt idx="4">
                  <c:v>41.745281219482422</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6-A543-4BB7-B3BE-BB27EB2185A4}"/>
            </c:ext>
          </c:extLst>
        </c:ser>
        <c:dLbls>
          <c:showLegendKey val="0"/>
          <c:showVal val="0"/>
          <c:showCatName val="0"/>
          <c:showSerName val="0"/>
          <c:showPercent val="0"/>
          <c:showBubbleSize val="0"/>
        </c:dLbls>
        <c:smooth val="0"/>
        <c:axId val="201703848"/>
        <c:axId val="201704240"/>
        <c:extLst xmlns:c16r2="http://schemas.microsoft.com/office/drawing/2015/06/chart"/>
      </c:lineChart>
      <c:catAx>
        <c:axId val="2017038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704240"/>
        <c:crosses val="autoZero"/>
        <c:auto val="1"/>
        <c:lblAlgn val="ctr"/>
        <c:lblOffset val="100"/>
        <c:noMultiLvlLbl val="0"/>
      </c:catAx>
      <c:valAx>
        <c:axId val="201704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de-DE"/>
                  <a:t>Georgia: % share of persons  not in employment, education or training on poulation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1703848"/>
        <c:crosses val="autoZero"/>
        <c:crossBetween val="between"/>
      </c:valAx>
      <c:spPr>
        <a:noFill/>
        <a:ln>
          <a:solidFill>
            <a:schemeClr val="tx1"/>
          </a:solidFill>
        </a:ln>
        <a:effectLst/>
      </c:spPr>
    </c:plotArea>
    <c:legend>
      <c:legendPos val="r"/>
      <c:layout>
        <c:manualLayout>
          <c:xMode val="edge"/>
          <c:yMode val="edge"/>
          <c:x val="0.10834711286089238"/>
          <c:y val="0.91058945756780407"/>
          <c:w val="0.8138751093613299"/>
          <c:h val="8.62284922717993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83652800975638"/>
          <c:y val="3.4030711678281596E-2"/>
          <c:w val="0.66170152973302576"/>
          <c:h val="0.72298781349215202"/>
        </c:manualLayout>
      </c:layout>
      <c:barChart>
        <c:barDir val="col"/>
        <c:grouping val="clustered"/>
        <c:varyColors val="0"/>
        <c:ser>
          <c:idx val="0"/>
          <c:order val="0"/>
          <c:tx>
            <c:strRef>
              <c:f>F8_Variance_rel_rates!$H$75</c:f>
              <c:strCache>
                <c:ptCount val="1"/>
                <c:pt idx="0">
                  <c:v>Georgia - variance of relative unemployment rates (education level none excluded)</c:v>
                </c:pt>
              </c:strCache>
            </c:strRef>
          </c:tx>
          <c:spPr>
            <a:solidFill>
              <a:schemeClr val="accent2">
                <a:lumMod val="75000"/>
                <a:alpha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F8_Variance_rel_rates!$I$74:$N$74</c:f>
              <c:numCache>
                <c:formatCode>General</c:formatCode>
                <c:ptCount val="6"/>
                <c:pt idx="0">
                  <c:v>2011</c:v>
                </c:pt>
                <c:pt idx="1">
                  <c:v>2012</c:v>
                </c:pt>
                <c:pt idx="2">
                  <c:v>2013</c:v>
                </c:pt>
                <c:pt idx="3">
                  <c:v>2014</c:v>
                </c:pt>
                <c:pt idx="4">
                  <c:v>2015</c:v>
                </c:pt>
                <c:pt idx="5">
                  <c:v>2016</c:v>
                </c:pt>
              </c:numCache>
            </c:numRef>
          </c:cat>
          <c:val>
            <c:numRef>
              <c:f>F8_Variance_rel_rates!$I$75:$N$75</c:f>
              <c:numCache>
                <c:formatCode>0.00</c:formatCode>
                <c:ptCount val="6"/>
                <c:pt idx="0">
                  <c:v>0.13272717475891113</c:v>
                </c:pt>
                <c:pt idx="1">
                  <c:v>0.1398898983001709</c:v>
                </c:pt>
                <c:pt idx="2">
                  <c:v>4.8449139595031741E-2</c:v>
                </c:pt>
                <c:pt idx="3">
                  <c:v>4.1042580604553222E-2</c:v>
                </c:pt>
                <c:pt idx="4">
                  <c:v>4.5660557746887209E-2</c:v>
                </c:pt>
                <c:pt idx="5">
                  <c:v>1.7014341354370119E-2</c:v>
                </c:pt>
              </c:numCache>
            </c:numRef>
          </c:val>
          <c:extLst xmlns:c16r2="http://schemas.microsoft.com/office/drawing/2015/06/chart">
            <c:ext xmlns:c16="http://schemas.microsoft.com/office/drawing/2014/chart" uri="{C3380CC4-5D6E-409C-BE32-E72D297353CC}">
              <c16:uniqueId val="{00000000-426A-4B88-BFEC-5E456919CFF3}"/>
            </c:ext>
          </c:extLst>
        </c:ser>
        <c:dLbls>
          <c:showLegendKey val="0"/>
          <c:showVal val="0"/>
          <c:showCatName val="0"/>
          <c:showSerName val="0"/>
          <c:showPercent val="0"/>
          <c:showBubbleSize val="0"/>
        </c:dLbls>
        <c:gapWidth val="150"/>
        <c:axId val="201705024"/>
        <c:axId val="201705416"/>
        <c:extLst xmlns:c16r2="http://schemas.microsoft.com/office/drawing/2015/06/chart"/>
      </c:barChart>
      <c:lineChart>
        <c:grouping val="standard"/>
        <c:varyColors val="0"/>
        <c:ser>
          <c:idx val="1"/>
          <c:order val="1"/>
          <c:tx>
            <c:strRef>
              <c:f>F8_Variance_rel_rates!$H$76</c:f>
              <c:strCache>
                <c:ptCount val="1"/>
                <c:pt idx="0">
                  <c:v>Georgia - unemployment rates (right-hand side scale)</c:v>
                </c:pt>
              </c:strCache>
            </c:strRef>
          </c:tx>
          <c:spPr>
            <a:ln w="28575" cap="rnd">
              <a:solidFill>
                <a:schemeClr val="accent2">
                  <a:lumMod val="75000"/>
                </a:schemeClr>
              </a:solidFill>
              <a:prstDash val="sysDash"/>
              <a:round/>
            </a:ln>
            <a:effectLst/>
          </c:spPr>
          <c:marker>
            <c:symbol val="none"/>
          </c:marker>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F8_Variance_rel_rates!$I$74:$N$74</c:f>
              <c:numCache>
                <c:formatCode>General</c:formatCode>
                <c:ptCount val="6"/>
                <c:pt idx="0">
                  <c:v>2011</c:v>
                </c:pt>
                <c:pt idx="1">
                  <c:v>2012</c:v>
                </c:pt>
                <c:pt idx="2">
                  <c:v>2013</c:v>
                </c:pt>
                <c:pt idx="3">
                  <c:v>2014</c:v>
                </c:pt>
                <c:pt idx="4">
                  <c:v>2015</c:v>
                </c:pt>
                <c:pt idx="5">
                  <c:v>2016</c:v>
                </c:pt>
              </c:numCache>
            </c:numRef>
          </c:cat>
          <c:val>
            <c:numRef>
              <c:f>F8_Variance_rel_rates!$I$76:$N$76</c:f>
              <c:numCache>
                <c:formatCode>0.00</c:formatCode>
                <c:ptCount val="6"/>
                <c:pt idx="0">
                  <c:v>0.16940715789794922</c:v>
                </c:pt>
                <c:pt idx="1">
                  <c:v>0.16955268859863282</c:v>
                </c:pt>
                <c:pt idx="2">
                  <c:v>0.16359907150268554</c:v>
                </c:pt>
                <c:pt idx="3">
                  <c:v>0.14031201362609863</c:v>
                </c:pt>
                <c:pt idx="4">
                  <c:v>0.13484861373901366</c:v>
                </c:pt>
                <c:pt idx="5">
                  <c:v>0.13348227500915527</c:v>
                </c:pt>
              </c:numCache>
            </c:numRef>
          </c:val>
          <c:smooth val="0"/>
          <c:extLst xmlns:c16r2="http://schemas.microsoft.com/office/drawing/2015/06/chart">
            <c:ext xmlns:c16="http://schemas.microsoft.com/office/drawing/2014/chart" uri="{C3380CC4-5D6E-409C-BE32-E72D297353CC}">
              <c16:uniqueId val="{00000001-426A-4B88-BFEC-5E456919CFF3}"/>
            </c:ext>
          </c:extLst>
        </c:ser>
        <c:dLbls>
          <c:showLegendKey val="0"/>
          <c:showVal val="0"/>
          <c:showCatName val="0"/>
          <c:showSerName val="0"/>
          <c:showPercent val="0"/>
          <c:showBubbleSize val="0"/>
        </c:dLbls>
        <c:marker val="1"/>
        <c:smooth val="0"/>
        <c:axId val="204027448"/>
        <c:axId val="201705808"/>
      </c:lineChart>
      <c:catAx>
        <c:axId val="20170502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1705416"/>
        <c:crosses val="autoZero"/>
        <c:auto val="1"/>
        <c:lblAlgn val="ctr"/>
        <c:lblOffset val="100"/>
        <c:noMultiLvlLbl val="0"/>
      </c:catAx>
      <c:valAx>
        <c:axId val="20170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de-DE" sz="900"/>
                  <a:t>variance of relative unemployment rates (over educational attainment levels, level none excluded), 15-64</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1705024"/>
        <c:crosses val="autoZero"/>
        <c:crossBetween val="between"/>
      </c:valAx>
      <c:valAx>
        <c:axId val="201705808"/>
        <c:scaling>
          <c:orientation val="minMax"/>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de-DE" sz="900" b="0" i="0" baseline="0">
                    <a:effectLst/>
                  </a:rPr>
                  <a:t>unemployment rate (15-64, unemployed on labour force)</a:t>
                </a:r>
                <a:endParaRPr lang="de-DE" sz="900">
                  <a:effectLst/>
                </a:endParaRPr>
              </a:p>
            </c:rich>
          </c:tx>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04027448"/>
        <c:crosses val="max"/>
        <c:crossBetween val="between"/>
      </c:valAx>
      <c:catAx>
        <c:axId val="204027448"/>
        <c:scaling>
          <c:orientation val="minMax"/>
        </c:scaling>
        <c:delete val="1"/>
        <c:axPos val="b"/>
        <c:numFmt formatCode="General" sourceLinked="1"/>
        <c:majorTickMark val="out"/>
        <c:minorTickMark val="none"/>
        <c:tickLblPos val="nextTo"/>
        <c:crossAx val="201705808"/>
        <c:crosses val="autoZero"/>
        <c:auto val="1"/>
        <c:lblAlgn val="ctr"/>
        <c:lblOffset val="100"/>
        <c:noMultiLvlLbl val="0"/>
      </c:cat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Reversed" id="26">
  <a:schemeClr val="accent6"/>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0B4B5CF8294CECA6924368DEFCD96C"/>
        <w:category>
          <w:name w:val="General"/>
          <w:gallery w:val="placeholder"/>
        </w:category>
        <w:types>
          <w:type w:val="bbPlcHdr"/>
        </w:types>
        <w:behaviors>
          <w:behavior w:val="content"/>
        </w:behaviors>
        <w:guid w:val="{64E784AB-077F-4F9B-B8DB-08DFF1543050}"/>
      </w:docPartPr>
      <w:docPartBody>
        <w:p w:rsidR="00042BBF" w:rsidRDefault="000C562B">
          <w:pPr>
            <w:pStyle w:val="540B4B5CF8294CECA6924368DEFCD96C"/>
          </w:pPr>
          <w:r>
            <w:rPr>
              <w:rStyle w:val="PlaceholderText"/>
            </w:rPr>
            <w:t>ENTER TITLE</w:t>
          </w:r>
        </w:p>
      </w:docPartBody>
    </w:docPart>
    <w:docPart>
      <w:docPartPr>
        <w:name w:val="144B9FBF85514307882812AF49F3427C"/>
        <w:category>
          <w:name w:val="Allgemein"/>
          <w:gallery w:val="placeholder"/>
        </w:category>
        <w:types>
          <w:type w:val="bbPlcHdr"/>
        </w:types>
        <w:behaviors>
          <w:behavior w:val="content"/>
        </w:behaviors>
        <w:guid w:val="{BACB3819-25BC-4089-8FC8-66A0B677E872}"/>
      </w:docPartPr>
      <w:docPartBody>
        <w:p w:rsidR="00F67CEE" w:rsidRDefault="00042BBF" w:rsidP="00042BBF">
          <w:pPr>
            <w:pStyle w:val="144B9FBF85514307882812AF49F3427C"/>
          </w:pPr>
          <w:r>
            <w:rPr>
              <w:rStyle w:val="PlaceholderText"/>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2"/>
  </w:compat>
  <w:rsids>
    <w:rsidRoot w:val="00042BBF"/>
    <w:rsid w:val="00042BBF"/>
    <w:rsid w:val="00064F29"/>
    <w:rsid w:val="000716DA"/>
    <w:rsid w:val="00071D24"/>
    <w:rsid w:val="00077D20"/>
    <w:rsid w:val="00081C7F"/>
    <w:rsid w:val="000C562B"/>
    <w:rsid w:val="001007FF"/>
    <w:rsid w:val="00150B4C"/>
    <w:rsid w:val="001D29E2"/>
    <w:rsid w:val="001E00BC"/>
    <w:rsid w:val="00276798"/>
    <w:rsid w:val="002935F5"/>
    <w:rsid w:val="002E7CC7"/>
    <w:rsid w:val="002F1318"/>
    <w:rsid w:val="002F7709"/>
    <w:rsid w:val="00440030"/>
    <w:rsid w:val="0046647C"/>
    <w:rsid w:val="004B0E4A"/>
    <w:rsid w:val="004E5985"/>
    <w:rsid w:val="00506EA8"/>
    <w:rsid w:val="0051515E"/>
    <w:rsid w:val="00530638"/>
    <w:rsid w:val="00536FCD"/>
    <w:rsid w:val="005E0E75"/>
    <w:rsid w:val="00610CF2"/>
    <w:rsid w:val="00641215"/>
    <w:rsid w:val="00671204"/>
    <w:rsid w:val="006D029B"/>
    <w:rsid w:val="00704468"/>
    <w:rsid w:val="007135B3"/>
    <w:rsid w:val="007572A1"/>
    <w:rsid w:val="00766031"/>
    <w:rsid w:val="00786343"/>
    <w:rsid w:val="007C3876"/>
    <w:rsid w:val="008119A8"/>
    <w:rsid w:val="00863FD8"/>
    <w:rsid w:val="008F1141"/>
    <w:rsid w:val="008F788E"/>
    <w:rsid w:val="00940795"/>
    <w:rsid w:val="00992D95"/>
    <w:rsid w:val="00A35C43"/>
    <w:rsid w:val="00A810C5"/>
    <w:rsid w:val="00AF56D6"/>
    <w:rsid w:val="00B27EEE"/>
    <w:rsid w:val="00B55550"/>
    <w:rsid w:val="00BA75C3"/>
    <w:rsid w:val="00BC6FB9"/>
    <w:rsid w:val="00CB7829"/>
    <w:rsid w:val="00CE2D8F"/>
    <w:rsid w:val="00D67A22"/>
    <w:rsid w:val="00D720C3"/>
    <w:rsid w:val="00F67C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9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2BBF"/>
    <w:rPr>
      <w:color w:val="808080"/>
    </w:rPr>
  </w:style>
  <w:style w:type="paragraph" w:customStyle="1" w:styleId="540B4B5CF8294CECA6924368DEFCD96C">
    <w:name w:val="540B4B5CF8294CECA6924368DEFCD96C"/>
    <w:rsid w:val="008119A8"/>
  </w:style>
  <w:style w:type="paragraph" w:customStyle="1" w:styleId="144B9FBF85514307882812AF49F3427C">
    <w:name w:val="144B9FBF85514307882812AF49F3427C"/>
    <w:rsid w:val="00042BB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616264"/>
      </a:dk2>
      <a:lt2>
        <a:srgbClr val="EEECE1"/>
      </a:lt2>
      <a:accent1>
        <a:srgbClr val="0092BB"/>
      </a:accent1>
      <a:accent2>
        <a:srgbClr val="66BED6"/>
      </a:accent2>
      <a:accent3>
        <a:srgbClr val="DC006B"/>
      </a:accent3>
      <a:accent4>
        <a:srgbClr val="0092BB"/>
      </a:accent4>
      <a:accent5>
        <a:srgbClr val="94C2D4"/>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perations Document" ma:contentTypeID="0x01010018C77CAB493C4CC28C851D171ACDEB5D0200F54737C3AF49E24CBDD2E364A88613E2" ma:contentTypeVersion="34" ma:contentTypeDescription="Create a new Operations document" ma:contentTypeScope="" ma:versionID="db440f6581750c0e5ee5774c2fa1731e">
  <xsd:schema xmlns:xsd="http://www.w3.org/2001/XMLSchema" xmlns:xs="http://www.w3.org/2001/XMLSchema" xmlns:p="http://schemas.microsoft.com/office/2006/metadata/properties" xmlns:ns1="df6b2545-d15d-4d63-86ca-644416e434f8" xmlns:ns2="ac1beadb-bbc3-47cf-8011-6c1f57cec43a" targetNamespace="http://schemas.microsoft.com/office/2006/metadata/properties" ma:root="true" ma:fieldsID="29e5a77750b6a8b79c843b58b1f64f53" ns1:_="" ns2:_="">
    <xsd:import namespace="df6b2545-d15d-4d63-86ca-644416e434f8"/>
    <xsd:import namespace="ac1beadb-bbc3-47cf-8011-6c1f57cec43a"/>
    <xsd:element name="properties">
      <xsd:complexType>
        <xsd:sequence>
          <xsd:element name="documentManagement">
            <xsd:complexType>
              <xsd:all>
                <xsd:element ref="ns1:Operations_x0020_Document_x0020_Type"/>
                <xsd:element ref="ns2:OperationsSubArea"/>
                <xsd:element ref="ns2:ReferenceYear"/>
                <xsd:element ref="ns2:Authors" minOccurs="0"/>
                <xsd:element ref="ns2:ETFLanguage" minOccurs="0"/>
                <xsd:element ref="ns2:ReferenceNumber" minOccurs="0"/>
                <xsd:element ref="ns1:OPS_x0020_Tags" minOccurs="0"/>
                <xsd:element ref="ns2:Employment_x0020_Keywords" minOccurs="0"/>
                <xsd:element ref="ns1:Countries" minOccurs="0"/>
                <xsd:element ref="ns1:Regions" minOccurs="0"/>
                <xsd:element ref="ns1:PA_EMPL" minOccurs="0"/>
                <xsd:element ref="ns1:Functions" minOccurs="0"/>
                <xsd:element ref="ns2:Status" minOccurs="0"/>
                <xsd:element ref="ns2:Origin" minOccurs="0"/>
                <xsd:element ref="ns1:General_x0020_Keywords" minOccurs="0"/>
                <xsd:element ref="ns1:_dlc_DocId" minOccurs="0"/>
                <xsd:element ref="ns1:_dlc_DocIdUrl" minOccurs="0"/>
                <xsd:element ref="ns1: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b2545-d15d-4d63-86ca-644416e434f8" elementFormDefault="qualified">
    <xsd:import namespace="http://schemas.microsoft.com/office/2006/documentManagement/types"/>
    <xsd:import namespace="http://schemas.microsoft.com/office/infopath/2007/PartnerControls"/>
    <xsd:element name="Operations_x0020_Document_x0020_Type" ma:index="0" ma:displayName="Operations Document Type" ma:format="Dropdown" ma:internalName="Operations_x0020_Document_x0020_Type">
      <xsd:simpleType>
        <xsd:restriction base="dms:Choice">
          <xsd:enumeration value="Article"/>
          <xsd:enumeration value="Briefing"/>
          <xsd:enumeration value="Compendium"/>
          <xsd:enumeration value="Context mechanism outcome"/>
          <xsd:enumeration value="Country report"/>
          <xsd:enumeration value="Country fiche"/>
          <xsd:enumeration value="Country strategic perspective"/>
          <xsd:enumeration value="Employability fiche"/>
          <xsd:enumeration value="ETF assessment"/>
          <xsd:enumeration value="ETF review"/>
          <xsd:enumeration value="Formulation fiche"/>
          <xsd:enumeration value="Guide"/>
          <xsd:enumeration value="Identification fiche"/>
          <xsd:enumeration value="Information note"/>
          <xsd:enumeration value="Key indicators"/>
          <xsd:enumeration value="KIESE"/>
          <xsd:enumeration value="Methodology"/>
          <xsd:enumeration value="Note"/>
          <xsd:enumeration value="Policy"/>
          <xsd:enumeration value="Policy brief"/>
          <xsd:enumeration value="Position paper"/>
          <xsd:enumeration value="Project assessment"/>
          <xsd:enumeration value="Project implementation plan"/>
          <xsd:enumeration value="Project leaflet"/>
          <xsd:enumeration value="Publication"/>
          <xsd:enumeration value="Reference document"/>
          <xsd:enumeration value="Region report"/>
          <xsd:enumeration value="Region fiche"/>
          <xsd:enumeration value="Report"/>
          <xsd:enumeration value="Statistical annex"/>
          <xsd:enumeration value="Statistics report"/>
          <xsd:enumeration value="Study"/>
          <xsd:enumeration value="Terms of reference"/>
          <xsd:enumeration value="Thematic paper"/>
          <xsd:enumeration value="Toolkit"/>
          <xsd:enumeration value="TRP annex"/>
          <xsd:enumeration value="Working paper"/>
        </xsd:restriction>
      </xsd:simpleType>
    </xsd:element>
    <xsd:element name="OPS_x0020_Tags" ma:index="8" nillable="true" ma:displayName="OPS Tags" ma:internalName="OPS_x0020_Tags" ma:requiredMultiChoice="true">
      <xsd:complexType>
        <xsd:complexContent>
          <xsd:extension base="dms:MultiChoice">
            <xsd:sequence>
              <xsd:element name="Value" maxOccurs="unbounded" minOccurs="0" nillable="true">
                <xsd:simpleType>
                  <xsd:restriction base="dms:Choice">
                    <xsd:enumeration value="Career Guidance"/>
                    <xsd:enumeration value="Competences"/>
                    <xsd:enumeration value="CVET and adult learning"/>
                    <xsd:enumeration value="Digital learning"/>
                    <xsd:enumeration value="Education and business"/>
                    <xsd:enumeration value="Employment and labour market"/>
                    <xsd:enumeration value="Enterprise skills"/>
                    <xsd:enumeration value="Entrepreneurial learning"/>
                    <xsd:enumeration value="Indicators"/>
                    <xsd:enumeration value="Matching and anticipation of skills"/>
                    <xsd:enumeration value="Migration and skills"/>
                    <xsd:enumeration value="Qualifications"/>
                    <xsd:enumeration value="Quality Assurance"/>
                    <xsd:enumeration value="Social partnership"/>
                    <xsd:enumeration value="Teaching and learning"/>
                    <xsd:enumeration value="Validation of prior learning"/>
                    <xsd:enumeration value="VET and social inclusion"/>
                    <xsd:enumeration value="VET and sustainable development"/>
                    <xsd:enumeration value="VET Governance"/>
                    <xsd:enumeration value="VET system assessment"/>
                    <xsd:enumeration value="Work-based learning"/>
                    <xsd:enumeration value="Not Applicable"/>
                  </xsd:restriction>
                </xsd:simpleType>
              </xsd:element>
            </xsd:sequence>
          </xsd:extension>
        </xsd:complexContent>
      </xsd:complexType>
    </xsd:element>
    <xsd:element name="Countries" ma:index="10" nillable="true" ma:displayName="Countries" ma:list="{9194351c-4b7d-432a-9a74-6cfaf37d5a5a}" ma:internalName="Countries" ma:readOnly="false" ma:showField="Title" ma:web="df6b2545-d15d-4d63-86ca-644416e434f8" ma:requiredMultiChoice="true">
      <xsd:complexType>
        <xsd:complexContent>
          <xsd:extension base="dms:MultiChoiceLookup">
            <xsd:sequence>
              <xsd:element name="Value" type="dms:Lookup" maxOccurs="unbounded" minOccurs="0" nillable="true"/>
            </xsd:sequence>
          </xsd:extension>
        </xsd:complexContent>
      </xsd:complexType>
    </xsd:element>
    <xsd:element name="Regions" ma:index="11" nillable="true" ma:displayName="Regions" ma:default="Not Applicable" ma:internalName="Regions" ma:requiredMultiChoice="true">
      <xsd:complexType>
        <xsd:complexContent>
          <xsd:extension base="dms:MultiChoice">
            <xsd:sequence>
              <xsd:element name="Value" maxOccurs="unbounded" minOccurs="0" nillable="true">
                <xsd:simpleType>
                  <xsd:restriction base="dms:Choice">
                    <xsd:enumeration value="Not Applicable"/>
                    <xsd:enumeration value="Central Asia"/>
                    <xsd:enumeration value="Eastern Europe"/>
                    <xsd:enumeration value="South Eastern Europe and Turkey (SEET)"/>
                    <xsd:enumeration value="Southern and Eastern Mediterranean (SEMED)"/>
                  </xsd:restriction>
                </xsd:simpleType>
              </xsd:element>
            </xsd:sequence>
          </xsd:extension>
        </xsd:complexContent>
      </xsd:complexType>
    </xsd:element>
    <xsd:element name="PA_EMPL" ma:index="12" nillable="true" ma:displayName="Project Activity" ma:list="{b7e2df2b-78a5-4814-9b37-2ac8d3918e00}" ma:internalName="PA_EMPL" ma:showField="Title" ma:web="df6b2545-d15d-4d63-86ca-644416e434f8">
      <xsd:simpleType>
        <xsd:restriction base="dms:Lookup"/>
      </xsd:simpleType>
    </xsd:element>
    <xsd:element name="Functions" ma:index="13" nillable="true" ma:displayName="Functions" ma:internalName="Functions">
      <xsd:complexType>
        <xsd:complexContent>
          <xsd:extension base="dms:MultiChoice">
            <xsd:sequence>
              <xsd:element name="Value" maxOccurs="unbounded" minOccurs="0" nillable="true">
                <xsd:simpleType>
                  <xsd:restriction base="dms:Choice">
                    <xsd:enumeration value="F1 Input to the Commission"/>
                    <xsd:enumeration value="F2 Capacity building"/>
                    <xsd:enumeration value="F3 Policy analysis"/>
                    <xsd:enumeration value="F4 Dissemination and networking"/>
                  </xsd:restriction>
                </xsd:simpleType>
              </xsd:element>
            </xsd:sequence>
          </xsd:extension>
        </xsd:complexContent>
      </xsd:complexType>
    </xsd:element>
    <xsd:element name="General_x0020_Keywords" ma:index="22" nillable="true" ma:displayName="General Keywords" ma:hidden="true" ma:internalName="General_x0020_Keywords" ma:readOnly="false">
      <xsd:complexType>
        <xsd:complexContent>
          <xsd:extension base="dms:MultiChoice">
            <xsd:sequence>
              <xsd:element name="Value" maxOccurs="unbounded" minOccurs="0" nillable="true">
                <xsd:simpleType>
                  <xsd:restriction base="dms:Choice">
                    <xsd:enumeration value="Administration"/>
                    <xsd:enumeration value="Audit"/>
                    <xsd:enumeration value="Budget"/>
                    <xsd:enumeration value="Communication"/>
                    <xsd:enumeration value="Corporate"/>
                    <xsd:enumeration value="Correspondence"/>
                    <xsd:enumeration value="Evaluation"/>
                    <xsd:enumeration value="Facilities"/>
                    <xsd:enumeration value="Finance"/>
                    <xsd:enumeration value="Governance"/>
                    <xsd:enumeration value="Human resources"/>
                    <xsd:enumeration value="ICT"/>
                    <xsd:enumeration value="Management"/>
                    <xsd:enumeration value="Monitoring"/>
                    <xsd:enumeration value="Operations"/>
                    <xsd:enumeration value="Organisational development"/>
                    <xsd:enumeration value="Planning"/>
                    <xsd:enumeration value="Procurement"/>
                    <xsd:enumeration value="Reporting"/>
                    <xsd:enumeration value="Staff committee"/>
                    <xsd:enumeration value="Strategy"/>
                  </xsd:restriction>
                </xsd:simpleType>
              </xsd:element>
            </xsd:sequence>
          </xsd:extension>
        </xsd:complexContent>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1beadb-bbc3-47cf-8011-6c1f57cec43a" elementFormDefault="qualified">
    <xsd:import namespace="http://schemas.microsoft.com/office/2006/documentManagement/types"/>
    <xsd:import namespace="http://schemas.microsoft.com/office/infopath/2007/PartnerControls"/>
    <xsd:element name="OperationsSubArea" ma:index="1" ma:displayName="Operations Sub Area" ma:format="Dropdown" ma:internalName="OperationsSubArea">
      <xsd:simpleType>
        <xsd:restriction base="dms:Choice">
          <xsd:enumeration value="Support to the EU policy and external assistance"/>
          <xsd:enumeration value="Policy analysis and system wide progress monitoring"/>
          <xsd:enumeration value="VET governance"/>
          <xsd:enumeration value="Qualifications and qualification system"/>
          <xsd:enumeration value="VET provision and quality"/>
          <xsd:enumeration value="Employment, employability and mobility"/>
          <xsd:enumeration value="Entrepreneurial learning and enterprise skills"/>
          <xsd:enumeration value="Country desks"/>
          <xsd:enumeration value="GEMM"/>
          <xsd:enumeration value="Statistics"/>
          <xsd:enumeration value="Knowledge management"/>
          <xsd:enumeration value="Capacity building"/>
          <xsd:enumeration value="Expertise development"/>
          <xsd:enumeration value="Regional activities"/>
          <xsd:enumeration value="Management and coordination"/>
          <xsd:enumeration value="Planning monitoring and reporting"/>
          <xsd:enumeration value="Finance and procurement"/>
        </xsd:restriction>
      </xsd:simpleType>
    </xsd:element>
    <xsd:element name="ReferenceYear" ma:index="4" ma:displayName="Reference Year" ma:default="2018" ma:format="Dropdown" ma:internalName="ReferenceYear">
      <xsd:simpleType>
        <xsd:restriction base="dms:Choice">
          <xsd:enumeration value="2030"/>
          <xsd:enumeration value="2029"/>
          <xsd:enumeration value="2028"/>
          <xsd:enumeration value="2027"/>
          <xsd:enumeration value="2026"/>
          <xsd:enumeration value="2025"/>
          <xsd:enumeration value="2024"/>
          <xsd:enumeration value="2023"/>
          <xsd:enumeration value="2021"/>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enumeration value="1989"/>
          <xsd:enumeration value="1988"/>
          <xsd:enumeration value="1987"/>
          <xsd:enumeration value="1986"/>
          <xsd:enumeration value="1985"/>
          <xsd:enumeration value="0000"/>
        </xsd:restriction>
      </xsd:simpleType>
    </xsd:element>
    <xsd:element name="Authors" ma:index="5" nillable="true" ma:displayName="Authors" ma:internalName="Authors">
      <xsd:simpleType>
        <xsd:restriction base="dms:Text"/>
      </xsd:simpleType>
    </xsd:element>
    <xsd:element name="ETFLanguage" ma:index="6" nillable="true" ma:displayName="Language" ma:default="English" ma:format="Dropdown" ma:internalName="ETFLanguage">
      <xsd:simpleType>
        <xsd:restriction base="dms:Choice">
          <xsd:enumeration value="English"/>
          <xsd:enumeration value="Italian"/>
          <xsd:enumeration value="French"/>
          <xsd:enumeration value="German"/>
          <xsd:enumeration value="Spanish"/>
          <xsd:enumeration value="Arabic"/>
          <xsd:enumeration value="Russian"/>
          <xsd:enumeration value="Local language"/>
        </xsd:restriction>
      </xsd:simpleType>
    </xsd:element>
    <xsd:element name="ReferenceNumber" ma:index="7" nillable="true" ma:displayName="Reference Number" ma:internalName="ReferenceNumber">
      <xsd:simpleType>
        <xsd:restriction base="dms:Text"/>
      </xsd:simpleType>
    </xsd:element>
    <xsd:element name="Employment_x0020_Keywords" ma:index="9" nillable="true" ma:displayName="Employment Keywords" ma:internalName="Employment_x0020_Keywords">
      <xsd:complexType>
        <xsd:complexContent>
          <xsd:extension base="dms:MultiChoice">
            <xsd:sequence>
              <xsd:element name="Value" maxOccurs="unbounded" minOccurs="0" nillable="true">
                <xsd:simpleType>
                  <xsd:restriction base="dms:Choice">
                    <xsd:enumeration value="ALMPs"/>
                    <xsd:enumeration value="PES"/>
                    <xsd:enumeration value="Youth"/>
                    <xsd:enumeration value="Skills Anticipation"/>
                  </xsd:restriction>
                </xsd:simpleType>
              </xsd:element>
            </xsd:sequence>
          </xsd:extension>
        </xsd:complexContent>
      </xsd:complexType>
    </xsd:element>
    <xsd:element name="Status" ma:index="14" nillable="true" ma:displayName="Status" ma:hidden="true" ma:internalName="Status" ma:readOnly="false">
      <xsd:simpleType>
        <xsd:restriction base="dms:Choice">
          <xsd:enumeration value="Draft"/>
          <xsd:enumeration value="Final"/>
          <xsd:enumeration value="Expired"/>
        </xsd:restriction>
      </xsd:simpleType>
    </xsd:element>
    <xsd:element name="Origin" ma:index="15" nillable="true" ma:displayName="Origin" ma:hidden="true" ma:internalName="Origin" ma:readOnly="false">
      <xsd:simpleType>
        <xsd:restriction base="dms:Choice">
          <xsd:enumeration value="ETF"/>
          <xsd:enumeration value="External"/>
          <xsd:enumeration value="Commiss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PS_x0020_Tags xmlns="df6b2545-d15d-4d63-86ca-644416e434f8">
      <Value>Employment and labour market</Value>
    </OPS_x0020_Tags>
    <Employment_x0020_Keywords xmlns="ac1beadb-bbc3-47cf-8011-6c1f57cec43a">
      <Value>Skills Anticipation</Value>
    </Employment_x0020_Keywords>
    <PA_EMPL xmlns="df6b2545-d15d-4d63-86ca-644416e434f8">4</PA_EMPL>
    <Operations_x0020_Document_x0020_Type xmlns="df6b2545-d15d-4d63-86ca-644416e434f8">Report</Operations_x0020_Document_x0020_Type>
    <Countries xmlns="df6b2545-d15d-4d63-86ca-644416e434f8">
      <Value>9</Value>
      <Value>22</Value>
      <Value>7</Value>
    </Countries>
    <Authors xmlns="ac1beadb-bbc3-47cf-8011-6c1f57cec43a" xsi:nil="true"/>
    <Regions xmlns="df6b2545-d15d-4d63-86ca-644416e434f8">
      <Value>Not Applicable</Value>
    </Regions>
    <Functions xmlns="df6b2545-d15d-4d63-86ca-644416e434f8">
      <Value>F4 Dissemination and networking</Value>
    </Functions>
    <Status xmlns="ac1beadb-bbc3-47cf-8011-6c1f57cec43a" xsi:nil="true"/>
    <OperationsSubArea xmlns="ac1beadb-bbc3-47cf-8011-6c1f57cec43a">Employment, employability and mobility</OperationsSubArea>
    <ReferenceYear xmlns="ac1beadb-bbc3-47cf-8011-6c1f57cec43a">2018</ReferenceYear>
    <ETFLanguage xmlns="ac1beadb-bbc3-47cf-8011-6c1f57cec43a">English</ETFLanguage>
    <ReferenceNumber xmlns="ac1beadb-bbc3-47cf-8011-6c1f57cec43a" xsi:nil="true"/>
    <Origin xmlns="ac1beadb-bbc3-47cf-8011-6c1f57cec43a" xsi:nil="true"/>
    <General_x0020_Keywords xmlns="df6b2545-d15d-4d63-86ca-644416e434f8"/>
    <_dlc_DocId xmlns="df6b2545-d15d-4d63-86ca-644416e434f8">ETFDMS-1827589975-1529</_dlc_DocId>
    <_dlc_DocIdUrl xmlns="df6b2545-d15d-4d63-86ca-644416e434f8">
      <Url>https://sharing.etf.europa.eu/sites/dms/ops/empl/_layouts/15/DocIdRedir.aspx?ID=ETFDMS-1827589975-1529</Url>
      <Description>ETFDMS-1827589975-1529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848FE-2E8D-49BA-8C2E-D1880C017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b2545-d15d-4d63-86ca-644416e434f8"/>
    <ds:schemaRef ds:uri="ac1beadb-bbc3-47cf-8011-6c1f57cec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F1CA61-C58F-4942-A4C9-983F32F6AD0A}">
  <ds:schemaRefs>
    <ds:schemaRef ds:uri="http://www.w3.org/XML/1998/namespace"/>
    <ds:schemaRef ds:uri="http://purl.org/dc/terms/"/>
    <ds:schemaRef ds:uri="http://purl.org/dc/dcmitype/"/>
    <ds:schemaRef ds:uri="http://schemas.microsoft.com/office/2006/documentManagement/types"/>
    <ds:schemaRef ds:uri="df6b2545-d15d-4d63-86ca-644416e434f8"/>
    <ds:schemaRef ds:uri="ac1beadb-bbc3-47cf-8011-6c1f57cec43a"/>
    <ds:schemaRef ds:uri="http://schemas.openxmlformats.org/package/2006/metadata/core-properties"/>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A412732-BEAC-417D-98AD-525F0CD5E0F8}">
  <ds:schemaRefs>
    <ds:schemaRef ds:uri="http://schemas.microsoft.com/sharepoint/events"/>
  </ds:schemaRefs>
</ds:datastoreItem>
</file>

<file path=customXml/itemProps4.xml><?xml version="1.0" encoding="utf-8"?>
<ds:datastoreItem xmlns:ds="http://schemas.openxmlformats.org/officeDocument/2006/customXml" ds:itemID="{9A1BE59D-D7E6-4F92-881E-722AEA40A706}">
  <ds:schemaRefs>
    <ds:schemaRef ds:uri="http://schemas.microsoft.com/sharepoint/v3/contenttype/forms"/>
  </ds:schemaRefs>
</ds:datastoreItem>
</file>

<file path=customXml/itemProps5.xml><?xml version="1.0" encoding="utf-8"?>
<ds:datastoreItem xmlns:ds="http://schemas.openxmlformats.org/officeDocument/2006/customXml" ds:itemID="{C2681D78-DC69-4C3E-B13A-795F900DD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ED7AEC54</Template>
  <TotalTime>1365</TotalTime>
  <Pages>38</Pages>
  <Words>15903</Words>
  <Characters>90652</Characters>
  <Application>Microsoft Office Word</Application>
  <DocSecurity>0</DocSecurity>
  <Lines>755</Lines>
  <Paragraphs>212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 finalisation of deliverables Skills Mismatch 2017</vt:lpstr>
      <vt:lpstr>Skills mismatch measurement in the ETF Partner Countries</vt:lpstr>
    </vt:vector>
  </TitlesOfParts>
  <Company>HP</Company>
  <LinksUpToDate>false</LinksUpToDate>
  <CharactersWithSpaces>106343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finalisation of deliverables Skills Mismatch 2017</dc:title>
  <dc:subject>Inception Report</dc:subject>
  <dc:creator>Ben Kriechel</dc:creator>
  <cp:lastModifiedBy>Cristina Mereuta</cp:lastModifiedBy>
  <cp:revision>6</cp:revision>
  <cp:lastPrinted>2018-03-20T12:35:00Z</cp:lastPrinted>
  <dcterms:created xsi:type="dcterms:W3CDTF">2018-04-23T09:36:00Z</dcterms:created>
  <dcterms:modified xsi:type="dcterms:W3CDTF">2018-05-15T15:48:00Z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ITLE">
    <vt:lpwstr/>
  </property>
  <property fmtid="{D5CDD505-2E9C-101B-9397-08002B2CF9AE}" pid="3" name="RibbonPtr">
    <vt:lpwstr>272825324</vt:lpwstr>
  </property>
  <property fmtid="{D5CDD505-2E9C-101B-9397-08002B2CF9AE}" pid="4" name="RibbonPtrTurnTownGlobaldotm">
    <vt:lpwstr>271218524</vt:lpwstr>
  </property>
  <property fmtid="{D5CDD505-2E9C-101B-9397-08002B2CF9AE}" pid="5" name="DocPath">
    <vt:lpwstr>\\archimedes\Apps\COMAPPS\Client Applications\ETF Templates\ETF Report.dotx</vt:lpwstr>
  </property>
  <property fmtid="{D5CDD505-2E9C-101B-9397-08002B2CF9AE}" pid="6" name="DocType">
    <vt:lpwstr>ETF</vt:lpwstr>
  </property>
  <property fmtid="{D5CDD505-2E9C-101B-9397-08002B2CF9AE}" pid="7" name="InitialTemplateVersion">
    <vt:lpwstr>2.4</vt:lpwstr>
  </property>
  <property fmtid="{D5CDD505-2E9C-101B-9397-08002B2CF9AE}" pid="8" name="CurrentTemplateVersion">
    <vt:lpwstr>2.4</vt:lpwstr>
  </property>
  <property fmtid="{D5CDD505-2E9C-101B-9397-08002B2CF9AE}" pid="9" name="DocTemplateName">
    <vt:lpwstr>ETF Report.dotx</vt:lpwstr>
  </property>
  <property fmtid="{D5CDD505-2E9C-101B-9397-08002B2CF9AE}" pid="10" name="ContentTypeId">
    <vt:lpwstr>0x01010018C77CAB493C4CC28C851D171ACDEB5D0200F54737C3AF49E24CBDD2E364A88613E2</vt:lpwstr>
  </property>
  <property fmtid="{D5CDD505-2E9C-101B-9397-08002B2CF9AE}" pid="11" name="Area">
    <vt:lpwstr>Operations</vt:lpwstr>
  </property>
  <property fmtid="{D5CDD505-2E9C-101B-9397-08002B2CF9AE}" pid="12" name="_dlc_DocIdItemGuid">
    <vt:lpwstr>8f86818f-3c17-422f-aa27-cbc0310f53ff</vt:lpwstr>
  </property>
</Properties>
</file>