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F92" w:rsidRPr="00E80602" w:rsidRDefault="0061059B" w:rsidP="0061059B">
      <w:pPr>
        <w:jc w:val="both"/>
        <w:rPr>
          <w:rFonts w:ascii="Sylfaen" w:hAnsi="Sylfaen"/>
        </w:rPr>
      </w:pPr>
      <w:proofErr w:type="gramStart"/>
      <w:r w:rsidRPr="00E80602">
        <w:rPr>
          <w:rFonts w:ascii="Sylfaen" w:hAnsi="Sylfaen"/>
          <w:b/>
        </w:rPr>
        <w:t>Overview.</w:t>
      </w:r>
      <w:proofErr w:type="gramEnd"/>
      <w:r w:rsidRPr="00E80602">
        <w:rPr>
          <w:rFonts w:ascii="Sylfaen" w:hAnsi="Sylfaen"/>
        </w:rPr>
        <w:t xml:space="preserve"> </w:t>
      </w:r>
      <w:proofErr w:type="gramStart"/>
      <w:r w:rsidR="003A0DE6" w:rsidRPr="00E80602">
        <w:rPr>
          <w:rFonts w:ascii="Sylfaen" w:hAnsi="Sylfaen"/>
        </w:rPr>
        <w:t xml:space="preserve">At first, about </w:t>
      </w:r>
      <w:r w:rsidR="003A0DE6" w:rsidRPr="00E80602">
        <w:rPr>
          <w:rFonts w:ascii="Sylfaen" w:hAnsi="Sylfaen"/>
          <w:bCs/>
        </w:rPr>
        <w:t>demographic and socio-economic situation in Georgia.</w:t>
      </w:r>
      <w:proofErr w:type="gramEnd"/>
      <w:r w:rsidR="003A0DE6" w:rsidRPr="00E80602">
        <w:rPr>
          <w:rFonts w:ascii="Sylfaen" w:hAnsi="Sylfaen"/>
          <w:b/>
          <w:bCs/>
        </w:rPr>
        <w:t xml:space="preserve"> </w:t>
      </w:r>
      <w:r w:rsidR="003A0DE6" w:rsidRPr="00E80602">
        <w:rPr>
          <w:rFonts w:ascii="Sylfaen" w:hAnsi="Sylfaen"/>
        </w:rPr>
        <w:t xml:space="preserve">Georgia is very small and beautiful country. </w:t>
      </w:r>
      <w:r w:rsidR="003A0DE6" w:rsidRPr="00E80602">
        <w:rPr>
          <w:rFonts w:ascii="Sylfaen" w:hAnsi="Sylfaen"/>
          <w:lang w:val="en-GB"/>
        </w:rPr>
        <w:t>The</w:t>
      </w:r>
      <w:r w:rsidR="003A0DE6" w:rsidRPr="00E80602">
        <w:rPr>
          <w:rFonts w:ascii="Sylfaen" w:hAnsi="Sylfaen"/>
        </w:rPr>
        <w:t xml:space="preserve"> country population made up </w:t>
      </w:r>
      <w:r w:rsidR="003D250E" w:rsidRPr="00E80602">
        <w:rPr>
          <w:rFonts w:ascii="Sylfaen" w:hAnsi="Sylfaen"/>
        </w:rPr>
        <w:t>3</w:t>
      </w:r>
      <w:r w:rsidR="003A0DE6" w:rsidRPr="00E80602">
        <w:rPr>
          <w:rFonts w:ascii="Sylfaen" w:hAnsi="Sylfaen"/>
        </w:rPr>
        <w:t>.7 million in 201</w:t>
      </w:r>
      <w:r w:rsidR="003D250E" w:rsidRPr="00E80602">
        <w:rPr>
          <w:rFonts w:ascii="Sylfaen" w:hAnsi="Sylfaen"/>
        </w:rPr>
        <w:t>5</w:t>
      </w:r>
      <w:r w:rsidR="003A0DE6" w:rsidRPr="00E80602">
        <w:rPr>
          <w:rFonts w:ascii="Sylfaen" w:hAnsi="Sylfaen"/>
        </w:rPr>
        <w:t xml:space="preserve">. Population growth rate per 1000 population is </w:t>
      </w:r>
      <w:r w:rsidR="003D250E" w:rsidRPr="00E80602">
        <w:rPr>
          <w:rFonts w:ascii="Sylfaen" w:hAnsi="Sylfaen"/>
        </w:rPr>
        <w:t>2.7</w:t>
      </w:r>
      <w:r w:rsidR="003A0DE6" w:rsidRPr="00E80602">
        <w:rPr>
          <w:rFonts w:ascii="Sylfaen" w:hAnsi="Sylfaen"/>
        </w:rPr>
        <w:t xml:space="preserve"> and Life expectancy at birth is quite high - 73 years. </w:t>
      </w:r>
    </w:p>
    <w:p w:rsidR="0061059B" w:rsidRPr="00E80602" w:rsidRDefault="003A0DE6" w:rsidP="0061059B">
      <w:pPr>
        <w:jc w:val="both"/>
        <w:rPr>
          <w:rFonts w:ascii="Sylfaen" w:hAnsi="Sylfaen"/>
          <w:bCs/>
        </w:rPr>
      </w:pPr>
      <w:r w:rsidRPr="00E80602">
        <w:rPr>
          <w:rFonts w:ascii="Sylfaen" w:hAnsi="Sylfaen"/>
        </w:rPr>
        <w:t>Child mortality rate is improved every year.</w:t>
      </w:r>
      <w:r w:rsidR="00032F92" w:rsidRPr="00E80602">
        <w:rPr>
          <w:rFonts w:ascii="Sylfaen" w:hAnsi="Sylfaen"/>
        </w:rPr>
        <w:t xml:space="preserve"> By official </w:t>
      </w:r>
      <w:r w:rsidR="00032F92" w:rsidRPr="00E80602">
        <w:rPr>
          <w:rFonts w:ascii="Sylfaen" w:hAnsi="Sylfaen"/>
          <w:bCs/>
        </w:rPr>
        <w:t xml:space="preserve">statistics Georgia has been able to reach the Millennium Development Goal 4. </w:t>
      </w:r>
      <w:r w:rsidRPr="00E80602">
        <w:rPr>
          <w:rFonts w:ascii="Sylfaen" w:hAnsi="Sylfaen"/>
          <w:bCs/>
        </w:rPr>
        <w:t>In 2014</w:t>
      </w:r>
      <w:r w:rsidR="001F23FA">
        <w:rPr>
          <w:rFonts w:ascii="Sylfaen" w:hAnsi="Sylfaen"/>
          <w:bCs/>
          <w:lang w:val="ka-GE"/>
        </w:rPr>
        <w:t>5</w:t>
      </w:r>
      <w:r w:rsidRPr="00E80602">
        <w:rPr>
          <w:rFonts w:ascii="Sylfaen" w:hAnsi="Sylfaen"/>
          <w:bCs/>
        </w:rPr>
        <w:t xml:space="preserve"> under-5 mortality rate </w:t>
      </w:r>
      <w:r w:rsidR="004B6FF4" w:rsidRPr="00E80602">
        <w:rPr>
          <w:rFonts w:ascii="Sylfaen" w:hAnsi="Sylfaen"/>
          <w:bCs/>
        </w:rPr>
        <w:t>was</w:t>
      </w:r>
      <w:r w:rsidRPr="00E80602">
        <w:rPr>
          <w:rFonts w:ascii="Sylfaen" w:hAnsi="Sylfaen"/>
          <w:bCs/>
        </w:rPr>
        <w:t xml:space="preserve"> </w:t>
      </w:r>
      <w:r w:rsidR="001F23FA">
        <w:rPr>
          <w:rFonts w:ascii="Sylfaen" w:hAnsi="Sylfaen"/>
          <w:bCs/>
          <w:lang w:val="ka-GE"/>
        </w:rPr>
        <w:t>10.2</w:t>
      </w:r>
      <w:r w:rsidRPr="00E80602">
        <w:rPr>
          <w:rFonts w:ascii="Sylfaen" w:hAnsi="Sylfaen"/>
          <w:bCs/>
        </w:rPr>
        <w:t xml:space="preserve"> and infant mortality rate </w:t>
      </w:r>
      <w:r w:rsidR="004B6FF4" w:rsidRPr="00E80602">
        <w:rPr>
          <w:rFonts w:ascii="Sylfaen" w:hAnsi="Sylfaen"/>
          <w:bCs/>
        </w:rPr>
        <w:t>was</w:t>
      </w:r>
      <w:r w:rsidRPr="00E80602">
        <w:rPr>
          <w:rFonts w:ascii="Sylfaen" w:hAnsi="Sylfaen"/>
          <w:bCs/>
        </w:rPr>
        <w:t xml:space="preserve"> </w:t>
      </w:r>
      <w:r w:rsidR="001F23FA">
        <w:rPr>
          <w:rFonts w:ascii="Sylfaen" w:hAnsi="Sylfaen"/>
          <w:bCs/>
          <w:lang w:val="ka-GE"/>
        </w:rPr>
        <w:t>8.6</w:t>
      </w:r>
      <w:r w:rsidRPr="00E80602">
        <w:rPr>
          <w:rFonts w:ascii="Sylfaen" w:hAnsi="Sylfaen"/>
          <w:bCs/>
        </w:rPr>
        <w:t xml:space="preserve"> </w:t>
      </w:r>
      <w:r w:rsidR="004B6FF4" w:rsidRPr="00E80602">
        <w:rPr>
          <w:rFonts w:ascii="Sylfaen" w:hAnsi="Sylfaen"/>
          <w:bCs/>
        </w:rPr>
        <w:t xml:space="preserve">per </w:t>
      </w:r>
      <w:r w:rsidRPr="00E80602">
        <w:rPr>
          <w:rFonts w:ascii="Sylfaen" w:hAnsi="Sylfaen"/>
          <w:bCs/>
        </w:rPr>
        <w:t>1000 live birth. Maternal</w:t>
      </w:r>
      <w:r w:rsidR="002360EB" w:rsidRPr="00E80602">
        <w:rPr>
          <w:rFonts w:ascii="Sylfaen" w:hAnsi="Sylfaen"/>
          <w:bCs/>
        </w:rPr>
        <w:t xml:space="preserve"> mortality ratio is still high 32.</w:t>
      </w:r>
      <w:r w:rsidR="001F23FA">
        <w:rPr>
          <w:rFonts w:ascii="Sylfaen" w:hAnsi="Sylfaen"/>
          <w:bCs/>
          <w:lang w:val="ka-GE"/>
        </w:rPr>
        <w:t>2</w:t>
      </w:r>
      <w:r w:rsidRPr="00E80602">
        <w:rPr>
          <w:rFonts w:ascii="Sylfaen" w:hAnsi="Sylfaen"/>
          <w:bCs/>
        </w:rPr>
        <w:t xml:space="preserve"> per 100000 </w:t>
      </w:r>
      <w:r w:rsidR="00F10CAB" w:rsidRPr="00E80602">
        <w:rPr>
          <w:rFonts w:ascii="Sylfaen" w:hAnsi="Sylfaen"/>
          <w:bCs/>
        </w:rPr>
        <w:t xml:space="preserve">live births. </w:t>
      </w:r>
    </w:p>
    <w:p w:rsidR="0061059B" w:rsidRPr="00E80602" w:rsidRDefault="0061059B" w:rsidP="0061059B">
      <w:pPr>
        <w:jc w:val="both"/>
        <w:rPr>
          <w:rFonts w:ascii="Sylfaen" w:hAnsi="Sylfaen"/>
          <w:bCs/>
        </w:rPr>
      </w:pPr>
      <w:r w:rsidRPr="00E80602">
        <w:rPr>
          <w:rFonts w:ascii="Sylfaen" w:hAnsi="Sylfaen" w:cs="Franklin Gothic Medium"/>
          <w:bCs/>
          <w:color w:val="231F20"/>
        </w:rPr>
        <w:t xml:space="preserve">In Georgia the right of health protection, defined by article 25 of UN Declaration of Human Rights is regulated by the law “On health Care” in Georgia: article 6 discrimination of the patient on the basis of race, language, sex, religion, political or other opinion, national, ethnic or social origin, property and title, place of residence, disease, sexual orientation or negative personal attitude is not allowed. Protection of the right of citizens on health protection is performed by the law “On the rights of patients”. </w:t>
      </w:r>
    </w:p>
    <w:p w:rsidR="00032F92" w:rsidRPr="00E80602" w:rsidRDefault="00A926CB" w:rsidP="0061059B">
      <w:pPr>
        <w:jc w:val="both"/>
        <w:rPr>
          <w:rFonts w:ascii="Sylfaen" w:hAnsi="Sylfaen"/>
          <w:bCs/>
        </w:rPr>
      </w:pPr>
      <w:r w:rsidRPr="00E80602">
        <w:rPr>
          <w:rFonts w:ascii="Sylfaen" w:hAnsi="Sylfaen"/>
          <w:bCs/>
        </w:rPr>
        <w:t xml:space="preserve">In accordance with the EU association agenda, </w:t>
      </w:r>
      <w:r w:rsidR="00B10A2B" w:rsidRPr="00E80602">
        <w:rPr>
          <w:rFonts w:ascii="Sylfaen" w:hAnsi="Sylfaen"/>
          <w:bCs/>
        </w:rPr>
        <w:t xml:space="preserve">one of the field of cooperation is </w:t>
      </w:r>
      <w:r w:rsidR="00932FDE" w:rsidRPr="00E80602">
        <w:rPr>
          <w:rFonts w:ascii="Sylfaen" w:hAnsi="Sylfaen"/>
          <w:bCs/>
        </w:rPr>
        <w:t>strengthening of the public health system of Georgia in particular through continuing health sector reform, ensuring high-quality healthcare, development of human resources for health, improving health governance and healthcare financing</w:t>
      </w:r>
      <w:r w:rsidR="00B10A2B" w:rsidRPr="00E80602">
        <w:rPr>
          <w:rFonts w:ascii="Sylfaen" w:hAnsi="Sylfaen"/>
          <w:bCs/>
        </w:rPr>
        <w:t xml:space="preserve"> (article 356).</w:t>
      </w:r>
    </w:p>
    <w:p w:rsidR="00F10CAB" w:rsidRPr="00E80602" w:rsidRDefault="000A5134" w:rsidP="006105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E80602">
        <w:rPr>
          <w:rFonts w:ascii="Sylfaen" w:hAnsi="Sylfaen"/>
        </w:rPr>
        <w:t xml:space="preserve">That’s </w:t>
      </w:r>
      <w:proofErr w:type="gramStart"/>
      <w:r w:rsidRPr="00E80602">
        <w:rPr>
          <w:rFonts w:ascii="Sylfaen" w:hAnsi="Sylfaen"/>
        </w:rPr>
        <w:t>why,</w:t>
      </w:r>
      <w:proofErr w:type="gramEnd"/>
      <w:r w:rsidR="00B10A2B" w:rsidRPr="00E80602">
        <w:rPr>
          <w:rFonts w:ascii="Sylfaen" w:hAnsi="Sylfaen"/>
        </w:rPr>
        <w:t xml:space="preserve"> i</w:t>
      </w:r>
      <w:r w:rsidR="00F10CAB" w:rsidRPr="00E80602">
        <w:rPr>
          <w:rFonts w:ascii="Sylfaen" w:hAnsi="Sylfaen"/>
        </w:rPr>
        <w:t xml:space="preserve">n 2014 Government of Georgia adopted Georgian Healthcare System Concept </w:t>
      </w:r>
      <w:r w:rsidR="00F10CAB" w:rsidRPr="00E80602">
        <w:rPr>
          <w:rFonts w:ascii="Sylfaen" w:hAnsi="Sylfaen"/>
        </w:rPr>
        <w:br/>
      </w:r>
      <w:r w:rsidR="009A4D2A" w:rsidRPr="00E80602">
        <w:rPr>
          <w:rFonts w:ascii="Sylfaen" w:hAnsi="Sylfaen"/>
        </w:rPr>
        <w:t xml:space="preserve">for </w:t>
      </w:r>
      <w:r w:rsidR="00F10CAB" w:rsidRPr="00E80602">
        <w:rPr>
          <w:rFonts w:ascii="Sylfaen" w:hAnsi="Sylfaen"/>
        </w:rPr>
        <w:t xml:space="preserve">2014-2020 “Universal Healthcare and Quality Management for Protection of Patient Rights”. The aim of the state policy in the healthcare sector is to increase life expectancy of Georgian population, reduce maternal and child mortality, improve health status and quality of life; this aim could be attained through provision of universal access to quality medical services and modern pharmaceutical products, balanced distribution of financial burden and increasing financial protection in the healthcare sector, effective use of existing resources, adequate response to population’s health needs and development of flexible governance system. </w:t>
      </w:r>
    </w:p>
    <w:p w:rsidR="000A5134" w:rsidRPr="00E80602" w:rsidRDefault="000A5134" w:rsidP="000A5134">
      <w:pPr>
        <w:pStyle w:val="NormalWeb"/>
        <w:shd w:val="clear" w:color="auto" w:fill="FFFFFF"/>
        <w:spacing w:before="0" w:beforeAutospacing="0" w:after="200" w:afterAutospacing="0" w:line="276" w:lineRule="auto"/>
        <w:ind w:right="300"/>
        <w:jc w:val="both"/>
        <w:textAlignment w:val="baseline"/>
        <w:rPr>
          <w:rFonts w:ascii="Sylfaen" w:eastAsiaTheme="minorHAnsi" w:hAnsi="Sylfaen" w:cs="Franklin Gothic Medium"/>
          <w:color w:val="231F20"/>
          <w:sz w:val="22"/>
          <w:szCs w:val="22"/>
        </w:rPr>
      </w:pPr>
      <w:r w:rsidRPr="00E80602">
        <w:rPr>
          <w:rFonts w:ascii="Sylfaen" w:eastAsiaTheme="minorHAnsi" w:hAnsi="Sylfaen" w:cs="Franklin Gothic Medium"/>
          <w:b/>
          <w:color w:val="231F20"/>
          <w:sz w:val="22"/>
          <w:szCs w:val="22"/>
        </w:rPr>
        <w:t>Universal Health Coverage</w:t>
      </w:r>
      <w:r w:rsidRPr="00E80602">
        <w:rPr>
          <w:rFonts w:ascii="Sylfaen" w:eastAsia="Calibri" w:hAnsi="Sylfaen" w:cs="Franklin Gothic Medium"/>
          <w:b/>
          <w:bCs/>
          <w:color w:val="231F20"/>
          <w:sz w:val="22"/>
          <w:szCs w:val="22"/>
          <w:lang w:val="x-none" w:eastAsia="x-none"/>
        </w:rPr>
        <w:t xml:space="preserve">: </w:t>
      </w:r>
      <w:r w:rsidRPr="00E80602">
        <w:rPr>
          <w:rFonts w:ascii="Sylfaen" w:eastAsiaTheme="minorHAnsi" w:hAnsi="Sylfaen" w:cs="Franklin Gothic Medium"/>
          <w:color w:val="231F20"/>
          <w:sz w:val="22"/>
          <w:szCs w:val="22"/>
        </w:rPr>
        <w:t xml:space="preserve">Universal Health Coverage (UHC) means everyone can access quality health services without struggling to pay for them. Reaching UHC is imperative to the achievement of SDG 3 for 2030 – Ensure healthy lives and </w:t>
      </w:r>
      <w:proofErr w:type="gramStart"/>
      <w:r w:rsidRPr="00E80602">
        <w:rPr>
          <w:rFonts w:ascii="Sylfaen" w:eastAsiaTheme="minorHAnsi" w:hAnsi="Sylfaen" w:cs="Franklin Gothic Medium"/>
          <w:color w:val="231F20"/>
          <w:sz w:val="22"/>
          <w:szCs w:val="22"/>
        </w:rPr>
        <w:t>promote</w:t>
      </w:r>
      <w:proofErr w:type="gramEnd"/>
      <w:r w:rsidRPr="00E80602">
        <w:rPr>
          <w:rFonts w:ascii="Sylfaen" w:eastAsiaTheme="minorHAnsi" w:hAnsi="Sylfaen" w:cs="Franklin Gothic Medium"/>
          <w:color w:val="231F20"/>
          <w:sz w:val="22"/>
          <w:szCs w:val="22"/>
        </w:rPr>
        <w:t xml:space="preserve"> well-being for all at all ages – and its importance is recognized across the global public health community. </w:t>
      </w:r>
    </w:p>
    <w:p w:rsidR="00F10CAB" w:rsidRPr="00E80602" w:rsidRDefault="00F10CAB" w:rsidP="006105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E80602">
        <w:rPr>
          <w:rFonts w:ascii="Sylfaen" w:hAnsi="Sylfaen"/>
        </w:rPr>
        <w:t xml:space="preserve">Increasing population’s access to medical care and improvement of its quality are the main priority of the Government of Georgia. The strong political will pledged in the election platform was translated into an unprecedented, expansion </w:t>
      </w:r>
      <w:bookmarkStart w:id="0" w:name="_GoBack"/>
      <w:bookmarkEnd w:id="0"/>
      <w:r w:rsidRPr="00E80602">
        <w:rPr>
          <w:rFonts w:ascii="Sylfaen" w:hAnsi="Sylfaen"/>
        </w:rPr>
        <w:t>of budget</w:t>
      </w:r>
      <w:r w:rsidR="009A4D2A" w:rsidRPr="00E80602">
        <w:rPr>
          <w:rFonts w:ascii="Sylfaen" w:hAnsi="Sylfaen"/>
        </w:rPr>
        <w:t>ary allocation for health</w:t>
      </w:r>
      <w:r w:rsidR="000A5134" w:rsidRPr="00E80602">
        <w:rPr>
          <w:rFonts w:ascii="Sylfaen" w:hAnsi="Sylfaen"/>
        </w:rPr>
        <w:t>,</w:t>
      </w:r>
      <w:r w:rsidR="009A4D2A" w:rsidRPr="00E80602">
        <w:rPr>
          <w:rFonts w:ascii="Sylfaen" w:hAnsi="Sylfaen"/>
        </w:rPr>
        <w:t xml:space="preserve"> </w:t>
      </w:r>
      <w:r w:rsidR="000A5134" w:rsidRPr="00E80602">
        <w:rPr>
          <w:rFonts w:ascii="Sylfaen" w:hAnsi="Sylfaen" w:cs="Franklin Gothic Medium"/>
          <w:bCs/>
          <w:color w:val="231F20"/>
        </w:rPr>
        <w:t xml:space="preserve">almost 3-fold expansion of budgetary allocation for health </w:t>
      </w:r>
      <w:proofErr w:type="gramStart"/>
      <w:r w:rsidR="009A4D2A" w:rsidRPr="00E80602">
        <w:rPr>
          <w:rFonts w:ascii="Sylfaen" w:hAnsi="Sylfaen"/>
        </w:rPr>
        <w:t>(from</w:t>
      </w:r>
      <w:r w:rsidRPr="00E80602">
        <w:rPr>
          <w:rFonts w:ascii="Sylfaen" w:hAnsi="Sylfaen"/>
        </w:rPr>
        <w:t xml:space="preserve"> 432 million G</w:t>
      </w:r>
      <w:r w:rsidR="002915CB" w:rsidRPr="00E80602">
        <w:rPr>
          <w:rFonts w:ascii="Sylfaen" w:hAnsi="Sylfaen"/>
        </w:rPr>
        <w:t xml:space="preserve">eorgian </w:t>
      </w:r>
      <w:proofErr w:type="spellStart"/>
      <w:r w:rsidR="002915CB" w:rsidRPr="00E80602">
        <w:rPr>
          <w:rFonts w:ascii="Sylfaen" w:hAnsi="Sylfaen"/>
        </w:rPr>
        <w:t>Lari</w:t>
      </w:r>
      <w:proofErr w:type="spellEnd"/>
      <w:r w:rsidR="002915CB" w:rsidRPr="00E80602">
        <w:rPr>
          <w:rFonts w:ascii="Sylfaen" w:hAnsi="Sylfaen"/>
        </w:rPr>
        <w:t xml:space="preserve"> </w:t>
      </w:r>
      <w:r w:rsidRPr="00E80602">
        <w:rPr>
          <w:rFonts w:ascii="Sylfaen" w:hAnsi="Sylfaen"/>
        </w:rPr>
        <w:t xml:space="preserve">in 2012 to 800 million </w:t>
      </w:r>
      <w:r w:rsidR="009A4D2A" w:rsidRPr="00E80602">
        <w:rPr>
          <w:rFonts w:ascii="Sylfaen" w:hAnsi="Sylfaen"/>
        </w:rPr>
        <w:t>Georgian</w:t>
      </w:r>
      <w:r w:rsidR="002915CB" w:rsidRPr="00E80602">
        <w:rPr>
          <w:rFonts w:ascii="Sylfaen" w:hAnsi="Sylfaen"/>
        </w:rPr>
        <w:t xml:space="preserve"> </w:t>
      </w:r>
      <w:proofErr w:type="spellStart"/>
      <w:r w:rsidR="002915CB" w:rsidRPr="00E80602">
        <w:rPr>
          <w:rFonts w:ascii="Sylfaen" w:hAnsi="Sylfaen"/>
        </w:rPr>
        <w:t>Lari</w:t>
      </w:r>
      <w:proofErr w:type="spellEnd"/>
      <w:r w:rsidRPr="00E80602">
        <w:rPr>
          <w:rFonts w:ascii="Sylfaen" w:hAnsi="Sylfaen"/>
        </w:rPr>
        <w:t xml:space="preserve"> for 2016)</w:t>
      </w:r>
      <w:proofErr w:type="gramEnd"/>
      <w:r w:rsidRPr="00E80602">
        <w:rPr>
          <w:rFonts w:ascii="Sylfaen" w:hAnsi="Sylfaen"/>
        </w:rPr>
        <w:t xml:space="preserve">. </w:t>
      </w:r>
    </w:p>
    <w:p w:rsidR="00C357C8" w:rsidRPr="00E80602" w:rsidRDefault="002915CB" w:rsidP="006105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E80602">
        <w:rPr>
          <w:rFonts w:ascii="Sylfaen" w:hAnsi="Sylfaen"/>
        </w:rPr>
        <w:t>In 201</w:t>
      </w:r>
      <w:r w:rsidR="00CC3125" w:rsidRPr="00E80602">
        <w:rPr>
          <w:rFonts w:ascii="Sylfaen" w:hAnsi="Sylfaen"/>
        </w:rPr>
        <w:t>2-201</w:t>
      </w:r>
      <w:r w:rsidR="000A5134" w:rsidRPr="00E80602">
        <w:rPr>
          <w:rFonts w:ascii="Sylfaen" w:hAnsi="Sylfaen"/>
        </w:rPr>
        <w:t>5</w:t>
      </w:r>
      <w:r w:rsidR="00CC3125" w:rsidRPr="00E80602">
        <w:rPr>
          <w:rFonts w:ascii="Sylfaen" w:hAnsi="Sylfaen"/>
        </w:rPr>
        <w:t>,</w:t>
      </w:r>
      <w:r w:rsidR="004F3C91" w:rsidRPr="00E80602">
        <w:rPr>
          <w:rFonts w:ascii="Sylfaen" w:hAnsi="Sylfaen"/>
        </w:rPr>
        <w:t xml:space="preserve"> Public expenditure on health as % of GDP </w:t>
      </w:r>
      <w:r w:rsidR="00CC3125" w:rsidRPr="00E80602">
        <w:rPr>
          <w:rFonts w:ascii="Sylfaen" w:hAnsi="Sylfaen"/>
        </w:rPr>
        <w:t>increases</w:t>
      </w:r>
      <w:r w:rsidR="004F3C91" w:rsidRPr="00E80602">
        <w:rPr>
          <w:rFonts w:ascii="Sylfaen" w:hAnsi="Sylfaen"/>
        </w:rPr>
        <w:t xml:space="preserve"> from 1.7% to 2.</w:t>
      </w:r>
      <w:r w:rsidR="000A5134" w:rsidRPr="00E80602">
        <w:rPr>
          <w:rFonts w:ascii="Sylfaen" w:hAnsi="Sylfaen"/>
        </w:rPr>
        <w:t>7</w:t>
      </w:r>
      <w:proofErr w:type="gramStart"/>
      <w:r w:rsidR="004F3C91" w:rsidRPr="00E80602">
        <w:rPr>
          <w:rFonts w:ascii="Sylfaen" w:hAnsi="Sylfaen"/>
        </w:rPr>
        <w:t>%</w:t>
      </w:r>
      <w:r w:rsidR="00CC3125" w:rsidRPr="00E80602">
        <w:rPr>
          <w:rFonts w:ascii="Sylfaen" w:hAnsi="Sylfaen"/>
        </w:rPr>
        <w:t>,</w:t>
      </w:r>
      <w:proofErr w:type="gramEnd"/>
      <w:r w:rsidR="004F3C91" w:rsidRPr="00E80602">
        <w:rPr>
          <w:rFonts w:ascii="Sylfaen" w:hAnsi="Sylfaen"/>
        </w:rPr>
        <w:t xml:space="preserve"> </w:t>
      </w:r>
      <w:r w:rsidR="00CC3125" w:rsidRPr="00E80602">
        <w:rPr>
          <w:rFonts w:ascii="Sylfaen" w:hAnsi="Sylfaen"/>
        </w:rPr>
        <w:t>also</w:t>
      </w:r>
      <w:r w:rsidR="004F3C91" w:rsidRPr="00E80602">
        <w:rPr>
          <w:rFonts w:ascii="Sylfaen" w:hAnsi="Sylfaen"/>
        </w:rPr>
        <w:t xml:space="preserve"> increase</w:t>
      </w:r>
      <w:r w:rsidR="00CC3125" w:rsidRPr="00E80602">
        <w:rPr>
          <w:rFonts w:ascii="Sylfaen" w:hAnsi="Sylfaen"/>
        </w:rPr>
        <w:t>d</w:t>
      </w:r>
      <w:r w:rsidR="004F3C91" w:rsidRPr="00E80602">
        <w:rPr>
          <w:rFonts w:ascii="Sylfaen" w:hAnsi="Sylfaen"/>
        </w:rPr>
        <w:t xml:space="preserve"> share </w:t>
      </w:r>
      <w:r w:rsidR="00CC3125" w:rsidRPr="00E80602">
        <w:rPr>
          <w:rFonts w:ascii="Sylfaen" w:hAnsi="Sylfaen"/>
        </w:rPr>
        <w:t xml:space="preserve">of funding </w:t>
      </w:r>
      <w:r w:rsidR="004F3C91" w:rsidRPr="00E80602">
        <w:rPr>
          <w:rFonts w:ascii="Sylfaen" w:hAnsi="Sylfaen"/>
        </w:rPr>
        <w:t xml:space="preserve">on health from Government budget. </w:t>
      </w:r>
    </w:p>
    <w:p w:rsidR="000A5134" w:rsidRPr="00E80602" w:rsidRDefault="004F3C91" w:rsidP="006105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E80602">
        <w:rPr>
          <w:rFonts w:ascii="Sylfaen" w:hAnsi="Sylfaen"/>
        </w:rPr>
        <w:lastRenderedPageBreak/>
        <w:t>The second major step towards securing enjoyment of health rights in the country was the launch of a</w:t>
      </w:r>
      <w:r w:rsidR="002C36B6" w:rsidRPr="00E80602">
        <w:rPr>
          <w:rFonts w:ascii="Sylfaen" w:hAnsi="Sylfaen"/>
        </w:rPr>
        <w:t xml:space="preserve"> Universal Health Care Program</w:t>
      </w:r>
      <w:r w:rsidRPr="00E80602">
        <w:rPr>
          <w:rFonts w:ascii="Sylfaen" w:hAnsi="Sylfaen"/>
        </w:rPr>
        <w:t xml:space="preserve"> in February 2013. </w:t>
      </w:r>
      <w:proofErr w:type="gramStart"/>
      <w:r w:rsidR="00CC3125" w:rsidRPr="00E80602">
        <w:rPr>
          <w:rFonts w:ascii="Sylfaen" w:hAnsi="Sylfaen"/>
        </w:rPr>
        <w:t>W</w:t>
      </w:r>
      <w:r w:rsidRPr="00E80602">
        <w:rPr>
          <w:rFonts w:ascii="Sylfaen" w:hAnsi="Sylfaen"/>
        </w:rPr>
        <w:t>hich has led to a major expansion in population entitlement to publicly financed health services.</w:t>
      </w:r>
      <w:proofErr w:type="gramEnd"/>
      <w:r w:rsidRPr="00E80602">
        <w:rPr>
          <w:rFonts w:ascii="Sylfaen" w:hAnsi="Sylfaen"/>
        </w:rPr>
        <w:t xml:space="preserve"> </w:t>
      </w:r>
    </w:p>
    <w:p w:rsidR="000A5134" w:rsidRPr="00E80602" w:rsidRDefault="000A5134" w:rsidP="000A5134">
      <w:pPr>
        <w:pStyle w:val="ListParagraph"/>
        <w:tabs>
          <w:tab w:val="left" w:pos="720"/>
          <w:tab w:val="left" w:pos="11340"/>
        </w:tabs>
        <w:ind w:left="0"/>
        <w:contextualSpacing w:val="0"/>
        <w:jc w:val="both"/>
        <w:rPr>
          <w:rFonts w:ascii="Sylfaen" w:eastAsiaTheme="minorHAnsi" w:hAnsi="Sylfaen"/>
        </w:rPr>
      </w:pPr>
      <w:r w:rsidRPr="00E80602">
        <w:rPr>
          <w:rFonts w:ascii="Sylfaen" w:eastAsiaTheme="minorHAnsi" w:hAnsi="Sylfaen"/>
        </w:rPr>
        <w:t>Universal Healthcare Program covers the basic package of planned and emergency in- and out-patient clinical care, including oncology and maternity services.</w:t>
      </w:r>
    </w:p>
    <w:p w:rsidR="005F32E1" w:rsidRPr="00E80602" w:rsidRDefault="005F32E1" w:rsidP="000A5134">
      <w:pPr>
        <w:pStyle w:val="ListParagraph"/>
        <w:tabs>
          <w:tab w:val="left" w:pos="720"/>
          <w:tab w:val="left" w:pos="11340"/>
        </w:tabs>
        <w:ind w:left="0"/>
        <w:contextualSpacing w:val="0"/>
        <w:jc w:val="both"/>
        <w:rPr>
          <w:rFonts w:ascii="Sylfaen" w:eastAsiaTheme="minorHAnsi" w:hAnsi="Sylfaen"/>
        </w:rPr>
      </w:pPr>
      <w:r w:rsidRPr="00E80602">
        <w:rPr>
          <w:rFonts w:ascii="Sylfaen" w:hAnsi="Sylfaen"/>
        </w:rPr>
        <w:t xml:space="preserve">Universal health care program beneficiaries are </w:t>
      </w:r>
      <w:r w:rsidR="009D7F57" w:rsidRPr="00E80602">
        <w:rPr>
          <w:rFonts w:ascii="Sylfaen" w:hAnsi="Sylfaen"/>
        </w:rPr>
        <w:t>all citizens of Georgia</w:t>
      </w:r>
      <w:r w:rsidRPr="00E80602">
        <w:rPr>
          <w:rFonts w:ascii="Sylfaen" w:hAnsi="Sylfaen"/>
        </w:rPr>
        <w:t xml:space="preserve">, </w:t>
      </w:r>
      <w:r w:rsidR="009D7F57" w:rsidRPr="00E80602">
        <w:rPr>
          <w:rFonts w:ascii="Sylfaen" w:hAnsi="Sylfaen"/>
        </w:rPr>
        <w:t>Stateless persons</w:t>
      </w:r>
      <w:r w:rsidRPr="00E80602">
        <w:rPr>
          <w:rFonts w:ascii="Sylfaen" w:hAnsi="Sylfaen"/>
        </w:rPr>
        <w:t xml:space="preserve">, </w:t>
      </w:r>
      <w:r w:rsidR="00CC3125" w:rsidRPr="00E80602">
        <w:rPr>
          <w:rFonts w:ascii="Sylfaen" w:hAnsi="Sylfaen"/>
        </w:rPr>
        <w:t>r</w:t>
      </w:r>
      <w:r w:rsidR="009D7F57" w:rsidRPr="00E80602">
        <w:rPr>
          <w:rFonts w:ascii="Sylfaen" w:hAnsi="Sylfaen"/>
        </w:rPr>
        <w:t>efugees</w:t>
      </w:r>
      <w:r w:rsidRPr="00E80602">
        <w:rPr>
          <w:rFonts w:ascii="Sylfaen" w:hAnsi="Sylfaen"/>
        </w:rPr>
        <w:t xml:space="preserve">, </w:t>
      </w:r>
      <w:r w:rsidR="009D7F57" w:rsidRPr="00E80602">
        <w:rPr>
          <w:rFonts w:ascii="Sylfaen" w:hAnsi="Sylfaen"/>
        </w:rPr>
        <w:t>persons with humanitarian status</w:t>
      </w:r>
      <w:r w:rsidRPr="00E80602">
        <w:rPr>
          <w:rFonts w:ascii="Sylfaen" w:hAnsi="Sylfaen"/>
        </w:rPr>
        <w:t xml:space="preserve">, </w:t>
      </w:r>
      <w:r w:rsidR="009D7F57" w:rsidRPr="00E80602">
        <w:rPr>
          <w:rFonts w:ascii="Sylfaen" w:hAnsi="Sylfaen"/>
        </w:rPr>
        <w:t>asylum-seekers</w:t>
      </w:r>
      <w:r w:rsidRPr="00E80602">
        <w:rPr>
          <w:rFonts w:ascii="Sylfaen" w:hAnsi="Sylfaen"/>
        </w:rPr>
        <w:t>, and Social</w:t>
      </w:r>
      <w:r w:rsidR="009D7F57" w:rsidRPr="00E80602">
        <w:rPr>
          <w:rFonts w:ascii="Sylfaen" w:hAnsi="Sylfaen"/>
        </w:rPr>
        <w:t xml:space="preserve"> unprotected foreigners with permanent residence permit</w:t>
      </w:r>
      <w:r w:rsidRPr="00E80602">
        <w:rPr>
          <w:rFonts w:ascii="Sylfaen" w:hAnsi="Sylfaen"/>
        </w:rPr>
        <w:t xml:space="preserve">. Universal health care program covers expanded primary health care package, emergency medical care both at ambulatory and hospital levels, elective surgery, oncology treatment and maternity services. </w:t>
      </w:r>
    </w:p>
    <w:p w:rsidR="000A5134" w:rsidRPr="00E80602" w:rsidRDefault="002C36B6" w:rsidP="006105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E80602">
        <w:rPr>
          <w:rFonts w:ascii="Sylfaen" w:hAnsi="Sylfaen"/>
        </w:rPr>
        <w:t xml:space="preserve">After the program has been entered in force, the number of patients, which has applied for in-patient and out-patient services has been significantly increased. Out-patient service utilization increased to </w:t>
      </w:r>
      <w:r w:rsidR="000A5134" w:rsidRPr="00E80602">
        <w:rPr>
          <w:rFonts w:ascii="Sylfaen" w:hAnsi="Sylfaen"/>
        </w:rPr>
        <w:t>4.0</w:t>
      </w:r>
      <w:r w:rsidRPr="00E80602">
        <w:rPr>
          <w:rFonts w:ascii="Sylfaen" w:hAnsi="Sylfaen"/>
        </w:rPr>
        <w:t xml:space="preserve"> per capita (in 2011 - 2.1) and it has surpassed World Bank recommended level for developing</w:t>
      </w:r>
      <w:r w:rsidR="000A5134" w:rsidRPr="00E80602">
        <w:rPr>
          <w:rFonts w:ascii="Sylfaen" w:hAnsi="Sylfaen"/>
        </w:rPr>
        <w:t xml:space="preserve"> countries (3.0). As well as a 3 times </w:t>
      </w:r>
      <w:r w:rsidRPr="00E80602">
        <w:rPr>
          <w:rFonts w:ascii="Sylfaen" w:hAnsi="Sylfaen"/>
        </w:rPr>
        <w:t xml:space="preserve">increase hospitalization. </w:t>
      </w:r>
    </w:p>
    <w:p w:rsidR="00C357C8" w:rsidRPr="00E80602" w:rsidRDefault="00C357C8" w:rsidP="006105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E80602">
        <w:rPr>
          <w:rFonts w:ascii="Sylfaen" w:hAnsi="Sylfaen"/>
        </w:rPr>
        <w:t xml:space="preserve">We have remarkable achievements in three years: Significant reduction in unmet need, </w:t>
      </w:r>
      <w:r w:rsidR="001424A9" w:rsidRPr="00E80602">
        <w:rPr>
          <w:rFonts w:ascii="Sylfaen" w:hAnsi="Sylfaen"/>
        </w:rPr>
        <w:t>b</w:t>
      </w:r>
      <w:r w:rsidRPr="00E80602">
        <w:rPr>
          <w:rFonts w:ascii="Sylfaen" w:hAnsi="Sylfaen"/>
        </w:rPr>
        <w:t xml:space="preserve">etter overall financial protection and </w:t>
      </w:r>
      <w:r w:rsidR="001424A9" w:rsidRPr="00E80602">
        <w:rPr>
          <w:rFonts w:ascii="Sylfaen" w:hAnsi="Sylfaen"/>
        </w:rPr>
        <w:t>i</w:t>
      </w:r>
      <w:r w:rsidRPr="00E80602">
        <w:rPr>
          <w:rFonts w:ascii="Sylfaen" w:hAnsi="Sylfaen"/>
        </w:rPr>
        <w:t>mproved user experience.</w:t>
      </w:r>
    </w:p>
    <w:p w:rsidR="000A5134" w:rsidRPr="00E80602" w:rsidRDefault="000A5134" w:rsidP="000A5134">
      <w:pPr>
        <w:jc w:val="both"/>
        <w:rPr>
          <w:rFonts w:ascii="Sylfaen" w:hAnsi="Sylfaen"/>
        </w:rPr>
      </w:pPr>
      <w:r w:rsidRPr="00E80602">
        <w:rPr>
          <w:rFonts w:ascii="Sylfaen" w:hAnsi="Sylfaen"/>
        </w:rPr>
        <w:t>Very impressive results of the survey, Health utilization and expenditure survey which was conducted by WHO, World Bank and USAID in September-October 2014. The UHC reforms have improved access to health care and people are more likely to consult a health care provider when they are sick. Financial barriers to access have declined, mainly for outpatient visits and hospital care. After implementation of UHC program, increase utilization of health services. If until 2013, visits to the outpatient-hospital did not exceed 2 visits per person annually, in 2013 in raised till 2.7 and in 2014 till 3.4 and exceeded the level recommended by the World Bank for developing countries. The hospitalization rate per 100 inhabitants increased to 7.8 (2010) to 11.4 (2014).</w:t>
      </w:r>
    </w:p>
    <w:p w:rsidR="000A5134" w:rsidRPr="00E80602" w:rsidRDefault="000A5134" w:rsidP="000A5134">
      <w:pPr>
        <w:jc w:val="both"/>
        <w:rPr>
          <w:rFonts w:ascii="Sylfaen" w:eastAsia="Times New Roman" w:hAnsi="Sylfaen"/>
        </w:rPr>
      </w:pPr>
      <w:r w:rsidRPr="00E80602">
        <w:rPr>
          <w:rFonts w:ascii="Sylfaen" w:eastAsia="Times New Roman" w:hAnsi="Sylfaen"/>
        </w:rPr>
        <w:t>Financial barriers to access have declined since 2010, mainly for outpatient visits and hospital care. In 2010, almost 17% of those with acute sickness did not seek care because they did not have enough money. In 2014, this share had fallen to 10%. The share of patients reporting that they expected to pay for a consultation with a doctor at the nearest facility halved between 2010 and 2014, falling from 73.7% in 2010 to 35.6% in 2014. This fall was large in urban areas.</w:t>
      </w:r>
    </w:p>
    <w:p w:rsidR="000A5134" w:rsidRPr="00E80602" w:rsidRDefault="000A5134" w:rsidP="000A5134">
      <w:pPr>
        <w:jc w:val="both"/>
        <w:rPr>
          <w:rFonts w:ascii="Sylfaen" w:eastAsia="Times New Roman" w:hAnsi="Sylfaen"/>
        </w:rPr>
      </w:pPr>
      <w:r w:rsidRPr="00E80602">
        <w:rPr>
          <w:rFonts w:ascii="Sylfaen" w:eastAsia="Times New Roman" w:hAnsi="Sylfaen"/>
        </w:rPr>
        <w:t>Overall, financial protection has improved since 2010. On average, total OOPs fell from 1,257 GEL per household per year in 2010 to 943 GEL in 2014, driven primarily by lower hospitalization costs. A decline that was statistically significant in urban and rural areas, for the third and fourth quintiles and in general and maternity hospitals.</w:t>
      </w:r>
    </w:p>
    <w:p w:rsidR="00552D15" w:rsidRPr="00E80602" w:rsidRDefault="000A5134" w:rsidP="00552D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cs="Franklin Gothic Medium"/>
          <w:bCs/>
          <w:color w:val="231F20"/>
        </w:rPr>
      </w:pPr>
      <w:r w:rsidRPr="00E80602">
        <w:rPr>
          <w:rFonts w:ascii="Sylfaen" w:hAnsi="Sylfaen" w:cs="Franklin Gothic Medium"/>
          <w:bCs/>
          <w:color w:val="231F20"/>
        </w:rPr>
        <w:t xml:space="preserve">State referral program covers cost of medical services and medicines to the individual needs of patients, which are not covered by other state health programs. Program beneficiaries are those people who live in the Autonomous Republic of Abkhazia, Tskhinvali Region, in the villages: </w:t>
      </w:r>
      <w:proofErr w:type="spellStart"/>
      <w:r w:rsidRPr="00E80602">
        <w:rPr>
          <w:rFonts w:ascii="Sylfaen" w:hAnsi="Sylfaen" w:cs="Franklin Gothic Medium"/>
          <w:bCs/>
          <w:color w:val="231F20"/>
        </w:rPr>
        <w:t>Perevi</w:t>
      </w:r>
      <w:proofErr w:type="spellEnd"/>
      <w:r w:rsidRPr="00E80602">
        <w:rPr>
          <w:rFonts w:ascii="Sylfaen" w:hAnsi="Sylfaen" w:cs="Franklin Gothic Medium"/>
          <w:bCs/>
          <w:color w:val="231F20"/>
        </w:rPr>
        <w:t xml:space="preserve">, </w:t>
      </w:r>
      <w:proofErr w:type="spellStart"/>
      <w:r w:rsidRPr="00E80602">
        <w:rPr>
          <w:rFonts w:ascii="Sylfaen" w:hAnsi="Sylfaen" w:cs="Franklin Gothic Medium"/>
          <w:bCs/>
          <w:color w:val="231F20"/>
        </w:rPr>
        <w:t>Eredvi</w:t>
      </w:r>
      <w:proofErr w:type="spellEnd"/>
      <w:r w:rsidRPr="00E80602">
        <w:rPr>
          <w:rFonts w:ascii="Sylfaen" w:hAnsi="Sylfaen" w:cs="Franklin Gothic Medium"/>
          <w:bCs/>
          <w:color w:val="231F20"/>
        </w:rPr>
        <w:t xml:space="preserve">, Kurta </w:t>
      </w:r>
      <w:proofErr w:type="spellStart"/>
      <w:r w:rsidRPr="00E80602">
        <w:rPr>
          <w:rFonts w:ascii="Sylfaen" w:hAnsi="Sylfaen" w:cs="Franklin Gothic Medium"/>
          <w:bCs/>
          <w:color w:val="231F20"/>
        </w:rPr>
        <w:t>Azhara</w:t>
      </w:r>
      <w:proofErr w:type="spellEnd"/>
      <w:r w:rsidRPr="00E80602">
        <w:rPr>
          <w:rFonts w:ascii="Sylfaen" w:hAnsi="Sylfaen" w:cs="Franklin Gothic Medium"/>
          <w:bCs/>
          <w:color w:val="231F20"/>
        </w:rPr>
        <w:t xml:space="preserve"> </w:t>
      </w:r>
      <w:r w:rsidRPr="00E80602">
        <w:rPr>
          <w:rFonts w:ascii="Sylfaen" w:hAnsi="Sylfaen" w:cs="Franklin Gothic Medium"/>
          <w:bCs/>
          <w:color w:val="231F20"/>
        </w:rPr>
        <w:lastRenderedPageBreak/>
        <w:t xml:space="preserve">and Stateless persons permanently residing in Georgia, despite having </w:t>
      </w:r>
      <w:proofErr w:type="gramStart"/>
      <w:r w:rsidRPr="00E80602">
        <w:rPr>
          <w:rFonts w:ascii="Sylfaen" w:hAnsi="Sylfaen" w:cs="Franklin Gothic Medium"/>
          <w:bCs/>
          <w:color w:val="231F20"/>
        </w:rPr>
        <w:t>the an</w:t>
      </w:r>
      <w:proofErr w:type="gramEnd"/>
      <w:r w:rsidRPr="00E80602">
        <w:rPr>
          <w:rFonts w:ascii="Sylfaen" w:hAnsi="Sylfaen" w:cs="Franklin Gothic Medium"/>
          <w:bCs/>
          <w:color w:val="231F20"/>
        </w:rPr>
        <w:t xml:space="preserve"> official document of Georgian citizenship. (Decree of </w:t>
      </w:r>
      <w:proofErr w:type="spellStart"/>
      <w:r w:rsidRPr="00E80602">
        <w:rPr>
          <w:rFonts w:ascii="Sylfaen" w:hAnsi="Sylfaen" w:cs="Franklin Gothic Medium"/>
          <w:bCs/>
          <w:color w:val="231F20"/>
        </w:rPr>
        <w:t>GoG</w:t>
      </w:r>
      <w:proofErr w:type="spellEnd"/>
      <w:r w:rsidRPr="00E80602">
        <w:rPr>
          <w:rFonts w:ascii="Sylfaen" w:hAnsi="Sylfaen" w:cs="Franklin Gothic Medium"/>
          <w:bCs/>
          <w:color w:val="231F20"/>
        </w:rPr>
        <w:t>, N331, November 3, 2010).</w:t>
      </w:r>
    </w:p>
    <w:p w:rsidR="00552D15" w:rsidRPr="00E80602" w:rsidRDefault="00552D15" w:rsidP="00552D15">
      <w:pPr>
        <w:pStyle w:val="NormalWeb"/>
        <w:kinsoku w:val="0"/>
        <w:overflowPunct w:val="0"/>
        <w:spacing w:before="0" w:beforeAutospacing="0" w:after="200" w:afterAutospacing="0" w:line="276" w:lineRule="auto"/>
        <w:jc w:val="both"/>
        <w:textAlignment w:val="baseline"/>
        <w:rPr>
          <w:rFonts w:ascii="Sylfaen" w:hAnsi="Sylfaen" w:cs="Franklin Gothic Medium"/>
          <w:b/>
          <w:color w:val="231F20"/>
          <w:sz w:val="22"/>
          <w:szCs w:val="22"/>
        </w:rPr>
      </w:pPr>
      <w:r w:rsidRPr="00E80602">
        <w:rPr>
          <w:rFonts w:ascii="Sylfaen" w:eastAsiaTheme="minorHAnsi" w:hAnsi="Sylfaen" w:cs="Franklin Gothic Medium"/>
          <w:b/>
          <w:color w:val="231F20"/>
          <w:sz w:val="22"/>
          <w:szCs w:val="22"/>
        </w:rPr>
        <w:t>Treatment/Prevention of Hepatitis C:</w:t>
      </w:r>
      <w:r w:rsidRPr="00E80602">
        <w:rPr>
          <w:rFonts w:ascii="Sylfaen" w:hAnsi="Sylfaen" w:cs="Sylfaen"/>
          <w:b/>
          <w:sz w:val="22"/>
          <w:szCs w:val="22"/>
        </w:rPr>
        <w:t xml:space="preserve"> </w:t>
      </w:r>
      <w:r w:rsidR="00C357C8" w:rsidRPr="00E80602">
        <w:rPr>
          <w:rFonts w:ascii="Sylfaen" w:eastAsiaTheme="minorEastAsia" w:hAnsi="Sylfaen" w:cstheme="minorBidi"/>
          <w:sz w:val="22"/>
          <w:szCs w:val="22"/>
        </w:rPr>
        <w:t>One of the obvious examples of increased access to expensive pharmaceutical products was the launch of the</w:t>
      </w:r>
      <w:r w:rsidR="001424A9" w:rsidRPr="00E80602">
        <w:rPr>
          <w:rFonts w:ascii="Sylfaen" w:eastAsiaTheme="minorEastAsia" w:hAnsi="Sylfaen" w:cstheme="minorBidi"/>
          <w:sz w:val="22"/>
          <w:szCs w:val="22"/>
        </w:rPr>
        <w:t xml:space="preserve"> hepatitis C treatment </w:t>
      </w:r>
      <w:proofErr w:type="spellStart"/>
      <w:r w:rsidR="001424A9" w:rsidRPr="00E80602">
        <w:rPr>
          <w:rFonts w:ascii="Sylfaen" w:eastAsiaTheme="minorEastAsia" w:hAnsi="Sylfaen" w:cstheme="minorBidi"/>
          <w:sz w:val="22"/>
          <w:szCs w:val="22"/>
        </w:rPr>
        <w:t>program</w:t>
      </w:r>
      <w:r w:rsidR="00C357C8" w:rsidRPr="00E80602">
        <w:rPr>
          <w:rFonts w:ascii="Sylfaen" w:eastAsiaTheme="minorEastAsia" w:hAnsi="Sylfaen" w:cstheme="minorBidi"/>
          <w:sz w:val="22"/>
          <w:szCs w:val="22"/>
        </w:rPr>
        <w:t>.</w:t>
      </w:r>
      <w:r w:rsidRPr="00E80602">
        <w:rPr>
          <w:rFonts w:ascii="Sylfaen" w:hAnsi="Sylfaen" w:cs="Franklin Gothic Medium"/>
          <w:color w:val="231F20"/>
          <w:sz w:val="22"/>
          <w:szCs w:val="22"/>
        </w:rPr>
        <w:t>In</w:t>
      </w:r>
      <w:proofErr w:type="spellEnd"/>
      <w:r w:rsidRPr="00E80602">
        <w:rPr>
          <w:rFonts w:ascii="Sylfaen" w:hAnsi="Sylfaen" w:cs="Franklin Gothic Medium"/>
          <w:color w:val="231F20"/>
          <w:sz w:val="22"/>
          <w:szCs w:val="22"/>
        </w:rPr>
        <w:t xml:space="preserve"> 2015, Hepatitis C elimination program has launched,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(12-week course of medications exceeds 84 000 US dollars). </w:t>
      </w:r>
      <w:proofErr w:type="spellStart"/>
      <w:r w:rsidRPr="00E80602">
        <w:rPr>
          <w:rFonts w:ascii="Sylfaen" w:hAnsi="Sylfaen" w:cs="Franklin Gothic Medium"/>
          <w:color w:val="231F20"/>
          <w:sz w:val="22"/>
          <w:szCs w:val="22"/>
        </w:rPr>
        <w:t>Soposbuvir</w:t>
      </w:r>
      <w:proofErr w:type="spellEnd"/>
      <w:r w:rsidRPr="00E80602">
        <w:rPr>
          <w:rFonts w:ascii="Sylfaen" w:hAnsi="Sylfaen" w:cs="Franklin Gothic Medium"/>
          <w:color w:val="231F20"/>
          <w:sz w:val="22"/>
          <w:szCs w:val="22"/>
        </w:rPr>
        <w:t>, worse of 1 billion US dollars, is provided free by the company Gilead through the agreement between the Government of Georgia and Gilead.</w:t>
      </w:r>
    </w:p>
    <w:p w:rsidR="00552D15" w:rsidRPr="00E80602" w:rsidRDefault="00552D15" w:rsidP="00552D15">
      <w:pPr>
        <w:pStyle w:val="NormalWeb"/>
        <w:kinsoku w:val="0"/>
        <w:overflowPunct w:val="0"/>
        <w:spacing w:before="0" w:beforeAutospacing="0" w:after="200" w:afterAutospacing="0" w:line="276" w:lineRule="auto"/>
        <w:jc w:val="both"/>
        <w:textAlignment w:val="baseline"/>
        <w:rPr>
          <w:rFonts w:ascii="Sylfaen" w:eastAsiaTheme="minorEastAsia" w:hAnsi="Sylfaen" w:cstheme="minorBidi"/>
          <w:sz w:val="22"/>
          <w:szCs w:val="22"/>
        </w:rPr>
      </w:pPr>
      <w:r w:rsidRPr="00E80602">
        <w:rPr>
          <w:rFonts w:ascii="Sylfaen" w:hAnsi="Sylfaen" w:cs="Franklin Gothic Medium"/>
          <w:color w:val="231F20"/>
          <w:sz w:val="22"/>
          <w:szCs w:val="22"/>
        </w:rPr>
        <w:t>Since April 2015, patients with hepatitis C are provided with pre-treatment diagnostics, coverage of diagnostics for monitoring in the process of treatment, and treatment of hepatitis C with the latest generation of expensive medicines (</w:t>
      </w:r>
      <w:proofErr w:type="spellStart"/>
      <w:r w:rsidRPr="00E80602">
        <w:rPr>
          <w:rFonts w:ascii="Sylfaen" w:hAnsi="Sylfaen" w:cs="Franklin Gothic Medium"/>
          <w:color w:val="231F20"/>
          <w:sz w:val="22"/>
          <w:szCs w:val="22"/>
        </w:rPr>
        <w:t>Soposbuvir</w:t>
      </w:r>
      <w:proofErr w:type="spellEnd"/>
      <w:r w:rsidRPr="00E80602">
        <w:rPr>
          <w:rFonts w:ascii="Sylfaen" w:hAnsi="Sylfaen" w:cs="Franklin Gothic Medium"/>
          <w:color w:val="231F20"/>
          <w:sz w:val="22"/>
          <w:szCs w:val="22"/>
        </w:rPr>
        <w:t xml:space="preserve">, </w:t>
      </w:r>
      <w:proofErr w:type="spellStart"/>
      <w:r w:rsidRPr="00E80602">
        <w:rPr>
          <w:rFonts w:ascii="Sylfaen" w:hAnsi="Sylfaen" w:cs="Franklin Gothic Medium"/>
          <w:color w:val="231F20"/>
          <w:sz w:val="22"/>
          <w:szCs w:val="22"/>
        </w:rPr>
        <w:t>Farvoni</w:t>
      </w:r>
      <w:proofErr w:type="spellEnd"/>
      <w:r w:rsidRPr="00E80602">
        <w:rPr>
          <w:rFonts w:ascii="Sylfaen" w:hAnsi="Sylfaen" w:cs="Franklin Gothic Medium"/>
          <w:color w:val="231F20"/>
          <w:sz w:val="22"/>
          <w:szCs w:val="22"/>
        </w:rPr>
        <w:t xml:space="preserve">, Interferon and Ribavirin).  Interferon and Ribavirin are purchased through the state budget. The second </w:t>
      </w:r>
      <w:proofErr w:type="gramStart"/>
      <w:r w:rsidRPr="00E80602">
        <w:rPr>
          <w:rFonts w:ascii="Sylfaen" w:hAnsi="Sylfaen" w:cs="Franklin Gothic Medium"/>
          <w:color w:val="231F20"/>
          <w:sz w:val="22"/>
          <w:szCs w:val="22"/>
        </w:rPr>
        <w:t>phase of Hepatitis C elimination begin</w:t>
      </w:r>
      <w:proofErr w:type="gramEnd"/>
      <w:r w:rsidRPr="00E80602">
        <w:rPr>
          <w:rFonts w:ascii="Sylfaen" w:hAnsi="Sylfaen" w:cs="Franklin Gothic Medium"/>
          <w:color w:val="231F20"/>
          <w:sz w:val="22"/>
          <w:szCs w:val="22"/>
        </w:rPr>
        <w:t xml:space="preserve"> in June, 2016. The Government expand the program and include 20 000 patients.</w:t>
      </w:r>
    </w:p>
    <w:p w:rsidR="00552D15" w:rsidRPr="00E80602" w:rsidRDefault="00552D15" w:rsidP="00552D15">
      <w:pPr>
        <w:pStyle w:val="Bullets"/>
        <w:numPr>
          <w:ilvl w:val="0"/>
          <w:numId w:val="0"/>
        </w:numPr>
        <w:rPr>
          <w:rFonts w:ascii="Sylfaen" w:eastAsiaTheme="minorHAnsi" w:hAnsi="Sylfaen" w:cstheme="minorBidi"/>
          <w:sz w:val="22"/>
          <w:szCs w:val="22"/>
        </w:rPr>
      </w:pPr>
      <w:r w:rsidRPr="00E80602">
        <w:rPr>
          <w:rFonts w:ascii="Sylfaen" w:hAnsi="Sylfaen" w:cs="Sylfaen"/>
          <w:b/>
          <w:sz w:val="22"/>
          <w:szCs w:val="22"/>
        </w:rPr>
        <w:t xml:space="preserve">Affordable perinatal services: </w:t>
      </w:r>
      <w:r w:rsidRPr="00E80602">
        <w:rPr>
          <w:rFonts w:ascii="Sylfaen" w:hAnsi="Sylfaen" w:cs="Sylfaen"/>
          <w:sz w:val="22"/>
          <w:szCs w:val="22"/>
        </w:rPr>
        <w:t xml:space="preserve"> </w:t>
      </w:r>
      <w:r w:rsidRPr="00E80602">
        <w:rPr>
          <w:rFonts w:ascii="Sylfaen" w:eastAsiaTheme="minorHAnsi" w:hAnsi="Sylfaen" w:cstheme="minorBidi"/>
          <w:sz w:val="22"/>
          <w:szCs w:val="22"/>
        </w:rPr>
        <w:t xml:space="preserve">Increased government funding for maternal and child health and ease of access to the high quality health care services played an important role in the reduction of the number of deaths of mothers and children. Georgia has been able to reach the Millennium Development Goal №4, since in 2015 the mortality rate of children under five was 10.2 per 1000 live birth. </w:t>
      </w:r>
    </w:p>
    <w:p w:rsidR="00552D15" w:rsidRPr="00E80602" w:rsidRDefault="00552D15" w:rsidP="00552D15">
      <w:pPr>
        <w:jc w:val="both"/>
        <w:rPr>
          <w:rFonts w:ascii="Sylfaen" w:hAnsi="Sylfaen"/>
        </w:rPr>
      </w:pPr>
      <w:r w:rsidRPr="00E80602">
        <w:rPr>
          <w:rFonts w:ascii="Sylfaen" w:hAnsi="Sylfaen"/>
        </w:rPr>
        <w:t xml:space="preserve">For efficiency and improvement of the quality of perinatal services, in 2015 </w:t>
      </w:r>
      <w:proofErr w:type="spellStart"/>
      <w:proofErr w:type="gramStart"/>
      <w:r w:rsidRPr="00E80602">
        <w:rPr>
          <w:rFonts w:ascii="Sylfaen" w:hAnsi="Sylfaen"/>
        </w:rPr>
        <w:t>MoLHSA</w:t>
      </w:r>
      <w:proofErr w:type="spellEnd"/>
      <w:r w:rsidRPr="00E80602">
        <w:rPr>
          <w:rFonts w:ascii="Sylfaen" w:hAnsi="Sylfaen"/>
        </w:rPr>
        <w:t xml:space="preserve">  started</w:t>
      </w:r>
      <w:proofErr w:type="gramEnd"/>
      <w:r w:rsidRPr="00E80602">
        <w:rPr>
          <w:rFonts w:ascii="Sylfaen" w:hAnsi="Sylfaen"/>
        </w:rPr>
        <w:t xml:space="preserve"> piloting perinatal regionalization process in two regions (</w:t>
      </w:r>
      <w:proofErr w:type="spellStart"/>
      <w:r w:rsidRPr="00E80602">
        <w:rPr>
          <w:rFonts w:ascii="Sylfaen" w:hAnsi="Sylfaen"/>
        </w:rPr>
        <w:t>Imereti</w:t>
      </w:r>
      <w:proofErr w:type="spellEnd"/>
      <w:r w:rsidRPr="00E80602">
        <w:rPr>
          <w:rFonts w:ascii="Sylfaen" w:hAnsi="Sylfaen"/>
        </w:rPr>
        <w:t xml:space="preserve"> and </w:t>
      </w:r>
      <w:proofErr w:type="spellStart"/>
      <w:r w:rsidRPr="00E80602">
        <w:rPr>
          <w:rFonts w:ascii="Sylfaen" w:hAnsi="Sylfaen"/>
        </w:rPr>
        <w:t>Racha-Lechkhumi</w:t>
      </w:r>
      <w:proofErr w:type="spellEnd"/>
      <w:r w:rsidRPr="00E80602">
        <w:rPr>
          <w:rFonts w:ascii="Sylfaen" w:hAnsi="Sylfaen"/>
        </w:rPr>
        <w:t xml:space="preserve">). </w:t>
      </w:r>
      <w:proofErr w:type="gramStart"/>
      <w:r w:rsidRPr="00E80602">
        <w:rPr>
          <w:rFonts w:ascii="Sylfaen" w:hAnsi="Sylfaen"/>
        </w:rPr>
        <w:t>This  health</w:t>
      </w:r>
      <w:proofErr w:type="gramEnd"/>
      <w:r w:rsidRPr="00E80602">
        <w:rPr>
          <w:rFonts w:ascii="Sylfaen" w:hAnsi="Sylfaen"/>
        </w:rPr>
        <w:t xml:space="preserve"> systems organization and quality improvement reform was launched with support of USAID and expanded to Tbilisi and </w:t>
      </w:r>
      <w:proofErr w:type="spellStart"/>
      <w:r w:rsidRPr="00E80602">
        <w:rPr>
          <w:rFonts w:ascii="Sylfaen" w:hAnsi="Sylfaen"/>
        </w:rPr>
        <w:t>Kvemo</w:t>
      </w:r>
      <w:proofErr w:type="spellEnd"/>
      <w:r w:rsidRPr="00E80602">
        <w:rPr>
          <w:rFonts w:ascii="Sylfaen" w:hAnsi="Sylfaen"/>
        </w:rPr>
        <w:t xml:space="preserve"> </w:t>
      </w:r>
      <w:proofErr w:type="spellStart"/>
      <w:r w:rsidRPr="00E80602">
        <w:rPr>
          <w:rFonts w:ascii="Sylfaen" w:hAnsi="Sylfaen"/>
        </w:rPr>
        <w:t>Kartli</w:t>
      </w:r>
      <w:proofErr w:type="spellEnd"/>
      <w:r w:rsidRPr="00E80602">
        <w:rPr>
          <w:rFonts w:ascii="Sylfaen" w:hAnsi="Sylfaen"/>
        </w:rPr>
        <w:t xml:space="preserve"> regions in 2016. Perinatal regionalization envisages to provide each patient quality of maternal and neonatal health </w:t>
      </w:r>
      <w:proofErr w:type="gramStart"/>
      <w:r w:rsidRPr="00E80602">
        <w:rPr>
          <w:rFonts w:ascii="Sylfaen" w:hAnsi="Sylfaen"/>
        </w:rPr>
        <w:t>services  at</w:t>
      </w:r>
      <w:proofErr w:type="gramEnd"/>
      <w:r w:rsidRPr="00E80602">
        <w:rPr>
          <w:rFonts w:ascii="Sylfaen" w:hAnsi="Sylfaen"/>
        </w:rPr>
        <w:t xml:space="preserve"> right  and right time. Expansion of the project is very important for the country for achievement SDG Goals of reducing maternal and infant mortality. </w:t>
      </w:r>
    </w:p>
    <w:p w:rsidR="00552D15" w:rsidRPr="00E80602" w:rsidRDefault="00552D15" w:rsidP="00552D15">
      <w:pPr>
        <w:jc w:val="both"/>
        <w:rPr>
          <w:rFonts w:ascii="Sylfaen" w:eastAsia="Times New Roman" w:hAnsi="Sylfaen" w:cs="Times New Roman"/>
          <w:lang w:val="en"/>
        </w:rPr>
      </w:pPr>
      <w:r w:rsidRPr="00E80602">
        <w:rPr>
          <w:rFonts w:ascii="Sylfaen" w:eastAsia="Times New Roman" w:hAnsi="Sylfaen" w:cs="Times New Roman"/>
          <w:lang w:val="en"/>
        </w:rPr>
        <w:t>In order to improve registration of maternal and child mortality and stillbirth, identification and analysis of causes of deaths was developed the Georgian Birth Registry (GBR). The system started operating nationwide from 1st of June, 2016. The GBR shall improve the coverage and quality of information and provide knowledge on the target population health status, antenatal, obstetric care, and causes of impaired health and disease development, quality assurance, planning and management. The GBR shall also monitor the regionalization of perinatal care by the maternal and neonatal indicators.</w:t>
      </w:r>
    </w:p>
    <w:p w:rsidR="007B767B" w:rsidRPr="00E80602" w:rsidRDefault="007B767B" w:rsidP="007B767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E80602">
        <w:rPr>
          <w:rFonts w:ascii="Sylfaen" w:hAnsi="Sylfaen" w:cs="Franklin Gothic Medium"/>
          <w:b/>
          <w:color w:val="231F20"/>
        </w:rPr>
        <w:t>Reforms in Pharmaceutical care:</w:t>
      </w:r>
      <w:r w:rsidRPr="00E80602">
        <w:rPr>
          <w:rFonts w:ascii="Sylfaen" w:hAnsi="Sylfaen" w:cs="Franklin Gothic Medium"/>
          <w:color w:val="231F20"/>
        </w:rPr>
        <w:t xml:space="preserve"> Since September 2014, selling of the second group pharmaceutical products without recipes has been prohibited to ensure establishment of rational pharmacotherapy and to fight against drugs. </w:t>
      </w:r>
      <w:r w:rsidRPr="00E80602">
        <w:rPr>
          <w:rFonts w:ascii="Sylfaen" w:hAnsi="Sylfaen"/>
        </w:rPr>
        <w:t xml:space="preserve">Irrational drug therapy, self-treatment, “drug store abuse” were systemic problems. To overcome these problems and to protect patient safety, a number of legislative changes were undertaken. From September 2014 selling without prescription of pharmaceutical products assigned to </w:t>
      </w:r>
      <w:r w:rsidRPr="00E80602">
        <w:rPr>
          <w:rFonts w:ascii="Sylfaen" w:hAnsi="Sylfaen"/>
        </w:rPr>
        <w:lastRenderedPageBreak/>
        <w:t>the 2nd group is prohibited. In terms of the future focus, it is also important to improve pharmaceutical product quality control and monitoring mechanisms.</w:t>
      </w:r>
    </w:p>
    <w:p w:rsidR="008B66E9" w:rsidRPr="00E80602" w:rsidRDefault="00552D15" w:rsidP="00552D15">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E80602">
        <w:rPr>
          <w:rFonts w:ascii="Sylfaen" w:hAnsi="Sylfaen"/>
          <w:b/>
        </w:rPr>
        <w:t>Health information system:</w:t>
      </w:r>
      <w:r w:rsidRPr="00E80602">
        <w:rPr>
          <w:rFonts w:ascii="Sylfaen" w:hAnsi="Sylfaen"/>
        </w:rPr>
        <w:t xml:space="preserve"> </w:t>
      </w:r>
      <w:r w:rsidR="008B66E9" w:rsidRPr="00E80602">
        <w:rPr>
          <w:rFonts w:ascii="Sylfaen" w:hAnsi="Sylfaen"/>
        </w:rPr>
        <w:t xml:space="preserve">Within the framework of the united electronic healthcare system were implemented </w:t>
      </w:r>
      <w:r w:rsidR="00204299" w:rsidRPr="00E80602">
        <w:rPr>
          <w:rFonts w:ascii="Sylfaen" w:hAnsi="Sylfaen"/>
        </w:rPr>
        <w:t xml:space="preserve">E-health </w:t>
      </w:r>
      <w:r w:rsidR="00825BF6" w:rsidRPr="00E80602">
        <w:rPr>
          <w:rFonts w:ascii="Sylfaen" w:hAnsi="Sylfaen"/>
        </w:rPr>
        <w:t>modules</w:t>
      </w:r>
      <w:r w:rsidR="008B66E9" w:rsidRPr="00E80602">
        <w:rPr>
          <w:rFonts w:ascii="Sylfaen" w:hAnsi="Sylfaen"/>
        </w:rPr>
        <w:t xml:space="preserve"> such as universal healthcare system management, pharmaceutical </w:t>
      </w:r>
      <w:proofErr w:type="gramStart"/>
      <w:r w:rsidR="008B66E9" w:rsidRPr="00E80602">
        <w:rPr>
          <w:rFonts w:ascii="Sylfaen" w:hAnsi="Sylfaen"/>
        </w:rPr>
        <w:t>product</w:t>
      </w:r>
      <w:proofErr w:type="gramEnd"/>
      <w:r w:rsidR="008B66E9" w:rsidRPr="00E80602">
        <w:rPr>
          <w:rFonts w:ascii="Sylfaen" w:hAnsi="Sylfaen"/>
        </w:rPr>
        <w:t xml:space="preserve"> registration, infectious diseases (including tuberculosis), immunization/vaccination, monitoring and management of priority sectors and public health programs (including psychiatry, drug abuse, HIV-infection, etc.), electronic systems for certification and accreditation of medical personnel. </w:t>
      </w:r>
    </w:p>
    <w:p w:rsidR="0061059B" w:rsidRPr="00E80602" w:rsidRDefault="00807CA2" w:rsidP="002E7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E80602">
        <w:rPr>
          <w:rFonts w:ascii="Sylfaen" w:hAnsi="Sylfaen"/>
        </w:rPr>
        <w:t>Work has started on a new, innovative electronic healthcare system E-prescription and EMR – Electronic medical record</w:t>
      </w:r>
      <w:r w:rsidR="00204299" w:rsidRPr="00E80602">
        <w:rPr>
          <w:rFonts w:ascii="Sylfaen" w:hAnsi="Sylfaen"/>
        </w:rPr>
        <w:t xml:space="preserve"> -</w:t>
      </w:r>
      <w:r w:rsidRPr="00E80602">
        <w:rPr>
          <w:rFonts w:ascii="Sylfaen" w:hAnsi="Sylfaen"/>
        </w:rPr>
        <w:t xml:space="preserve"> that will connect medical service providers, pharmaceutical organizations and regulatory agencies. </w:t>
      </w:r>
      <w:r w:rsidR="00F10CAB" w:rsidRPr="00E80602">
        <w:rPr>
          <w:rFonts w:ascii="Sylfaen" w:hAnsi="Sylfaen"/>
        </w:rPr>
        <w:t xml:space="preserve"> </w:t>
      </w:r>
    </w:p>
    <w:sectPr w:rsidR="0061059B" w:rsidRPr="00E8060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076F7"/>
    <w:multiLevelType w:val="hybridMultilevel"/>
    <w:tmpl w:val="70587834"/>
    <w:lvl w:ilvl="0" w:tplc="BF28D33E">
      <w:start w:val="1"/>
      <w:numFmt w:val="bullet"/>
      <w:lvlText w:val="–"/>
      <w:lvlJc w:val="left"/>
      <w:pPr>
        <w:tabs>
          <w:tab w:val="num" w:pos="720"/>
        </w:tabs>
        <w:ind w:left="720" w:hanging="360"/>
      </w:pPr>
      <w:rPr>
        <w:rFonts w:ascii="Arial" w:hAnsi="Arial" w:hint="default"/>
      </w:rPr>
    </w:lvl>
    <w:lvl w:ilvl="1" w:tplc="A6F233C2">
      <w:start w:val="1"/>
      <w:numFmt w:val="bullet"/>
      <w:lvlText w:val="–"/>
      <w:lvlJc w:val="left"/>
      <w:pPr>
        <w:tabs>
          <w:tab w:val="num" w:pos="1440"/>
        </w:tabs>
        <w:ind w:left="1440" w:hanging="360"/>
      </w:pPr>
      <w:rPr>
        <w:rFonts w:ascii="Arial" w:hAnsi="Arial" w:hint="default"/>
      </w:rPr>
    </w:lvl>
    <w:lvl w:ilvl="2" w:tplc="E42AD7A4" w:tentative="1">
      <w:start w:val="1"/>
      <w:numFmt w:val="bullet"/>
      <w:lvlText w:val="–"/>
      <w:lvlJc w:val="left"/>
      <w:pPr>
        <w:tabs>
          <w:tab w:val="num" w:pos="2160"/>
        </w:tabs>
        <w:ind w:left="2160" w:hanging="360"/>
      </w:pPr>
      <w:rPr>
        <w:rFonts w:ascii="Arial" w:hAnsi="Arial" w:hint="default"/>
      </w:rPr>
    </w:lvl>
    <w:lvl w:ilvl="3" w:tplc="35F434C4" w:tentative="1">
      <w:start w:val="1"/>
      <w:numFmt w:val="bullet"/>
      <w:lvlText w:val="–"/>
      <w:lvlJc w:val="left"/>
      <w:pPr>
        <w:tabs>
          <w:tab w:val="num" w:pos="2880"/>
        </w:tabs>
        <w:ind w:left="2880" w:hanging="360"/>
      </w:pPr>
      <w:rPr>
        <w:rFonts w:ascii="Arial" w:hAnsi="Arial" w:hint="default"/>
      </w:rPr>
    </w:lvl>
    <w:lvl w:ilvl="4" w:tplc="CB760BD0" w:tentative="1">
      <w:start w:val="1"/>
      <w:numFmt w:val="bullet"/>
      <w:lvlText w:val="–"/>
      <w:lvlJc w:val="left"/>
      <w:pPr>
        <w:tabs>
          <w:tab w:val="num" w:pos="3600"/>
        </w:tabs>
        <w:ind w:left="3600" w:hanging="360"/>
      </w:pPr>
      <w:rPr>
        <w:rFonts w:ascii="Arial" w:hAnsi="Arial" w:hint="default"/>
      </w:rPr>
    </w:lvl>
    <w:lvl w:ilvl="5" w:tplc="A0B85B6A" w:tentative="1">
      <w:start w:val="1"/>
      <w:numFmt w:val="bullet"/>
      <w:lvlText w:val="–"/>
      <w:lvlJc w:val="left"/>
      <w:pPr>
        <w:tabs>
          <w:tab w:val="num" w:pos="4320"/>
        </w:tabs>
        <w:ind w:left="4320" w:hanging="360"/>
      </w:pPr>
      <w:rPr>
        <w:rFonts w:ascii="Arial" w:hAnsi="Arial" w:hint="default"/>
      </w:rPr>
    </w:lvl>
    <w:lvl w:ilvl="6" w:tplc="4C385D40" w:tentative="1">
      <w:start w:val="1"/>
      <w:numFmt w:val="bullet"/>
      <w:lvlText w:val="–"/>
      <w:lvlJc w:val="left"/>
      <w:pPr>
        <w:tabs>
          <w:tab w:val="num" w:pos="5040"/>
        </w:tabs>
        <w:ind w:left="5040" w:hanging="360"/>
      </w:pPr>
      <w:rPr>
        <w:rFonts w:ascii="Arial" w:hAnsi="Arial" w:hint="default"/>
      </w:rPr>
    </w:lvl>
    <w:lvl w:ilvl="7" w:tplc="FDFAE3A0" w:tentative="1">
      <w:start w:val="1"/>
      <w:numFmt w:val="bullet"/>
      <w:lvlText w:val="–"/>
      <w:lvlJc w:val="left"/>
      <w:pPr>
        <w:tabs>
          <w:tab w:val="num" w:pos="5760"/>
        </w:tabs>
        <w:ind w:left="5760" w:hanging="360"/>
      </w:pPr>
      <w:rPr>
        <w:rFonts w:ascii="Arial" w:hAnsi="Arial" w:hint="default"/>
      </w:rPr>
    </w:lvl>
    <w:lvl w:ilvl="8" w:tplc="24E25166" w:tentative="1">
      <w:start w:val="1"/>
      <w:numFmt w:val="bullet"/>
      <w:lvlText w:val="–"/>
      <w:lvlJc w:val="left"/>
      <w:pPr>
        <w:tabs>
          <w:tab w:val="num" w:pos="6480"/>
        </w:tabs>
        <w:ind w:left="6480" w:hanging="360"/>
      </w:pPr>
      <w:rPr>
        <w:rFonts w:ascii="Arial" w:hAnsi="Arial" w:hint="default"/>
      </w:rPr>
    </w:lvl>
  </w:abstractNum>
  <w:abstractNum w:abstractNumId="1">
    <w:nsid w:val="286B4736"/>
    <w:multiLevelType w:val="hybridMultilevel"/>
    <w:tmpl w:val="106C6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D32780"/>
    <w:multiLevelType w:val="hybridMultilevel"/>
    <w:tmpl w:val="2340A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7A506B"/>
    <w:multiLevelType w:val="hybridMultilevel"/>
    <w:tmpl w:val="D5B4D388"/>
    <w:lvl w:ilvl="0" w:tplc="8DCC52CE">
      <w:start w:val="1"/>
      <w:numFmt w:val="bullet"/>
      <w:lvlText w:val="-"/>
      <w:lvlJc w:val="left"/>
      <w:pPr>
        <w:tabs>
          <w:tab w:val="num" w:pos="720"/>
        </w:tabs>
        <w:ind w:left="720" w:hanging="360"/>
      </w:pPr>
      <w:rPr>
        <w:rFonts w:ascii="Times New Roman" w:hAnsi="Times New Roman" w:hint="default"/>
      </w:rPr>
    </w:lvl>
    <w:lvl w:ilvl="1" w:tplc="373A0534">
      <w:start w:val="1"/>
      <w:numFmt w:val="bullet"/>
      <w:lvlText w:val="-"/>
      <w:lvlJc w:val="left"/>
      <w:pPr>
        <w:tabs>
          <w:tab w:val="num" w:pos="1440"/>
        </w:tabs>
        <w:ind w:left="1440" w:hanging="360"/>
      </w:pPr>
      <w:rPr>
        <w:rFonts w:ascii="Times New Roman" w:hAnsi="Times New Roman" w:hint="default"/>
      </w:rPr>
    </w:lvl>
    <w:lvl w:ilvl="2" w:tplc="00283B42" w:tentative="1">
      <w:start w:val="1"/>
      <w:numFmt w:val="bullet"/>
      <w:lvlText w:val="-"/>
      <w:lvlJc w:val="left"/>
      <w:pPr>
        <w:tabs>
          <w:tab w:val="num" w:pos="2160"/>
        </w:tabs>
        <w:ind w:left="2160" w:hanging="360"/>
      </w:pPr>
      <w:rPr>
        <w:rFonts w:ascii="Times New Roman" w:hAnsi="Times New Roman" w:hint="default"/>
      </w:rPr>
    </w:lvl>
    <w:lvl w:ilvl="3" w:tplc="B3D8D2EC" w:tentative="1">
      <w:start w:val="1"/>
      <w:numFmt w:val="bullet"/>
      <w:lvlText w:val="-"/>
      <w:lvlJc w:val="left"/>
      <w:pPr>
        <w:tabs>
          <w:tab w:val="num" w:pos="2880"/>
        </w:tabs>
        <w:ind w:left="2880" w:hanging="360"/>
      </w:pPr>
      <w:rPr>
        <w:rFonts w:ascii="Times New Roman" w:hAnsi="Times New Roman" w:hint="default"/>
      </w:rPr>
    </w:lvl>
    <w:lvl w:ilvl="4" w:tplc="4B64AD96" w:tentative="1">
      <w:start w:val="1"/>
      <w:numFmt w:val="bullet"/>
      <w:lvlText w:val="-"/>
      <w:lvlJc w:val="left"/>
      <w:pPr>
        <w:tabs>
          <w:tab w:val="num" w:pos="3600"/>
        </w:tabs>
        <w:ind w:left="3600" w:hanging="360"/>
      </w:pPr>
      <w:rPr>
        <w:rFonts w:ascii="Times New Roman" w:hAnsi="Times New Roman" w:hint="default"/>
      </w:rPr>
    </w:lvl>
    <w:lvl w:ilvl="5" w:tplc="C34CDC2C" w:tentative="1">
      <w:start w:val="1"/>
      <w:numFmt w:val="bullet"/>
      <w:lvlText w:val="-"/>
      <w:lvlJc w:val="left"/>
      <w:pPr>
        <w:tabs>
          <w:tab w:val="num" w:pos="4320"/>
        </w:tabs>
        <w:ind w:left="4320" w:hanging="360"/>
      </w:pPr>
      <w:rPr>
        <w:rFonts w:ascii="Times New Roman" w:hAnsi="Times New Roman" w:hint="default"/>
      </w:rPr>
    </w:lvl>
    <w:lvl w:ilvl="6" w:tplc="FCC0D836" w:tentative="1">
      <w:start w:val="1"/>
      <w:numFmt w:val="bullet"/>
      <w:lvlText w:val="-"/>
      <w:lvlJc w:val="left"/>
      <w:pPr>
        <w:tabs>
          <w:tab w:val="num" w:pos="5040"/>
        </w:tabs>
        <w:ind w:left="5040" w:hanging="360"/>
      </w:pPr>
      <w:rPr>
        <w:rFonts w:ascii="Times New Roman" w:hAnsi="Times New Roman" w:hint="default"/>
      </w:rPr>
    </w:lvl>
    <w:lvl w:ilvl="7" w:tplc="39B68AAA" w:tentative="1">
      <w:start w:val="1"/>
      <w:numFmt w:val="bullet"/>
      <w:lvlText w:val="-"/>
      <w:lvlJc w:val="left"/>
      <w:pPr>
        <w:tabs>
          <w:tab w:val="num" w:pos="5760"/>
        </w:tabs>
        <w:ind w:left="5760" w:hanging="360"/>
      </w:pPr>
      <w:rPr>
        <w:rFonts w:ascii="Times New Roman" w:hAnsi="Times New Roman" w:hint="default"/>
      </w:rPr>
    </w:lvl>
    <w:lvl w:ilvl="8" w:tplc="1E760226" w:tentative="1">
      <w:start w:val="1"/>
      <w:numFmt w:val="bullet"/>
      <w:lvlText w:val="-"/>
      <w:lvlJc w:val="left"/>
      <w:pPr>
        <w:tabs>
          <w:tab w:val="num" w:pos="6480"/>
        </w:tabs>
        <w:ind w:left="6480" w:hanging="360"/>
      </w:pPr>
      <w:rPr>
        <w:rFonts w:ascii="Times New Roman" w:hAnsi="Times New Roman" w:hint="default"/>
      </w:rPr>
    </w:lvl>
  </w:abstractNum>
  <w:abstractNum w:abstractNumId="4">
    <w:nsid w:val="43C64922"/>
    <w:multiLevelType w:val="hybridMultilevel"/>
    <w:tmpl w:val="CF76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31FBF"/>
    <w:multiLevelType w:val="hybridMultilevel"/>
    <w:tmpl w:val="243EA866"/>
    <w:lvl w:ilvl="0" w:tplc="CC06B0AE">
      <w:start w:val="1"/>
      <w:numFmt w:val="bullet"/>
      <w:lvlText w:val="•"/>
      <w:lvlJc w:val="left"/>
      <w:pPr>
        <w:tabs>
          <w:tab w:val="num" w:pos="720"/>
        </w:tabs>
        <w:ind w:left="720" w:hanging="360"/>
      </w:pPr>
      <w:rPr>
        <w:rFonts w:ascii="Arial" w:hAnsi="Arial" w:hint="default"/>
      </w:rPr>
    </w:lvl>
    <w:lvl w:ilvl="1" w:tplc="7CE0FC10" w:tentative="1">
      <w:start w:val="1"/>
      <w:numFmt w:val="bullet"/>
      <w:lvlText w:val="•"/>
      <w:lvlJc w:val="left"/>
      <w:pPr>
        <w:tabs>
          <w:tab w:val="num" w:pos="1440"/>
        </w:tabs>
        <w:ind w:left="1440" w:hanging="360"/>
      </w:pPr>
      <w:rPr>
        <w:rFonts w:ascii="Arial" w:hAnsi="Arial" w:hint="default"/>
      </w:rPr>
    </w:lvl>
    <w:lvl w:ilvl="2" w:tplc="A7D28E4E" w:tentative="1">
      <w:start w:val="1"/>
      <w:numFmt w:val="bullet"/>
      <w:lvlText w:val="•"/>
      <w:lvlJc w:val="left"/>
      <w:pPr>
        <w:tabs>
          <w:tab w:val="num" w:pos="2160"/>
        </w:tabs>
        <w:ind w:left="2160" w:hanging="360"/>
      </w:pPr>
      <w:rPr>
        <w:rFonts w:ascii="Arial" w:hAnsi="Arial" w:hint="default"/>
      </w:rPr>
    </w:lvl>
    <w:lvl w:ilvl="3" w:tplc="F382466C" w:tentative="1">
      <w:start w:val="1"/>
      <w:numFmt w:val="bullet"/>
      <w:lvlText w:val="•"/>
      <w:lvlJc w:val="left"/>
      <w:pPr>
        <w:tabs>
          <w:tab w:val="num" w:pos="2880"/>
        </w:tabs>
        <w:ind w:left="2880" w:hanging="360"/>
      </w:pPr>
      <w:rPr>
        <w:rFonts w:ascii="Arial" w:hAnsi="Arial" w:hint="default"/>
      </w:rPr>
    </w:lvl>
    <w:lvl w:ilvl="4" w:tplc="1382A18E" w:tentative="1">
      <w:start w:val="1"/>
      <w:numFmt w:val="bullet"/>
      <w:lvlText w:val="•"/>
      <w:lvlJc w:val="left"/>
      <w:pPr>
        <w:tabs>
          <w:tab w:val="num" w:pos="3600"/>
        </w:tabs>
        <w:ind w:left="3600" w:hanging="360"/>
      </w:pPr>
      <w:rPr>
        <w:rFonts w:ascii="Arial" w:hAnsi="Arial" w:hint="default"/>
      </w:rPr>
    </w:lvl>
    <w:lvl w:ilvl="5" w:tplc="73E0BD5C" w:tentative="1">
      <w:start w:val="1"/>
      <w:numFmt w:val="bullet"/>
      <w:lvlText w:val="•"/>
      <w:lvlJc w:val="left"/>
      <w:pPr>
        <w:tabs>
          <w:tab w:val="num" w:pos="4320"/>
        </w:tabs>
        <w:ind w:left="4320" w:hanging="360"/>
      </w:pPr>
      <w:rPr>
        <w:rFonts w:ascii="Arial" w:hAnsi="Arial" w:hint="default"/>
      </w:rPr>
    </w:lvl>
    <w:lvl w:ilvl="6" w:tplc="02305CD4" w:tentative="1">
      <w:start w:val="1"/>
      <w:numFmt w:val="bullet"/>
      <w:lvlText w:val="•"/>
      <w:lvlJc w:val="left"/>
      <w:pPr>
        <w:tabs>
          <w:tab w:val="num" w:pos="5040"/>
        </w:tabs>
        <w:ind w:left="5040" w:hanging="360"/>
      </w:pPr>
      <w:rPr>
        <w:rFonts w:ascii="Arial" w:hAnsi="Arial" w:hint="default"/>
      </w:rPr>
    </w:lvl>
    <w:lvl w:ilvl="7" w:tplc="B63215D0" w:tentative="1">
      <w:start w:val="1"/>
      <w:numFmt w:val="bullet"/>
      <w:lvlText w:val="•"/>
      <w:lvlJc w:val="left"/>
      <w:pPr>
        <w:tabs>
          <w:tab w:val="num" w:pos="5760"/>
        </w:tabs>
        <w:ind w:left="5760" w:hanging="360"/>
      </w:pPr>
      <w:rPr>
        <w:rFonts w:ascii="Arial" w:hAnsi="Arial" w:hint="default"/>
      </w:rPr>
    </w:lvl>
    <w:lvl w:ilvl="8" w:tplc="1E90E770" w:tentative="1">
      <w:start w:val="1"/>
      <w:numFmt w:val="bullet"/>
      <w:lvlText w:val="•"/>
      <w:lvlJc w:val="left"/>
      <w:pPr>
        <w:tabs>
          <w:tab w:val="num" w:pos="6480"/>
        </w:tabs>
        <w:ind w:left="6480" w:hanging="360"/>
      </w:pPr>
      <w:rPr>
        <w:rFonts w:ascii="Arial" w:hAnsi="Arial" w:hint="default"/>
      </w:rPr>
    </w:lvl>
  </w:abstractNum>
  <w:abstractNum w:abstractNumId="6">
    <w:nsid w:val="558E7563"/>
    <w:multiLevelType w:val="hybridMultilevel"/>
    <w:tmpl w:val="64F8E384"/>
    <w:lvl w:ilvl="0" w:tplc="775EB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8">
    <w:nsid w:val="67F4429B"/>
    <w:multiLevelType w:val="hybridMultilevel"/>
    <w:tmpl w:val="6D0E1F8C"/>
    <w:lvl w:ilvl="0" w:tplc="8DCA0BFE">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3"/>
  </w:num>
  <w:num w:numId="3">
    <w:abstractNumId w:val="1"/>
  </w:num>
  <w:num w:numId="4">
    <w:abstractNumId w:val="5"/>
  </w:num>
  <w:num w:numId="5">
    <w:abstractNumId w:val="2"/>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67"/>
    <w:rsid w:val="00032F92"/>
    <w:rsid w:val="00071403"/>
    <w:rsid w:val="000718C1"/>
    <w:rsid w:val="000A5134"/>
    <w:rsid w:val="000B3103"/>
    <w:rsid w:val="001424A9"/>
    <w:rsid w:val="00143732"/>
    <w:rsid w:val="00184567"/>
    <w:rsid w:val="001F23FA"/>
    <w:rsid w:val="00204299"/>
    <w:rsid w:val="002360EB"/>
    <w:rsid w:val="002841BA"/>
    <w:rsid w:val="002915CB"/>
    <w:rsid w:val="002A793D"/>
    <w:rsid w:val="002C0E79"/>
    <w:rsid w:val="002C36B6"/>
    <w:rsid w:val="002E7760"/>
    <w:rsid w:val="003A0DE6"/>
    <w:rsid w:val="003D250E"/>
    <w:rsid w:val="004831D4"/>
    <w:rsid w:val="004B6FF4"/>
    <w:rsid w:val="004F3C91"/>
    <w:rsid w:val="005003E1"/>
    <w:rsid w:val="00545C70"/>
    <w:rsid w:val="00552D15"/>
    <w:rsid w:val="0059715E"/>
    <w:rsid w:val="005F32E1"/>
    <w:rsid w:val="0061059B"/>
    <w:rsid w:val="00611BA7"/>
    <w:rsid w:val="00612A0E"/>
    <w:rsid w:val="00711BCF"/>
    <w:rsid w:val="00723A25"/>
    <w:rsid w:val="00765692"/>
    <w:rsid w:val="00794706"/>
    <w:rsid w:val="007B767B"/>
    <w:rsid w:val="007D3B75"/>
    <w:rsid w:val="00807CA2"/>
    <w:rsid w:val="00825BF6"/>
    <w:rsid w:val="00830324"/>
    <w:rsid w:val="008B66E9"/>
    <w:rsid w:val="008F475F"/>
    <w:rsid w:val="00932FDE"/>
    <w:rsid w:val="00997A32"/>
    <w:rsid w:val="009A4D2A"/>
    <w:rsid w:val="009C36B3"/>
    <w:rsid w:val="009D3DA4"/>
    <w:rsid w:val="009D7F57"/>
    <w:rsid w:val="009F22DE"/>
    <w:rsid w:val="00A926CB"/>
    <w:rsid w:val="00AB1786"/>
    <w:rsid w:val="00AF55D9"/>
    <w:rsid w:val="00B10A2B"/>
    <w:rsid w:val="00B44458"/>
    <w:rsid w:val="00BE74B0"/>
    <w:rsid w:val="00C357C8"/>
    <w:rsid w:val="00C54B9F"/>
    <w:rsid w:val="00C56ABD"/>
    <w:rsid w:val="00C8670D"/>
    <w:rsid w:val="00CB1636"/>
    <w:rsid w:val="00CC3125"/>
    <w:rsid w:val="00CE10AB"/>
    <w:rsid w:val="00CF51CB"/>
    <w:rsid w:val="00D242E0"/>
    <w:rsid w:val="00D24AB6"/>
    <w:rsid w:val="00E80602"/>
    <w:rsid w:val="00E87DD0"/>
    <w:rsid w:val="00E95DC9"/>
    <w:rsid w:val="00ED315C"/>
    <w:rsid w:val="00F10CAB"/>
    <w:rsid w:val="00F378BB"/>
    <w:rsid w:val="00F4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C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C36B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143732"/>
    <w:rPr>
      <w:rFonts w:eastAsiaTheme="minorEastAsia"/>
    </w:rPr>
  </w:style>
  <w:style w:type="paragraph" w:styleId="BodyText">
    <w:name w:val="Body Text"/>
    <w:basedOn w:val="Normal"/>
    <w:link w:val="BodyTextChar"/>
    <w:rsid w:val="00CF51CB"/>
    <w:pPr>
      <w:spacing w:before="120" w:after="6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51CB"/>
    <w:rPr>
      <w:rFonts w:ascii="Times New Roman" w:eastAsia="Times New Roman" w:hAnsi="Times New Roman" w:cs="Times New Roman"/>
      <w:sz w:val="24"/>
      <w:szCs w:val="24"/>
    </w:rPr>
  </w:style>
  <w:style w:type="paragraph" w:customStyle="1" w:styleId="Bullets">
    <w:name w:val="Bullets"/>
    <w:basedOn w:val="Normal"/>
    <w:link w:val="BulletsChar"/>
    <w:qFormat/>
    <w:rsid w:val="00552D15"/>
    <w:pPr>
      <w:numPr>
        <w:numId w:val="9"/>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552D15"/>
    <w:rPr>
      <w:rFonts w:ascii="Franklin Gothic Book" w:eastAsia="Times New Roman"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C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C36B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143732"/>
    <w:rPr>
      <w:rFonts w:eastAsiaTheme="minorEastAsia"/>
    </w:rPr>
  </w:style>
  <w:style w:type="paragraph" w:styleId="BodyText">
    <w:name w:val="Body Text"/>
    <w:basedOn w:val="Normal"/>
    <w:link w:val="BodyTextChar"/>
    <w:rsid w:val="00CF51CB"/>
    <w:pPr>
      <w:spacing w:before="120" w:after="6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51CB"/>
    <w:rPr>
      <w:rFonts w:ascii="Times New Roman" w:eastAsia="Times New Roman" w:hAnsi="Times New Roman" w:cs="Times New Roman"/>
      <w:sz w:val="24"/>
      <w:szCs w:val="24"/>
    </w:rPr>
  </w:style>
  <w:style w:type="paragraph" w:customStyle="1" w:styleId="Bullets">
    <w:name w:val="Bullets"/>
    <w:basedOn w:val="Normal"/>
    <w:link w:val="BulletsChar"/>
    <w:qFormat/>
    <w:rsid w:val="00552D15"/>
    <w:pPr>
      <w:numPr>
        <w:numId w:val="9"/>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552D15"/>
    <w:rPr>
      <w:rFonts w:ascii="Franklin Gothic Book" w:eastAsia="Times New Roman" w:hAnsi="Franklin Gothic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260679">
      <w:bodyDiv w:val="1"/>
      <w:marLeft w:val="0"/>
      <w:marRight w:val="0"/>
      <w:marTop w:val="0"/>
      <w:marBottom w:val="0"/>
      <w:divBdr>
        <w:top w:val="none" w:sz="0" w:space="0" w:color="auto"/>
        <w:left w:val="none" w:sz="0" w:space="0" w:color="auto"/>
        <w:bottom w:val="none" w:sz="0" w:space="0" w:color="auto"/>
        <w:right w:val="none" w:sz="0" w:space="0" w:color="auto"/>
      </w:divBdr>
    </w:div>
    <w:div w:id="552693541">
      <w:bodyDiv w:val="1"/>
      <w:marLeft w:val="0"/>
      <w:marRight w:val="0"/>
      <w:marTop w:val="0"/>
      <w:marBottom w:val="0"/>
      <w:divBdr>
        <w:top w:val="none" w:sz="0" w:space="0" w:color="auto"/>
        <w:left w:val="none" w:sz="0" w:space="0" w:color="auto"/>
        <w:bottom w:val="none" w:sz="0" w:space="0" w:color="auto"/>
        <w:right w:val="none" w:sz="0" w:space="0" w:color="auto"/>
      </w:divBdr>
    </w:div>
    <w:div w:id="593708439">
      <w:bodyDiv w:val="1"/>
      <w:marLeft w:val="0"/>
      <w:marRight w:val="0"/>
      <w:marTop w:val="0"/>
      <w:marBottom w:val="0"/>
      <w:divBdr>
        <w:top w:val="none" w:sz="0" w:space="0" w:color="auto"/>
        <w:left w:val="none" w:sz="0" w:space="0" w:color="auto"/>
        <w:bottom w:val="none" w:sz="0" w:space="0" w:color="auto"/>
        <w:right w:val="none" w:sz="0" w:space="0" w:color="auto"/>
      </w:divBdr>
      <w:divsChild>
        <w:div w:id="2045519249">
          <w:marLeft w:val="1166"/>
          <w:marRight w:val="0"/>
          <w:marTop w:val="91"/>
          <w:marBottom w:val="0"/>
          <w:divBdr>
            <w:top w:val="none" w:sz="0" w:space="0" w:color="auto"/>
            <w:left w:val="none" w:sz="0" w:space="0" w:color="auto"/>
            <w:bottom w:val="none" w:sz="0" w:space="0" w:color="auto"/>
            <w:right w:val="none" w:sz="0" w:space="0" w:color="auto"/>
          </w:divBdr>
        </w:div>
        <w:div w:id="1514035288">
          <w:marLeft w:val="1166"/>
          <w:marRight w:val="0"/>
          <w:marTop w:val="91"/>
          <w:marBottom w:val="0"/>
          <w:divBdr>
            <w:top w:val="none" w:sz="0" w:space="0" w:color="auto"/>
            <w:left w:val="none" w:sz="0" w:space="0" w:color="auto"/>
            <w:bottom w:val="none" w:sz="0" w:space="0" w:color="auto"/>
            <w:right w:val="none" w:sz="0" w:space="0" w:color="auto"/>
          </w:divBdr>
        </w:div>
        <w:div w:id="241834750">
          <w:marLeft w:val="1166"/>
          <w:marRight w:val="0"/>
          <w:marTop w:val="91"/>
          <w:marBottom w:val="0"/>
          <w:divBdr>
            <w:top w:val="none" w:sz="0" w:space="0" w:color="auto"/>
            <w:left w:val="none" w:sz="0" w:space="0" w:color="auto"/>
            <w:bottom w:val="none" w:sz="0" w:space="0" w:color="auto"/>
            <w:right w:val="none" w:sz="0" w:space="0" w:color="auto"/>
          </w:divBdr>
        </w:div>
      </w:divsChild>
    </w:div>
    <w:div w:id="647827102">
      <w:bodyDiv w:val="1"/>
      <w:marLeft w:val="0"/>
      <w:marRight w:val="0"/>
      <w:marTop w:val="0"/>
      <w:marBottom w:val="0"/>
      <w:divBdr>
        <w:top w:val="none" w:sz="0" w:space="0" w:color="auto"/>
        <w:left w:val="none" w:sz="0" w:space="0" w:color="auto"/>
        <w:bottom w:val="none" w:sz="0" w:space="0" w:color="auto"/>
        <w:right w:val="none" w:sz="0" w:space="0" w:color="auto"/>
      </w:divBdr>
      <w:divsChild>
        <w:div w:id="248005111">
          <w:marLeft w:val="1166"/>
          <w:marRight w:val="0"/>
          <w:marTop w:val="0"/>
          <w:marBottom w:val="0"/>
          <w:divBdr>
            <w:top w:val="none" w:sz="0" w:space="0" w:color="auto"/>
            <w:left w:val="none" w:sz="0" w:space="0" w:color="auto"/>
            <w:bottom w:val="none" w:sz="0" w:space="0" w:color="auto"/>
            <w:right w:val="none" w:sz="0" w:space="0" w:color="auto"/>
          </w:divBdr>
        </w:div>
        <w:div w:id="1089080618">
          <w:marLeft w:val="1166"/>
          <w:marRight w:val="0"/>
          <w:marTop w:val="0"/>
          <w:marBottom w:val="0"/>
          <w:divBdr>
            <w:top w:val="none" w:sz="0" w:space="0" w:color="auto"/>
            <w:left w:val="none" w:sz="0" w:space="0" w:color="auto"/>
            <w:bottom w:val="none" w:sz="0" w:space="0" w:color="auto"/>
            <w:right w:val="none" w:sz="0" w:space="0" w:color="auto"/>
          </w:divBdr>
        </w:div>
        <w:div w:id="835339296">
          <w:marLeft w:val="1166"/>
          <w:marRight w:val="0"/>
          <w:marTop w:val="0"/>
          <w:marBottom w:val="0"/>
          <w:divBdr>
            <w:top w:val="none" w:sz="0" w:space="0" w:color="auto"/>
            <w:left w:val="none" w:sz="0" w:space="0" w:color="auto"/>
            <w:bottom w:val="none" w:sz="0" w:space="0" w:color="auto"/>
            <w:right w:val="none" w:sz="0" w:space="0" w:color="auto"/>
          </w:divBdr>
        </w:div>
        <w:div w:id="1050769515">
          <w:marLeft w:val="1166"/>
          <w:marRight w:val="0"/>
          <w:marTop w:val="0"/>
          <w:marBottom w:val="0"/>
          <w:divBdr>
            <w:top w:val="none" w:sz="0" w:space="0" w:color="auto"/>
            <w:left w:val="none" w:sz="0" w:space="0" w:color="auto"/>
            <w:bottom w:val="none" w:sz="0" w:space="0" w:color="auto"/>
            <w:right w:val="none" w:sz="0" w:space="0" w:color="auto"/>
          </w:divBdr>
        </w:div>
        <w:div w:id="1598949959">
          <w:marLeft w:val="1166"/>
          <w:marRight w:val="0"/>
          <w:marTop w:val="0"/>
          <w:marBottom w:val="0"/>
          <w:divBdr>
            <w:top w:val="none" w:sz="0" w:space="0" w:color="auto"/>
            <w:left w:val="none" w:sz="0" w:space="0" w:color="auto"/>
            <w:bottom w:val="none" w:sz="0" w:space="0" w:color="auto"/>
            <w:right w:val="none" w:sz="0" w:space="0" w:color="auto"/>
          </w:divBdr>
        </w:div>
        <w:div w:id="492725700">
          <w:marLeft w:val="1166"/>
          <w:marRight w:val="0"/>
          <w:marTop w:val="0"/>
          <w:marBottom w:val="0"/>
          <w:divBdr>
            <w:top w:val="none" w:sz="0" w:space="0" w:color="auto"/>
            <w:left w:val="none" w:sz="0" w:space="0" w:color="auto"/>
            <w:bottom w:val="none" w:sz="0" w:space="0" w:color="auto"/>
            <w:right w:val="none" w:sz="0" w:space="0" w:color="auto"/>
          </w:divBdr>
        </w:div>
      </w:divsChild>
    </w:div>
    <w:div w:id="833689402">
      <w:bodyDiv w:val="1"/>
      <w:marLeft w:val="0"/>
      <w:marRight w:val="0"/>
      <w:marTop w:val="0"/>
      <w:marBottom w:val="0"/>
      <w:divBdr>
        <w:top w:val="none" w:sz="0" w:space="0" w:color="auto"/>
        <w:left w:val="none" w:sz="0" w:space="0" w:color="auto"/>
        <w:bottom w:val="none" w:sz="0" w:space="0" w:color="auto"/>
        <w:right w:val="none" w:sz="0" w:space="0" w:color="auto"/>
      </w:divBdr>
      <w:divsChild>
        <w:div w:id="485585175">
          <w:marLeft w:val="547"/>
          <w:marRight w:val="0"/>
          <w:marTop w:val="115"/>
          <w:marBottom w:val="0"/>
          <w:divBdr>
            <w:top w:val="none" w:sz="0" w:space="0" w:color="auto"/>
            <w:left w:val="none" w:sz="0" w:space="0" w:color="auto"/>
            <w:bottom w:val="none" w:sz="0" w:space="0" w:color="auto"/>
            <w:right w:val="none" w:sz="0" w:space="0" w:color="auto"/>
          </w:divBdr>
        </w:div>
        <w:div w:id="355616249">
          <w:marLeft w:val="547"/>
          <w:marRight w:val="0"/>
          <w:marTop w:val="115"/>
          <w:marBottom w:val="0"/>
          <w:divBdr>
            <w:top w:val="none" w:sz="0" w:space="0" w:color="auto"/>
            <w:left w:val="none" w:sz="0" w:space="0" w:color="auto"/>
            <w:bottom w:val="none" w:sz="0" w:space="0" w:color="auto"/>
            <w:right w:val="none" w:sz="0" w:space="0" w:color="auto"/>
          </w:divBdr>
        </w:div>
        <w:div w:id="1097291740">
          <w:marLeft w:val="547"/>
          <w:marRight w:val="0"/>
          <w:marTop w:val="115"/>
          <w:marBottom w:val="0"/>
          <w:divBdr>
            <w:top w:val="none" w:sz="0" w:space="0" w:color="auto"/>
            <w:left w:val="none" w:sz="0" w:space="0" w:color="auto"/>
            <w:bottom w:val="none" w:sz="0" w:space="0" w:color="auto"/>
            <w:right w:val="none" w:sz="0" w:space="0" w:color="auto"/>
          </w:divBdr>
        </w:div>
      </w:divsChild>
    </w:div>
    <w:div w:id="1017151367">
      <w:bodyDiv w:val="1"/>
      <w:marLeft w:val="0"/>
      <w:marRight w:val="0"/>
      <w:marTop w:val="0"/>
      <w:marBottom w:val="0"/>
      <w:divBdr>
        <w:top w:val="none" w:sz="0" w:space="0" w:color="auto"/>
        <w:left w:val="none" w:sz="0" w:space="0" w:color="auto"/>
        <w:bottom w:val="none" w:sz="0" w:space="0" w:color="auto"/>
        <w:right w:val="none" w:sz="0" w:space="0" w:color="auto"/>
      </w:divBdr>
    </w:div>
    <w:div w:id="1223365918">
      <w:bodyDiv w:val="1"/>
      <w:marLeft w:val="0"/>
      <w:marRight w:val="0"/>
      <w:marTop w:val="0"/>
      <w:marBottom w:val="0"/>
      <w:divBdr>
        <w:top w:val="none" w:sz="0" w:space="0" w:color="auto"/>
        <w:left w:val="none" w:sz="0" w:space="0" w:color="auto"/>
        <w:bottom w:val="none" w:sz="0" w:space="0" w:color="auto"/>
        <w:right w:val="none" w:sz="0" w:space="0" w:color="auto"/>
      </w:divBdr>
    </w:div>
    <w:div w:id="1227303155">
      <w:bodyDiv w:val="1"/>
      <w:marLeft w:val="0"/>
      <w:marRight w:val="0"/>
      <w:marTop w:val="0"/>
      <w:marBottom w:val="0"/>
      <w:divBdr>
        <w:top w:val="none" w:sz="0" w:space="0" w:color="auto"/>
        <w:left w:val="none" w:sz="0" w:space="0" w:color="auto"/>
        <w:bottom w:val="none" w:sz="0" w:space="0" w:color="auto"/>
        <w:right w:val="none" w:sz="0" w:space="0" w:color="auto"/>
      </w:divBdr>
    </w:div>
    <w:div w:id="1264680761">
      <w:bodyDiv w:val="1"/>
      <w:marLeft w:val="0"/>
      <w:marRight w:val="0"/>
      <w:marTop w:val="0"/>
      <w:marBottom w:val="0"/>
      <w:divBdr>
        <w:top w:val="none" w:sz="0" w:space="0" w:color="auto"/>
        <w:left w:val="none" w:sz="0" w:space="0" w:color="auto"/>
        <w:bottom w:val="none" w:sz="0" w:space="0" w:color="auto"/>
        <w:right w:val="none" w:sz="0" w:space="0" w:color="auto"/>
      </w:divBdr>
    </w:div>
    <w:div w:id="1308363530">
      <w:bodyDiv w:val="1"/>
      <w:marLeft w:val="0"/>
      <w:marRight w:val="0"/>
      <w:marTop w:val="0"/>
      <w:marBottom w:val="0"/>
      <w:divBdr>
        <w:top w:val="none" w:sz="0" w:space="0" w:color="auto"/>
        <w:left w:val="none" w:sz="0" w:space="0" w:color="auto"/>
        <w:bottom w:val="none" w:sz="0" w:space="0" w:color="auto"/>
        <w:right w:val="none" w:sz="0" w:space="0" w:color="auto"/>
      </w:divBdr>
      <w:divsChild>
        <w:div w:id="585188440">
          <w:marLeft w:val="1166"/>
          <w:marRight w:val="0"/>
          <w:marTop w:val="0"/>
          <w:marBottom w:val="0"/>
          <w:divBdr>
            <w:top w:val="none" w:sz="0" w:space="0" w:color="auto"/>
            <w:left w:val="none" w:sz="0" w:space="0" w:color="auto"/>
            <w:bottom w:val="none" w:sz="0" w:space="0" w:color="auto"/>
            <w:right w:val="none" w:sz="0" w:space="0" w:color="auto"/>
          </w:divBdr>
        </w:div>
        <w:div w:id="1083139219">
          <w:marLeft w:val="1166"/>
          <w:marRight w:val="0"/>
          <w:marTop w:val="0"/>
          <w:marBottom w:val="0"/>
          <w:divBdr>
            <w:top w:val="none" w:sz="0" w:space="0" w:color="auto"/>
            <w:left w:val="none" w:sz="0" w:space="0" w:color="auto"/>
            <w:bottom w:val="none" w:sz="0" w:space="0" w:color="auto"/>
            <w:right w:val="none" w:sz="0" w:space="0" w:color="auto"/>
          </w:divBdr>
        </w:div>
        <w:div w:id="1017461357">
          <w:marLeft w:val="1166"/>
          <w:marRight w:val="0"/>
          <w:marTop w:val="0"/>
          <w:marBottom w:val="0"/>
          <w:divBdr>
            <w:top w:val="none" w:sz="0" w:space="0" w:color="auto"/>
            <w:left w:val="none" w:sz="0" w:space="0" w:color="auto"/>
            <w:bottom w:val="none" w:sz="0" w:space="0" w:color="auto"/>
            <w:right w:val="none" w:sz="0" w:space="0" w:color="auto"/>
          </w:divBdr>
        </w:div>
        <w:div w:id="2010516609">
          <w:marLeft w:val="1166"/>
          <w:marRight w:val="0"/>
          <w:marTop w:val="0"/>
          <w:marBottom w:val="0"/>
          <w:divBdr>
            <w:top w:val="none" w:sz="0" w:space="0" w:color="auto"/>
            <w:left w:val="none" w:sz="0" w:space="0" w:color="auto"/>
            <w:bottom w:val="none" w:sz="0" w:space="0" w:color="auto"/>
            <w:right w:val="none" w:sz="0" w:space="0" w:color="auto"/>
          </w:divBdr>
        </w:div>
        <w:div w:id="1608851863">
          <w:marLeft w:val="1166"/>
          <w:marRight w:val="0"/>
          <w:marTop w:val="0"/>
          <w:marBottom w:val="0"/>
          <w:divBdr>
            <w:top w:val="none" w:sz="0" w:space="0" w:color="auto"/>
            <w:left w:val="none" w:sz="0" w:space="0" w:color="auto"/>
            <w:bottom w:val="none" w:sz="0" w:space="0" w:color="auto"/>
            <w:right w:val="none" w:sz="0" w:space="0" w:color="auto"/>
          </w:divBdr>
        </w:div>
        <w:div w:id="1698123416">
          <w:marLeft w:val="1166"/>
          <w:marRight w:val="0"/>
          <w:marTop w:val="0"/>
          <w:marBottom w:val="0"/>
          <w:divBdr>
            <w:top w:val="none" w:sz="0" w:space="0" w:color="auto"/>
            <w:left w:val="none" w:sz="0" w:space="0" w:color="auto"/>
            <w:bottom w:val="none" w:sz="0" w:space="0" w:color="auto"/>
            <w:right w:val="none" w:sz="0" w:space="0" w:color="auto"/>
          </w:divBdr>
        </w:div>
      </w:divsChild>
    </w:div>
    <w:div w:id="1353334963">
      <w:bodyDiv w:val="1"/>
      <w:marLeft w:val="0"/>
      <w:marRight w:val="0"/>
      <w:marTop w:val="0"/>
      <w:marBottom w:val="0"/>
      <w:divBdr>
        <w:top w:val="none" w:sz="0" w:space="0" w:color="auto"/>
        <w:left w:val="none" w:sz="0" w:space="0" w:color="auto"/>
        <w:bottom w:val="none" w:sz="0" w:space="0" w:color="auto"/>
        <w:right w:val="none" w:sz="0" w:space="0" w:color="auto"/>
      </w:divBdr>
    </w:div>
    <w:div w:id="1414274714">
      <w:bodyDiv w:val="1"/>
      <w:marLeft w:val="0"/>
      <w:marRight w:val="0"/>
      <w:marTop w:val="0"/>
      <w:marBottom w:val="0"/>
      <w:divBdr>
        <w:top w:val="none" w:sz="0" w:space="0" w:color="auto"/>
        <w:left w:val="none" w:sz="0" w:space="0" w:color="auto"/>
        <w:bottom w:val="none" w:sz="0" w:space="0" w:color="auto"/>
        <w:right w:val="none" w:sz="0" w:space="0" w:color="auto"/>
      </w:divBdr>
      <w:divsChild>
        <w:div w:id="1012032694">
          <w:marLeft w:val="1166"/>
          <w:marRight w:val="0"/>
          <w:marTop w:val="91"/>
          <w:marBottom w:val="0"/>
          <w:divBdr>
            <w:top w:val="none" w:sz="0" w:space="0" w:color="auto"/>
            <w:left w:val="none" w:sz="0" w:space="0" w:color="auto"/>
            <w:bottom w:val="none" w:sz="0" w:space="0" w:color="auto"/>
            <w:right w:val="none" w:sz="0" w:space="0" w:color="auto"/>
          </w:divBdr>
        </w:div>
        <w:div w:id="1685211265">
          <w:marLeft w:val="1166"/>
          <w:marRight w:val="0"/>
          <w:marTop w:val="91"/>
          <w:marBottom w:val="0"/>
          <w:divBdr>
            <w:top w:val="none" w:sz="0" w:space="0" w:color="auto"/>
            <w:left w:val="none" w:sz="0" w:space="0" w:color="auto"/>
            <w:bottom w:val="none" w:sz="0" w:space="0" w:color="auto"/>
            <w:right w:val="none" w:sz="0" w:space="0" w:color="auto"/>
          </w:divBdr>
        </w:div>
        <w:div w:id="1149325340">
          <w:marLeft w:val="1166"/>
          <w:marRight w:val="0"/>
          <w:marTop w:val="91"/>
          <w:marBottom w:val="0"/>
          <w:divBdr>
            <w:top w:val="none" w:sz="0" w:space="0" w:color="auto"/>
            <w:left w:val="none" w:sz="0" w:space="0" w:color="auto"/>
            <w:bottom w:val="none" w:sz="0" w:space="0" w:color="auto"/>
            <w:right w:val="none" w:sz="0" w:space="0" w:color="auto"/>
          </w:divBdr>
        </w:div>
      </w:divsChild>
    </w:div>
    <w:div w:id="15905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keti</cp:lastModifiedBy>
  <cp:revision>4</cp:revision>
  <dcterms:created xsi:type="dcterms:W3CDTF">2017-03-13T13:42:00Z</dcterms:created>
  <dcterms:modified xsi:type="dcterms:W3CDTF">2017-03-23T01:59:00Z</dcterms:modified>
</cp:coreProperties>
</file>