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6604E4" w:rsidRDefault="00310F86" w:rsidP="006604E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604E4">
        <w:rPr>
          <w:rFonts w:ascii="Sylfaen" w:hAnsi="Sylfaen"/>
          <w:b/>
          <w:sz w:val="24"/>
          <w:szCs w:val="24"/>
        </w:rPr>
        <w:t xml:space="preserve"> </w:t>
      </w:r>
      <w:r w:rsidR="00B90485" w:rsidRPr="006604E4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  საქართველოს შრომის, ჯანმრთელობის დაცვისა და სოციალურ საკითხთა სამინისტრო</w:t>
      </w:r>
      <w:r w:rsidR="005C181B" w:rsidRPr="006604E4">
        <w:rPr>
          <w:rFonts w:ascii="Sylfaen" w:hAnsi="Sylfaen"/>
          <w:b/>
          <w:sz w:val="24"/>
          <w:szCs w:val="24"/>
          <w:lang w:val="ka-GE"/>
        </w:rPr>
        <w:t>, დაავადებათა კონტროლის და საზოგადოებრივი ჯნამრთელობის ეროვნული ცენტრი</w:t>
      </w:r>
    </w:p>
    <w:p w:rsidR="00B90485" w:rsidRPr="006604E4" w:rsidRDefault="00B90485" w:rsidP="006604E4">
      <w:pPr>
        <w:jc w:val="both"/>
        <w:rPr>
          <w:rFonts w:ascii="Sylfaen" w:hAnsi="Sylfaen"/>
          <w:sz w:val="24"/>
          <w:szCs w:val="24"/>
          <w:lang w:val="ka-GE"/>
        </w:rPr>
      </w:pPr>
      <w:r w:rsidRPr="006604E4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6604E4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ინფორმაცია: </w:t>
      </w:r>
      <w:r w:rsidR="005C181B" w:rsidRPr="006604E4">
        <w:rPr>
          <w:rFonts w:ascii="Sylfaen" w:hAnsi="Sylfaen"/>
          <w:sz w:val="24"/>
          <w:szCs w:val="24"/>
          <w:lang w:val="ka-GE"/>
        </w:rPr>
        <w:t>ლელა სტურუა,</w:t>
      </w:r>
      <w:r w:rsidRPr="006604E4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6604E4">
        <w:rPr>
          <w:rFonts w:ascii="Sylfaen" w:hAnsi="Sylfaen"/>
          <w:sz w:val="24"/>
          <w:szCs w:val="24"/>
          <w:lang w:val="ka-GE"/>
        </w:rPr>
        <w:t>არაგადამდები დაავადებების დეპარტამენტის უფროსი</w:t>
      </w:r>
      <w:r w:rsidRPr="006604E4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6604E4">
        <w:rPr>
          <w:rFonts w:ascii="Sylfaen" w:hAnsi="Sylfaen"/>
          <w:sz w:val="24"/>
          <w:szCs w:val="24"/>
          <w:lang w:val="ka-GE"/>
        </w:rPr>
        <w:t>599111797</w:t>
      </w:r>
    </w:p>
    <w:p w:rsidR="00E464D6" w:rsidRPr="006604E4" w:rsidRDefault="00B90485" w:rsidP="006604E4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6604E4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6604E4">
        <w:rPr>
          <w:rFonts w:ascii="Sylfaen" w:hAnsi="Sylfaen"/>
          <w:sz w:val="24"/>
          <w:szCs w:val="24"/>
          <w:lang w:val="ka-GE"/>
        </w:rPr>
        <w:t xml:space="preserve">   </w:t>
      </w:r>
      <w:r w:rsidR="00E464D6" w:rsidRPr="006604E4">
        <w:rPr>
          <w:rFonts w:ascii="Sylfaen" w:hAnsi="Sylfaen"/>
          <w:sz w:val="24"/>
          <w:szCs w:val="24"/>
          <w:u w:color="FF0000"/>
        </w:rPr>
        <w:t>2003</w:t>
      </w:r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r w:rsidR="00E464D6" w:rsidRPr="006604E4">
        <w:rPr>
          <w:rFonts w:ascii="Sylfaen" w:hAnsi="Sylfaen"/>
          <w:sz w:val="24"/>
          <w:szCs w:val="24"/>
          <w:u w:color="FF0000"/>
        </w:rPr>
        <w:t>26</w:t>
      </w:r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მაისის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ევროპარლამენტისა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r w:rsidR="00E464D6" w:rsidRPr="006604E4">
        <w:rPr>
          <w:rFonts w:ascii="Sylfaen" w:hAnsi="Sylfaen"/>
          <w:sz w:val="24"/>
          <w:szCs w:val="24"/>
          <w:u w:color="FF0000"/>
          <w:lang w:val="ka-GE"/>
        </w:rPr>
        <w:t>2003/33/EC</w:t>
      </w:r>
      <w:r w:rsidR="00E464D6" w:rsidRPr="006604E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დირექტივა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თამბაქოს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პროდუქტების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რეკლამირებასა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სპონსორობასთან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დაკავშირებით</w:t>
      </w:r>
      <w:proofErr w:type="spellEnd"/>
      <w:r w:rsidR="00E464D6" w:rsidRPr="006604E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წევრ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სახელმწიფთა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კანონების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,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რეგულაციებისა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ადმინისტრაციული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დებულებების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დაახლოების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</w:t>
      </w:r>
      <w:proofErr w:type="spellStart"/>
      <w:r w:rsidR="00E464D6" w:rsidRPr="006604E4">
        <w:rPr>
          <w:rFonts w:ascii="Sylfaen" w:hAnsi="Sylfaen"/>
          <w:sz w:val="24"/>
          <w:szCs w:val="24"/>
          <w:u w:color="FF0000"/>
        </w:rPr>
        <w:t>შესახებ</w:t>
      </w:r>
      <w:proofErr w:type="spellEnd"/>
      <w:r w:rsidR="00E464D6" w:rsidRPr="006604E4">
        <w:rPr>
          <w:rFonts w:ascii="Sylfaen" w:hAnsi="Sylfaen"/>
          <w:sz w:val="24"/>
          <w:szCs w:val="24"/>
        </w:rPr>
        <w:t xml:space="preserve">  </w:t>
      </w:r>
    </w:p>
    <w:p w:rsidR="00052DB4" w:rsidRPr="006604E4" w:rsidRDefault="00052DB4" w:rsidP="006604E4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6604E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6604E4" w:rsidRDefault="00052DB4" w:rsidP="006604E4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6604E4" w:rsidRDefault="001C4EC5" w:rsidP="006604E4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6604E4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6604E4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6604E4" w:rsidRDefault="009F3C66" w:rsidP="006604E4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6604E4" w:rsidTr="008A6D88">
        <w:trPr>
          <w:trHeight w:val="1790"/>
        </w:trPr>
        <w:tc>
          <w:tcPr>
            <w:tcW w:w="7360" w:type="dxa"/>
            <w:gridSpan w:val="2"/>
          </w:tcPr>
          <w:p w:rsidR="00CF5026" w:rsidRPr="006604E4" w:rsidRDefault="00F43634" w:rsidP="006604E4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  <w:lang w:val="ka-GE"/>
              </w:rPr>
            </w:pP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ევროპარლამენტის და საბჭოს 2014 წლის 3 აპრილის </w:t>
            </w:r>
            <w:r w:rsidR="00F014CB" w:rsidRPr="006604E4">
              <w:rPr>
                <w:rFonts w:ascii="Sylfaen" w:hAnsi="Sylfaen" w:cs="Sylfaen"/>
                <w:sz w:val="24"/>
                <w:szCs w:val="24"/>
                <w:lang w:val="ka-GE"/>
              </w:rPr>
              <w:t>დირექტივის რეგულირების სფეროა</w:t>
            </w: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6604E4">
              <w:rPr>
                <w:rFonts w:ascii="Sylfaen" w:hAnsi="Sylfaen" w:cs="Sylfaen"/>
                <w:sz w:val="24"/>
                <w:szCs w:val="24"/>
              </w:rPr>
              <w:t>(</w:t>
            </w: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>2014/40/</w:t>
            </w:r>
            <w:r w:rsidRPr="006604E4">
              <w:rPr>
                <w:rFonts w:ascii="Sylfaen" w:hAnsi="Sylfaen" w:cs="Sylfaen"/>
                <w:sz w:val="24"/>
                <w:szCs w:val="24"/>
              </w:rPr>
              <w:t xml:space="preserve">EU) </w:t>
            </w: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თამბაქოს </w:t>
            </w:r>
            <w:r w:rsidR="00526702" w:rsidRPr="006604E4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კონტროლი. დირექტივის მიზანია თამბაქოს ინდუსტრიის მარკეტინიგული სტრატეგიისგან მოსახლეობის დაცვა და შესაბამისად მოწევის დაწყების პრევენცია, განსაკუთრებით ახალგაზრდებში. ასევე თამბაქოს ინდუსტრიის მიერ სპონსორობის, სოციალური პასუხისმგებლობის მატარებელი საქმიანობის რეგულირება. </w:t>
            </w:r>
          </w:p>
          <w:p w:rsidR="00CF5026" w:rsidRPr="006604E4" w:rsidRDefault="00CF5026" w:rsidP="006604E4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</w:rPr>
            </w:pPr>
          </w:p>
          <w:p w:rsidR="00052DB4" w:rsidRPr="006604E4" w:rsidRDefault="00CF5026" w:rsidP="006604E4">
            <w:pPr>
              <w:ind w:left="250"/>
              <w:jc w:val="both"/>
              <w:rPr>
                <w:rFonts w:ascii="Sylfaen" w:hAnsi="Sylfaen"/>
                <w:sz w:val="24"/>
                <w:szCs w:val="24"/>
              </w:rPr>
            </w:pPr>
            <w:r w:rsidRPr="006604E4"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</w:rPr>
              <w:t>2016.</w:t>
            </w:r>
          </w:p>
        </w:tc>
        <w:tc>
          <w:tcPr>
            <w:tcW w:w="2880" w:type="dxa"/>
          </w:tcPr>
          <w:p w:rsidR="00052DB4" w:rsidRPr="006604E4" w:rsidRDefault="00C521F3" w:rsidP="005C5D5E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ასოცირების </w:t>
            </w:r>
            <w:r w:rsidR="006604E4">
              <w:rPr>
                <w:rFonts w:ascii="Sylfaen" w:hAnsi="Sylfaen"/>
                <w:sz w:val="24"/>
                <w:szCs w:val="24"/>
                <w:lang w:val="ka-GE"/>
              </w:rPr>
              <w:t xml:space="preserve">შეთანხმების </w:t>
            </w: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ძალაში</w:t>
            </w:r>
            <w:r w:rsidR="00B01BC1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შე</w:t>
            </w:r>
            <w:r w:rsidR="005C5D5E">
              <w:rPr>
                <w:rFonts w:ascii="Sylfaen" w:hAnsi="Sylfaen"/>
                <w:sz w:val="24"/>
                <w:szCs w:val="24"/>
                <w:lang w:val="ka-GE"/>
              </w:rPr>
              <w:t>სვ</w:t>
            </w:r>
            <w:bookmarkStart w:id="0" w:name="_GoBack"/>
            <w:bookmarkEnd w:id="0"/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ლიდან</w:t>
            </w:r>
            <w:r w:rsidR="005C4553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4</w:t>
            </w: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წლის ვადაში</w:t>
            </w:r>
          </w:p>
        </w:tc>
        <w:tc>
          <w:tcPr>
            <w:tcW w:w="3484" w:type="dxa"/>
          </w:tcPr>
          <w:p w:rsidR="00B90485" w:rsidRPr="006604E4" w:rsidRDefault="00B90485" w:rsidP="006604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B90485" w:rsidRPr="006604E4" w:rsidRDefault="00B90485" w:rsidP="006604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6604E4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B90485" w:rsidRPr="006604E4" w:rsidRDefault="00B90485" w:rsidP="006604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6604E4" w:rsidRDefault="00B90485" w:rsidP="006604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6604E4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6604E4" w:rsidRDefault="00B90485" w:rsidP="006604E4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6604E4" w:rsidRDefault="00B90485" w:rsidP="006604E4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6604E4" w:rsidRDefault="00B90485" w:rsidP="006604E4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შენიშვნა</w:t>
            </w:r>
          </w:p>
        </w:tc>
      </w:tr>
      <w:tr w:rsidR="00B90485" w:rsidRPr="006604E4" w:rsidTr="00F865B3">
        <w:trPr>
          <w:trHeight w:val="2542"/>
        </w:trPr>
        <w:tc>
          <w:tcPr>
            <w:tcW w:w="601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F865B3" w:rsidRPr="006604E4" w:rsidRDefault="00E464D6" w:rsidP="006604E4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proofErr w:type="gram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კომისიის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ჯგუფის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2013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წელს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შემუშავებულია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proofErr w:type="gram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მიზნად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ისახავს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სპონსორობისა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პოპულარიზიციის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რეგულაციების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ევროკავშირის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დირექტივასთან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ჯანმო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ჩარჩო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კონვენციის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მე-13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მუხლთან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გაიდლაინებთან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დაახლოებას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კანონპროექტის</w:t>
            </w:r>
            <w:proofErr w:type="spellEnd"/>
            <w:proofErr w:type="gram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თანახმად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ახალი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რედაქციით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ყალიბდება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მე-3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მუხლის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მე-12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პუნქტი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რომლის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თანახმად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განისაზღვრა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მასთან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დაკავშირებული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აქსესუარებისა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როგორც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დეფინიცია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ცვლილების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ძირითადი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არსის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კანონს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82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მუხლი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რომელიც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ადგენს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მასთან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დაკავშირებული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აქსესუარებისა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აკრძალვის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საკითხს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კერძოდ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აკრძალულია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მასთან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დაკავშირებული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აქსესუარებისა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მოხმარებისთვის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განკუთვილი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მოწყობილობების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ნებისმიერი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სახის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რეკლამა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ინტერნეტის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6604E4">
              <w:rPr>
                <w:rFonts w:ascii="Sylfaen" w:hAnsi="Sylfaen" w:cs="Calibri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484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6604E4" w:rsidTr="00B90485">
        <w:trPr>
          <w:trHeight w:val="701"/>
        </w:trPr>
        <w:tc>
          <w:tcPr>
            <w:tcW w:w="601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6604E4" w:rsidRDefault="008A6D88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</w:rPr>
              <w:t xml:space="preserve">2017 </w:t>
            </w:r>
            <w:r w:rsidR="00122443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წლის </w:t>
            </w:r>
            <w:r w:rsidR="00281F60" w:rsidRPr="006604E4">
              <w:rPr>
                <w:rFonts w:ascii="Sylfaen" w:hAnsi="Sylfaen"/>
                <w:sz w:val="24"/>
                <w:szCs w:val="24"/>
              </w:rPr>
              <w:t>5</w:t>
            </w:r>
            <w:r w:rsidR="00B90485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81F60" w:rsidRPr="006604E4">
              <w:rPr>
                <w:rFonts w:ascii="Sylfaen" w:hAnsi="Sylfaen"/>
                <w:sz w:val="24"/>
                <w:szCs w:val="24"/>
                <w:lang w:val="ka-GE"/>
              </w:rPr>
              <w:t>აპრილს</w:t>
            </w:r>
            <w:r w:rsidR="00B90485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კანონპროექტთა პაკეტი </w:t>
            </w:r>
            <w:r w:rsidR="00281F60" w:rsidRPr="006604E4">
              <w:rPr>
                <w:rFonts w:ascii="Sylfaen" w:hAnsi="Sylfaen"/>
                <w:sz w:val="24"/>
                <w:szCs w:val="24"/>
                <w:lang w:val="ka-GE"/>
              </w:rPr>
              <w:t>თამბაქოს კონტროლის</w:t>
            </w:r>
            <w:r w:rsidR="00B90485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 საქართველოს </w:t>
            </w:r>
            <w:r w:rsidR="00281F60" w:rsidRPr="006604E4">
              <w:rPr>
                <w:rFonts w:ascii="Sylfaen" w:hAnsi="Sylfaen"/>
                <w:sz w:val="24"/>
                <w:szCs w:val="24"/>
                <w:lang w:val="ka-GE"/>
              </w:rPr>
              <w:t>პარლამენტის ჯანმრთელობის დაცვისა და სოციალურ საკითხთა კომიტეტმა (წამყვანი) პირველი მოსმენით განიხილა</w:t>
            </w:r>
          </w:p>
        </w:tc>
        <w:tc>
          <w:tcPr>
            <w:tcW w:w="3484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6604E4" w:rsidTr="00B90485">
        <w:trPr>
          <w:trHeight w:val="710"/>
        </w:trPr>
        <w:tc>
          <w:tcPr>
            <w:tcW w:w="601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6604E4" w:rsidRDefault="008A6D88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2017 წლის </w:t>
            </w:r>
            <w:r w:rsidR="002C0F4D" w:rsidRPr="006604E4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="00B90485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C0F4D"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მაისს </w:t>
            </w:r>
            <w:r w:rsidR="00B90485" w:rsidRPr="006604E4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პარლამენტ</w:t>
            </w:r>
            <w:r w:rsidR="002C0F4D" w:rsidRPr="006604E4">
              <w:rPr>
                <w:rFonts w:ascii="Sylfaen" w:hAnsi="Sylfaen"/>
                <w:sz w:val="24"/>
                <w:szCs w:val="24"/>
                <w:lang w:val="ka-GE"/>
              </w:rPr>
              <w:t>მა მესამე მოსმენით დაამტკიცა</w:t>
            </w:r>
          </w:p>
        </w:tc>
        <w:tc>
          <w:tcPr>
            <w:tcW w:w="3484" w:type="dxa"/>
          </w:tcPr>
          <w:p w:rsidR="00B90485" w:rsidRPr="006604E4" w:rsidRDefault="00B90485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C0F4D" w:rsidRPr="006604E4" w:rsidTr="00B90485">
        <w:trPr>
          <w:trHeight w:val="710"/>
        </w:trPr>
        <w:tc>
          <w:tcPr>
            <w:tcW w:w="601" w:type="dxa"/>
          </w:tcPr>
          <w:p w:rsidR="002C0F4D" w:rsidRPr="006604E4" w:rsidRDefault="002C0F4D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9639" w:type="dxa"/>
            <w:gridSpan w:val="2"/>
          </w:tcPr>
          <w:p w:rsidR="002C0F4D" w:rsidRPr="006604E4" w:rsidRDefault="00953B66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კანონი ძალაშია გამოქვეყნებისთანავე (30.05.2017)</w:t>
            </w:r>
          </w:p>
        </w:tc>
        <w:tc>
          <w:tcPr>
            <w:tcW w:w="3484" w:type="dxa"/>
          </w:tcPr>
          <w:p w:rsidR="002C0F4D" w:rsidRPr="006604E4" w:rsidRDefault="002C0F4D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6604E4" w:rsidTr="00B90485">
        <w:trPr>
          <w:trHeight w:val="548"/>
        </w:trPr>
        <w:tc>
          <w:tcPr>
            <w:tcW w:w="601" w:type="dxa"/>
          </w:tcPr>
          <w:p w:rsidR="006A1D06" w:rsidRPr="006604E4" w:rsidRDefault="006A1D06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9639" w:type="dxa"/>
            <w:gridSpan w:val="2"/>
          </w:tcPr>
          <w:p w:rsidR="006A1D06" w:rsidRPr="006604E4" w:rsidRDefault="006A1D06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6604E4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სამინისტროს მიერ </w:t>
            </w:r>
            <w:r w:rsidR="000D4852" w:rsidRPr="006604E4">
              <w:rPr>
                <w:rFonts w:ascii="Sylfaen" w:hAnsi="Sylfaen"/>
                <w:sz w:val="24"/>
                <w:szCs w:val="24"/>
                <w:lang w:val="ka-GE"/>
              </w:rPr>
              <w:t>მზადდება შესაბამისი ნორმატიული აქტი</w:t>
            </w:r>
          </w:p>
        </w:tc>
        <w:tc>
          <w:tcPr>
            <w:tcW w:w="3484" w:type="dxa"/>
          </w:tcPr>
          <w:p w:rsidR="006A1D06" w:rsidRPr="006604E4" w:rsidRDefault="006A1D06" w:rsidP="006604E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6604E4" w:rsidRDefault="005753D9" w:rsidP="006604E4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6604E4" w:rsidRDefault="002D2EBE" w:rsidP="006604E4">
      <w:pPr>
        <w:jc w:val="both"/>
        <w:rPr>
          <w:rFonts w:ascii="Sylfaen" w:hAnsi="Sylfaen"/>
          <w:sz w:val="24"/>
          <w:szCs w:val="24"/>
        </w:rPr>
      </w:pPr>
      <w:r w:rsidRPr="006604E4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6604E4">
        <w:rPr>
          <w:rFonts w:ascii="Sylfaen" w:hAnsi="Sylfaen"/>
          <w:sz w:val="24"/>
          <w:szCs w:val="24"/>
          <w:lang w:val="ka-GE"/>
        </w:rPr>
        <w:t>ის</w:t>
      </w:r>
      <w:r w:rsidRPr="006604E4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6604E4">
        <w:rPr>
          <w:rFonts w:ascii="Sylfaen" w:hAnsi="Sylfaen"/>
          <w:sz w:val="24"/>
          <w:szCs w:val="24"/>
          <w:lang w:val="ka-GE"/>
        </w:rPr>
        <w:t xml:space="preserve"> </w:t>
      </w:r>
      <w:r w:rsidRPr="006604E4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6604E4" w:rsidRDefault="005753D9" w:rsidP="006604E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6604E4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2CB6296"/>
    <w:multiLevelType w:val="hybridMultilevel"/>
    <w:tmpl w:val="6F4E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0C6C"/>
    <w:multiLevelType w:val="multilevel"/>
    <w:tmpl w:val="8BD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314"/>
    <w:rsid w:val="00052DB4"/>
    <w:rsid w:val="000D4852"/>
    <w:rsid w:val="00122443"/>
    <w:rsid w:val="001526B5"/>
    <w:rsid w:val="00180F13"/>
    <w:rsid w:val="001C4EC5"/>
    <w:rsid w:val="00250885"/>
    <w:rsid w:val="00281F60"/>
    <w:rsid w:val="002C0F4D"/>
    <w:rsid w:val="002D2EBE"/>
    <w:rsid w:val="00310F86"/>
    <w:rsid w:val="003851C4"/>
    <w:rsid w:val="00481946"/>
    <w:rsid w:val="004B17FE"/>
    <w:rsid w:val="00526702"/>
    <w:rsid w:val="005532A9"/>
    <w:rsid w:val="005753D9"/>
    <w:rsid w:val="005A4464"/>
    <w:rsid w:val="005C181B"/>
    <w:rsid w:val="005C4553"/>
    <w:rsid w:val="005C5D5E"/>
    <w:rsid w:val="006604E4"/>
    <w:rsid w:val="006A1D06"/>
    <w:rsid w:val="006A7776"/>
    <w:rsid w:val="007F3314"/>
    <w:rsid w:val="008313E7"/>
    <w:rsid w:val="00856068"/>
    <w:rsid w:val="008A6D88"/>
    <w:rsid w:val="008C4F40"/>
    <w:rsid w:val="008F6317"/>
    <w:rsid w:val="00953B66"/>
    <w:rsid w:val="00963175"/>
    <w:rsid w:val="009F3C66"/>
    <w:rsid w:val="00B01BC1"/>
    <w:rsid w:val="00B90485"/>
    <w:rsid w:val="00BE380E"/>
    <w:rsid w:val="00C521F3"/>
    <w:rsid w:val="00C77E6C"/>
    <w:rsid w:val="00CF5026"/>
    <w:rsid w:val="00DB74A9"/>
    <w:rsid w:val="00E464D6"/>
    <w:rsid w:val="00F014CB"/>
    <w:rsid w:val="00F436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145D8-BCD7-4211-833D-C089FAF1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5026"/>
    <w:rPr>
      <w:color w:val="0000FF"/>
      <w:u w:val="single"/>
    </w:rPr>
  </w:style>
  <w:style w:type="character" w:customStyle="1" w:styleId="offscreen">
    <w:name w:val="offscreen"/>
    <w:basedOn w:val="DefaultParagraphFont"/>
    <w:rsid w:val="00CF5026"/>
  </w:style>
  <w:style w:type="paragraph" w:styleId="NormalWeb">
    <w:name w:val="Normal (Web)"/>
    <w:basedOn w:val="Normal"/>
    <w:uiPriority w:val="99"/>
    <w:semiHidden/>
    <w:unhideWhenUsed/>
    <w:rsid w:val="00F8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8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8</cp:revision>
  <cp:lastPrinted>2017-06-27T11:19:00Z</cp:lastPrinted>
  <dcterms:created xsi:type="dcterms:W3CDTF">2017-10-16T13:24:00Z</dcterms:created>
  <dcterms:modified xsi:type="dcterms:W3CDTF">2017-10-17T00:51:00Z</dcterms:modified>
</cp:coreProperties>
</file>