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88" w:rsidRPr="00C16CE1" w:rsidRDefault="000E6C14" w:rsidP="00C16CE1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614588" w:rsidRPr="00C16CE1">
        <w:trPr>
          <w:trHeight w:val="440"/>
        </w:trPr>
        <w:tc>
          <w:tcPr>
            <w:tcW w:w="7357" w:type="dxa"/>
          </w:tcPr>
          <w:p w:rsidR="00614588" w:rsidRPr="00C16CE1" w:rsidRDefault="000E6C14" w:rsidP="00C16CE1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14588" w:rsidRPr="00C16CE1">
        <w:trPr>
          <w:trHeight w:val="420"/>
        </w:trPr>
        <w:tc>
          <w:tcPr>
            <w:tcW w:w="7357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321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წესები</w:t>
            </w:r>
          </w:p>
        </w:tc>
      </w:tr>
      <w:tr w:rsidR="00614588" w:rsidRPr="00C16CE1">
        <w:trPr>
          <w:trHeight w:val="420"/>
        </w:trPr>
        <w:tc>
          <w:tcPr>
            <w:tcW w:w="7357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614588" w:rsidRPr="00C16CE1" w:rsidRDefault="00614588" w:rsidP="00C16CE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14588" w:rsidRPr="00C16CE1">
        <w:trPr>
          <w:trHeight w:val="420"/>
        </w:trPr>
        <w:tc>
          <w:tcPr>
            <w:tcW w:w="7357" w:type="dxa"/>
          </w:tcPr>
          <w:p w:rsidR="00614588" w:rsidRPr="00C16CE1" w:rsidRDefault="000E6C14" w:rsidP="00C16CE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614588" w:rsidRPr="00C16CE1" w:rsidRDefault="000E6C14" w:rsidP="00C16CE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</w:tr>
      <w:tr w:rsidR="00614588" w:rsidRPr="00C16CE1">
        <w:trPr>
          <w:trHeight w:val="420"/>
        </w:trPr>
        <w:tc>
          <w:tcPr>
            <w:tcW w:w="7357" w:type="dxa"/>
          </w:tcPr>
          <w:p w:rsidR="00614588" w:rsidRPr="00C16CE1" w:rsidRDefault="000E6C14" w:rsidP="00C16CE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321" w:type="dxa"/>
          </w:tcPr>
          <w:p w:rsidR="00614588" w:rsidRPr="00C16CE1" w:rsidRDefault="000E6C14" w:rsidP="00C16CE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</w:tc>
      </w:tr>
      <w:tr w:rsidR="00614588" w:rsidRPr="00C16CE1">
        <w:trPr>
          <w:trHeight w:val="4060"/>
        </w:trPr>
        <w:tc>
          <w:tcPr>
            <w:tcW w:w="7357" w:type="dxa"/>
          </w:tcPr>
          <w:p w:rsidR="00614588" w:rsidRPr="00C16CE1" w:rsidRDefault="000E6C14" w:rsidP="00C16CE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ადმინისტრირებისა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0E6C14" w:rsidP="00C16CE1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5"/>
        <w:gridCol w:w="4931"/>
        <w:gridCol w:w="4556"/>
        <w:gridCol w:w="3016"/>
      </w:tblGrid>
      <w:tr w:rsidR="00614588" w:rsidRPr="00C16CE1">
        <w:trPr>
          <w:trHeight w:val="1100"/>
          <w:jc w:val="center"/>
        </w:trPr>
        <w:tc>
          <w:tcPr>
            <w:tcW w:w="2165" w:type="dxa"/>
            <w:shd w:val="clear" w:color="auto" w:fill="DEEBF6"/>
            <w:vAlign w:val="center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614588" w:rsidRPr="00C16CE1" w:rsidRDefault="00614588" w:rsidP="00C16CE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DEEBF6"/>
            <w:vAlign w:val="center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556" w:type="dxa"/>
            <w:shd w:val="clear" w:color="auto" w:fill="DEEBF6"/>
            <w:vAlign w:val="center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3016" w:type="dxa"/>
            <w:shd w:val="clear" w:color="auto" w:fill="DEEBF6"/>
            <w:vAlign w:val="center"/>
          </w:tcPr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614588" w:rsidRPr="00C16CE1">
        <w:trPr>
          <w:trHeight w:val="3980"/>
          <w:jc w:val="center"/>
        </w:trPr>
        <w:tc>
          <w:tcPr>
            <w:tcW w:w="2165" w:type="dxa"/>
            <w:shd w:val="clear" w:color="auto" w:fill="auto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614588" w:rsidRPr="00C16CE1" w:rsidRDefault="00614588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spacing w:after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auto"/>
          </w:tcPr>
          <w:p w:rsidR="00614588" w:rsidRPr="00C16CE1" w:rsidRDefault="000E6C14" w:rsidP="00C16CE1">
            <w:pPr>
              <w:numPr>
                <w:ilvl w:val="0"/>
                <w:numId w:val="1"/>
              </w:numPr>
              <w:tabs>
                <w:tab w:val="left" w:pos="212"/>
              </w:tabs>
              <w:spacing w:before="120"/>
              <w:ind w:left="0" w:hanging="2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უსაფრთხოებას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ჯანდაცვის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სფეროში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numPr>
                <w:ilvl w:val="0"/>
                <w:numId w:val="1"/>
              </w:numPr>
              <w:tabs>
                <w:tab w:val="left" w:pos="212"/>
              </w:tabs>
              <w:ind w:left="0" w:hanging="2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კულტურას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დაწესებულებაში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numPr>
                <w:ilvl w:val="0"/>
                <w:numId w:val="1"/>
              </w:numPr>
              <w:tabs>
                <w:tab w:val="left" w:pos="212"/>
              </w:tabs>
              <w:ind w:left="0" w:hanging="2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numPr>
                <w:ilvl w:val="0"/>
                <w:numId w:val="1"/>
              </w:numPr>
              <w:tabs>
                <w:tab w:val="left" w:pos="212"/>
              </w:tabs>
              <w:ind w:left="0" w:hanging="2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დასახული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მიზნების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მიღწევადობას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numPr>
                <w:ilvl w:val="0"/>
                <w:numId w:val="1"/>
              </w:numPr>
              <w:tabs>
                <w:tab w:val="left" w:pos="212"/>
              </w:tabs>
              <w:ind w:left="0" w:hanging="2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ფიზიკურ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ფრთხოებას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614588" w:rsidP="00C16CE1">
            <w:pPr>
              <w:tabs>
                <w:tab w:val="left" w:pos="212"/>
              </w:tabs>
              <w:ind w:hanging="2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0E6C14" w:rsidP="00C16CE1">
            <w:pPr>
              <w:numPr>
                <w:ilvl w:val="0"/>
                <w:numId w:val="1"/>
              </w:numPr>
              <w:tabs>
                <w:tab w:val="left" w:pos="212"/>
              </w:tabs>
              <w:ind w:left="0" w:hanging="2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614588" w:rsidP="00C16CE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56" w:type="dxa"/>
            <w:vAlign w:val="center"/>
          </w:tcPr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ჯანდაცვის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სფეროში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ისტორიული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მიმოხილვა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კულტურა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დაწესებულებაში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წარმოჩენა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გარემო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ტრეინინგები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3.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გზები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სქემაში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საფრთხის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ბაზისურ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ტერმინილოგია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დასახული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მიზნების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მიღწევადობა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ჰიგიენური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ზონების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დაყოფა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ჩაცმულობა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5.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ფიზიკური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უსაფრთხოება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 xml:space="preserve"> :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ბიოლოგიური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რადიაციული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6.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ხველის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ეტიკეტი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br/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ინექცია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რადიაციული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3016" w:type="dxa"/>
            <w:vMerge w:val="restart"/>
            <w:vAlign w:val="center"/>
          </w:tcPr>
          <w:p w:rsidR="00614588" w:rsidRPr="00C16CE1" w:rsidRDefault="000E6C14" w:rsidP="00C16CE1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თეორ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614588" w:rsidRPr="00C16CE1" w:rsidRDefault="00614588" w:rsidP="00C16CE1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614588" w:rsidRPr="00C16CE1">
        <w:trPr>
          <w:trHeight w:val="1040"/>
          <w:jc w:val="center"/>
        </w:trPr>
        <w:tc>
          <w:tcPr>
            <w:tcW w:w="2165" w:type="dxa"/>
            <w:shd w:val="clear" w:color="auto" w:fill="auto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ადმინისტრირებისა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1" w:type="dxa"/>
            <w:shd w:val="clear" w:color="auto" w:fill="auto"/>
          </w:tcPr>
          <w:p w:rsidR="00614588" w:rsidRPr="00C16CE1" w:rsidRDefault="000E6C14" w:rsidP="00C16CE1">
            <w:pPr>
              <w:numPr>
                <w:ilvl w:val="0"/>
                <w:numId w:val="2"/>
              </w:numPr>
              <w:tabs>
                <w:tab w:val="left" w:pos="33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მედიკამენტებთან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შეცდომებს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614588" w:rsidRPr="00C16CE1" w:rsidRDefault="000E6C14" w:rsidP="00C16CE1">
            <w:pPr>
              <w:numPr>
                <w:ilvl w:val="0"/>
                <w:numId w:val="2"/>
              </w:numPr>
              <w:tabs>
                <w:tab w:val="left" w:pos="33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მინიმუმ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მანიშნებელს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numPr>
                <w:ilvl w:val="0"/>
                <w:numId w:val="2"/>
              </w:numPr>
              <w:tabs>
                <w:tab w:val="left" w:pos="33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აყალიბებს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არსს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არეალს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614588" w:rsidRPr="00C16CE1" w:rsidRDefault="00614588" w:rsidP="00C16CE1">
            <w:pPr>
              <w:tabs>
                <w:tab w:val="left" w:pos="33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0E6C14" w:rsidP="00C16CE1">
            <w:pPr>
              <w:numPr>
                <w:ilvl w:val="0"/>
                <w:numId w:val="2"/>
              </w:numPr>
              <w:tabs>
                <w:tab w:val="left" w:pos="33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ფაქტორებს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მჭრელ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საგნებთან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ბიოლოგიურ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დაღვრასა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გაშხეფებასთან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დაკავშირებით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numPr>
                <w:ilvl w:val="0"/>
                <w:numId w:val="2"/>
              </w:numPr>
              <w:tabs>
                <w:tab w:val="left" w:pos="33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სტანდარტებს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; </w:t>
            </w:r>
          </w:p>
          <w:p w:rsidR="00614588" w:rsidRPr="00C16CE1" w:rsidRDefault="00614588" w:rsidP="00C16CE1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56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მედიკამენტებთან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შეცდომები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მიცემის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ვარგისიანობა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ვარიანტები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მანიშნებელი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ხელზე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დაბადების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რიცვი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პირადობის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მოწმობა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უნიკალური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არეალი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რეგისტრატურა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ლაბორატორია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ფაქტორები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სისხლი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შარდი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ნახველი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ნემსები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ამპულები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ნარჩენი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წამლები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რადიო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ხელსაწყოები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ციტოსტატიური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ციტოტოქსიური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სტანდარტები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JCAHO; OSHA; CDC.</w:t>
            </w:r>
          </w:p>
        </w:tc>
        <w:tc>
          <w:tcPr>
            <w:tcW w:w="3016" w:type="dxa"/>
            <w:vMerge/>
            <w:vAlign w:val="center"/>
          </w:tcPr>
          <w:p w:rsidR="00614588" w:rsidRPr="00C16CE1" w:rsidRDefault="00614588" w:rsidP="00C16CE1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0E6C14" w:rsidP="00C16CE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614588" w:rsidRPr="00C16CE1" w:rsidRDefault="000E6C14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3852"/>
        <w:gridCol w:w="2699"/>
        <w:gridCol w:w="2329"/>
        <w:gridCol w:w="4785"/>
      </w:tblGrid>
      <w:tr w:rsidR="00614588" w:rsidRPr="00C16CE1">
        <w:trPr>
          <w:trHeight w:val="600"/>
        </w:trPr>
        <w:tc>
          <w:tcPr>
            <w:tcW w:w="1003" w:type="dxa"/>
            <w:vAlign w:val="center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3852" w:type="dxa"/>
            <w:vAlign w:val="center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699" w:type="dxa"/>
            <w:vAlign w:val="center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329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5" w:type="dxa"/>
            <w:tcBorders>
              <w:bottom w:val="single" w:sz="4" w:space="0" w:color="000000"/>
            </w:tcBorders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614588" w:rsidRPr="00C16CE1">
        <w:trPr>
          <w:trHeight w:val="420"/>
        </w:trPr>
        <w:tc>
          <w:tcPr>
            <w:tcW w:w="1003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auto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ისტორიული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მიმოხილვა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მიმართულებები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კულტურა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წარმოჩენა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გარემო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ტრეინინგები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ჩართულობა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3.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გზ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სქემაში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საფრთხის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ტერმინილოგია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დასახული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მიღწევადობა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ჰიგიენური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ზონების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დაყოფა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ჩაცმულობა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უსაფრთხოება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 xml:space="preserve"> :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ბიოლოგიური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რადიაციული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სამედიცინო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თეთრეული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0E6C14" w:rsidP="00C16CE1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ხველის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ეტიკეტი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br/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ინექცია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რადია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  <w:vAlign w:val="center"/>
          </w:tcPr>
          <w:p w:rsidR="00614588" w:rsidRPr="00C16CE1" w:rsidRDefault="000E6C14" w:rsidP="00C16CE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ინტერაქტიული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</w:p>
          <w:p w:rsidR="00614588" w:rsidRPr="00C16CE1" w:rsidRDefault="000E6C14" w:rsidP="00C16CE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614588" w:rsidRPr="00C16CE1" w:rsidRDefault="00614588" w:rsidP="00C16CE1">
            <w:pPr>
              <w:ind w:left="36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329" w:type="dxa"/>
            <w:vMerge w:val="restart"/>
          </w:tcPr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ადახურული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გამოკითხვა</w:t>
            </w:r>
          </w:p>
          <w:p w:rsidR="00614588" w:rsidRPr="00C16CE1" w:rsidRDefault="00614588" w:rsidP="00C16CE1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 თითოეულ ინსტურმენტში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85" w:type="dxa"/>
            <w:vMerge w:val="restart"/>
            <w:tcBorders>
              <w:bottom w:val="nil"/>
            </w:tcBorders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614588" w:rsidRPr="00C16CE1" w:rsidRDefault="000E6C14" w:rsidP="00C16CE1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614588" w:rsidRPr="00C16CE1">
        <w:trPr>
          <w:trHeight w:val="440"/>
        </w:trPr>
        <w:tc>
          <w:tcPr>
            <w:tcW w:w="1003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auto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მედიკამენტებთან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შეცდომები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მიცემის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ვარგისიანობა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ვარიანტები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მანიშნებელი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ხელზე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დაბადების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რიცვი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პირადობის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მოწმობა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უნიკალური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კოდი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იდე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ნტიფიცირების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არეალი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რეგისტრატურა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ლაბორატორია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 xml:space="preserve">: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სისხლი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შარდი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ნახველი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ნემსები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ამპულები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ნარჩენი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წამლები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რადიო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ხელსაწყოები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ციტოსტატიური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ციტოტოქსიური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ნივ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თიერებები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სტანდარტები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JCAHO; OSHA; CDC.</w:t>
            </w:r>
          </w:p>
        </w:tc>
        <w:tc>
          <w:tcPr>
            <w:tcW w:w="2699" w:type="dxa"/>
            <w:vMerge/>
            <w:vAlign w:val="center"/>
          </w:tcPr>
          <w:p w:rsidR="00614588" w:rsidRPr="00C16CE1" w:rsidRDefault="00614588" w:rsidP="00C16CE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:rsidR="00614588" w:rsidRPr="00C16CE1" w:rsidRDefault="00614588" w:rsidP="00C16CE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85" w:type="dxa"/>
            <w:vMerge/>
            <w:tcBorders>
              <w:bottom w:val="nil"/>
            </w:tcBorders>
          </w:tcPr>
          <w:p w:rsidR="00614588" w:rsidRPr="00C16CE1" w:rsidRDefault="00614588" w:rsidP="00C16CE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614588" w:rsidRPr="00C16CE1" w:rsidRDefault="00614588" w:rsidP="00C16CE1">
            <w:pPr>
              <w:numPr>
                <w:ilvl w:val="0"/>
                <w:numId w:val="4"/>
              </w:numPr>
              <w:ind w:left="121" w:hanging="18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614588" w:rsidRPr="00C16CE1" w:rsidRDefault="00614588" w:rsidP="00C16CE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614588" w:rsidRPr="00C16CE1">
        <w:trPr>
          <w:trHeight w:val="440"/>
        </w:trPr>
        <w:tc>
          <w:tcPr>
            <w:tcW w:w="4855" w:type="dxa"/>
            <w:gridSpan w:val="2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(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813" w:type="dxa"/>
            <w:gridSpan w:val="3"/>
            <w:vAlign w:val="center"/>
          </w:tcPr>
          <w:p w:rsidR="00614588" w:rsidRPr="00C16CE1" w:rsidRDefault="00614588" w:rsidP="00C16CE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614588" w:rsidRPr="00C16CE1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614588" w:rsidRPr="00C16CE1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614588" w:rsidRPr="00C16CE1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widowControl w:val="0"/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614588" w:rsidRPr="00C16CE1" w:rsidRDefault="00614588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14588" w:rsidRPr="00C16CE1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588" w:rsidRPr="00C16CE1" w:rsidRDefault="00614588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614588" w:rsidRPr="00C16CE1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614588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sz w:val="20"/>
                <w:szCs w:val="20"/>
              </w:rPr>
              <w:t>13</w:t>
            </w:r>
          </w:p>
        </w:tc>
      </w:tr>
      <w:tr w:rsidR="00614588" w:rsidRPr="00C16CE1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>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588" w:rsidRPr="00C16CE1" w:rsidRDefault="000E6C14" w:rsidP="00C16CE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Merriweather" w:hAnsi="Sylfaen" w:cs="Merriweather"/>
                <w:b/>
                <w:sz w:val="20"/>
                <w:szCs w:val="20"/>
              </w:rPr>
              <w:t>25</w:t>
            </w:r>
          </w:p>
        </w:tc>
      </w:tr>
    </w:tbl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:</w:t>
      </w: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Merriweather" w:hAnsi="Sylfaen" w:cs="Merriweather"/>
          <w:sz w:val="20"/>
          <w:szCs w:val="20"/>
        </w:rPr>
        <w:t xml:space="preserve">1. Charles Vincent, </w:t>
      </w:r>
      <w:r w:rsidRPr="00C16CE1">
        <w:rPr>
          <w:rFonts w:ascii="Sylfaen" w:eastAsia="Merriweather" w:hAnsi="Sylfaen" w:cs="Merriweather"/>
          <w:b/>
          <w:i/>
          <w:sz w:val="20"/>
          <w:szCs w:val="20"/>
        </w:rPr>
        <w:t xml:space="preserve">The Essentials of Patient Safety, </w:t>
      </w:r>
      <w:r w:rsidRPr="00C16CE1">
        <w:rPr>
          <w:rFonts w:ascii="Sylfaen" w:eastAsia="Merriweather" w:hAnsi="Sylfaen" w:cs="Merriweather"/>
          <w:sz w:val="20"/>
          <w:szCs w:val="20"/>
        </w:rPr>
        <w:t>Second edition;</w:t>
      </w: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Merriweather" w:hAnsi="Sylfaen" w:cs="Merriweather"/>
          <w:sz w:val="20"/>
          <w:szCs w:val="20"/>
        </w:rPr>
        <w:t>2.</w:t>
      </w:r>
      <w:r w:rsidRPr="00C16CE1">
        <w:rPr>
          <w:rFonts w:ascii="Sylfaen" w:eastAsia="Merriweather" w:hAnsi="Sylfaen" w:cs="Merriweather"/>
          <w:b/>
          <w:i/>
          <w:sz w:val="20"/>
          <w:szCs w:val="20"/>
        </w:rPr>
        <w:t xml:space="preserve">Patient Safety and Quality: An Evidence-Based Handbook for Nurses, </w:t>
      </w:r>
      <w:r w:rsidRPr="00C16CE1">
        <w:rPr>
          <w:rFonts w:ascii="Sylfaen" w:eastAsia="Merriweather" w:hAnsi="Sylfaen" w:cs="Merriweather"/>
          <w:sz w:val="20"/>
          <w:szCs w:val="20"/>
        </w:rPr>
        <w:t>Editor: Ronda G. Hughes, Ph.D., M.H.S., R.N</w:t>
      </w: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Merriweather" w:hAnsi="Sylfaen" w:cs="Merriweather"/>
          <w:sz w:val="20"/>
          <w:szCs w:val="20"/>
        </w:rPr>
        <w:t xml:space="preserve">3. Charles Vincent, </w:t>
      </w:r>
      <w:r w:rsidRPr="00C16CE1">
        <w:rPr>
          <w:rFonts w:ascii="Sylfaen" w:eastAsia="Merriweather" w:hAnsi="Sylfaen" w:cs="Merriweather"/>
          <w:b/>
          <w:i/>
          <w:sz w:val="20"/>
          <w:szCs w:val="20"/>
        </w:rPr>
        <w:t xml:space="preserve">Patients Safety, </w:t>
      </w:r>
      <w:r w:rsidRPr="00C16CE1">
        <w:rPr>
          <w:rFonts w:ascii="Sylfaen" w:eastAsia="Merriweather" w:hAnsi="Sylfaen" w:cs="Merriweather"/>
          <w:sz w:val="20"/>
          <w:szCs w:val="20"/>
        </w:rPr>
        <w:t>2</w:t>
      </w:r>
      <w:r w:rsidRPr="00C16CE1">
        <w:rPr>
          <w:rFonts w:ascii="Sylfaen" w:eastAsia="Merriweather" w:hAnsi="Sylfaen" w:cs="Merriweather"/>
          <w:sz w:val="20"/>
          <w:szCs w:val="20"/>
          <w:vertAlign w:val="superscript"/>
        </w:rPr>
        <w:t>nd</w:t>
      </w:r>
      <w:r w:rsidRPr="00C16CE1">
        <w:rPr>
          <w:rFonts w:ascii="Sylfaen" w:eastAsia="Merriweather" w:hAnsi="Sylfaen" w:cs="Merriweather"/>
          <w:sz w:val="20"/>
          <w:szCs w:val="20"/>
        </w:rPr>
        <w:t xml:space="preserve"> edition</w:t>
      </w: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16CE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614588" w:rsidRPr="00C16CE1" w:rsidRDefault="000E6C14" w:rsidP="00C16CE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მიერ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ეფ</w:t>
      </w:r>
      <w:r w:rsidRPr="00C16CE1">
        <w:rPr>
          <w:rFonts w:ascii="Sylfaen" w:eastAsia="Arial Unicode MS" w:hAnsi="Sylfaen" w:cs="Arial Unicode MS"/>
          <w:sz w:val="20"/>
          <w:szCs w:val="20"/>
        </w:rPr>
        <w:t>უძნება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C16CE1">
        <w:rPr>
          <w:rFonts w:ascii="Sylfaen" w:eastAsia="Arial Unicode MS" w:hAnsi="Sylfaen" w:cs="Arial Unicode MS"/>
          <w:sz w:val="20"/>
          <w:szCs w:val="20"/>
        </w:rPr>
        <w:t>/</w:t>
      </w:r>
      <w:r w:rsidRPr="00C16CE1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16CE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ან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16CE1">
        <w:rPr>
          <w:rFonts w:ascii="Sylfaen" w:eastAsia="Arial Unicode MS" w:hAnsi="Sylfaen" w:cs="Arial Unicode MS"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sz w:val="20"/>
          <w:szCs w:val="20"/>
        </w:rPr>
        <w:t>/</w:t>
      </w:r>
      <w:r w:rsidRPr="00C16CE1">
        <w:rPr>
          <w:rFonts w:ascii="Sylfaen" w:eastAsia="Arial Unicode MS" w:hAnsi="Sylfaen" w:cs="Arial Unicode MS"/>
          <w:sz w:val="20"/>
          <w:szCs w:val="20"/>
        </w:rPr>
        <w:t>ან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16CE1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C16CE1">
        <w:rPr>
          <w:rFonts w:ascii="Sylfaen" w:eastAsia="Arial Unicode MS" w:hAnsi="Sylfaen" w:cs="Arial Unicode MS"/>
          <w:sz w:val="20"/>
          <w:szCs w:val="20"/>
        </w:rPr>
        <w:t>)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16CE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16CE1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614588" w:rsidRPr="00C16CE1" w:rsidRDefault="00614588" w:rsidP="00C16CE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614588" w:rsidRPr="00C16CE1" w:rsidRDefault="000E6C14" w:rsidP="00C16CE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16CE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</w:t>
      </w:r>
      <w:r w:rsidRPr="00C16CE1">
        <w:rPr>
          <w:rFonts w:ascii="Sylfaen" w:eastAsia="Arial Unicode MS" w:hAnsi="Sylfaen" w:cs="Arial Unicode MS"/>
          <w:sz w:val="20"/>
          <w:szCs w:val="20"/>
        </w:rPr>
        <w:t>როფესიული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16CE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16CE1">
        <w:rPr>
          <w:rFonts w:ascii="Sylfaen" w:eastAsia="Arial Unicode MS" w:hAnsi="Sylfaen" w:cs="Arial Unicode MS"/>
          <w:sz w:val="20"/>
          <w:szCs w:val="20"/>
        </w:rPr>
        <w:t>ხოლო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და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C16CE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16CE1">
        <w:rPr>
          <w:rFonts w:ascii="Sylfaen" w:eastAsia="Arial Unicode MS" w:hAnsi="Sylfaen" w:cs="Arial Unicode MS"/>
          <w:sz w:val="20"/>
          <w:szCs w:val="20"/>
        </w:rPr>
        <w:t>/</w:t>
      </w:r>
      <w:r w:rsidRPr="00C16CE1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C16CE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C16CE1">
        <w:rPr>
          <w:rFonts w:ascii="Sylfaen" w:eastAsia="Arial Unicode MS" w:hAnsi="Sylfaen" w:cs="Arial Unicode MS"/>
          <w:sz w:val="20"/>
          <w:szCs w:val="20"/>
        </w:rPr>
        <w:t>.</w:t>
      </w: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0E6C14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jdgxs" w:colFirst="0" w:colLast="0"/>
      <w:bookmarkEnd w:id="0"/>
      <w:r w:rsidRPr="00C16CE1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C16CE1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5028"/>
        <w:gridCol w:w="8836"/>
      </w:tblGrid>
      <w:tr w:rsidR="00614588" w:rsidRPr="00C16CE1">
        <w:trPr>
          <w:trHeight w:val="440"/>
        </w:trPr>
        <w:tc>
          <w:tcPr>
            <w:tcW w:w="804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5028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8836" w:type="dxa"/>
          </w:tcPr>
          <w:p w:rsidR="00614588" w:rsidRPr="00C16CE1" w:rsidRDefault="000E6C14" w:rsidP="00C16CE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614588" w:rsidRPr="00C16CE1" w:rsidTr="00C16CE1">
        <w:trPr>
          <w:trHeight w:val="350"/>
        </w:trPr>
        <w:tc>
          <w:tcPr>
            <w:tcW w:w="804" w:type="dxa"/>
          </w:tcPr>
          <w:p w:rsidR="00614588" w:rsidRPr="00C16CE1" w:rsidRDefault="00C16CE1" w:rsidP="00C16CE1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5028" w:type="dxa"/>
          </w:tcPr>
          <w:p w:rsidR="00614588" w:rsidRPr="00C16CE1" w:rsidRDefault="000E6C14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  <w:p w:rsidR="00614588" w:rsidRPr="00C16CE1" w:rsidRDefault="00614588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8836" w:type="dxa"/>
          </w:tcPr>
          <w:p w:rsidR="00614588" w:rsidRPr="00C16CE1" w:rsidRDefault="00C16CE1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16CE1" w:rsidRPr="00C16CE1" w:rsidTr="00C16CE1">
        <w:trPr>
          <w:trHeight w:val="350"/>
        </w:trPr>
        <w:tc>
          <w:tcPr>
            <w:tcW w:w="804" w:type="dxa"/>
          </w:tcPr>
          <w:p w:rsidR="00C16CE1" w:rsidRPr="00C16CE1" w:rsidRDefault="00C16CE1" w:rsidP="00C16CE1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5028" w:type="dxa"/>
          </w:tcPr>
          <w:p w:rsidR="00C16CE1" w:rsidRPr="00C16CE1" w:rsidRDefault="00C16CE1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ნინო ბუცხრიკიძე</w:t>
            </w:r>
          </w:p>
        </w:tc>
        <w:tc>
          <w:tcPr>
            <w:tcW w:w="8836" w:type="dxa"/>
          </w:tcPr>
          <w:p w:rsidR="00C16CE1" w:rsidRPr="00C16CE1" w:rsidRDefault="00C16CE1" w:rsidP="00C16CE1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16CE1" w:rsidRPr="00C16CE1">
        <w:tc>
          <w:tcPr>
            <w:tcW w:w="804" w:type="dxa"/>
          </w:tcPr>
          <w:p w:rsidR="00C16CE1" w:rsidRPr="00C16CE1" w:rsidRDefault="00C16CE1" w:rsidP="00C16CE1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  <w:tc>
          <w:tcPr>
            <w:tcW w:w="5028" w:type="dxa"/>
          </w:tcPr>
          <w:p w:rsidR="00C16CE1" w:rsidRDefault="00C16CE1" w:rsidP="00C16CE1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ნინო ფანცულაია </w:t>
            </w:r>
          </w:p>
          <w:p w:rsidR="00C16CE1" w:rsidRPr="00C16CE1" w:rsidRDefault="00C16CE1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8836" w:type="dxa"/>
          </w:tcPr>
          <w:p w:rsidR="00C16CE1" w:rsidRPr="00C16CE1" w:rsidRDefault="00C16CE1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16CE1" w:rsidRPr="00C16CE1" w:rsidTr="00C16CE1">
        <w:trPr>
          <w:trHeight w:val="170"/>
        </w:trPr>
        <w:tc>
          <w:tcPr>
            <w:tcW w:w="804" w:type="dxa"/>
          </w:tcPr>
          <w:p w:rsidR="00C16CE1" w:rsidRPr="00C16CE1" w:rsidRDefault="00C16CE1" w:rsidP="00C16CE1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5028" w:type="dxa"/>
          </w:tcPr>
          <w:p w:rsidR="00C16CE1" w:rsidRPr="00C16CE1" w:rsidRDefault="00C16CE1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16CE1">
              <w:rPr>
                <w:rFonts w:ascii="Sylfaen" w:eastAsia="Arial Unicode MS" w:hAnsi="Sylfaen" w:cs="Arial Unicode MS"/>
                <w:sz w:val="20"/>
                <w:szCs w:val="20"/>
              </w:rPr>
              <w:t>სალომე ჭინჭარაული</w:t>
            </w:r>
          </w:p>
        </w:tc>
        <w:tc>
          <w:tcPr>
            <w:tcW w:w="8836" w:type="dxa"/>
          </w:tcPr>
          <w:p w:rsidR="00C16CE1" w:rsidRPr="00C16CE1" w:rsidRDefault="00C16CE1" w:rsidP="00C16CE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>
              <w:rPr>
                <w:rFonts w:ascii="Merriweather" w:hAnsi="Merriweather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614588" w:rsidRPr="00C16CE1" w:rsidRDefault="00614588" w:rsidP="00C16CE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14588" w:rsidRPr="00C16CE1" w:rsidRDefault="00614588" w:rsidP="00C16CE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sectPr w:rsidR="00614588" w:rsidRPr="00C16CE1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C14" w:rsidRDefault="000E6C14">
      <w:pPr>
        <w:spacing w:after="0" w:line="240" w:lineRule="auto"/>
      </w:pPr>
      <w:r>
        <w:separator/>
      </w:r>
    </w:p>
  </w:endnote>
  <w:endnote w:type="continuationSeparator" w:id="0">
    <w:p w:rsidR="000E6C14" w:rsidRDefault="000E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588" w:rsidRDefault="000E6C14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C16CE1">
      <w:fldChar w:fldCharType="separate"/>
    </w:r>
    <w:r w:rsidR="00014B95">
      <w:rPr>
        <w:noProof/>
      </w:rPr>
      <w:t>7</w:t>
    </w:r>
    <w:r>
      <w:fldChar w:fldCharType="end"/>
    </w:r>
  </w:p>
  <w:p w:rsidR="00614588" w:rsidRDefault="00614588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C14" w:rsidRDefault="000E6C14">
      <w:pPr>
        <w:spacing w:after="0" w:line="240" w:lineRule="auto"/>
      </w:pPr>
      <w:r>
        <w:separator/>
      </w:r>
    </w:p>
  </w:footnote>
  <w:footnote w:type="continuationSeparator" w:id="0">
    <w:p w:rsidR="000E6C14" w:rsidRDefault="000E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588" w:rsidRDefault="00614588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2435"/>
    <w:multiLevelType w:val="multilevel"/>
    <w:tmpl w:val="74B4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8A35D2"/>
    <w:multiLevelType w:val="multilevel"/>
    <w:tmpl w:val="EC82D3C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2729C"/>
    <w:multiLevelType w:val="multilevel"/>
    <w:tmpl w:val="50C2A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AA1210"/>
    <w:multiLevelType w:val="multilevel"/>
    <w:tmpl w:val="3B966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588"/>
    <w:rsid w:val="00014B95"/>
    <w:rsid w:val="000E6C14"/>
    <w:rsid w:val="00614588"/>
    <w:rsid w:val="00C1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6A27A-E993-46EA-9651-2013E56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3</cp:revision>
  <dcterms:created xsi:type="dcterms:W3CDTF">2017-12-04T08:48:00Z</dcterms:created>
  <dcterms:modified xsi:type="dcterms:W3CDTF">2017-12-04T08:51:00Z</dcterms:modified>
</cp:coreProperties>
</file>